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QUARTERLY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June 30, 2023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TRANSITION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__________ to __________</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0-24206 </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PENN Entertainment,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9165" w:type="dxa"/>
        <w:jc w:val="center"/>
        <w:tblInd w:w="0" w:type="dxa"/>
        <w:tblLayout w:type="fixed"/>
        <w:tblCellMar>
          <w:top w:w="28" w:type="dxa"/>
          <w:left w:w="28" w:type="dxa"/>
          <w:bottom w:w="28" w:type="dxa"/>
          <w:right w:w="28" w:type="dxa"/>
        </w:tblCellMar>
      </w:tblPr>
      <w:tblGrid>
        <w:gridCol w:w="1564"/>
        <w:gridCol w:w="1374"/>
        <w:gridCol w:w="1382"/>
        <w:gridCol w:w="364"/>
        <w:gridCol w:w="364"/>
        <w:gridCol w:w="366"/>
        <w:gridCol w:w="375"/>
        <w:gridCol w:w="375"/>
        <w:gridCol w:w="376"/>
        <w:gridCol w:w="766"/>
        <w:gridCol w:w="766"/>
        <w:gridCol w:w="1093"/>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Pennsylvania</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23-2234473</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825 Berkshire Blvd., Suite 200</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Wyomissing,</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Pennsylvania</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19610</w:t>
            </w:r>
          </w:p>
        </w:tc>
      </w:tr>
      <w:tr>
        <w:trPr/>
        <w:tc>
          <w:tcPr>
            <w:tcW w:w="6540" w:type="dxa"/>
            <w:gridSpan w:val="9"/>
            <w:tcBorders/>
            <w:tcMar>
              <w:top w:w="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(610) 373-2400</w:t>
      </w:r>
    </w:p>
    <w:p>
      <w:pPr>
        <w:pStyle w:val="TextBody"/>
        <w:bidi w:val="0"/>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7828" w:type="dxa"/>
        <w:jc w:val="center"/>
        <w:tblInd w:w="0" w:type="dxa"/>
        <w:tblLayout w:type="fixed"/>
        <w:tblCellMar>
          <w:top w:w="28" w:type="dxa"/>
          <w:left w:w="28" w:type="dxa"/>
          <w:bottom w:w="28" w:type="dxa"/>
          <w:right w:w="28" w:type="dxa"/>
        </w:tblCellMar>
      </w:tblPr>
      <w:tblGrid>
        <w:gridCol w:w="1119"/>
        <w:gridCol w:w="986"/>
        <w:gridCol w:w="1000"/>
        <w:gridCol w:w="484"/>
        <w:gridCol w:w="484"/>
        <w:gridCol w:w="486"/>
        <w:gridCol w:w="956"/>
        <w:gridCol w:w="956"/>
        <w:gridCol w:w="1357"/>
      </w:tblGrid>
      <w:tr>
        <w:trPr/>
        <w:tc>
          <w:tcPr>
            <w:tcW w:w="111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1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PENN</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0" w:after="12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2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Act). Yes ☐ No ☑</w:t>
      </w:r>
    </w:p>
    <w:p>
      <w:pPr>
        <w:pStyle w:val="TextBody"/>
        <w:bidi w:val="0"/>
        <w:spacing w:lineRule="auto" w:line="26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As of August 1, 2023, the number of shares of the registrant’s common stock outstanding was 151,037,346 (including 560,388 shares of a subsidiary of registrant which are exchangeable into registrant’s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PENN ENTERTAINMENT,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83"/>
        <w:gridCol w:w="2596"/>
        <w:gridCol w:w="2559"/>
        <w:gridCol w:w="600"/>
        <w:gridCol w:w="600"/>
        <w:gridCol w:w="610"/>
        <w:gridCol w:w="157"/>
      </w:tblGrid>
      <w:tr>
        <w:trPr/>
        <w:tc>
          <w:tcPr>
            <w:tcW w:w="3083"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7f5745e410cd4baaad4ca320a657bd0b_10">
              <w:r>
                <w:rPr>
                  <w:rStyle w:val="InternetLink"/>
                  <w:rFonts w:ascii="Times New Roman;sans-serif" w:hAnsi="Times New Roman;sans-serif"/>
                  <w:b/>
                  <w:color w:val="0000FF"/>
                  <w:sz w:val="20"/>
                  <w:u w:val="single"/>
                </w:rPr>
                <w:t>PART I. FINANCIAL INFORMATION</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13">
              <w:r>
                <w:rPr>
                  <w:rStyle w:val="InternetLink"/>
                  <w:rFonts w:ascii="Times New Roman;sans-serif" w:hAnsi="Times New Roman;sans-serif"/>
                  <w:b w:val="false"/>
                  <w:color w:val="0000FF"/>
                  <w:sz w:val="20"/>
                  <w:u w:val="single"/>
                </w:rPr>
                <w:t>Item 1. Financial Statements (Unaudited)</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13">
              <w:r>
                <w:rPr>
                  <w:rStyle w:val="InternetLink"/>
                  <w:rFonts w:ascii="Times New Roman;sans-serif" w:hAnsi="Times New Roman;sans-serif"/>
                  <w:b w:val="false"/>
                  <w:color w:val="0000FF"/>
                  <w:sz w:val="20"/>
                  <w:u w:val="single"/>
                </w:rPr>
                <w:t>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7f5745e410cd4baaad4ca320a657bd0b_16">
              <w:r>
                <w:rPr>
                  <w:rStyle w:val="InternetLink"/>
                  <w:rFonts w:ascii="Times New Roman;sans-serif" w:hAnsi="Times New Roman;sans-serif"/>
                  <w:b w:val="false"/>
                  <w:color w:val="0000FF"/>
                  <w:sz w:val="20"/>
                  <w:u w:val="single"/>
                </w:rPr>
                <w:t>Consolidated Balance Sheets - June 30, 2023 and December 31, 2022</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16">
              <w:r>
                <w:rPr>
                  <w:rStyle w:val="InternetLink"/>
                  <w:rFonts w:ascii="Times New Roman;sans-serif" w:hAnsi="Times New Roman;sans-serif"/>
                  <w:b w:val="false"/>
                  <w:color w:val="0000FF"/>
                  <w:sz w:val="20"/>
                  <w:u w:val="single"/>
                </w:rPr>
                <w:t>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19">
              <w:r>
                <w:rPr>
                  <w:rStyle w:val="InternetLink"/>
                  <w:rFonts w:ascii="Times New Roman;sans-serif" w:hAnsi="Times New Roman;sans-serif"/>
                  <w:b w:val="false"/>
                  <w:color w:val="0000FF"/>
                  <w:sz w:val="20"/>
                  <w:u w:val="single"/>
                </w:rPr>
                <w:t>Consolidated Statements of Operations - for the Three and Six Months Ended June 30, 2023 and 2022</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19">
              <w:r>
                <w:rPr>
                  <w:rStyle w:val="InternetLink"/>
                  <w:rFonts w:ascii="Times New Roman;sans-serif" w:hAnsi="Times New Roman;sans-serif"/>
                  <w:b w:val="false"/>
                  <w:color w:val="0000FF"/>
                  <w:sz w:val="20"/>
                  <w:u w:val="single"/>
                </w:rPr>
                <w:t>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22">
              <w:r>
                <w:rPr>
                  <w:rStyle w:val="InternetLink"/>
                  <w:rFonts w:ascii="Times New Roman;sans-serif" w:hAnsi="Times New Roman;sans-serif"/>
                  <w:b w:val="false"/>
                  <w:color w:val="0000FF"/>
                  <w:sz w:val="20"/>
                  <w:u w:val="single"/>
                </w:rPr>
                <w:t>Consolidated Statements of Comprehensive Income (Loss) - for the Three and Six Months Ended June 30, 2023 and 2022</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22">
              <w:r>
                <w:rPr>
                  <w:rStyle w:val="InternetLink"/>
                  <w:rFonts w:ascii="Times New Roman;sans-serif" w:hAnsi="Times New Roman;sans-serif"/>
                  <w:b w:val="false"/>
                  <w:color w:val="0000FF"/>
                  <w:sz w:val="20"/>
                  <w:u w:val="single"/>
                </w:rPr>
                <w:t>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28">
              <w:r>
                <w:rPr>
                  <w:rStyle w:val="InternetLink"/>
                  <w:rFonts w:ascii="Times New Roman;sans-serif" w:hAnsi="Times New Roman;sans-serif"/>
                  <w:b w:val="false"/>
                  <w:color w:val="0000FF"/>
                  <w:sz w:val="20"/>
                  <w:u w:val="single"/>
                </w:rPr>
                <w:t>Consolidated Statements of Changes in Stockholders’ Equity - for the Three and Six Months Ended June 30, 2023 and 2022</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28">
              <w:r>
                <w:rPr>
                  <w:rStyle w:val="InternetLink"/>
                  <w:rFonts w:ascii="Times New Roman;sans-serif" w:hAnsi="Times New Roman;sans-serif"/>
                  <w:b w:val="false"/>
                  <w:color w:val="0000FF"/>
                  <w:sz w:val="20"/>
                  <w:u w:val="single"/>
                </w:rPr>
                <w:t>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31">
              <w:r>
                <w:rPr>
                  <w:rStyle w:val="InternetLink"/>
                  <w:rFonts w:ascii="Times New Roman;sans-serif" w:hAnsi="Times New Roman;sans-serif"/>
                  <w:b w:val="false"/>
                  <w:color w:val="0000FF"/>
                  <w:sz w:val="20"/>
                  <w:u w:val="single"/>
                </w:rPr>
                <w:t>Consolidated Statements of Cash Flows - for the Six Months Ended June 30, 2023 and 2022</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31">
              <w:r>
                <w:rPr>
                  <w:rStyle w:val="InternetLink"/>
                  <w:rFonts w:ascii="Times New Roman;sans-serif" w:hAnsi="Times New Roman;sans-serif"/>
                  <w:b w:val="false"/>
                  <w:color w:val="0000FF"/>
                  <w:sz w:val="20"/>
                  <w:u w:val="single"/>
                </w:rPr>
                <w:t>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34">
              <w:r>
                <w:rPr>
                  <w:rStyle w:val="InternetLink"/>
                  <w:rFonts w:ascii="Times New Roman;sans-serif" w:hAnsi="Times New Roman;sans-serif"/>
                  <w:b w:val="false"/>
                  <w:color w:val="0000FF"/>
                  <w:sz w:val="20"/>
                  <w:u w:val="single"/>
                </w:rPr>
                <w:t>Notes to the Consolidated Financial Statements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34">
              <w:r>
                <w:rPr>
                  <w:rStyle w:val="InternetLink"/>
                  <w:rFonts w:ascii="Times New Roman;sans-serif" w:hAnsi="Times New Roman;sans-serif"/>
                  <w:b w:val="false"/>
                  <w:color w:val="0000FF"/>
                  <w:sz w:val="20"/>
                  <w:u w:val="single"/>
                </w:rPr>
                <w:t>9</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112">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112">
              <w:r>
                <w:rPr>
                  <w:rStyle w:val="InternetLink"/>
                  <w:rFonts w:ascii="Times New Roman;sans-serif" w:hAnsi="Times New Roman;sans-serif"/>
                  <w:b w:val="false"/>
                  <w:color w:val="0000FF"/>
                  <w:sz w:val="20"/>
                  <w:u w:val="single"/>
                </w:rPr>
                <w:t>41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148">
              <w:r>
                <w:rPr>
                  <w:rStyle w:val="InternetLink"/>
                  <w:rFonts w:ascii="Times New Roman;sans-serif" w:hAnsi="Times New Roman;sans-serif"/>
                  <w:b w:val="false"/>
                  <w:color w:val="0000FF"/>
                  <w:sz w:val="20"/>
                  <w:u w:val="single"/>
                </w:rPr>
                <w:t>Item 3. Quantitative and Qualitative Disclosure About Market Risk</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148">
              <w:r>
                <w:rPr>
                  <w:rStyle w:val="InternetLink"/>
                  <w:rFonts w:ascii="Times New Roman;sans-serif" w:hAnsi="Times New Roman;sans-serif"/>
                  <w:b w:val="false"/>
                  <w:color w:val="0000FF"/>
                  <w:sz w:val="20"/>
                  <w:u w:val="single"/>
                </w:rPr>
                <w:t>60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151">
              <w:r>
                <w:rPr>
                  <w:rStyle w:val="InternetLink"/>
                  <w:rFonts w:ascii="Times New Roman;sans-serif" w:hAnsi="Times New Roman;sans-serif"/>
                  <w:b w:val="false"/>
                  <w:color w:val="0000FF"/>
                  <w:sz w:val="20"/>
                  <w:u w:val="single"/>
                </w:rPr>
                <w:t>Item 4. Controls and Procedures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151">
              <w:r>
                <w:rPr>
                  <w:rStyle w:val="InternetLink"/>
                  <w:rFonts w:ascii="Times New Roman;sans-serif" w:hAnsi="Times New Roman;sans-serif"/>
                  <w:b w:val="false"/>
                  <w:color w:val="0000FF"/>
                  <w:sz w:val="20"/>
                  <w:u w:val="single"/>
                </w:rPr>
                <w:t>61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7f5745e410cd4baaad4ca320a657bd0b_154">
              <w:r>
                <w:rPr>
                  <w:rStyle w:val="InternetLink"/>
                  <w:rFonts w:ascii="Times New Roman;sans-serif" w:hAnsi="Times New Roman;sans-serif"/>
                  <w:b/>
                  <w:color w:val="0000FF"/>
                  <w:sz w:val="20"/>
                  <w:u w:val="single"/>
                </w:rPr>
                <w:t>PART II. OTHER INFORMATION</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157">
              <w:r>
                <w:rPr>
                  <w:rStyle w:val="InternetLink"/>
                  <w:rFonts w:ascii="Times New Roman;sans-serif" w:hAnsi="Times New Roman;sans-serif"/>
                  <w:b w:val="false"/>
                  <w:color w:val="0000FF"/>
                  <w:sz w:val="20"/>
                  <w:u w:val="single"/>
                </w:rPr>
                <w:t>Item 1. Legal Proceedings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157">
              <w:r>
                <w:rPr>
                  <w:rStyle w:val="InternetLink"/>
                  <w:rFonts w:ascii="Times New Roman;sans-serif" w:hAnsi="Times New Roman;sans-serif"/>
                  <w:b w:val="false"/>
                  <w:color w:val="0000FF"/>
                  <w:sz w:val="20"/>
                  <w:u w:val="single"/>
                </w:rPr>
                <w:t>62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160">
              <w:r>
                <w:rPr>
                  <w:rStyle w:val="InternetLink"/>
                  <w:rFonts w:ascii="Times New Roman;sans-serif" w:hAnsi="Times New Roman;sans-serif"/>
                  <w:b w:val="false"/>
                  <w:color w:val="0000FF"/>
                  <w:sz w:val="20"/>
                  <w:u w:val="single"/>
                </w:rPr>
                <w:t>Item 1A. Risk Factors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160">
              <w:r>
                <w:rPr>
                  <w:rStyle w:val="InternetLink"/>
                  <w:rFonts w:ascii="Times New Roman;sans-serif" w:hAnsi="Times New Roman;sans-serif"/>
                  <w:b w:val="false"/>
                  <w:color w:val="0000FF"/>
                  <w:sz w:val="20"/>
                  <w:u w:val="single"/>
                </w:rPr>
                <w:t>62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163">
              <w:r>
                <w:rPr>
                  <w:rStyle w:val="InternetLink"/>
                  <w:rFonts w:ascii="Times New Roman;sans-serif" w:hAnsi="Times New Roman;sans-serif"/>
                  <w:b w:val="false"/>
                  <w:color w:val="0000FF"/>
                  <w:sz w:val="20"/>
                  <w:u w:val="single"/>
                </w:rPr>
                <w:t>Item 2. Unregistered Sales of Equity Securities and Use of Proceeds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163">
              <w:r>
                <w:rPr>
                  <w:rStyle w:val="InternetLink"/>
                  <w:rFonts w:ascii="Times New Roman;sans-serif" w:hAnsi="Times New Roman;sans-serif"/>
                  <w:b w:val="false"/>
                  <w:color w:val="0000FF"/>
                  <w:sz w:val="20"/>
                  <w:u w:val="single"/>
                </w:rPr>
                <w:t>62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166">
              <w:r>
                <w:rPr>
                  <w:rStyle w:val="InternetLink"/>
                  <w:rFonts w:ascii="Times New Roman;sans-serif" w:hAnsi="Times New Roman;sans-serif"/>
                  <w:b w:val="false"/>
                  <w:color w:val="0000FF"/>
                  <w:sz w:val="20"/>
                  <w:u w:val="single"/>
                </w:rPr>
                <w:t>Item 5. Other Information</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166">
              <w:r>
                <w:rPr>
                  <w:rStyle w:val="InternetLink"/>
                  <w:rFonts w:ascii="Times New Roman;sans-serif" w:hAnsi="Times New Roman;sans-serif"/>
                  <w:b w:val="false"/>
                  <w:color w:val="0000FF"/>
                  <w:sz w:val="20"/>
                  <w:u w:val="single"/>
                </w:rPr>
                <w:t>63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169">
              <w:r>
                <w:rPr>
                  <w:rStyle w:val="InternetLink"/>
                  <w:rFonts w:ascii="Times New Roman;sans-serif" w:hAnsi="Times New Roman;sans-serif"/>
                  <w:b w:val="false"/>
                  <w:color w:val="0000FF"/>
                  <w:sz w:val="20"/>
                  <w:u w:val="single"/>
                </w:rPr>
                <w:t>Item 6. Exhibits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169">
              <w:r>
                <w:rPr>
                  <w:rStyle w:val="InternetLink"/>
                  <w:rFonts w:ascii="Times New Roman;sans-serif" w:hAnsi="Times New Roman;sans-serif"/>
                  <w:b w:val="false"/>
                  <w:color w:val="0000FF"/>
                  <w:sz w:val="20"/>
                  <w:u w:val="single"/>
                </w:rPr>
                <w:t>64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2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172">
              <w:r>
                <w:rPr>
                  <w:rStyle w:val="InternetLink"/>
                  <w:rFonts w:ascii="Times New Roman;sans-serif" w:hAnsi="Times New Roman;sans-serif"/>
                  <w:b w:val="false"/>
                  <w:color w:val="0000FF"/>
                  <w:sz w:val="20"/>
                  <w:u w:val="single"/>
                </w:rPr>
                <w:t>Signatures</w:t>
              </w:r>
            </w:hyperlink>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5745e410cd4baaad4ca320a657bd0b_172">
              <w:r>
                <w:rPr>
                  <w:rStyle w:val="InternetLink"/>
                  <w:rFonts w:ascii="Times New Roman;sans-serif" w:hAnsi="Times New Roman;sans-serif"/>
                  <w:b w:val="false"/>
                  <w:color w:val="0000FF"/>
                  <w:sz w:val="20"/>
                  <w:u w:val="single"/>
                </w:rPr>
                <w:t>65</w:t>
              </w:r>
            </w:hyperlink>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PENN ENTERTAINMENT,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11"/>
        <w:gridCol w:w="2349"/>
        <w:gridCol w:w="2370"/>
        <w:gridCol w:w="196"/>
        <w:gridCol w:w="781"/>
        <w:gridCol w:w="109"/>
        <w:gridCol w:w="109"/>
        <w:gridCol w:w="109"/>
        <w:gridCol w:w="109"/>
        <w:gridCol w:w="200"/>
        <w:gridCol w:w="801"/>
        <w:gridCol w:w="161"/>
      </w:tblGrid>
      <w:tr>
        <w:trPr/>
        <w:tc>
          <w:tcPr>
            <w:tcW w:w="2911"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 except share and per share data)</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2,013.4 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and advances to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right-of-use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17,502.1 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maturities of 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financing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lease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current maturities, debt discount and debt issuance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portion of financing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portion of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13,905.5 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f5745e410cd4baaad4ca320a657bd0b_88">
              <w:r>
                <w:rPr>
                  <w:rStyle w:val="InternetLink"/>
                  <w:rFonts w:ascii="Times New Roman;sans-serif" w:hAnsi="Times New Roman;sans-serif"/>
                  <w:b w:val="false"/>
                  <w:color w:val="0000FF"/>
                  <w:sz w:val="16"/>
                  <w:u w:val="single"/>
                </w:rPr>
                <w:t>Commitments and contingencies (Note 12)</w:t>
              </w:r>
            </w:hyperlink>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Series B Preferred stock ($0.01 par value, 1,000,000 shares authorized, no shares issued and outstanding)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Series C Preferred stock ($0.01 par value, 18,500 shares authorized, no shares issued and outstanding)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Series D Preferred stock ($0.01 par value, 5,000 shares authorized, 969 shares issued in both periods, and 354 and 581 shares outstanding)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 400,000,000 shares authorized in both periods, 175,540,368 and 172,632,389 shares issued, and 150,373,466 and 152,903,708 shares outstanding)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Exchangeable shares ($0.01 par value, 768,441 shares authorized in both periods, 700,393 and 697,539 shares issued, 560,388 and 620,019 shares outstanding)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(25,166,902 and 19,728,681 shares)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Retained earnings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PENN Entertainment stockholders’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3,597.7 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3,596.6 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17,502.1 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PENN ENTERTAINMENT,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72"/>
        <w:gridCol w:w="1202"/>
        <w:gridCol w:w="1213"/>
        <w:gridCol w:w="253"/>
        <w:gridCol w:w="919"/>
        <w:gridCol w:w="130"/>
        <w:gridCol w:w="130"/>
        <w:gridCol w:w="130"/>
        <w:gridCol w:w="130"/>
        <w:gridCol w:w="253"/>
        <w:gridCol w:w="919"/>
        <w:gridCol w:w="130"/>
        <w:gridCol w:w="109"/>
        <w:gridCol w:w="109"/>
        <w:gridCol w:w="109"/>
        <w:gridCol w:w="239"/>
        <w:gridCol w:w="871"/>
        <w:gridCol w:w="123"/>
        <w:gridCol w:w="123"/>
        <w:gridCol w:w="123"/>
        <w:gridCol w:w="123"/>
        <w:gridCol w:w="239"/>
        <w:gridCol w:w="871"/>
        <w:gridCol w:w="185"/>
      </w:tblGrid>
      <w:tr>
        <w:trPr/>
        <w:tc>
          <w:tcPr>
            <w:tcW w:w="157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 except per share data)</w:t>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3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beverage, hotel, and other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3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beverage, hotel, and other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(expenses)</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Barstool Acquisition,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REIT transactions,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PENN Entertainment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outstanding—basic</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outstanding—diluted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PENN ENTERTAINMENT,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12"/>
        <w:gridCol w:w="1255"/>
        <w:gridCol w:w="1268"/>
        <w:gridCol w:w="275"/>
        <w:gridCol w:w="805"/>
        <w:gridCol w:w="142"/>
        <w:gridCol w:w="142"/>
        <w:gridCol w:w="142"/>
        <w:gridCol w:w="142"/>
        <w:gridCol w:w="275"/>
        <w:gridCol w:w="747"/>
        <w:gridCol w:w="142"/>
        <w:gridCol w:w="109"/>
        <w:gridCol w:w="109"/>
        <w:gridCol w:w="109"/>
        <w:gridCol w:w="269"/>
        <w:gridCol w:w="785"/>
        <w:gridCol w:w="138"/>
        <w:gridCol w:w="138"/>
        <w:gridCol w:w="138"/>
        <w:gridCol w:w="138"/>
        <w:gridCol w:w="269"/>
        <w:gridCol w:w="650"/>
        <w:gridCol w:w="206"/>
      </w:tblGrid>
      <w:tr>
        <w:trPr/>
        <w:tc>
          <w:tcPr>
            <w:tcW w:w="181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during the period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PENN Entertainment</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PENN ENTERTAINMENT,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6125" w:type="dxa"/>
        <w:jc w:val="center"/>
        <w:tblInd w:w="0" w:type="dxa"/>
        <w:tblLayout w:type="fixed"/>
        <w:tblCellMar>
          <w:top w:w="28" w:type="dxa"/>
          <w:left w:w="28" w:type="dxa"/>
          <w:bottom w:w="28" w:type="dxa"/>
          <w:right w:w="28" w:type="dxa"/>
        </w:tblCellMar>
      </w:tblPr>
      <w:tblGrid>
        <w:gridCol w:w="519"/>
        <w:gridCol w:w="205"/>
        <w:gridCol w:w="207"/>
        <w:gridCol w:w="202"/>
        <w:gridCol w:w="204"/>
        <w:gridCol w:w="171"/>
        <w:gridCol w:w="109"/>
        <w:gridCol w:w="109"/>
        <w:gridCol w:w="109"/>
        <w:gridCol w:w="181"/>
        <w:gridCol w:w="391"/>
        <w:gridCol w:w="109"/>
        <w:gridCol w:w="109"/>
        <w:gridCol w:w="109"/>
        <w:gridCol w:w="109"/>
        <w:gridCol w:w="551"/>
        <w:gridCol w:w="320"/>
        <w:gridCol w:w="321"/>
        <w:gridCol w:w="109"/>
        <w:gridCol w:w="109"/>
        <w:gridCol w:w="109"/>
        <w:gridCol w:w="181"/>
        <w:gridCol w:w="316"/>
        <w:gridCol w:w="109"/>
        <w:gridCol w:w="109"/>
        <w:gridCol w:w="109"/>
        <w:gridCol w:w="109"/>
        <w:gridCol w:w="315"/>
        <w:gridCol w:w="315"/>
        <w:gridCol w:w="316"/>
        <w:gridCol w:w="109"/>
        <w:gridCol w:w="109"/>
        <w:gridCol w:w="109"/>
        <w:gridCol w:w="181"/>
        <w:gridCol w:w="406"/>
        <w:gridCol w:w="109"/>
        <w:gridCol w:w="109"/>
        <w:gridCol w:w="109"/>
        <w:gridCol w:w="109"/>
        <w:gridCol w:w="181"/>
        <w:gridCol w:w="481"/>
        <w:gridCol w:w="109"/>
        <w:gridCol w:w="109"/>
        <w:gridCol w:w="109"/>
        <w:gridCol w:w="109"/>
        <w:gridCol w:w="181"/>
        <w:gridCol w:w="571"/>
        <w:gridCol w:w="109"/>
        <w:gridCol w:w="109"/>
        <w:gridCol w:w="109"/>
        <w:gridCol w:w="109"/>
        <w:gridCol w:w="219"/>
        <w:gridCol w:w="564"/>
        <w:gridCol w:w="133"/>
        <w:gridCol w:w="109"/>
        <w:gridCol w:w="109"/>
        <w:gridCol w:w="109"/>
        <w:gridCol w:w="239"/>
        <w:gridCol w:w="636"/>
        <w:gridCol w:w="146"/>
        <w:gridCol w:w="109"/>
        <w:gridCol w:w="109"/>
        <w:gridCol w:w="109"/>
        <w:gridCol w:w="195"/>
        <w:gridCol w:w="617"/>
        <w:gridCol w:w="119"/>
        <w:gridCol w:w="327"/>
        <w:gridCol w:w="319"/>
        <w:gridCol w:w="584"/>
        <w:gridCol w:w="193"/>
        <w:gridCol w:w="327"/>
        <w:gridCol w:w="194"/>
        <w:gridCol w:w="615"/>
        <w:gridCol w:w="167"/>
      </w:tblGrid>
      <w:tr>
        <w:trPr/>
        <w:tc>
          <w:tcPr>
            <w:tcW w:w="5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4" w:type="dxa"/>
            <w:gridSpan w:val="7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June 30, 2023 and 2022</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PENN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4"/>
                <w:u w:val="single"/>
              </w:rPr>
            </w:pPr>
            <w:r>
              <w:rPr>
                <w:rFonts w:ascii="Times New Roman;sans-serif" w:hAnsi="Times New Roman;sans-serif"/>
                <w:b/>
                <w:i/>
                <w:color w:val="000000"/>
                <w:sz w:val="14"/>
                <w:u w:val="single"/>
              </w:rPr>
              <w:t>(in millions, except share data)</w:t>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PENN Entertainment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Exchangeable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as of April 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154,136,908 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560,758 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4,176.3 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4,175.1 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arrangements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23,391 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 repurchases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(3,791,258)</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issuance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Exchangeable share conversions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as of June 30,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150,373,466 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560,388 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4,210.3 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4,208.8 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as of April 1, 2022</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166,161,818 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633,189 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3,952.7 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arrangements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30,551 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 repurchases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(5,539,177)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issuance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Exchangeable shares conversions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8,531 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(8,531)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as of June 30, 2022</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160,725,723 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624,658 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(81.3)</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3,766.8 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(0.8)</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3,766.0 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tbl>
      <w:tblPr>
        <w:tblW w:w="16350" w:type="dxa"/>
        <w:jc w:val="center"/>
        <w:tblInd w:w="0" w:type="dxa"/>
        <w:tblLayout w:type="fixed"/>
        <w:tblCellMar>
          <w:top w:w="28" w:type="dxa"/>
          <w:left w:w="28" w:type="dxa"/>
          <w:bottom w:w="28" w:type="dxa"/>
          <w:right w:w="28" w:type="dxa"/>
        </w:tblCellMar>
      </w:tblPr>
      <w:tblGrid>
        <w:gridCol w:w="744"/>
        <w:gridCol w:w="205"/>
        <w:gridCol w:w="207"/>
        <w:gridCol w:w="202"/>
        <w:gridCol w:w="204"/>
        <w:gridCol w:w="171"/>
        <w:gridCol w:w="109"/>
        <w:gridCol w:w="109"/>
        <w:gridCol w:w="109"/>
        <w:gridCol w:w="181"/>
        <w:gridCol w:w="391"/>
        <w:gridCol w:w="109"/>
        <w:gridCol w:w="109"/>
        <w:gridCol w:w="109"/>
        <w:gridCol w:w="109"/>
        <w:gridCol w:w="551"/>
        <w:gridCol w:w="320"/>
        <w:gridCol w:w="321"/>
        <w:gridCol w:w="109"/>
        <w:gridCol w:w="109"/>
        <w:gridCol w:w="109"/>
        <w:gridCol w:w="181"/>
        <w:gridCol w:w="316"/>
        <w:gridCol w:w="109"/>
        <w:gridCol w:w="109"/>
        <w:gridCol w:w="109"/>
        <w:gridCol w:w="109"/>
        <w:gridCol w:w="315"/>
        <w:gridCol w:w="315"/>
        <w:gridCol w:w="316"/>
        <w:gridCol w:w="109"/>
        <w:gridCol w:w="109"/>
        <w:gridCol w:w="109"/>
        <w:gridCol w:w="181"/>
        <w:gridCol w:w="406"/>
        <w:gridCol w:w="109"/>
        <w:gridCol w:w="109"/>
        <w:gridCol w:w="109"/>
        <w:gridCol w:w="109"/>
        <w:gridCol w:w="181"/>
        <w:gridCol w:w="481"/>
        <w:gridCol w:w="109"/>
        <w:gridCol w:w="109"/>
        <w:gridCol w:w="109"/>
        <w:gridCol w:w="109"/>
        <w:gridCol w:w="181"/>
        <w:gridCol w:w="571"/>
        <w:gridCol w:w="109"/>
        <w:gridCol w:w="109"/>
        <w:gridCol w:w="109"/>
        <w:gridCol w:w="109"/>
        <w:gridCol w:w="219"/>
        <w:gridCol w:w="564"/>
        <w:gridCol w:w="133"/>
        <w:gridCol w:w="109"/>
        <w:gridCol w:w="109"/>
        <w:gridCol w:w="109"/>
        <w:gridCol w:w="239"/>
        <w:gridCol w:w="636"/>
        <w:gridCol w:w="146"/>
        <w:gridCol w:w="109"/>
        <w:gridCol w:w="109"/>
        <w:gridCol w:w="109"/>
        <w:gridCol w:w="195"/>
        <w:gridCol w:w="617"/>
        <w:gridCol w:w="119"/>
        <w:gridCol w:w="327"/>
        <w:gridCol w:w="319"/>
        <w:gridCol w:w="584"/>
        <w:gridCol w:w="193"/>
        <w:gridCol w:w="327"/>
        <w:gridCol w:w="194"/>
        <w:gridCol w:w="615"/>
        <w:gridCol w:w="167"/>
      </w:tblGrid>
      <w:tr>
        <w:trPr/>
        <w:tc>
          <w:tcPr>
            <w:tcW w:w="74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4" w:type="dxa"/>
            <w:gridSpan w:val="7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June 30, 2023 and 2022</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PENN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4"/>
                <w:u w:val="single"/>
              </w:rPr>
            </w:pPr>
            <w:r>
              <w:rPr>
                <w:rFonts w:ascii="Times New Roman;sans-serif" w:hAnsi="Times New Roman;sans-serif"/>
                <w:b/>
                <w:i/>
                <w:color w:val="000000"/>
                <w:sz w:val="14"/>
                <w:u w:val="single"/>
              </w:rPr>
              <w:t>(in millions, except share data)</w:t>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PENN Entertainment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Exchangeable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as of January 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152,903,708 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620,019 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3,597.7 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3,596.6 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arrangements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171,830 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 issuance in connection with acquisitions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2,442,809 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 repurchases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(5,438,221)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Preferred stock conversions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226,800 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issuance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Exchangeable share issuance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Exchangeable shares conversions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62,485 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(62,485)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as of June 30, 2023</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150,373,466 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560,388 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747.4 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4,210.3 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4,208.8 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as of January 1, 2022</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169,561,883 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653,059 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4,097.8 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4,097.1 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arrangements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218,824 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 repurchases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(9,341,585)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(342.1)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(342.1)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Preferred stock conversions </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194,200 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Common stock issuance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Exchangeable shares conversions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28,401 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Cumulative-effect adjustment upon adoption of ASU 2020-06</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as of June 30, 2022</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160,725,723 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624,658 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4,187.3 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(81.3)</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3,766.8 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(0.8)</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3,766.0 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PENN ENTERTAINMENT,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787" w:type="dxa"/>
        <w:jc w:val="left"/>
        <w:tblInd w:w="0" w:type="dxa"/>
        <w:tblLayout w:type="fixed"/>
        <w:tblCellMar>
          <w:top w:w="28" w:type="dxa"/>
          <w:left w:w="28" w:type="dxa"/>
          <w:bottom w:w="28" w:type="dxa"/>
          <w:right w:w="28" w:type="dxa"/>
        </w:tblCellMar>
      </w:tblPr>
      <w:tblGrid>
        <w:gridCol w:w="2090"/>
        <w:gridCol w:w="1848"/>
        <w:gridCol w:w="1852"/>
        <w:gridCol w:w="293"/>
        <w:gridCol w:w="832"/>
        <w:gridCol w:w="163"/>
        <w:gridCol w:w="163"/>
        <w:gridCol w:w="163"/>
        <w:gridCol w:w="163"/>
        <w:gridCol w:w="293"/>
        <w:gridCol w:w="697"/>
        <w:gridCol w:w="230"/>
      </w:tblGrid>
      <w:tr>
        <w:trPr/>
        <w:tc>
          <w:tcPr>
            <w:tcW w:w="2090"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millions)</w:t>
            </w:r>
          </w:p>
        </w:tc>
        <w:tc>
          <w:tcPr>
            <w:tcW w:w="12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2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debt issuance costs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expense</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Barstool Acquisition, net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REIT transactions, net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Holding (gain) loss on equity securities </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or disposal of property and equipment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Hurricane Laura</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unconsolidated affiliates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on investment from unconsolidated affiliates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early extinguishment of debt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businesses acquired</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long-term liabilities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436.4 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Consideration paid for Barstool, net of cash acquired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Hurricane Laura insurance proceeds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Consideration paid for gaming licenses and other intangible assets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12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(462.9)</w:t>
            </w:r>
          </w:p>
        </w:tc>
        <w:tc>
          <w:tcPr>
            <w:tcW w:w="1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w:t>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tbl>
      <w:tblPr>
        <w:tblW w:w="8532" w:type="dxa"/>
        <w:jc w:val="left"/>
        <w:tblInd w:w="0" w:type="dxa"/>
        <w:tblLayout w:type="fixed"/>
        <w:tblCellMar>
          <w:top w:w="28" w:type="dxa"/>
          <w:left w:w="28" w:type="dxa"/>
          <w:bottom w:w="28" w:type="dxa"/>
          <w:right w:w="28" w:type="dxa"/>
        </w:tblCellMar>
      </w:tblPr>
      <w:tblGrid>
        <w:gridCol w:w="2000"/>
        <w:gridCol w:w="1766"/>
        <w:gridCol w:w="1769"/>
        <w:gridCol w:w="248"/>
        <w:gridCol w:w="877"/>
        <w:gridCol w:w="138"/>
        <w:gridCol w:w="138"/>
        <w:gridCol w:w="138"/>
        <w:gridCol w:w="138"/>
        <w:gridCol w:w="248"/>
        <w:gridCol w:w="877"/>
        <w:gridCol w:w="195"/>
      </w:tblGrid>
      <w:tr>
        <w:trPr/>
        <w:tc>
          <w:tcPr>
            <w:tcW w:w="2000"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millions)</w:t>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 net of discounts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on credit facilities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long-term debt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other long-term obligations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financing obligations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finance leases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options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(477.3)</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currency rate changes on cash, cash equivalents, and restricted cash</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cash equivalents, and restricted cash</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the beginning of the year</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the end of the period</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current assets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assets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 net of amounts capitalized</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related to income taxes, net</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activities:</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expenditures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pStyle w:val="TextBody"/>
        <w:bidi w:val="0"/>
        <w:spacing w:before="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PENN ENTERTAINMENT,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1—Organization and Basis of Presentation</w:t>
      </w:r>
    </w:p>
    <w:p>
      <w:pPr>
        <w:pStyle w:val="TextBody"/>
        <w:bidi w:val="0"/>
        <w:spacing w:lineRule="auto" w:line="288" w:before="0" w:after="200"/>
        <w:ind w:left="0" w:right="0" w:firstLine="360"/>
        <w:jc w:val="left"/>
        <w:rPr/>
      </w:pPr>
      <w:r>
        <w:rPr>
          <w:rFonts w:ascii="Times New Roman;sans-serif" w:hAnsi="Times New Roman;sans-serif"/>
          <w:b/>
          <w:i/>
          <w:color w:val="000000"/>
          <w:sz w:val="20"/>
        </w:rPr>
        <w:t>Organization</w:t>
      </w:r>
      <w:r>
        <w:rPr>
          <w:rFonts w:ascii="Times New Roman;sans-serif" w:hAnsi="Times New Roman;sans-serif"/>
          <w:b w:val="false"/>
          <w:color w:val="000000"/>
          <w:sz w:val="20"/>
        </w:rPr>
        <w:t>: PENN Entertainment, Inc., together with its subsidiaries (“PENN,” the “Company,” “we,” “our,” or “us”), is North America’s leading provider of integrated entertainment, sports content, and casino gaming experiences. As of June 30, 2023, PENN operated 43 properties in 20 states, online sports betting in 17 jurisdictions and iCasino in five jurisdictions, under a portfolio of well-recognized brands including Hollywood Casino®, L’Auberge®, Barstool Sportsbook® and theScore Bet Sportsbook and Casino®. In August 2023, PENN entered into a transformative, exclusive long-term strategic alliance with ESPN, Inc. and ESPN Enterprises, Inc. (together, “ESPN”) relating to online sports betting within the United States. In the fall of 2023, the existing Barstool Sportsbook will be rebranded across all online platforms in the United States as ESPN Bet, and our online product will include a Hollywood-branded integrated iCasino where permitted. PENN’s ability to leverage the leading sports media brands in the United States (ESPN) and Canada (theScore) will position us to significantly expand our digital footprint and efficiently grow our customer ecosystem. This highly differentiated strategy, which is focused on organic cross-sell opportunities, is reinforced by our investment in market-leading retail casinos, sports media assets and technology, including a proprietary state-of-the-art, fully integrated digital sports and iCasino betting platform and an in-house iCasino content studio. PENN’s portfolio is further bolstered by our industry-leading PENN Play</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customer loyalty program, which offers our approximately 27 million members a unique set of rewards and experiences across business channels.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The majority of the real estate assets (i.e., land and buildings) used in our operations are subject to triple net master leases; the most significant of which are the AR PENN Master Lease, 2023 Master Lease, PENN Master Lease (prior to January 1, 2023), and Pinnacle Master Lease (as such terms are defined in </w:t>
      </w:r>
      <w:hyperlink w:anchor="i7f5745e410cd4baaad4ca320a657bd0b_73">
        <w:r>
          <w:rPr>
            <w:rStyle w:val="InternetLink"/>
            <w:rFonts w:ascii="Times New Roman;sans-serif" w:hAnsi="Times New Roman;sans-serif"/>
            <w:b w:val="false"/>
            <w:color w:val="0000FF"/>
            <w:sz w:val="20"/>
            <w:u w:val="single"/>
          </w:rPr>
          <w:t>Note 9, “Leases”</w:t>
        </w:r>
      </w:hyperlink>
      <w:r>
        <w:rPr>
          <w:color w:val="000000"/>
        </w:rPr>
        <w:t xml:space="preserve"> </w:t>
      </w:r>
      <w:r>
        <w:rPr>
          <w:rFonts w:ascii="Times New Roman;sans-serif" w:hAnsi="Times New Roman;sans-serif"/>
          <w:b w:val="false"/>
          <w:color w:val="000000"/>
          <w:sz w:val="20"/>
        </w:rPr>
        <w:t>and collectively referred to as the “Master Leases”), with Gaming and Leisure Properties, Inc. (Nasdaq: GLPI) (“GLPI”), a real estate investment trust (“REIT”).</w:t>
      </w:r>
    </w:p>
    <w:p>
      <w:pPr>
        <w:pStyle w:val="TextBody"/>
        <w:bidi w:val="0"/>
        <w:spacing w:lineRule="auto" w:line="288" w:before="0" w:after="200"/>
        <w:ind w:left="0" w:right="0" w:firstLine="360"/>
        <w:jc w:val="left"/>
        <w:rPr/>
      </w:pPr>
      <w:r>
        <w:rPr>
          <w:rFonts w:ascii="Times New Roman;sans-serif" w:hAnsi="Times New Roman;sans-serif"/>
          <w:b/>
          <w:i/>
          <w:color w:val="000000"/>
          <w:sz w:val="20"/>
        </w:rPr>
        <w:t>Basis of Presentation:</w:t>
      </w:r>
      <w:r>
        <w:rPr>
          <w:color w:val="000000"/>
        </w:rPr>
        <w:t xml:space="preserve"> </w:t>
      </w:r>
      <w:r>
        <w:rPr>
          <w:rFonts w:ascii="Times New Roman;sans-serif" w:hAnsi="Times New Roman;sans-serif"/>
          <w:b w:val="false"/>
          <w:color w:val="000000"/>
          <w:sz w:val="20"/>
        </w:rPr>
        <w:t>The unaudited Consolidated Financial Statements of the Company have been prepared in accordance with generally accepted accounting principles in the United States (“GAAP”) for interim financial information and with the rules and regulations of the U.S. Securities and Exchange Commission (the “SEC”). Accordingly, they do not include all of the information and notes required by GAAP for complete consolidated financial statements. In the opinion of management, all adjustments (consisting of normal recurring accruals) considered necessary for a fair presentation have been included.</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Results of operations and cash flows for the interim periods presented herein are not necessarily indicative of the results that would be achieved during a full year of operations or in future periods. These unaudited Consolidated Financial Statements and notes thereto should be read in conjunction with the Consolidated Financial Statements and notes thereto included in the Company’s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2—Significant Accounting Policies</w:t>
      </w:r>
    </w:p>
    <w:p>
      <w:pPr>
        <w:pStyle w:val="TextBody"/>
        <w:bidi w:val="0"/>
        <w:spacing w:lineRule="auto" w:line="288" w:before="0" w:after="200"/>
        <w:ind w:left="0" w:right="0" w:firstLine="360"/>
        <w:jc w:val="left"/>
        <w:rPr/>
      </w:pPr>
      <w:r>
        <w:rPr>
          <w:rFonts w:ascii="Times New Roman;sans-serif" w:hAnsi="Times New Roman;sans-serif"/>
          <w:b/>
          <w:i/>
          <w:color w:val="000000"/>
          <w:sz w:val="20"/>
        </w:rPr>
        <w:t xml:space="preserve">Principles of Consolidation: </w:t>
      </w:r>
      <w:r>
        <w:rPr>
          <w:rFonts w:ascii="Times New Roman;sans-serif" w:hAnsi="Times New Roman;sans-serif"/>
          <w:b w:val="false"/>
          <w:color w:val="000000"/>
          <w:sz w:val="20"/>
        </w:rPr>
        <w:t>The unaudited Consolidated Financial Statements include the accounts of PENN Entertainment, Inc. and its subsidiaries. Investments in and advances to unconsolidated affiliates that do not meet the consolidation criteria of the authoritative guidance for voting interest entities (“VOEs”) or variable interest entities (“VIEs”) are accounted for under the equity method. All intercompany accounts and transactions have been eliminated in consolidation.</w:t>
      </w:r>
    </w:p>
    <w:p>
      <w:pPr>
        <w:pStyle w:val="TextBody"/>
        <w:bidi w:val="0"/>
        <w:spacing w:lineRule="auto" w:line="288" w:before="0" w:after="200"/>
        <w:ind w:left="0" w:right="0" w:firstLine="360"/>
        <w:jc w:val="left"/>
        <w:rPr/>
      </w:pPr>
      <w:r>
        <w:rPr>
          <w:rFonts w:ascii="Times New Roman;sans-serif" w:hAnsi="Times New Roman;sans-serif"/>
          <w:b/>
          <w:i/>
          <w:color w:val="000000"/>
          <w:sz w:val="20"/>
        </w:rPr>
        <w:t xml:space="preserve">Reclassifications: </w:t>
      </w:r>
      <w:r>
        <w:rPr>
          <w:rFonts w:ascii="Times New Roman;sans-serif" w:hAnsi="Times New Roman;sans-serif"/>
          <w:b w:val="false"/>
          <w:color w:val="000000"/>
          <w:sz w:val="20"/>
        </w:rPr>
        <w:t>Certain reclassifications have been made to conform the prior period presentation.</w:t>
      </w:r>
    </w:p>
    <w:p>
      <w:pPr>
        <w:pStyle w:val="TextBody"/>
        <w:bidi w:val="0"/>
        <w:spacing w:lineRule="auto" w:line="288" w:before="0" w:after="200"/>
        <w:ind w:left="0" w:right="0" w:firstLine="360"/>
        <w:jc w:val="left"/>
        <w:rPr/>
      </w:pPr>
      <w:r>
        <w:rPr>
          <w:rFonts w:ascii="Times New Roman;sans-serif" w:hAnsi="Times New Roman;sans-serif"/>
          <w:b/>
          <w:i/>
          <w:color w:val="000000"/>
          <w:sz w:val="20"/>
        </w:rPr>
        <w:t>Use of Estimates:</w:t>
      </w:r>
      <w:r>
        <w:rPr>
          <w:color w:val="000000"/>
        </w:rPr>
        <w:t xml:space="preserve"> </w:t>
      </w:r>
      <w:r>
        <w:rPr>
          <w:rFonts w:ascii="Times New Roman;sans-serif" w:hAnsi="Times New Roman;sans-serif"/>
          <w:b w:val="false"/>
          <w:color w:val="000000"/>
          <w:sz w:val="20"/>
        </w:rPr>
        <w:t>The preparation of unaudited Consolidated Financial Statements in conformity with GAAP requires management to make estimates and assumptions that affect (i) the reported amounts of assets and liabilities, (ii) the disclosure of contingent assets and liabilities at the date of the financial statements, and (iii) the reported amounts of revenues and expenses during the reporting period. Actual results may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ans-serif" w:hAnsi="Times New Roman;sans-serif"/>
          <w:b/>
          <w:i/>
          <w:color w:val="000000"/>
          <w:sz w:val="20"/>
        </w:rPr>
        <w:t xml:space="preserve">Segment Information: </w:t>
      </w:r>
      <w:r>
        <w:rPr>
          <w:rFonts w:ascii="Times New Roman;sans-serif" w:hAnsi="Times New Roman;sans-serif"/>
          <w:b w:val="false"/>
          <w:color w:val="000000"/>
          <w:sz w:val="20"/>
        </w:rPr>
        <w:t xml:space="preserve">We have five reportable segments: Northeast, South, West, Midwest, and Interactive. Our gaming and racing properties are grouped by geographic location, and each is viewed as an operating segment with the exception of our two properties in Jackpot, Nevada, which are viewed as one operating segment. We consider our combined Video Gaming Terminal (“VGT”) operations, by state, to be separate operating segments. Interactive includes all of our online sports betting, iCasino and social gaming operations, management of retail sports betting, media, and the operating results of Barstool Sports, Inc. (“Barstool”) (the remaining 64% of Barstool common stock, not already owned by PENN, was acquired on February 17, 2023) (see </w:t>
      </w:r>
      <w:hyperlink w:anchor="i7f5745e410cd4baaad4ca320a657bd0b_55">
        <w:r>
          <w:rPr>
            <w:rStyle w:val="InternetLink"/>
            <w:rFonts w:ascii="Times New Roman;sans-serif" w:hAnsi="Times New Roman;sans-serif"/>
            <w:b w:val="false"/>
            <w:color w:val="0000FF"/>
            <w:sz w:val="20"/>
            <w:u w:val="single"/>
          </w:rPr>
          <w:t>Note 6, “Acquisitions and Dispositions”</w:t>
        </w:r>
      </w:hyperlink>
      <w:r>
        <w:rPr>
          <w:color w:val="000000"/>
        </w:rPr>
        <w:t xml:space="preserve"> </w:t>
      </w:r>
      <w:r>
        <w:rPr>
          <w:rFonts w:ascii="Times New Roman;sans-serif" w:hAnsi="Times New Roman;sans-serif"/>
          <w:b w:val="false"/>
          <w:color w:val="000000"/>
          <w:sz w:val="20"/>
        </w:rPr>
        <w:t xml:space="preserve">for further information). See </w:t>
      </w:r>
      <w:hyperlink w:anchor="i7f5745e410cd4baaad4ca320a657bd0b_106">
        <w:r>
          <w:rPr>
            <w:rStyle w:val="InternetLink"/>
            <w:rFonts w:ascii="Times New Roman;sans-serif" w:hAnsi="Times New Roman;sans-serif"/>
            <w:b w:val="false"/>
            <w:color w:val="0000FF"/>
            <w:sz w:val="20"/>
            <w:u w:val="single"/>
          </w:rPr>
          <w:t>Note 16, “Segment Information”</w:t>
        </w:r>
      </w:hyperlink>
      <w:r>
        <w:rPr>
          <w:color w:val="000000"/>
        </w:rPr>
        <w:t xml:space="preserve"> </w:t>
      </w:r>
      <w:r>
        <w:rPr>
          <w:rFonts w:ascii="Times New Roman;sans-serif" w:hAnsi="Times New Roman;sans-serif"/>
          <w:b w:val="false"/>
          <w:color w:val="000000"/>
          <w:sz w:val="20"/>
        </w:rPr>
        <w:t xml:space="preserve">and </w:t>
      </w:r>
      <w:hyperlink w:anchor="i7f5745e410cd4baaad4ca320a657bd0b_73">
        <w:r>
          <w:rPr>
            <w:rStyle w:val="InternetLink"/>
            <w:rFonts w:ascii="Times New Roman;sans-serif" w:hAnsi="Times New Roman;sans-serif"/>
            <w:b w:val="false"/>
            <w:color w:val="0000FF"/>
            <w:sz w:val="20"/>
            <w:u w:val="single"/>
          </w:rPr>
          <w:t>Note 9, “Leases”</w:t>
        </w:r>
      </w:hyperlink>
      <w:r>
        <w:rPr>
          <w:color w:val="000000"/>
        </w:rPr>
        <w:t xml:space="preserve"> </w:t>
      </w:r>
      <w:r>
        <w:rPr>
          <w:rFonts w:ascii="Times New Roman;sans-serif" w:hAnsi="Times New Roman;sans-serif"/>
          <w:b w:val="false"/>
          <w:color w:val="000000"/>
          <w:sz w:val="20"/>
        </w:rPr>
        <w:t>for further segment and lease structure information, respectively. For financial reporting purposes, we aggregate our operating segments into the following reportable segments:</w:t>
      </w:r>
    </w:p>
    <w:tbl>
      <w:tblPr>
        <w:tblW w:w="9926" w:type="dxa"/>
        <w:jc w:val="left"/>
        <w:tblInd w:w="0" w:type="dxa"/>
        <w:tblLayout w:type="fixed"/>
        <w:tblCellMar>
          <w:top w:w="28" w:type="dxa"/>
          <w:left w:w="28" w:type="dxa"/>
          <w:bottom w:w="28" w:type="dxa"/>
          <w:right w:w="28" w:type="dxa"/>
        </w:tblCellMar>
      </w:tblPr>
      <w:tblGrid>
        <w:gridCol w:w="1383"/>
        <w:gridCol w:w="1215"/>
        <w:gridCol w:w="1227"/>
        <w:gridCol w:w="699"/>
        <w:gridCol w:w="699"/>
        <w:gridCol w:w="702"/>
        <w:gridCol w:w="109"/>
        <w:gridCol w:w="109"/>
        <w:gridCol w:w="109"/>
        <w:gridCol w:w="1073"/>
        <w:gridCol w:w="1073"/>
        <w:gridCol w:w="1528"/>
      </w:tblGrid>
      <w:tr>
        <w:trPr/>
        <w:tc>
          <w:tcPr>
            <w:tcW w:w="138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Assets Lease or Ownership Structure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Northeast segment</w:t>
            </w:r>
          </w:p>
        </w:tc>
        <w:tc>
          <w:tcPr>
            <w:tcW w:w="2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Ameristar East Chicago</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East Chicago, Indiana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Pinnacle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Bangor</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Bangor, Maine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 PENN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at Charles Town Races</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Charles Town, West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 PENN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Columbus</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Columbus, 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at Greektown</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Detroit, Michigan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Greektown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Lawrenceburg</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Lawrenceburg, 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 PENN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Morgantown</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Morgantown,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 xml:space="preserve">Morgantown Lease </w:t>
            </w:r>
            <w:r>
              <w:rPr>
                <w:rFonts w:ascii="Times New Roman;sans-serif" w:hAnsi="Times New Roman;sans-serif"/>
                <w:b w:val="false"/>
                <w:color w:val="000000"/>
                <w:sz w:val="10"/>
              </w:rPr>
              <w:t>(1)</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at PENN National Race Course</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Grantville,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 PENN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Perryville</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Perryville,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at The Meadows</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Washington,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Toledo</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Toledo, 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York</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York,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Operating Lease (not with REIT Landlord)</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Gaming at Dayton Raceway</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Dayton, 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 PENN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Gaming at Mahoning Valley Race Course</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Youngstown, 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 PENN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Marquee by PENN</w:t>
            </w:r>
            <w:r>
              <w:rPr>
                <w:color w:val="000000"/>
              </w:rPr>
              <w:t xml:space="preserve"> </w:t>
            </w:r>
            <w:r>
              <w:rPr>
                <w:rFonts w:ascii="Times New Roman;sans-serif" w:hAnsi="Times New Roman;sans-serif"/>
                <w:b w:val="false"/>
                <w:color w:val="000000"/>
                <w:sz w:val="10"/>
              </w:rPr>
              <w:t>(2)</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Plainridge Park Casino</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Plainville,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Pinnacle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i/>
                <w:color w:val="000000"/>
                <w:sz w:val="16"/>
              </w:rPr>
              <w:t>South segment</w:t>
            </w:r>
            <w:r>
              <w:rPr>
                <w:color w:val="000000"/>
              </w:rPr>
              <w:t xml:space="preserve"> </w:t>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1</w:t>
            </w:r>
            <w:r>
              <w:rPr>
                <w:rFonts w:ascii="Times New Roman;sans-serif" w:hAnsi="Times New Roman;sans-serif"/>
                <w:b w:val="false"/>
                <w:color w:val="000000"/>
                <w:sz w:val="10"/>
              </w:rPr>
              <w:t>st</w:t>
            </w:r>
            <w:r>
              <w:rPr>
                <w:color w:val="000000"/>
              </w:rPr>
              <w:t xml:space="preserve"> </w:t>
            </w:r>
            <w:r>
              <w:rPr>
                <w:rFonts w:ascii="Times New Roman;sans-serif" w:hAnsi="Times New Roman;sans-serif"/>
                <w:b w:val="false"/>
                <w:color w:val="000000"/>
                <w:sz w:val="16"/>
              </w:rPr>
              <w:t>Jackpot Casino</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Tunica,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 PENN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Ameristar Vicksburg</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Vicksburg, Mississippi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Pinnacle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Boomtown Biloxi</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Biloxi,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 PENN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Boomtown Bossier City</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Bossier City,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Pinnacle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Boomtown New Orleans</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New Orleans, 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Pinnacle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Gulf Coast</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Bay St. Louis, Mississippi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 PENN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Tunica</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Tunica, 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 PENN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L’Auberge Baton Rouge</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Baton Rouge,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Pinnacle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L’Auberge Lake Charles</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Lake Charles, 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Pinnacle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Margaritaville Resort Casino</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Bossier City,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Margaritaville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West segment</w:t>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Ameristar Black Hawk</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Black Hawk, 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Pinnacle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Cactus Petes and Horseshu</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Jackpot, Nevada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Pinnacle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 Resort Spa Casino</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Henderson, Nevada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Zia Park Casino</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Hobbs, New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 PENN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Midwest segment</w:t>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Ameristar Council Bluffs</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Council Bluffs, Iowa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Pinnacle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Argosy Casino Alton </w:t>
            </w:r>
            <w:r>
              <w:rPr>
                <w:rFonts w:ascii="Times New Roman;sans-serif" w:hAnsi="Times New Roman;sans-serif"/>
                <w:b w:val="false"/>
                <w:color w:val="000000"/>
                <w:sz w:val="10"/>
              </w:rPr>
              <w:t>(3)</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Alton,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 PENN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Argosy Casino Riverside</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Riverside,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 PENN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Aurora</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Aurora,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 Master Lease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Joliet</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Joliet, 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Hollywood Casino at Kansas Speedway </w:t>
            </w:r>
            <w:r>
              <w:rPr>
                <w:rFonts w:ascii="Times New Roman;sans-serif" w:hAnsi="Times New Roman;sans-serif"/>
                <w:b w:val="false"/>
                <w:color w:val="000000"/>
                <w:sz w:val="10"/>
              </w:rPr>
              <w:t>(4)</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Kansas City, Kansas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Owned - Joint Venture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Casino St. Louis</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Maryland Heights,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 PENN Master Lease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Prairie State Gaming</w:t>
            </w:r>
            <w:r>
              <w:rPr>
                <w:color w:val="000000"/>
              </w:rPr>
              <w:t xml:space="preserve"> </w:t>
            </w:r>
            <w:r>
              <w:rPr>
                <w:rFonts w:ascii="Times New Roman;sans-serif" w:hAnsi="Times New Roman;sans-serif"/>
                <w:b w:val="false"/>
                <w:color w:val="000000"/>
                <w:sz w:val="10"/>
              </w:rPr>
              <w:t>(2)</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River City Casino</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 Louis,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Pinnacle Master Lease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60"/>
        <w:ind w:left="0" w:right="0" w:hanging="360"/>
        <w:jc w:val="left"/>
        <w:rPr/>
      </w:pPr>
      <w:r>
        <w:rPr>
          <w:rFonts w:ascii="Times New Roman;sans-serif" w:hAnsi="Times New Roman;sans-serif"/>
          <w:b w:val="false"/>
          <w:color w:val="000000"/>
          <w:sz w:val="14"/>
        </w:rPr>
        <w:t>(1)</w:t>
      </w:r>
      <w:r>
        <w:rPr>
          <w:rFonts w:ascii="Times New Roman;sans-serif" w:hAnsi="Times New Roman;sans-serif"/>
          <w:b w:val="false"/>
          <w:color w:val="000000"/>
          <w:sz w:val="16"/>
        </w:rPr>
        <w:t>Upon termination of the Morgantown Lease, ownership of the constructed building and all tenant improvements will transfer from the Company to GLPI.</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(2)VGT route operations.</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(3)The riverboat is owned by us and not subject to the AR PENN Master Lease.</w:t>
      </w:r>
    </w:p>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(4)Pursuant to a joint venture with NASCAR and includes the Company’s 50% investment in Kansas Entertainment, LLC (“Kansas Entertainment”), which owns Hollywood Casino at Kansas Speedway.</w:t>
      </w:r>
    </w:p>
    <w:p>
      <w:pPr>
        <w:pStyle w:val="TextBody"/>
        <w:bidi w:val="0"/>
        <w:spacing w:lineRule="auto" w:line="288" w:before="0" w:after="200"/>
        <w:ind w:left="0" w:right="0" w:firstLine="360"/>
        <w:jc w:val="left"/>
        <w:rPr/>
      </w:pPr>
      <w:r>
        <w:rPr>
          <w:rFonts w:ascii="Times New Roman;sans-serif" w:hAnsi="Times New Roman;sans-serif"/>
          <w:b/>
          <w:i/>
          <w:color w:val="000000"/>
          <w:sz w:val="20"/>
        </w:rPr>
        <w:t xml:space="preserve">Revenue Recognition: </w:t>
      </w:r>
      <w:r>
        <w:rPr>
          <w:rFonts w:ascii="Times New Roman;sans-serif" w:hAnsi="Times New Roman;sans-serif"/>
          <w:b w:val="false"/>
          <w:color w:val="000000"/>
          <w:sz w:val="20"/>
        </w:rPr>
        <w:t xml:space="preserve">Our revenue from contracts with customers consists primarily of gaming wagers, inclusive of sports betting and iCasino products, food and beverage transactions, hotel room sales, media, retail transactions, racing wagers, and third-party revenue sharing agreements. See </w:t>
      </w:r>
      <w:hyperlink w:anchor="i7f5745e410cd4baaad4ca320a657bd0b_52">
        <w:r>
          <w:rPr>
            <w:rStyle w:val="InternetLink"/>
            <w:rFonts w:ascii="Times New Roman;sans-serif" w:hAnsi="Times New Roman;sans-serif"/>
            <w:b w:val="false"/>
            <w:color w:val="0000FF"/>
            <w:sz w:val="20"/>
            <w:u w:val="single"/>
          </w:rPr>
          <w:t>Note 5, “Revenue Disaggregation”</w:t>
        </w:r>
      </w:hyperlink>
      <w:r>
        <w:rPr>
          <w:color w:val="000000"/>
        </w:rPr>
        <w:t xml:space="preserve"> </w:t>
      </w:r>
      <w:r>
        <w:rPr>
          <w:rFonts w:ascii="Times New Roman;sans-serif" w:hAnsi="Times New Roman;sans-serif"/>
          <w:b w:val="false"/>
          <w:color w:val="000000"/>
          <w:sz w:val="20"/>
        </w:rPr>
        <w:t>for information on our revenue by type and geographic location.</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Complimentaries Associated with Gaming Contracts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Food, beverage, hotel, and other services furnished to patrons for free as an inducement to gamble or through the redemption of our customers’ loyalty points are recorded as “Food, beverage, hotel, and other” revenues at their estimated standalone selling prices, with an offset recorded as a reduction to “Gaming” revenues. The cost of providing complimentary goods and services to patrons as an inducement to gamble as well as for the fulfillment of our loyalty point obligation is included in “Food, beverage, hotel, and other” expenses. Revenues recorded to “Food, beverage, hotel, and other” and offset to “Gaming” revenues were as follows:</w:t>
      </w:r>
    </w:p>
    <w:tbl>
      <w:tblPr>
        <w:tblW w:w="10205" w:type="dxa"/>
        <w:jc w:val="left"/>
        <w:tblInd w:w="0" w:type="dxa"/>
        <w:tblLayout w:type="fixed"/>
        <w:tblCellMar>
          <w:top w:w="28" w:type="dxa"/>
          <w:left w:w="28" w:type="dxa"/>
          <w:bottom w:w="28" w:type="dxa"/>
          <w:right w:w="28" w:type="dxa"/>
        </w:tblCellMar>
      </w:tblPr>
      <w:tblGrid>
        <w:gridCol w:w="1494"/>
        <w:gridCol w:w="1313"/>
        <w:gridCol w:w="1280"/>
        <w:gridCol w:w="311"/>
        <w:gridCol w:w="754"/>
        <w:gridCol w:w="160"/>
        <w:gridCol w:w="160"/>
        <w:gridCol w:w="160"/>
        <w:gridCol w:w="160"/>
        <w:gridCol w:w="311"/>
        <w:gridCol w:w="754"/>
        <w:gridCol w:w="160"/>
        <w:gridCol w:w="109"/>
        <w:gridCol w:w="109"/>
        <w:gridCol w:w="109"/>
        <w:gridCol w:w="268"/>
        <w:gridCol w:w="784"/>
        <w:gridCol w:w="138"/>
        <w:gridCol w:w="138"/>
        <w:gridCol w:w="138"/>
        <w:gridCol w:w="138"/>
        <w:gridCol w:w="268"/>
        <w:gridCol w:w="784"/>
        <w:gridCol w:w="205"/>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4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2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Hotel</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complimentaries associated with gaming contracts</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Customer-related Liabilities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three general types of liabilities related to contracts with customers: (i) the obligation associated with its PENN Play program (loyalty points and tier status benefits), (ii) advance payments on goods and services yet to be provided and for unpaid wagers, and (iii) deferred revenue associated with third-party online sports betting and/or iCasino operators for online sports betting and iCasino market access.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Our PENN Play</w:t>
      </w:r>
      <w:r>
        <w:rPr>
          <w:color w:val="000000"/>
        </w:rPr>
        <w:t xml:space="preserve"> </w:t>
      </w:r>
      <w:r>
        <w:rPr>
          <w:rFonts w:ascii="Times New Roman;sans-serif" w:hAnsi="Times New Roman;sans-serif"/>
          <w:b w:val="false"/>
          <w:color w:val="000000"/>
          <w:sz w:val="20"/>
        </w:rPr>
        <w:t>program connects the Company’s brands under one loyalty program and allows members to earn loyalty points, or “PENN Cash”, redeemable for slot play and complimentaries, such as food and beverage at our restaurants, lodging at our hotels, the PENN Play</w:t>
      </w:r>
      <w:r>
        <w:rPr>
          <w:color w:val="000000"/>
        </w:rPr>
        <w:t xml:space="preserve"> </w:t>
      </w:r>
      <w:r>
        <w:rPr>
          <w:rFonts w:ascii="Times New Roman;sans-serif" w:hAnsi="Times New Roman;sans-serif"/>
          <w:b w:val="false"/>
          <w:color w:val="000000"/>
          <w:sz w:val="20"/>
        </w:rPr>
        <w:t>redemption marketplace that features popular retailers, and products offered at our retail stores across the vast majority of our properties. In addition, members of the PENN Play program earn credit toward tier status, which entitles them to receive certain other benefits, such as priority access, discounts, gifts, trips to PENN destinations, partner experiences, and PENN Cash. The obligation associated with our PENN Play program, which is included in “Accrued expenses and other current liabilities” within our unaudited Consolidated Balance Sheets, was $43.0 million and $39.3 million as of June 30, 2023 and December 31, 2022, respectively, and consisted principally of the obligation associated with the loyalty points. Our loyalty point obligations are generally settled within six months of issuance. Changes between the opening and closing balances primarily relate to the timing of our customers’ election to redeem loyalty points as well as the timing of when our customers receive their earned tier status benefits.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advance payments on goods and services yet to be provided and for unpaid wagers primarily consist of the following: (i) deposits on rooms and convention space, (ii) money deposited on behalf of a customer in advance of their property visit (referred to as “safekeeping” or “front money”), (iii) money deposited in an online wallet not yet wagered or wagered and not yet withdrawn, (iv) outstanding tickets generated by slot machine play, sports betting, or pari-mutuel wagering, (v) outstanding chip liabilities, (vi) unclaimed jackpots, and (vii) gift cards redeemable at our properties. Unpaid wagers generally represent obligations stemming from prior wagering events, of which revenue was previously recognized. The Company’s advance payments on goods and services yet to be provided and for unpaid wagers were $95.1 million and $125.8 million as of June 30, 2023 and December 31, 2022, respectively, and are included in “Accrued expenses and other current liabilities” within our unaudited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deferred revenue is primarily related to PENN Interactive, our wholly-owned interactive division, which enters into multi-year agreements with third-party online sports betting and/or iCasino operators for online sports betting and iCasino market access across our portfolio of properties. During the three and six months ended June 30, 2023, we recognized $1.0 million and $1.7 million of previously deferred revenue, respectively, as compared to $3.0 million and $3.7 million during the three and six months ended June 30, 2022, respectively. Deferred revenue primarily associated with third-party online sports betting and/or iCasino operators for online sports betting and iCasino market access, which is included in “Other long-term liabilities” within our unaudited Consolidated Balance Sheets, was $57.3 million and $46.5 million as of June 30, 2023 and December 31, 2022, respectively.</w:t>
      </w:r>
    </w:p>
    <w:p>
      <w:pPr>
        <w:pStyle w:val="TextBody"/>
        <w:bidi w:val="0"/>
        <w:spacing w:lineRule="auto" w:line="288" w:before="0" w:after="200"/>
        <w:ind w:left="0" w:right="0" w:firstLine="360"/>
        <w:jc w:val="left"/>
        <w:rPr/>
      </w:pPr>
      <w:r>
        <w:rPr>
          <w:rFonts w:ascii="Times New Roman;sans-serif" w:hAnsi="Times New Roman;sans-serif"/>
          <w:b/>
          <w:i/>
          <w:color w:val="000000"/>
          <w:sz w:val="20"/>
        </w:rPr>
        <w:t xml:space="preserve">Advertising: </w:t>
      </w:r>
      <w:r>
        <w:rPr>
          <w:rFonts w:ascii="Times New Roman;sans-serif" w:hAnsi="Times New Roman;sans-serif"/>
          <w:b w:val="false"/>
          <w:color w:val="000000"/>
          <w:sz w:val="20"/>
        </w:rPr>
        <w:t>The Company expenses advertising costs the first time the advertising takes place or as incurred. Advertising expenses, which generally relate to media placement costs and are primarily included in “Gaming” expenses within the unaudited Consolidated Statements of Operations, were $20.8 million and $44.4 million for the three and six months ended June 30, 2023, respectively, as compared to $18.5 million and $42.6 million for the three and six months ended June 30, 2022, respectively.</w:t>
      </w:r>
    </w:p>
    <w:p>
      <w:pPr>
        <w:pStyle w:val="TextBody"/>
        <w:bidi w:val="0"/>
        <w:spacing w:lineRule="auto" w:line="288" w:before="0" w:after="200"/>
        <w:ind w:left="0" w:right="0" w:firstLine="360"/>
        <w:jc w:val="left"/>
        <w:rPr/>
      </w:pPr>
      <w:r>
        <w:rPr>
          <w:rFonts w:ascii="Times New Roman;sans-serif" w:hAnsi="Times New Roman;sans-serif"/>
          <w:b/>
          <w:i/>
          <w:color w:val="000000"/>
          <w:sz w:val="20"/>
        </w:rPr>
        <w:t xml:space="preserve">Gaming and Pari-mutuel Taxes: </w:t>
      </w:r>
      <w:r>
        <w:rPr>
          <w:rFonts w:ascii="Times New Roman;sans-serif" w:hAnsi="Times New Roman;sans-serif"/>
          <w:b w:val="false"/>
          <w:color w:val="000000"/>
          <w:sz w:val="20"/>
        </w:rPr>
        <w:t>We are subject to gaming and pari-mutuel taxes based on gross gaming revenue and pari-mutuel revenue in the jurisdictions in which we operate, as well as taxes on revenues derived from arrangements which allow for third-party online sports betting and/or iCasino partners to operate online sportsbooks and iCasinos under our gaming licenses. The Company primarily recognizes gaming and pari-mutuel tax expense based on the statutorily required percentage of revenue that is required to be paid to state, provincial and/or local jurisdictions in the states and provinces where or in which the wagering occurs. Also, included in gaming and pari-mutuel taxes are costs to support the operations of local regulatory authorities which some jurisdictions require us to pay. Gaming and pari-mutuel taxes are recorded in “Gaming” expenses or “Food, beverage, hotel, and other” expenses within the unaudited Consolidated Statements of Operations, and were $560.5 million and $1.1 billion for the three and six months ended June 30, 2023, respectively, as compared to $486.8 million and $959.0 million for the three and six months ended June 30, 2022, respectively.</w:t>
      </w:r>
    </w:p>
    <w:p>
      <w:pPr>
        <w:pStyle w:val="TextBody"/>
        <w:bidi w:val="0"/>
        <w:spacing w:lineRule="auto" w:line="288" w:before="0" w:after="200"/>
        <w:ind w:left="0" w:right="0" w:firstLine="360"/>
        <w:jc w:val="left"/>
        <w:rPr/>
      </w:pPr>
      <w:r>
        <w:rPr>
          <w:rFonts w:ascii="Times New Roman;sans-serif" w:hAnsi="Times New Roman;sans-serif"/>
          <w:b/>
          <w:i/>
          <w:color w:val="000000"/>
          <w:sz w:val="20"/>
        </w:rPr>
        <w:t xml:space="preserve">Inventory, net: </w:t>
      </w:r>
      <w:r>
        <w:rPr>
          <w:rFonts w:ascii="Times New Roman;sans-serif" w:hAnsi="Times New Roman;sans-serif"/>
          <w:b w:val="false"/>
          <w:color w:val="000000"/>
          <w:sz w:val="20"/>
        </w:rPr>
        <w:t>Inventory is accounted for using the average cost or first-in or first-out (“FIFO”) method. Inventory accounted for under the average cost and FIFO methods are stated at the lower of cost or net realizable value. Inventory balances substantially consist of finished goods and were $26.4 million and $5.0 million as of June 30, 2023 and December 31, 2022, respectively.</w:t>
      </w:r>
    </w:p>
    <w:p>
      <w:pPr>
        <w:pStyle w:val="TextBody"/>
        <w:bidi w:val="0"/>
        <w:spacing w:lineRule="auto" w:line="288" w:before="0" w:after="200"/>
        <w:ind w:left="0" w:right="0" w:firstLine="360"/>
        <w:jc w:val="left"/>
        <w:rPr/>
      </w:pPr>
      <w:r>
        <w:rPr>
          <w:rFonts w:ascii="Times New Roman;sans-serif" w:hAnsi="Times New Roman;sans-serif"/>
          <w:b/>
          <w:i/>
          <w:color w:val="000000"/>
          <w:sz w:val="20"/>
        </w:rPr>
        <w:t>Foreign Currency Translation:</w:t>
      </w:r>
      <w:r>
        <w:rPr>
          <w:color w:val="000000"/>
        </w:rPr>
        <w:t xml:space="preserve"> </w:t>
      </w:r>
      <w:r>
        <w:rPr>
          <w:rFonts w:ascii="Times New Roman;sans-serif" w:hAnsi="Times New Roman;sans-serif"/>
          <w:b w:val="false"/>
          <w:color w:val="000000"/>
          <w:sz w:val="20"/>
        </w:rPr>
        <w:t>The functional currency of the Company’s foreign subsidiaries is the local currency in which the subsidiary operates. Balance sheet accounts are translated at the exchange rate in effect at each balance sheet date. Translation adjustments resulting from this process are recorded to other comprehensive income or loss. Revenues and expenses are translated at the average exchange rates during the year. Gains or losses resulting from foreign currency transactions are included in “Other” within our unaudited Consolidated Statements of Operations.</w:t>
      </w:r>
    </w:p>
    <w:p>
      <w:pPr>
        <w:pStyle w:val="TextBody"/>
        <w:bidi w:val="0"/>
        <w:spacing w:lineRule="auto" w:line="288" w:before="0" w:after="200"/>
        <w:ind w:left="0" w:right="0" w:firstLine="360"/>
        <w:jc w:val="left"/>
        <w:rPr/>
      </w:pPr>
      <w:r>
        <w:rPr>
          <w:rFonts w:ascii="Times New Roman;sans-serif" w:hAnsi="Times New Roman;sans-serif"/>
          <w:b/>
          <w:i/>
          <w:color w:val="000000"/>
          <w:sz w:val="20"/>
        </w:rPr>
        <w:t>Comprehensive Income (Loss) and Accumulated Other Comprehensive Loss:</w:t>
      </w:r>
      <w:r>
        <w:rPr>
          <w:color w:val="000000"/>
        </w:rPr>
        <w:t xml:space="preserve"> </w:t>
      </w:r>
      <w:r>
        <w:rPr>
          <w:rFonts w:ascii="Times New Roman;sans-serif" w:hAnsi="Times New Roman;sans-serif"/>
          <w:b w:val="false"/>
          <w:color w:val="000000"/>
          <w:sz w:val="20"/>
        </w:rPr>
        <w:t>Comprehensive income (loss) includes net income and all other non-stockholder changes in equity, or other comprehensive income (loss). The balance of accumulated other comprehensive loss consists solely of foreign currency translation adjustments.</w:t>
      </w:r>
    </w:p>
    <w:p>
      <w:pPr>
        <w:pStyle w:val="TextBody"/>
        <w:bidi w:val="0"/>
        <w:spacing w:lineRule="auto" w:line="288" w:before="0" w:after="200"/>
        <w:ind w:left="0" w:right="0" w:firstLine="360"/>
        <w:jc w:val="left"/>
        <w:rPr/>
      </w:pPr>
      <w:r>
        <w:rPr>
          <w:rFonts w:ascii="Times New Roman;sans-serif" w:hAnsi="Times New Roman;sans-serif"/>
          <w:b/>
          <w:i/>
          <w:color w:val="000000"/>
          <w:sz w:val="20"/>
        </w:rPr>
        <w:t xml:space="preserve">Earnings Per Share: </w:t>
      </w:r>
      <w:r>
        <w:rPr>
          <w:rFonts w:ascii="Times New Roman;sans-serif" w:hAnsi="Times New Roman;sans-serif"/>
          <w:b w:val="false"/>
          <w:color w:val="000000"/>
          <w:sz w:val="20"/>
        </w:rPr>
        <w:t>Basic earnings per share (“EPS”) is computed by dividing net income applicable to common stock by the weighted-average number of common shares outstanding during the period. Diluted EPS reflects the additional dilution, if any, for all potentially-dilutive securities such as stock options, unvested restricted stock awards (“RSAs”) and restricted stock units (“RSUs”) (collectively with RSAs, “restricted stock”), outstanding convertible preferred stock and convertible debt.</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Holders of the Company’s Series D Preferred Stock (as defined in </w:t>
      </w:r>
      <w:hyperlink w:anchor="i7f5745e410cd4baaad4ca320a657bd0b_91">
        <w:r>
          <w:rPr>
            <w:rStyle w:val="InternetLink"/>
            <w:rFonts w:ascii="Times New Roman;sans-serif" w:hAnsi="Times New Roman;sans-serif"/>
            <w:b w:val="false"/>
            <w:color w:val="0000FF"/>
            <w:sz w:val="20"/>
            <w:u w:val="single"/>
          </w:rPr>
          <w:t>Note 13, “Stockholders' Equity and Stock-based Compensation”</w:t>
        </w:r>
      </w:hyperlink>
      <w:r>
        <w:rPr>
          <w:rFonts w:ascii="Times New Roman;sans-serif" w:hAnsi="Times New Roman;sans-serif"/>
          <w:b w:val="false"/>
          <w:color w:val="000000"/>
          <w:sz w:val="20"/>
        </w:rPr>
        <w:t xml:space="preserve">) are entitled to participate equally and ratably in all dividends and distributions paid to holders of PENN common stock irrespective of any vesting requirement. Accordingly, the Series D Preferred Stock shares are considered a participating security and the Company is required to apply the two-class method to consider the impact of the preferred shares on the calculation of basic and diluted EPS. The holders of the Company’s Series D Preferred Stock are not obligated to absorb losses; therefore, in reporting periods where the Company is in a net loss position, it does not apply the two-class method. In reporting periods where the Company is in a net income position, the two-class method is applied by allocating all earnings during the period to common shares and preferred shares. See </w:t>
      </w:r>
      <w:hyperlink w:anchor="i7f5745e410cd4baaad4ca320a657bd0b_97">
        <w:r>
          <w:rPr>
            <w:rStyle w:val="InternetLink"/>
            <w:rFonts w:ascii="Times New Roman;sans-serif" w:hAnsi="Times New Roman;sans-serif"/>
            <w:b w:val="false"/>
            <w:color w:val="0000FF"/>
            <w:sz w:val="20"/>
            <w:u w:val="single"/>
          </w:rPr>
          <w:t>Note 14, “Earnings per Share”</w:t>
        </w:r>
      </w:hyperlink>
      <w:r>
        <w:rPr>
          <w:color w:val="000000"/>
        </w:rPr>
        <w:t xml:space="preserve"> </w:t>
      </w:r>
      <w:r>
        <w:rPr>
          <w:rFonts w:ascii="Times New Roman;sans-serif" w:hAnsi="Times New Roman;sans-serif"/>
          <w:b w:val="false"/>
          <w:color w:val="000000"/>
          <w:sz w:val="20"/>
        </w:rPr>
        <w:t>for more information.</w:t>
      </w:r>
    </w:p>
    <w:p>
      <w:pPr>
        <w:pStyle w:val="TextBody"/>
        <w:bidi w:val="0"/>
        <w:spacing w:lineRule="auto" w:line="288" w:before="0" w:after="200"/>
        <w:ind w:left="0" w:right="0" w:firstLine="360"/>
        <w:jc w:val="left"/>
        <w:rPr/>
      </w:pPr>
      <w:r>
        <w:rPr>
          <w:rFonts w:ascii="Times New Roman;sans-serif" w:hAnsi="Times New Roman;sans-serif"/>
          <w:b/>
          <w:i/>
          <w:color w:val="000000"/>
          <w:sz w:val="20"/>
        </w:rPr>
        <w:t xml:space="preserve">Voting Interest Entities and Variable Interest Entities: </w:t>
      </w:r>
      <w:r>
        <w:rPr>
          <w:rFonts w:ascii="Times New Roman;sans-serif" w:hAnsi="Times New Roman;sans-serif"/>
          <w:b w:val="false"/>
          <w:color w:val="000000"/>
          <w:sz w:val="20"/>
        </w:rPr>
        <w:t xml:space="preserve">The Company consolidates all subsidiaries or other entities in which it has a controlling financial interest. The consolidation guidance requires an analysis to determine if an entity should be evaluated for consolidation using the VOE model or the VIE model. Under the VOE model, controlling financial interest is generally defined as a majority ownership of voting rights. Under the VIE model, controlling financial interest is defined as (i) the power to direct activities that most significantly impact the economic performance of the entity and (ii) the obligation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pPr>
      <w:r>
        <w:rPr>
          <w:rFonts w:ascii="Times New Roman;sans-serif" w:hAnsi="Times New Roman;sans-serif"/>
          <w:b w:val="false"/>
          <w:color w:val="000000"/>
          <w:sz w:val="20"/>
        </w:rPr>
        <w:t xml:space="preserve">absorb losses of or the right to receive benefits from the entity that could potentially be significant to the entity. For those entities that qualify as a VIE, the primary beneficiary is generally defined as the party who has a controlling financial interest in the VIE. The Company consolidates the financial position and results of operations of every VOE in which it has a controlling financial interest and VIEs in which it is considered to be the primary beneficiary. See </w:t>
      </w:r>
      <w:hyperlink w:anchor="i7f5745e410cd4baaad4ca320a657bd0b_79">
        <w:r>
          <w:rPr>
            <w:rStyle w:val="InternetLink"/>
            <w:rFonts w:ascii="Times New Roman;sans-serif" w:hAnsi="Times New Roman;sans-serif"/>
            <w:b w:val="false"/>
            <w:color w:val="0000FF"/>
            <w:sz w:val="20"/>
            <w:u w:val="single"/>
          </w:rPr>
          <w:t>Note 10, “Investments in and Advances to Unconsolidated Affiliates.”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3—New Accounting Pronouncements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2022, the Financial Accounting Standard Board (the “FASB”) issued ASU 2022-03, “Fair Value Measurement (Topic 820): Fair Value Measurement of Equity Securities Subject to Contractual Sale Restrictions” (“ASU 2022-03”). ASU 2022-03 clarifies the guidance on the fair value measurement of an equity security that is subject to a contractual sale restriction and requires specific disclosures related to such an equity security. Specifically, ASU 2022-03 clarifies that a “contractual sale restriction prohibiting the sale of an equity security is a characteristic of the reporting entity holding the equity security” and is not included in the equity security’s unit of account. Accordingly, the Company is no longer permitted to apply a discount related to the contractual sale restriction, or lack of marketability, when measuring the equity security’s fair value. In addition, ASU 2022-03 prohibits an entity from recognizing a contractual sale restriction as a separate unit of account. ASU 2022-03 will be effective for fiscal years beginning after December 15, 2023, including interim periods within those fiscal years. Early adoption is permitted. We are currently evaluating the impact of the adoption of ASU 2022-03 on our unaudited Consolidated Financial Statements.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the FASB issued ASU 2023-02, “Investments—Equity Method and Joint Ventures (Topic 323): Accounting for Investments in Tax Credit Structures Using the Proportional Amortization Method (a consensus of the Emerging Issues Task Force)” (“ASU 2023-02”). ASU 2023-02 introduced the option to apply the proportional amortization method to account for investments made primarily for the purpose of receiving income tax credits and other income tax benefits when certain requirements are met. In addition, ASU 2023-02 limited the proportional amortization method to investments in low-income-housing tax credit structures. ASU 2023-02 will be effective for fiscal years beginning after December 15, 2023, including interim periods within those fiscal years. Early adoption is permitted. We evaluated the impact of the adoption of ASU 2023-02 on our unaudited Consolidated Financial Statements and determined that it is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4—Hurricane Laura</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27, 2020, Hurricane Laura made landfall in Lake Charles, Louisiana, which caused significant damage to our L’Auberge Lake Charles property, which closed for approximately two weeks. The Company maintains insurance, subject to certain deductibles and coinsurance, that covers business interruption, including lost profits, and covers the repair or replacement of assets that suffered losses.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 receivable relating to our estimate of repairs and maintenance costs which have been incurred and property and equipment which have been written off, and for which we deem the recovery of such costs and property and equipment from our insurers to be probable. The insurance recovery receivable was included in “Accounts Receivable, net” within the unaudited Consolidated Balance Sheets. As we deemed it probable that the proceeds to be recovered from our insurers would exceed the total of our insurance recovery recorded and our insurers’ deductible and coinsurance, we did not record any loss associated with the impact of this natural disaster. Timing differences exist between the recognition of (i) impairment losses and capital expenditures made to repair or restore the assets and (ii) the receipt of insurance proceeds within the unaudited Consolidated Financial Statements.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received additional insurance claim proceeds totaling $13.6 million, which resulted in a gain of $13.6 million. During the six months ended June 30, 2022, we received proceeds of $37.5 million, which resulted in a gain of $8.8 million. The gains are included in “General and administrative expenses” within our unaudited Consolidated Statements of Operations. Additionally, we did not have a receivable balance as of December 31, 2022.</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to June 30, 2023, the Company received insurance payments totaling $13.9 million. As of August 8, 2023, the insurance claim remains open, and we expect to receive additional future proceeds.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record proceeds in excess of the recognized losses and lost profits under our business interruption insurance as a gain contingency in accordance with ASC Topic 450, “Contingencies,” which we expect to recognize at the time of final settlement or when nonrefundable cash advances are made in a period subsequent to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financial impact of Hurricane Laura related matters:</w:t>
      </w:r>
    </w:p>
    <w:tbl>
      <w:tblPr>
        <w:tblW w:w="8231" w:type="dxa"/>
        <w:jc w:val="left"/>
        <w:tblInd w:w="0" w:type="dxa"/>
        <w:tblLayout w:type="fixed"/>
        <w:tblCellMar>
          <w:top w:w="28" w:type="dxa"/>
          <w:left w:w="28" w:type="dxa"/>
          <w:bottom w:w="28" w:type="dxa"/>
          <w:right w:w="28" w:type="dxa"/>
        </w:tblCellMar>
      </w:tblPr>
      <w:tblGrid>
        <w:gridCol w:w="1761"/>
        <w:gridCol w:w="1547"/>
        <w:gridCol w:w="1552"/>
        <w:gridCol w:w="287"/>
        <w:gridCol w:w="839"/>
        <w:gridCol w:w="148"/>
        <w:gridCol w:w="109"/>
        <w:gridCol w:w="109"/>
        <w:gridCol w:w="109"/>
        <w:gridCol w:w="426"/>
        <w:gridCol w:w="1031"/>
        <w:gridCol w:w="313"/>
      </w:tblGrid>
      <w:tr>
        <w:trPr/>
        <w:tc>
          <w:tcPr>
            <w:tcW w:w="176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Life to date through</w:t>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 proceeds received through the end of the period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Deductible</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Coinsurance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Clean-up, restoration, and other costs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 write-off</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write-off</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5—Revenue Disaggregation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revenues are generated principally by providing the following types of services: (i) gaming, inclusive of retail sports betting, iCasino, and online sports betting; (ii) food and beverage; (iii) hotel; (iv) advertising; (v) retail; and (vi) other. Other revenues are principally comprised of PENN Interactive’s revenue from third-party online sports betting and/or iCasino operators and the related gross-up for taxes, racing operations, and commissions received on ATM transactions. Our revenue is disaggregated by type of revenue and geographic location of the related properties, which is consistent with our reportable segments, as follows:</w:t>
      </w:r>
    </w:p>
    <w:tbl>
      <w:tblPr>
        <w:tblW w:w="10513" w:type="dxa"/>
        <w:jc w:val="left"/>
        <w:tblInd w:w="0" w:type="dxa"/>
        <w:tblLayout w:type="fixed"/>
        <w:tblCellMar>
          <w:top w:w="28" w:type="dxa"/>
          <w:left w:w="28" w:type="dxa"/>
          <w:bottom w:w="28" w:type="dxa"/>
          <w:right w:w="28" w:type="dxa"/>
        </w:tblCellMar>
      </w:tblPr>
      <w:tblGrid>
        <w:gridCol w:w="458"/>
        <w:gridCol w:w="287"/>
        <w:gridCol w:w="216"/>
        <w:gridCol w:w="198"/>
        <w:gridCol w:w="562"/>
        <w:gridCol w:w="111"/>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1"/>
        <w:gridCol w:w="601"/>
        <w:gridCol w:w="119"/>
        <w:gridCol w:w="109"/>
        <w:gridCol w:w="109"/>
        <w:gridCol w:w="109"/>
        <w:gridCol w:w="196"/>
        <w:gridCol w:w="406"/>
        <w:gridCol w:w="109"/>
        <w:gridCol w:w="109"/>
        <w:gridCol w:w="109"/>
        <w:gridCol w:w="109"/>
        <w:gridCol w:w="310"/>
        <w:gridCol w:w="642"/>
        <w:gridCol w:w="174"/>
        <w:gridCol w:w="109"/>
        <w:gridCol w:w="109"/>
        <w:gridCol w:w="109"/>
        <w:gridCol w:w="196"/>
        <w:gridCol w:w="691"/>
        <w:gridCol w:w="154"/>
      </w:tblGrid>
      <w:tr>
        <w:trPr/>
        <w:tc>
          <w:tcPr>
            <w:tcW w:w="45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June 30, 2023</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Interactive </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Intersegment Eliminations </w:t>
            </w:r>
            <w:r>
              <w:rPr>
                <w:rFonts w:ascii="Times New Roman;sans-serif" w:hAnsi="Times New Roman;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Advertising</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Retail</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513" w:type="dxa"/>
        <w:jc w:val="left"/>
        <w:tblInd w:w="0" w:type="dxa"/>
        <w:tblLayout w:type="fixed"/>
        <w:tblCellMar>
          <w:top w:w="28" w:type="dxa"/>
          <w:left w:w="28" w:type="dxa"/>
          <w:bottom w:w="28" w:type="dxa"/>
          <w:right w:w="28" w:type="dxa"/>
        </w:tblCellMar>
      </w:tblPr>
      <w:tblGrid>
        <w:gridCol w:w="458"/>
        <w:gridCol w:w="287"/>
        <w:gridCol w:w="216"/>
        <w:gridCol w:w="198"/>
        <w:gridCol w:w="562"/>
        <w:gridCol w:w="111"/>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1"/>
        <w:gridCol w:w="601"/>
        <w:gridCol w:w="119"/>
        <w:gridCol w:w="109"/>
        <w:gridCol w:w="109"/>
        <w:gridCol w:w="109"/>
        <w:gridCol w:w="196"/>
        <w:gridCol w:w="406"/>
        <w:gridCol w:w="109"/>
        <w:gridCol w:w="109"/>
        <w:gridCol w:w="109"/>
        <w:gridCol w:w="109"/>
        <w:gridCol w:w="310"/>
        <w:gridCol w:w="642"/>
        <w:gridCol w:w="174"/>
        <w:gridCol w:w="109"/>
        <w:gridCol w:w="109"/>
        <w:gridCol w:w="109"/>
        <w:gridCol w:w="196"/>
        <w:gridCol w:w="691"/>
        <w:gridCol w:w="154"/>
      </w:tblGrid>
      <w:tr>
        <w:trPr/>
        <w:tc>
          <w:tcPr>
            <w:tcW w:w="45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June 30, 2022</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Interactive </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Intersegment Eliminations </w:t>
            </w:r>
            <w:r>
              <w:rPr>
                <w:rFonts w:ascii="Times New Roman;sans-serif" w:hAnsi="Times New Roman;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Advertising</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Retail</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tbl>
      <w:tblPr>
        <w:tblW w:w="10698" w:type="dxa"/>
        <w:jc w:val="left"/>
        <w:tblInd w:w="0" w:type="dxa"/>
        <w:tblLayout w:type="fixed"/>
        <w:tblCellMar>
          <w:top w:w="28" w:type="dxa"/>
          <w:left w:w="28" w:type="dxa"/>
          <w:bottom w:w="28" w:type="dxa"/>
          <w:right w:w="28" w:type="dxa"/>
        </w:tblCellMar>
      </w:tblPr>
      <w:tblGrid>
        <w:gridCol w:w="458"/>
        <w:gridCol w:w="287"/>
        <w:gridCol w:w="216"/>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1"/>
        <w:gridCol w:w="601"/>
        <w:gridCol w:w="119"/>
        <w:gridCol w:w="109"/>
        <w:gridCol w:w="109"/>
        <w:gridCol w:w="109"/>
        <w:gridCol w:w="196"/>
        <w:gridCol w:w="466"/>
        <w:gridCol w:w="109"/>
        <w:gridCol w:w="109"/>
        <w:gridCol w:w="109"/>
        <w:gridCol w:w="109"/>
        <w:gridCol w:w="280"/>
        <w:gridCol w:w="689"/>
        <w:gridCol w:w="157"/>
        <w:gridCol w:w="109"/>
        <w:gridCol w:w="109"/>
        <w:gridCol w:w="109"/>
        <w:gridCol w:w="196"/>
        <w:gridCol w:w="691"/>
        <w:gridCol w:w="154"/>
      </w:tblGrid>
      <w:tr>
        <w:trPr/>
        <w:tc>
          <w:tcPr>
            <w:tcW w:w="45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 June 30, 2023</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Interactive </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Intersegment Eliminations </w:t>
            </w:r>
            <w:r>
              <w:rPr>
                <w:rFonts w:ascii="Times New Roman;sans-serif" w:hAnsi="Times New Roman;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Advertising</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698" w:type="dxa"/>
        <w:jc w:val="left"/>
        <w:tblInd w:w="0" w:type="dxa"/>
        <w:tblLayout w:type="fixed"/>
        <w:tblCellMar>
          <w:top w:w="28" w:type="dxa"/>
          <w:left w:w="28" w:type="dxa"/>
          <w:bottom w:w="28" w:type="dxa"/>
          <w:right w:w="28" w:type="dxa"/>
        </w:tblCellMar>
      </w:tblPr>
      <w:tblGrid>
        <w:gridCol w:w="458"/>
        <w:gridCol w:w="287"/>
        <w:gridCol w:w="216"/>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1"/>
        <w:gridCol w:w="601"/>
        <w:gridCol w:w="119"/>
        <w:gridCol w:w="109"/>
        <w:gridCol w:w="109"/>
        <w:gridCol w:w="109"/>
        <w:gridCol w:w="196"/>
        <w:gridCol w:w="466"/>
        <w:gridCol w:w="109"/>
        <w:gridCol w:w="109"/>
        <w:gridCol w:w="109"/>
        <w:gridCol w:w="109"/>
        <w:gridCol w:w="280"/>
        <w:gridCol w:w="689"/>
        <w:gridCol w:w="157"/>
        <w:gridCol w:w="109"/>
        <w:gridCol w:w="109"/>
        <w:gridCol w:w="109"/>
        <w:gridCol w:w="196"/>
        <w:gridCol w:w="691"/>
        <w:gridCol w:w="154"/>
      </w:tblGrid>
      <w:tr>
        <w:trPr/>
        <w:tc>
          <w:tcPr>
            <w:tcW w:w="45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 June 30, 2022</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Northeast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South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Interactive </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Intersegment Eliminations </w:t>
            </w:r>
            <w:r>
              <w:rPr>
                <w:rFonts w:ascii="Times New Roman;sans-serif" w:hAnsi="Times New Roman;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Advertising</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Other revenues within the Interactive segment are inclusive of gaming tax reimbursement amounts related to third-party online sports betting and/or iCasino partners for online sports betting and iCasino market access of $88.5 million and $180.8 million for the three and six months ended June 30, 2023, respectively, as compared to $55.4 million and $105.7 million for the three and six months ended June 30, 2022, respectively. </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    Primarily represents the elimination of intersegment revenues associated with our retail sportsbooks, which are operated by PENN Interactive.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6—Acquisitions and Dispositions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Barstool</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On February 17, 2023, we acquired the remaining 64% of the outstanding shares of Barstool common stock not already owned by us for a consideration of approximately $405.5 million, which is inclusive of cash and common stock issuance, repayment of Barstool indebtedness of $23.8 million, transaction expenses and other purchase price adjustments in accordance with GAAP (the “Barstool Acquisition”). Prior to the acquisition, we held a 36% ownership interest, which was accounted for under the equity method. At the closing of the Barstool Acquisition, we obtained 100% of the Barstool common stock, and determined the fair value of Barstool to be $660.0 million based on market participant assumptions, as discussed below. Upon the completion of the Barstool Acquisition, Barstool became an indirect wholly owned subsidiary of PENN. We issued 2,442,809 shares of our common stock to certain former stockholders of Barstool for the Barstool Acquisition (see </w:t>
      </w:r>
      <w:hyperlink w:anchor="i7f5745e410cd4baaad4ca320a657bd0b_91">
        <w:r>
          <w:rPr>
            <w:rStyle w:val="InternetLink"/>
            <w:rFonts w:ascii="Times New Roman;sans-serif" w:hAnsi="Times New Roman;sans-serif"/>
            <w:b w:val="false"/>
            <w:color w:val="0000FF"/>
            <w:sz w:val="20"/>
            <w:u w:val="single"/>
          </w:rPr>
          <w:t>Note 13, “Stockholders’ Equity and Stock-Based Compensation”</w:t>
        </w:r>
      </w:hyperlink>
      <w:r>
        <w:rPr>
          <w:color w:val="000000"/>
        </w:rPr>
        <w:t xml:space="preserve"> </w:t>
      </w:r>
      <w:r>
        <w:rPr>
          <w:rFonts w:ascii="Times New Roman;sans-serif" w:hAnsi="Times New Roman;sans-serif"/>
          <w:b w:val="false"/>
          <w:color w:val="000000"/>
          <w:sz w:val="20"/>
        </w:rPr>
        <w:t>for further information) and utilized $315.3 million of cash to complete the Barstool Acquisition, inclusive of transaction expenses and repayment of Barstool indebtedness.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held 36% of the outstanding shares of Barstool common stock prior to the Barstool Acquisition and, as such, the acquisition date estimated fair value of this previously held investment was a component of the purchase consideration. Based on the acquisition date fair value of Barstool of $660.0 million and the carrying amount of this investment of $171.1 million, the Company recorded a gain of $66.5 million related to remeasurement of the equity investment immediately prior to the acquisition date, which is included in “Gain on Barstool Acquisition, net” within our unaudited Consolidated Statements of Operations. The Company also recorded a gain of $16.9 million related to the acquisition of the remaining 64% of Barstool common stock, which is included in “Gain on Barstool Acquisition, net” within our unaudited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preliminary allocation of the purchase price to the tangible and identifiable intangible assets acquired and liabilities assumed, with the excess recorded as goodwill at the February 17, 2023 acquisition date.</w:t>
      </w:r>
    </w:p>
    <w:tbl>
      <w:tblPr>
        <w:tblW w:w="7199" w:type="dxa"/>
        <w:jc w:val="left"/>
        <w:tblInd w:w="0" w:type="dxa"/>
        <w:tblLayout w:type="fixed"/>
        <w:tblCellMar>
          <w:top w:w="28" w:type="dxa"/>
          <w:left w:w="28" w:type="dxa"/>
          <w:bottom w:w="28" w:type="dxa"/>
          <w:right w:w="28" w:type="dxa"/>
        </w:tblCellMar>
      </w:tblPr>
      <w:tblGrid>
        <w:gridCol w:w="1929"/>
        <w:gridCol w:w="1690"/>
        <w:gridCol w:w="1706"/>
        <w:gridCol w:w="402"/>
        <w:gridCol w:w="1176"/>
        <w:gridCol w:w="296"/>
      </w:tblGrid>
      <w:tr>
        <w:trPr/>
        <w:tc>
          <w:tcPr>
            <w:tcW w:w="1929"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(in millions)</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right-of-use assets</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Barstool tradename</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relationships</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tradenames and brands</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current liabilities</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the income, or cost approach for the valuation, as appropriate, and used valuation inputs in these models and analyses that were based on market participant assumptions. Market participants are considered to be buyers and sellers unrelated to the Company in the principal or most advantageous market for the asset or liability.</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Acquired identifiable intangible assets consisted of the Barstool tradename, advertising relationships, other tradenames and brands, and customer relationships. The Barstool tradename was determined to be an indefinite-lived intangible asset. All other intangible assets were determined to be definite-lived with assigned useful lives primarily ranging from 2-5 years.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Goodwill, none of which was deductible for tax purposes, is approximately 35.1% of the net assets acquired and was allocated to the Company’s Interactive segment. Goodwill was primarily attributable to synergies and cross selling opportunities to Barstool’s existing customer base.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valuation approaches were utilized to determine the fair value of each intangible asset at the February 17, 2023 acquisition date:</w:t>
      </w:r>
    </w:p>
    <w:tbl>
      <w:tblPr>
        <w:tblW w:w="7062" w:type="dxa"/>
        <w:jc w:val="left"/>
        <w:tblInd w:w="0" w:type="dxa"/>
        <w:tblLayout w:type="fixed"/>
        <w:tblCellMar>
          <w:top w:w="28" w:type="dxa"/>
          <w:left w:w="28" w:type="dxa"/>
          <w:bottom w:w="28" w:type="dxa"/>
          <w:right w:w="28" w:type="dxa"/>
        </w:tblCellMar>
      </w:tblPr>
      <w:tblGrid>
        <w:gridCol w:w="892"/>
        <w:gridCol w:w="782"/>
        <w:gridCol w:w="786"/>
        <w:gridCol w:w="109"/>
        <w:gridCol w:w="109"/>
        <w:gridCol w:w="109"/>
        <w:gridCol w:w="1250"/>
        <w:gridCol w:w="1250"/>
        <w:gridCol w:w="1775"/>
      </w:tblGrid>
      <w:tr>
        <w:trPr/>
        <w:tc>
          <w:tcPr>
            <w:tcW w:w="8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Valuation Approach</w:t>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Barstool tradename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Relief-from-royalty (variation of income approach)</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With-and-without (variation of income approach)</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tradenames and 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Relief-from-royalty (variation of income approach)</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Replacement cost</w:t>
            </w:r>
          </w:p>
        </w:tc>
      </w:tr>
    </w:tbl>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Barstool’s revenue and net loss are included in our results for the period beginning February 17, 2023 through June 30, 2023. Barstool’s revenue and net loss for the three months ended June 30, 2023, included in the unaudited Consolidated Statements of Operations, were $52.7 million and $12.8 million, respectively. Barstool’s revenue and net loss for the six months ended June 30, 2023, included in the unaudited Consolidated Statements of Operations, were $80.9 million and $16.1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On August 8, 2023, PENN entered into a Sportsbook Agreement (the “Sportsbook Agreement”) with ESPN, which provides for a long-term strategic relationship between PENN and ESPN relating to online sports betting in the United States. Pursuant to the Sportsbook Agreement, PENN will rebrand its existing Barstool Sportsbook across all online platforms in the United States as ESPN Bet (the “Sportsbook”) and will oversee daily operations of the Sportsbook. See </w:t>
      </w:r>
      <w:hyperlink w:anchor="i7f5745e410cd4baaad4ca320a657bd0b_109">
        <w:r>
          <w:rPr>
            <w:rStyle w:val="InternetLink"/>
            <w:rFonts w:ascii="Times New Roman;sans-serif" w:hAnsi="Times New Roman;sans-serif"/>
            <w:b w:val="false"/>
            <w:color w:val="0000FF"/>
            <w:sz w:val="20"/>
            <w:u w:val="single"/>
          </w:rPr>
          <w:t>Note 17, “Subsequent Events”</w:t>
        </w:r>
      </w:hyperlink>
      <w:r>
        <w:rPr>
          <w:color w:val="000000"/>
        </w:rPr>
        <w:t xml:space="preserve"> </w:t>
      </w:r>
      <w:r>
        <w:rPr>
          <w:rFonts w:ascii="Times New Roman;sans-serif" w:hAnsi="Times New Roman;sans-serif"/>
          <w:b w:val="false"/>
          <w:color w:val="000000"/>
          <w:sz w:val="20"/>
        </w:rPr>
        <w:t>for more information related to the Sportsbook Agreement.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PENN’s decision to rebrand our online sports betting business from Barstool Sportsbook to ESPN Bet pursuant to the Sportsbook Agreement as discussed above, PENN entered into a stock purchase agreement with David Portnoy (the “Barstool SPA”) on August 8, 2023. Pursuant to the Barstool SPA, PENN sold 100% of the outstanding shares of Barstool to David Portnoy in exchange for a nominal cash consideration ($1.00 dollar) and certain non-compete and other restrictive covenants. Pursuant to the Barstool SPA, PENN has the right to receive 50% of the gross proceeds received by David Portnoy in any subsequent sale or other monetization event of Barstool. </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On August 8, 2023, the Company’s Board of Directors approved the sale to David Portnoy and we classified the assets and liabilities to be disposed in connection with the Barstool SPA as held-for-sale which are measured at the lower of (i) the carrying value when we classified the disposal group as held-for-sale and (ii) the fair value of the disposal group, less costs to sell. The classification of the Barstool business as held-for-sale was considered an event or change in circumstance which requires an assessment of the goodwill and intangible assets of the disposal group for impairment each reporting period until disposal. We are currently quantifying the impact of the Barstool SPA to our unaudited Consolidated Financial Statements, however we expect the carrying value of the net assets held-for-sale to be greater than their fair value, less costs to sell, which is expected to result in a material non-cash loss and the corresponding reversal of the net deferred tax liability of approximately $115.9 million that will have a significant impact to income taxes. See </w:t>
      </w:r>
      <w:hyperlink w:anchor="i7f5745e410cd4baaad4ca320a657bd0b_85">
        <w:r>
          <w:rPr>
            <w:rStyle w:val="InternetLink"/>
            <w:rFonts w:ascii="Times New Roman;sans-serif" w:hAnsi="Times New Roman;sans-serif"/>
            <w:b w:val="false"/>
            <w:color w:val="0000FF"/>
            <w:sz w:val="20"/>
            <w:u w:val="single"/>
          </w:rPr>
          <w:t>Note 11, “Income Taxes.”</w:t>
        </w:r>
      </w:hyperlink>
      <w:r>
        <w:rPr>
          <w:color w:val="000000"/>
        </w:rPr>
        <w:t xml:space="preserve"> </w:t>
      </w:r>
      <w:r>
        <w:rPr>
          <w:rFonts w:ascii="Times New Roman;sans-serif" w:hAnsi="Times New Roman;sans-serif"/>
          <w:b w:val="false"/>
          <w:color w:val="000000"/>
          <w:sz w:val="20"/>
        </w:rPr>
        <w:t xml:space="preserve">The pre-tax non-cash loss on disposal is estimated to be between $800.0 million and $850.0 million (inclusive of $705.0 million to $720.0 million in goodwill and intangible assets write offs) to be incurred in the third quarter of 2023. These material adjustments will be reflected in our September 30, 2023 unaudited Consolidated Statements of Operations and unaudited Consolidated Balance Sheets. </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Pursuant to the Barstool SPA, PENN will indemnify Barstool and its subsidiaries and David Portnoy for certain tax matters. We are unable to assess the potential financial impact to the Company of this indemnification. As a result, we cannot estimate the potential amount of future payments under this indemnity. To the extent that a claim is made under this indemnity and/or becomes probable and reasonably estimable, liabilities associated with this indemnity will be recorded and included in the Company’s commitments and contingencies disclosure in </w:t>
      </w:r>
      <w:hyperlink w:anchor="i7f5745e410cd4baaad4ca320a657bd0b_88">
        <w:r>
          <w:rPr>
            <w:rStyle w:val="InternetLink"/>
            <w:rFonts w:ascii="Times New Roman;sans-serif" w:hAnsi="Times New Roman;sans-serif"/>
            <w:b w:val="false"/>
            <w:color w:val="000080"/>
            <w:sz w:val="20"/>
            <w:u w:val="single"/>
          </w:rPr>
          <w:t xml:space="preserve">Note </w:t>
        </w:r>
      </w:hyperlink>
      <w:hyperlink w:anchor="i7f5745e410cd4baaad4ca320a657bd0b_88">
        <w:r>
          <w:rPr>
            <w:rStyle w:val="InternetLink"/>
            <w:rFonts w:ascii="Times New Roman;sans-serif" w:hAnsi="Times New Roman;sans-serif"/>
            <w:b w:val="false"/>
            <w:color w:val="000080"/>
            <w:sz w:val="20"/>
            <w:u w:val="single"/>
          </w:rPr>
          <w:t>12</w:t>
        </w:r>
      </w:hyperlink>
      <w:hyperlink w:anchor="i7f5745e410cd4baaad4ca320a657bd0b_88">
        <w:r>
          <w:rPr>
            <w:rStyle w:val="InternetLink"/>
            <w:rFonts w:ascii="Times New Roman;sans-serif" w:hAnsi="Times New Roman;sans-serif"/>
            <w:b w:val="false"/>
            <w:color w:val="000080"/>
            <w:sz w:val="20"/>
            <w:u w:val="single"/>
          </w:rPr>
          <w:t xml:space="preserve"> </w:t>
        </w:r>
      </w:hyperlink>
      <w:hyperlink w:anchor="i7f5745e410cd4baaad4ca320a657bd0b_88">
        <w:r>
          <w:rPr>
            <w:rStyle w:val="InternetLink"/>
            <w:rFonts w:ascii="Times New Roman;sans-serif" w:hAnsi="Times New Roman;sans-serif"/>
            <w:b w:val="false"/>
            <w:color w:val="000080"/>
            <w:sz w:val="20"/>
            <w:u w:val="single"/>
          </w:rPr>
          <w:t>“</w:t>
        </w:r>
      </w:hyperlink>
      <w:hyperlink w:anchor="i7f5745e410cd4baaad4ca320a657bd0b_88">
        <w:r>
          <w:rPr>
            <w:rStyle w:val="InternetLink"/>
            <w:rFonts w:ascii="Times New Roman;sans-serif" w:hAnsi="Times New Roman;sans-serif"/>
            <w:b w:val="false"/>
            <w:color w:val="000080"/>
            <w:sz w:val="20"/>
            <w:u w:val="single"/>
          </w:rPr>
          <w:t>Commitments and Contingencies</w:t>
        </w:r>
      </w:hyperlink>
      <w:hyperlink w:anchor="i7f5745e410cd4baaad4ca320a657bd0b_88">
        <w:r>
          <w:rPr>
            <w:rStyle w:val="InternetLink"/>
            <w:rFonts w:ascii="Times New Roman;sans-serif" w:hAnsi="Times New Roman;sans-serif"/>
            <w:b w:val="false"/>
            <w:color w:val="000080"/>
            <w:sz w:val="20"/>
            <w:u w:val="single"/>
          </w:rPr>
          <w:t>.</w:t>
        </w:r>
      </w:hyperlink>
      <w:hyperlink w:anchor="i7f5745e410cd4baaad4ca320a657bd0b_88">
        <w:r>
          <w:rPr>
            <w:rStyle w:val="InternetLink"/>
            <w:rFonts w:ascii="Times New Roman;sans-serif" w:hAnsi="Times New Roman;sans-serif"/>
            <w:b w:val="false"/>
            <w:color w:val="000080"/>
            <w:sz w:val="20"/>
            <w:u w:val="single"/>
          </w:rPr>
          <w:t>”</w:t>
        </w:r>
      </w:hyperlink>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Unaudited Pro Forma Financial Information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unaudited pro forma consolidated financial information assuming our acquisition of Barstool had occurred as of January 1, 2022. The pro forma amounts include the historical operating results of PENN and Barstool prior to our acquisition. The pro forma financial information does not necessarily represent the results that may occur in the future. For the three months ended June 30, 2023 and 2022, pro forma adjustments directly attributable to the acquisition include acquisition and transaction related costs of $1.0 million, as compared to $2.3 million for the six months ended June 30, 2023 and 2022, incurred by both PENN and Barstool. Pro forma adjustments also included a $83.4 million gain on the Barstool Acquisition for the six months ended June 30, 2023 and 2022. Additionally, for the six months ended June 30, 2023 pro forma adjustments included a gain of $3.1 million, as compared to a gain of $1.5 million and $5.6 million for the three and six months ended June 30, 2022, respectively, related to remeasurement and settlement of Barstool put/call options.</w:t>
      </w:r>
    </w:p>
    <w:tbl>
      <w:tblPr>
        <w:tblW w:w="7563" w:type="dxa"/>
        <w:jc w:val="left"/>
        <w:tblInd w:w="0" w:type="dxa"/>
        <w:tblLayout w:type="fixed"/>
        <w:tblCellMar>
          <w:top w:w="28" w:type="dxa"/>
          <w:left w:w="28" w:type="dxa"/>
          <w:bottom w:w="28" w:type="dxa"/>
          <w:right w:w="28" w:type="dxa"/>
        </w:tblCellMar>
      </w:tblPr>
      <w:tblGrid>
        <w:gridCol w:w="397"/>
        <w:gridCol w:w="348"/>
        <w:gridCol w:w="349"/>
        <w:gridCol w:w="266"/>
        <w:gridCol w:w="965"/>
        <w:gridCol w:w="137"/>
        <w:gridCol w:w="137"/>
        <w:gridCol w:w="137"/>
        <w:gridCol w:w="137"/>
        <w:gridCol w:w="266"/>
        <w:gridCol w:w="965"/>
        <w:gridCol w:w="137"/>
        <w:gridCol w:w="109"/>
        <w:gridCol w:w="109"/>
        <w:gridCol w:w="109"/>
        <w:gridCol w:w="248"/>
        <w:gridCol w:w="903"/>
        <w:gridCol w:w="128"/>
        <w:gridCol w:w="128"/>
        <w:gridCol w:w="128"/>
        <w:gridCol w:w="128"/>
        <w:gridCol w:w="248"/>
        <w:gridCol w:w="903"/>
        <w:gridCol w:w="181"/>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7—Goodwill and Other Intangible Assets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goodwill and accumulated goodwill impairment losses, by reportable segment, is as follows:</w:t>
      </w:r>
    </w:p>
    <w:tbl>
      <w:tblPr>
        <w:tblW w:w="10205" w:type="dxa"/>
        <w:jc w:val="left"/>
        <w:tblInd w:w="0" w:type="dxa"/>
        <w:tblLayout w:type="fixed"/>
        <w:tblCellMar>
          <w:top w:w="28" w:type="dxa"/>
          <w:left w:w="28" w:type="dxa"/>
          <w:bottom w:w="28" w:type="dxa"/>
          <w:right w:w="28" w:type="dxa"/>
        </w:tblCellMar>
      </w:tblPr>
      <w:tblGrid>
        <w:gridCol w:w="607"/>
        <w:gridCol w:w="344"/>
        <w:gridCol w:w="34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511"/>
        <w:gridCol w:w="109"/>
        <w:gridCol w:w="109"/>
        <w:gridCol w:w="109"/>
        <w:gridCol w:w="109"/>
        <w:gridCol w:w="211"/>
        <w:gridCol w:w="766"/>
        <w:gridCol w:w="156"/>
      </w:tblGrid>
      <w:tr>
        <w:trPr/>
        <w:tc>
          <w:tcPr>
            <w:tcW w:w="60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Northeast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South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Interactive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gross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goodwill impairment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during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2023</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gross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goodwill impairment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impairment charges recorded to goodwill during the three and six months ended June 30, 2023 and 2022. </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In August 2023, in connection with the Barstool SPA, we expect to record an estimated pre-tax non-cash loss on disposal of $800.0 million to $850.0 million, inclusive of an estimated goodwill write off in the range of $225.0 million to $235.0 million in our Interactive segment. See </w:t>
      </w:r>
      <w:hyperlink w:anchor="i7f5745e410cd4baaad4ca320a657bd0b_55">
        <w:r>
          <w:rPr>
            <w:rStyle w:val="InternetLink"/>
            <w:rFonts w:ascii="Times New Roman;sans-serif" w:hAnsi="Times New Roman;sans-serif"/>
            <w:b w:val="false"/>
            <w:color w:val="000080"/>
            <w:sz w:val="20"/>
            <w:u w:val="single"/>
          </w:rPr>
          <w:t>Note 6, “Acquisitions and Dispositions</w:t>
        </w:r>
      </w:hyperlink>
      <w:hyperlink w:anchor="i7f5745e410cd4baaad4ca320a657bd0b_55">
        <w:r>
          <w:rPr>
            <w:rStyle w:val="InternetLink"/>
            <w:rFonts w:ascii="Times New Roman;sans-serif" w:hAnsi="Times New Roman;sans-serif"/>
            <w:b w:val="false"/>
            <w:color w:val="000080"/>
            <w:sz w:val="20"/>
            <w:u w:val="single"/>
          </w:rPr>
          <w:t>.</w:t>
        </w:r>
      </w:hyperlink>
      <w:hyperlink w:anchor="i7f5745e410cd4baaad4ca320a657bd0b_55">
        <w:r>
          <w:rPr>
            <w:rStyle w:val="InternetLink"/>
            <w:rFonts w:ascii="Times New Roman;sans-serif" w:hAnsi="Times New Roman;sans-serif"/>
            <w:b w:val="false"/>
            <w:color w:val="000080"/>
            <w:sz w:val="20"/>
            <w:u w:val="single"/>
          </w:rPr>
          <w:t>”</w:t>
        </w:r>
      </w:hyperlink>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gross carrying amount, accumulated amortization, and net carrying amount of each major class of other intangible assets:</w:t>
      </w:r>
    </w:p>
    <w:tbl>
      <w:tblPr>
        <w:tblW w:w="10205" w:type="dxa"/>
        <w:jc w:val="left"/>
        <w:tblInd w:w="0" w:type="dxa"/>
        <w:tblLayout w:type="fixed"/>
        <w:tblCellMar>
          <w:top w:w="28" w:type="dxa"/>
          <w:left w:w="28" w:type="dxa"/>
          <w:bottom w:w="28" w:type="dxa"/>
          <w:right w:w="28" w:type="dxa"/>
        </w:tblCellMar>
      </w:tblPr>
      <w:tblGrid>
        <w:gridCol w:w="524"/>
        <w:gridCol w:w="460"/>
        <w:gridCol w:w="465"/>
        <w:gridCol w:w="219"/>
        <w:gridCol w:w="795"/>
        <w:gridCol w:w="113"/>
        <w:gridCol w:w="109"/>
        <w:gridCol w:w="109"/>
        <w:gridCol w:w="109"/>
        <w:gridCol w:w="285"/>
        <w:gridCol w:w="855"/>
        <w:gridCol w:w="149"/>
        <w:gridCol w:w="109"/>
        <w:gridCol w:w="109"/>
        <w:gridCol w:w="109"/>
        <w:gridCol w:w="217"/>
        <w:gridCol w:w="789"/>
        <w:gridCol w:w="112"/>
        <w:gridCol w:w="109"/>
        <w:gridCol w:w="109"/>
        <w:gridCol w:w="109"/>
        <w:gridCol w:w="219"/>
        <w:gridCol w:w="795"/>
        <w:gridCol w:w="113"/>
        <w:gridCol w:w="109"/>
        <w:gridCol w:w="109"/>
        <w:gridCol w:w="109"/>
        <w:gridCol w:w="285"/>
        <w:gridCol w:w="855"/>
        <w:gridCol w:w="149"/>
        <w:gridCol w:w="109"/>
        <w:gridCol w:w="109"/>
        <w:gridCol w:w="109"/>
        <w:gridCol w:w="217"/>
        <w:gridCol w:w="788"/>
        <w:gridCol w:w="166"/>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licenses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intangible assets, net</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impairment charges recorded to other intangible assets, net during the three and six months ended June 30, 2023 and 2022. </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In August 2023, in connection with the Barstool SPA, we expect to record an estimated pre-tax non-cash loss on disposal of $800.0 million to $850.0 million, inclusive of estimated trademarks and other intangible assets write offs in the range of $480.0 million to $485.0 million in our Interactive segment. See </w:t>
      </w:r>
      <w:hyperlink w:anchor="i7f5745e410cd4baaad4ca320a657bd0b_55">
        <w:r>
          <w:rPr>
            <w:rStyle w:val="InternetLink"/>
            <w:rFonts w:ascii="Times New Roman;sans-serif" w:hAnsi="Times New Roman;sans-serif"/>
            <w:b w:val="false"/>
            <w:color w:val="0000FF"/>
            <w:sz w:val="20"/>
            <w:u w:val="single"/>
          </w:rPr>
          <w:t>Note 6, “Acquisitions and Dispositions.”</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related to our amortizing intangible assets was $17.9 million and $31.9 million for the three and six months ended June 30, 2023, respectively, as compared to $14.9 million and $29.9 million for the three and six months ended June 30, 2022, respectively. The following table presents the estimated amortization expense based on our amortizing intangible assets as of June 30, 2023 (in millions): </w:t>
      </w:r>
    </w:p>
    <w:tbl>
      <w:tblPr>
        <w:tblW w:w="5465" w:type="dxa"/>
        <w:jc w:val="left"/>
        <w:tblInd w:w="0" w:type="dxa"/>
        <w:tblLayout w:type="fixed"/>
        <w:tblCellMar>
          <w:top w:w="28" w:type="dxa"/>
          <w:left w:w="28" w:type="dxa"/>
          <w:bottom w:w="28" w:type="dxa"/>
          <w:right w:w="28" w:type="dxa"/>
        </w:tblCellMar>
      </w:tblPr>
      <w:tblGrid>
        <w:gridCol w:w="1623"/>
        <w:gridCol w:w="1426"/>
        <w:gridCol w:w="1435"/>
        <w:gridCol w:w="211"/>
        <w:gridCol w:w="616"/>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(excluding the six months ended June 30,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8—Long-term Debt</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long-term debt, net of current maturities, debt discounts and issuance costs:</w:t>
      </w:r>
    </w:p>
    <w:tbl>
      <w:tblPr>
        <w:tblW w:w="6571" w:type="dxa"/>
        <w:jc w:val="left"/>
        <w:tblInd w:w="0" w:type="dxa"/>
        <w:tblLayout w:type="fixed"/>
        <w:tblCellMar>
          <w:top w:w="28" w:type="dxa"/>
          <w:left w:w="28" w:type="dxa"/>
          <w:bottom w:w="28" w:type="dxa"/>
          <w:right w:w="28" w:type="dxa"/>
        </w:tblCellMar>
      </w:tblPr>
      <w:tblGrid>
        <w:gridCol w:w="1398"/>
        <w:gridCol w:w="1226"/>
        <w:gridCol w:w="1230"/>
        <w:gridCol w:w="211"/>
        <w:gridCol w:w="766"/>
        <w:gridCol w:w="109"/>
        <w:gridCol w:w="109"/>
        <w:gridCol w:w="109"/>
        <w:gridCol w:w="109"/>
        <w:gridCol w:w="243"/>
        <w:gridCol w:w="884"/>
        <w:gridCol w:w="177"/>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Revolving Credit Facility due 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Term Loan A Facility due 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Term Loan B Facility due 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5.625% Notes due 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4.125% Notes due 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2.75% Convertible Notes due 2026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 of 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discounts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schedule of future minimum repayments of long-term debt as of June 30, 2023 (in millions):</w:t>
      </w:r>
    </w:p>
    <w:tbl>
      <w:tblPr>
        <w:tblW w:w="5615" w:type="dxa"/>
        <w:jc w:val="left"/>
        <w:tblInd w:w="0" w:type="dxa"/>
        <w:tblLayout w:type="fixed"/>
        <w:tblCellMar>
          <w:top w:w="28" w:type="dxa"/>
          <w:left w:w="28" w:type="dxa"/>
          <w:bottom w:w="28" w:type="dxa"/>
          <w:right w:w="28" w:type="dxa"/>
        </w:tblCellMar>
      </w:tblPr>
      <w:tblGrid>
        <w:gridCol w:w="1622"/>
        <w:gridCol w:w="1426"/>
        <w:gridCol w:w="1436"/>
        <w:gridCol w:w="211"/>
        <w:gridCol w:w="766"/>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(excluding the six months ended June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200"/>
        <w:jc w:val="left"/>
        <w:rPr>
          <w:rFonts w:ascii="Times New Roman;sans-serif" w:hAnsi="Times New Roman;sans-serif"/>
          <w:b/>
          <w:i/>
          <w:color w:val="000000"/>
          <w:sz w:val="20"/>
        </w:rPr>
      </w:pPr>
      <w:r>
        <w:rPr>
          <w:rFonts w:ascii="Times New Roman;sans-serif" w:hAnsi="Times New Roman;sans-serif"/>
          <w:b/>
          <w:i/>
          <w:color w:val="000000"/>
          <w:sz w:val="20"/>
        </w:rPr>
        <w:t>Senior Secured Credit Facilities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2017, the Company entered into an agreement to amend and restate its previous credit agreement, dated October 30, 2013, as amended (the “Credit Agreement”), which provided for: (i) a five-year $700 million revolving credit facility (the “Revolving Facility”); (ii) a five-year $300 million Term Loan A facility (the “Term Loan A Facility”); and (iii) a seven-year $500 million Term Loan B facility (the “Term Loan B Facility” and collectively with the Revolving Facility and the Term Loan A Facility, the “Senior Secured Credit Facilities”).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15, 2018, in connection with the acquisition of Pinnacle Entertainment, Inc. (“Pinnacle”), the Company entered into an incremental joinder agreement (the “Incremental Joinder”), which amended the Credit Agreement (the “Amended Credit Agreement”). The Incremental Joinder provided for an additional $430.2 million of incremental loans having the same terms as the existing Term Loan A Facility, with the exception of extending the maturity date, and an additional $1.1 billion of loans as a new tranche having new terms (the “Term Loan B-1 Facility”). With the exception of extending the maturity date, the Incremental Joinder did not impact the Revolving Facility.</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3, 2022, the Company entered into a Second Amended and Restated Credit Agreement with its various lenders (the “Second Amended and Restated Credit Agreement”). The Second Amended and Restated Credit Agreement provides for a $1.0 billion revolving credit facility, undrawn at close, (the “Amended Revolving Credit Facility”), a five-year $550.0 million term loan A facility (the “Amended Term Loan A Facility”) and a seven-year $1.0 billion term loan B facility (the “Amended Term Loan B Facility”) (together, the “Amended Credit Facilities”). The proceeds from the Amended Credit Facilities were used to repay the existing Term Loan A Facility and Term Loan B-1 Facility balances.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rates per annum applicable to loans under the Amended Credit Facilities are, at the Company’s option, equal to either an adjusted secured overnight financing rate (“Term SOFR”) or a base rate, plus an applicable margin. The applicable margin for each of the Amended Revolving Credit Facility and the Amended Term Loan A Facility was initially 1.75% for Term SOFR loans and 0.75% for base rate loans until the Company provided financial reports for the first full fiscal quarter following closing and, thereafter, ranges from 2.25% to 1.50% per annum for Term SOFR loans and 1.25% to 0.50% per annum for base rate loans, in each case depending on the Company’s total net leverage ratio (as defined within the Second Amended and Restated Credit Agreement). The applicable margin for the Amended Term Loan B Facility is 2.75% per annum for Term SOFR loans and 1.75% per annum for base rate loans. The Amended Term Loan B Facility is subject to a Term SOFR “floor” of 0.50% per annum and a base rate “floor” of 1.50% per annum. In addition, the Company pays a commitment fee on the unused portion of the commitments under the Amended Revolving Credit Facility at a rate that was initially 0.25% per annum, until the Company provided financial reports for the first full fiscal quarter following closing, and thereafter, ranges from 0.35% to 0.20% per annum, depending on the Company’s total net leverage ratio.</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The Amended Credit Facilities contain customary covenants that, among other things, restrict, subject to certain exceptions, the ability of the Company and certain of its subsidiaries to grant liens on their assets, incur indebtedness, sell assets, make investments, engage in acquisitions, mergers or consolidations, pay dividends and make other restricted payments and prepay certain indebtedness that is subordinated in right of payment to the obligations under the Amended Credit Facilities. The Amended Credit Facilities contain two financial covenants: a maximum total net leverage ratio (as defined within the Second Amended and Restated Credit Agreement) of 4.50 to 1.00, which is subject to a step up to 5.00 to 1.00 in the case of certain significant acquisitions, and a minimum interest coverage ratio (as defined within the Second Amended and Restated Credit Agreement) of 2.00 to 1.00. The Amended Credit Facilities also contain certain customary affirmative covenants and events of default, including the occurrence of a change of control (as defined in the documents governing the Second Amended and Restated Credit Agreement), termination and certain defaults under the Master Leases (which are defined in </w:t>
      </w:r>
      <w:hyperlink w:anchor="i7f5745e410cd4baaad4ca320a657bd0b_73">
        <w:r>
          <w:rPr>
            <w:rStyle w:val="InternetLink"/>
            <w:rFonts w:ascii="Times New Roman;sans-serif" w:hAnsi="Times New Roman;sans-serif"/>
            <w:b w:val="false"/>
            <w:color w:val="0000FF"/>
            <w:sz w:val="20"/>
            <w:u w:val="single"/>
          </w:rPr>
          <w:t>Note 9, “Leases”</w:t>
        </w:r>
      </w:hyperlink>
      <w:r>
        <w:rPr>
          <w:rFonts w:ascii="Times New Roman;sans-serif" w:hAnsi="Times New Roman;sans-serif"/>
          <w:b w:val="false"/>
          <w:color w:val="000000"/>
          <w:sz w:val="20"/>
        </w:rPr>
        <w: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repayment of the previous Senior Secured Credit Facilities, the Company recorded a $10.4 million loss on the early extinguishment of debt for the three and six months ended June 30, 2022. Additionally, we recorded $1.3 million in refinancing costs, which is included in “General and administrative” within our Consolidated Statements of Operations. In addition, we recorded $5.0 million of original issue discount related to the Amended Term Loan B Facility which will be amortized to interest expense over the life of the Amended Term Loan B Facility.</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had conditional obligations under letters of credit issued pursuant to the Amended Credit Facilities with face amounts aggregating to $23.4 million and $22.5 million, respectively, resulting in $976.6 million and $977.5 million of available borrowing capacity under the Amended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pPr>
      <w:r>
        <w:rPr>
          <w:rFonts w:ascii="Times New Roman;sans-serif" w:hAnsi="Times New Roman;sans-serif"/>
          <w:b/>
          <w:i/>
          <w:color w:val="000000"/>
          <w:sz w:val="20"/>
        </w:rPr>
        <w:t>2.75% Unsecured Convertible Notes</w:t>
      </w:r>
      <w:r>
        <w:rPr>
          <w:color w:val="000000"/>
        </w:rPr>
        <w:t>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May 2020, the Company completed a public offering of $330.5 million aggregate principal amount of 2.75% unsecured convertible notes (the “Convertible Notes”) that mature, unless earlier converted, redeemed or repurchased, on May 15, 2026 at a price of par.</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no Convertible Notes have been converted into the Company’s common stock. The maximum number of shares that could be issued to satisfy the conversion feature of the Convertible Notes was 18,360,815 and the amount by which the Convertible Notes if-converted value exceeded its principal amount was $110.7 million, as of June 30, 2023.</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Notes consisted of the following components:</w:t>
      </w:r>
    </w:p>
    <w:tbl>
      <w:tblPr>
        <w:tblW w:w="5328" w:type="dxa"/>
        <w:jc w:val="left"/>
        <w:tblInd w:w="0" w:type="dxa"/>
        <w:tblLayout w:type="fixed"/>
        <w:tblCellMar>
          <w:top w:w="28" w:type="dxa"/>
          <w:left w:w="28" w:type="dxa"/>
          <w:bottom w:w="28" w:type="dxa"/>
          <w:right w:w="28" w:type="dxa"/>
        </w:tblCellMar>
      </w:tblPr>
      <w:tblGrid>
        <w:gridCol w:w="1123"/>
        <w:gridCol w:w="913"/>
        <w:gridCol w:w="724"/>
        <w:gridCol w:w="211"/>
        <w:gridCol w:w="616"/>
        <w:gridCol w:w="109"/>
        <w:gridCol w:w="109"/>
        <w:gridCol w:w="109"/>
        <w:gridCol w:w="109"/>
        <w:gridCol w:w="280"/>
        <w:gridCol w:w="819"/>
        <w:gridCol w:w="206"/>
      </w:tblGrid>
      <w:tr>
        <w:trPr/>
        <w:tc>
          <w:tcPr>
            <w:tcW w:w="112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interest expense, net:</w:t>
      </w:r>
    </w:p>
    <w:tbl>
      <w:tblPr>
        <w:tblW w:w="8239" w:type="dxa"/>
        <w:jc w:val="left"/>
        <w:tblInd w:w="0" w:type="dxa"/>
        <w:tblLayout w:type="fixed"/>
        <w:tblCellMar>
          <w:top w:w="28" w:type="dxa"/>
          <w:left w:w="28" w:type="dxa"/>
          <w:bottom w:w="28" w:type="dxa"/>
          <w:right w:w="28" w:type="dxa"/>
        </w:tblCellMar>
      </w:tblPr>
      <w:tblGrid>
        <w:gridCol w:w="641"/>
        <w:gridCol w:w="563"/>
        <w:gridCol w:w="565"/>
        <w:gridCol w:w="302"/>
        <w:gridCol w:w="882"/>
        <w:gridCol w:w="156"/>
        <w:gridCol w:w="156"/>
        <w:gridCol w:w="156"/>
        <w:gridCol w:w="156"/>
        <w:gridCol w:w="302"/>
        <w:gridCol w:w="882"/>
        <w:gridCol w:w="156"/>
        <w:gridCol w:w="109"/>
        <w:gridCol w:w="109"/>
        <w:gridCol w:w="109"/>
        <w:gridCol w:w="282"/>
        <w:gridCol w:w="823"/>
        <w:gridCol w:w="145"/>
        <w:gridCol w:w="145"/>
        <w:gridCol w:w="145"/>
        <w:gridCol w:w="145"/>
        <w:gridCol w:w="282"/>
        <w:gridCol w:w="823"/>
        <w:gridCol w:w="205"/>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interest expense related to the Convertible Notes:</w:t>
      </w:r>
    </w:p>
    <w:tbl>
      <w:tblPr>
        <w:tblW w:w="9472" w:type="dxa"/>
        <w:jc w:val="left"/>
        <w:tblInd w:w="0" w:type="dxa"/>
        <w:tblLayout w:type="fixed"/>
        <w:tblCellMar>
          <w:top w:w="28" w:type="dxa"/>
          <w:left w:w="28" w:type="dxa"/>
          <w:bottom w:w="28" w:type="dxa"/>
          <w:right w:w="28" w:type="dxa"/>
        </w:tblCellMar>
      </w:tblPr>
      <w:tblGrid>
        <w:gridCol w:w="1087"/>
        <w:gridCol w:w="954"/>
        <w:gridCol w:w="958"/>
        <w:gridCol w:w="373"/>
        <w:gridCol w:w="719"/>
        <w:gridCol w:w="193"/>
        <w:gridCol w:w="193"/>
        <w:gridCol w:w="193"/>
        <w:gridCol w:w="193"/>
        <w:gridCol w:w="373"/>
        <w:gridCol w:w="719"/>
        <w:gridCol w:w="193"/>
        <w:gridCol w:w="109"/>
        <w:gridCol w:w="109"/>
        <w:gridCol w:w="109"/>
        <w:gridCol w:w="347"/>
        <w:gridCol w:w="667"/>
        <w:gridCol w:w="179"/>
        <w:gridCol w:w="179"/>
        <w:gridCol w:w="179"/>
        <w:gridCol w:w="179"/>
        <w:gridCol w:w="347"/>
        <w:gridCol w:w="667"/>
        <w:gridCol w:w="253"/>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Coupon interest</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interest expense</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are amortized to interest expense over the term of the Convertible Notes at an effective interest rate of 3.329%. The remaining term of the Convertible Notes was 2.9 years as of June 30, 2023.</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Covenants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Our Amended Credit Facilities, 5.625% Notes and 4.125% Notes, require us, among other obligations, to maintain specified financial ratios and to satisfy certain financial tests. In addition, our Amended Credit Facilities, 5.625% Notes and 4.125%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Master Leases (which are defined in </w:t>
      </w:r>
      <w:hyperlink w:anchor="i7f5745e410cd4baaad4ca320a657bd0b_73">
        <w:r>
          <w:rPr>
            <w:rStyle w:val="InternetLink"/>
            <w:rFonts w:ascii="Times New Roman;sans-serif" w:hAnsi="Times New Roman;sans-serif"/>
            <w:b w:val="false"/>
            <w:color w:val="0000FF"/>
            <w:sz w:val="20"/>
            <w:u w:val="single"/>
          </w:rPr>
          <w:t>Note 9, “Leases”</w:t>
        </w:r>
      </w:hyperlink>
      <w:r>
        <w:rPr>
          <w:rFonts w:ascii="Times New Roman;sans-serif" w:hAnsi="Times New Roman;sans-serif"/>
          <w:b w:val="false"/>
          <w:color w:val="000000"/>
          <w:sz w:val="20"/>
        </w:rPr>
        <w:t xml:space="preserve">), each with GLPI. If we are unable to meet our financial covenants or in the event of a cross-default, it could trigger an acceleration of payment terms.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was in compliance with all required financial covenants. The Company believes that it will remain in compliance with all of its required financial covenants for at least the next twelve months following the date of filing this Quarterly Report on Form 10-Q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Other Long-Term Obligations</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Long-term Obligation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2021, we entered into a financing arrangement providing the Company with upfront cash proceeds while permitting us to participate in future proceeds on certain claims. The financing obligation has been classified as a non-current liability, which is expected to be settled in a future period of which the principal is contingent and predicated on other events. Consistent with an obligor’s accounting under a debt instrument, period interest will be accreted using an effective interest rate of 27.0% and until such time that the claims and related obligation is settled. The amount included in interest expense related to this obligation was $8.7 million and $16.8 million for the three and six months ended June 30, 2023, respectively, as compared to $6.7 million and $12.9 million for the three and six months ended June 30, 2022, respectively.</w:t>
      </w:r>
    </w:p>
    <w:p>
      <w:pPr>
        <w:pStyle w:val="TextBody"/>
        <w:bidi w:val="0"/>
        <w:spacing w:lineRule="auto" w:line="288" w:before="0" w:after="200"/>
        <w:ind w:left="0" w:right="0" w:firstLine="360"/>
        <w:jc w:val="left"/>
        <w:rPr/>
      </w:pPr>
      <w:r>
        <w:rPr>
          <w:rFonts w:ascii="Times New Roman;sans-serif" w:hAnsi="Times New Roman;sans-serif"/>
          <w:b w:val="false"/>
          <w:i/>
          <w:color w:val="000000"/>
          <w:sz w:val="20"/>
        </w:rPr>
        <w:t>Ohio Relocation Fees</w:t>
      </w:r>
      <w:r>
        <w:rPr>
          <w:color w:val="000000"/>
        </w:rPr>
        <w:t>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long-term obligations included $27.4 million at both June 30, 2023 and December 31, 2022, related to the relocation fees for Hollywood Gaming at Dayton Raceway (“Dayton”) and Hollywood Gaming at Mahoning Valley Race Course (“Mahoning Valley”), which opened in August 2014 and September 2014, respectively. The relocation fee for each facility is payable as follows: $7.5 million upon the opening of the facilities and eighteen semi-annual payments of $4.8 million beginning one year after the commencement of operations. These obligations are accreted to interest expense at an effective yield of 5.0%. </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Event Center</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other long-term obligations included $9.9 million and $10.7 million, respectively, related to the repayment obligation of a hotel and event center located less than a mile away from Hollywood Casino Lawrenceburg, which was constructed by the City of Lawrenceburg Department of Redevelopment. Effective in January 2015, by contractual agreement, we assumed a repayment obligation for the hotel and event center in the amount of $15.3 million, which was financed through a loan with the City of Lawrenceburg Department of Redevelopment, in exchange for conveyance of the property. Beginning in January 2016, the Company was obligated to make annual payments on the loan of $1.0 million for 20 years. This obligation is accreted to interest expense at its effective yield of 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Note 9—Leases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Master Leases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contained within the Master Leases are accounted for as either (i) operating leases, (ii) finance leases, or (iii) financing obligations. Changes to future lease payments that are not fixed within the Master Leases (i.e., when future escalators become known or future variable rent resets occur), which are discussed below, require the Company to either (i) increase both the Right-of-use (“ROU”) assets and corresponding lease liabilities with respect to operating and finance leases or (ii) record the incremental variable payment associated with the financing obligation to interest expense. In addition, prior to the effective date of the AR PENN Master Lease (as defined and as discussed below), monthly rent associated with Hollywood Casino Columbus (“Columbus”) and monthly rent in excess of the Hollywood Casino Toledo (“Toledo”) rent floor as contained within the PENN Master Lease (as defined and discussed below), were considered contingent rent.</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AR PENN Master Lease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effective date of the AR PENN Master Lease (as defined and discussed below) the Company leased real estate assets associated with 19 of the gaming facilities used in its operations via a triple net master lease with GLPI (the “PENN Master Lease”), which became effective November 1, 2013. The PENN Master Lease had an initial term of 15 years with four subsequent, five-year renewal periods on the same terms and conditions, exercisable at the Company’s option.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21, 2023, the Company and GLPI entered into an agreement to amend and restate the PENN Master Lease (the “AR PENN Master Lease”), effective January 1, 2023, to (i) remove the land and buildings for Hollywood Casino Aurora (“Aurora”), Hollywood Casino Joliet (“Joliet”), Columbus, Toledo and the M Resort Spa Casino (“M Resort”), and (ii) make associated adjustments to the rent after which the initial rent in the AR PENN Master Lease will be $284.1 million, consisting of $208.2 million of building base rent, $43.0 million of land base rent and $32.9 million of percentage rent (as such terms are defined in the AR PENN Master Lease). Subsequent to the execution of the AR PENN Master Lease, the Company leases real estate assets associated with 14 of the gaming facilities used in its operations via a triple net master lease. The current term of the AR PENN Master Lease expires on October 31, 2033 and thereafter contains three renewal terms of five years each on the same terms and conditions, exercisable at the Company’s option. The AR PENN Master Lease along with the 2023 Master Lease (as defined and discussed below) are cross-defaulted, cross-collateralized, and coterminous, and subject to a parent guarantee.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payment structure under the AR PENN Master Lease includes a fixed component, a portion of which is subject to an annual escalator of up to 2%, depending on the Adjusted Revenue to Rent Ratio (as defined in the AR PENN Master Lease) of 1.8:1, and a component that is based on performance, which is prospectively adjusted every five years by an amount equal to 4% of the average change in net revenues of all properties associated with the AR PENN Master Lease compared to a contractual baseline during the preceding five years (“PENN Percentage Rent”).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next annual escalator test date and PENN Percentage Rent reset is scheduled to occur on November 1, 2023.</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concluded the AR PENN Master Lease constituted a modification event under ASC Topic 842, “Leases” (“ASC 842”), which required us to reassess the classifications of the lease components and remeasure the associated lease liabilities. We concluded the lease term should end at the current lease expiration date of October 31, 2033 and the optional three renewal terms of five years each were not included in the lease term. The Company continues to evolve from a leading retail gaming operator to a leading provider of integrated entertainment, sports content, and casino gaming experiences. The execution of our omni-channel strategy continues to diversify our earning streams and precluded us from concluding all renewal periods were reasonably assured to be exercised.</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January 1, 2023 lease modification event, we concluded (i) the land components contained within the AR PENN Master Lease, which were previously primarily classified as finance leases under the PENN Master Lease, to be classified as operating leases, and (ii) control of the building assets have transferred from the Company to the lessor (GLPI) allowing for sale recognition in accordance with ASC 842 which results in the building components to be classified as operating leases. Prior to the January 1, 2023 lease modification event, control of substantially all of the building components were concluded not to have passed from the Company to the lessor in accordance with ASC 842 which required recognition of a financing obligation in accordance with ASC Topic 470, “Debt” (“ASC 470”) and continued recognition of the underlying asset in Property and Equipment, net within our unaudited Consolidated Balance Sheets. In conjunction with the sale recognition on the building components, we (i) derecognized $1.6 billion of financing obligations within our unaudited Consolidated Balance Sheets, offset to “Gain on REIT transaction, net” within our unaudited Statements of Operations; and (ii) derecognized $1.1 billion of Property and Equipment, net associated with the building assets within our unaudited Consolidated Balance Sheets, offset to “Gain on REIT transaction, net” within our unaudited Consolidated Statements of Operations. As a result of our measurement of the associated operating lease liabilities, we recognized a reduction of the ROU assets and corresponding lease liabilities of $1.2 billion within our unaudited Consolidated Balance Sheets. Lease components classified as an operating lease are recorded to “General and Administrative” within our unaudited Consolidated Statements of Operations.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14, 2022, the ninth amendment to the PENN Master Lease between the Company and GLPI became effective. The ninth amendment restated the definition of “Net Revenue” to clarify the inclusion of online-based revenues derived when a patron is physically present at a leased property, established a “floor” with respect to the Hollywood Casino at PENN National Race Course Net Revenue amount used in the calculation of the annual rent escalator and PENN Percentage Rent, and modified the rent calculations upon a lease termination event as defined in the amendment.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concluded the ninth amendment constituted a modification event under ASC 842, which required us to reassess the classifications of the lease components and remeasure the associated lease liabilities. As a result of our reassessment of the lease classifications, (i) the land components of substantially all of the PENN Master Lease properties, which were previously classified as operating leases, were then primarily classified as finance leases, and (ii) the land and building components associated with the operations of Dayton and Mahoning Valley, which were previously classified as finance leases, were then classified as operating leases. As a result of our measurement of the associated lease liabilities, we recognized additional ROU assets and corresponding lease liabilities of $455.4 million. The building components of substantially all of the PENN Master Lease properties continued to be classified as financing obligations.</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2023 Master Lease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Concurrent with the execution of the AR PENN Master Lease, the Company and GLPI entered into a new triple net master lease (the “2023 Master Lease”), effective January 1, 2023, specific to the property associated with Aurora, Joliet, Columbus, Toledo, M Resort, Hollywood Casino at The Meadows (“Meadows”), and Hollywood Casino Perryville (“Perryville”) and a master development agreement (the “Master Development Agreement”). The 2023 Master Lease has an initial term through October 31, 2033 with three subsequent five-year renewal periods on the same terms and conditions, exercisable at the Company’s option. The 2023 Master Lease terminated the individual triple net leases associated with Meadows and Perryville. The 2023 Master Lease and AR PENN Master Lease are cross-defaulted, cross-collateralized, and coterminous, and subject to a parent guarantee.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AR PENN Master Lease and the 2023 Master Lease are coterminous, as such consistent with the AR PENN Master Lease, we concluded the 2023 Master Lease term ends at the current lease expiration date of October 31, 2033 and does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include any of the remaining three renewal terms of five years each. (See above lease term discussion for AR PENN Master Lease.)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lease classification assessment, we concluded all land and building components contained within the 2023 Master Lease to be operating leases. As a result of our measurement of the operating lease liabilities, we recognized ROU assets and corresponding lease liabilities of $1.8 billion. Additionally, in connection with the termination of the prior Meadows Lease and Perryville Lease (both defined and discussed below), we (i) derecognized $171.9 million in ROU assets within our unaudited Consolidated Balance Sheets; (ii) derecognized $165.5 million in lease liabilities within our unaudited Consolidated Balance Sheets; and (iii) recognized a $6.5 million loss on the termination which is recorded in “Gain on REIT transaction, net” within our unaudited Consolidated Statements of Operations. Lease components classified as an operating lease are recorded to “General and Administrative” within our unaudited Consolidated Statements of Operations.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2023 Master Lease includes a base rent (the “2023 Master Lease Base Rent”) equal to $232.2 million and the Master Development Agreement contains additional rent (together with the 2023 Master Lease Base Rent, the “2023 Master Lease Rent”) equal to (i) 7.75% of any project funding received by PENN from GLPI for an anticipated relocation of PENN’s riverboat casino and related developments with respect to Aurora (the “Aurora Project”) and (ii) a percentage, based on the then-current GLPI stock price, of any project funding received by PENN from GLPI for certain anticipated development projects with respect to Joliet, Columbus and M Resort (the “Other Development Projects”). The Master Development Agreement provides that GLPI will fund up to $225.0 million for the Aurora Project and, upon PENN’s request, up to $350.0 million in the aggregate for the Other Development Projects, in accordance with certain terms and conditions set forth in the Master Development Agreement. These funding obligations of GLPI expire on January 1, 2026. The 2023 Master Lease Rent will be subject to a one-time increase of $1.4 million, effective November 1, 2027. The 2023 Master Lease Rent will be further subject to a fixed escalator of 1.5% on November 1, 2023 and annually thereafter. The Master Development Agreement provides that PENN may elect not to proceed with a development project prior to GLPI’s commencement of any equity or debt offering or credit facility draw intended to fund such a project or after such time in certain instances, provided that GLPI will be reimbursed for all costs and expenses incurred in connection with such discontinued project. The Aurora Project and the Other Development Projects are all subject to necessary regulatory and other government approvals.</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Pinnacle Master Lease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Pinnacle, on October 15, 2018, the Company assumed a triple net master lease with GLPI (the “Pinnacle Master Lease”), originally effective April 28, 2016, pursuant to which the Company leases real estate assets associated with 12 of the gaming facilities used in its operations. Upon assumption of the Pinnacle Master Lease, as amended, there were 7.5 years remaining of the initial ten-year term, with five subsequent, five-year renewal periods, on the same terms and conditions, exercisable at the Company’s option. The Company has determined that the lease term is 32.5 years.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payment structure under the Pinnacle Master Lease includes a fixed component, a portion of which is subject to an annual escalator of up to 2%, depending on the Adjusted Revenue to Rent Ratio (as defined in the Pinnacle Master Lease) of 1.8:1, and a component that is based on performance of the properties, which is prospectively adjusted every two years by an amount equal to 4% of the average change in net revenues compared to a contractual baseline during the preceding two years (“Pinnacle Percentage Rent”).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annual escalator, effective May 1, 2023 for the lease year ended April 30, 2023, the fixed component of rent increased by $4.7 million and an additional ROU asset and corresponding lease liability of $33.3 million were recognized associated with the finance lease components of the Pinnacle Master Lease. Both the next annual escalator and the next Pinnacle Percentage Rent reset are scheduled to occur on May 1, 2024.</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14, 2022, the fifth amendment to the Pinnacle Master Lease between the Company and GLPI became effective. The fifth amendment restates the definition of “Net Revenue” to clarify the inclusion of online-based revenues derived when a patron is physically present at a leased property and modifies the rent calculations upon a lease termination event as defined in the amendment.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concluded the fifth amendment to the Pinnacle Master Lease constituted a modification event under ASC 842 (collectively with the ninth amendment to the PENN Master Lease, the “2022 Lease Modification”). As a result of the modification, the land components of substantially all of the Pinnacle Master Lease properties, which were previously classified as operating leases, are now primarily classified as finance leases. As a result of our measurement of the associated lease liabilities, we recognized additional ROU assets and corresponding lease liabilities of $937.6 million. The building components of substantially all of the Pinnacle Master Lease properties continue to be classified as financing obligations. Lease components classified as a finance lease are recorded to “Depreciation and amortization” and “Interest expense, net” within our unaudited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The Company recognizes interest expense on the lease payments related to the financing obligation under the effective yield method.</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Other Triple Net Leases with REIT Landlords</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Morgantown Lease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 2020, the Company entered into a triple net lease with a subsidiary of GLPI for the land underlying our development project in Morgantown, Pennsylvania (“Morgantown Lease”) in exchange for $30.0 million in rent credits which were utilized to pay rent under the Master Leases, Meadows Lease, and the Morgantown Lease during the year ended December 31, 2020.</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improvements made on the land, including the constructed building, will be owned by the Company while the lease is in effect, however, on the expiration or termination of the Morgantown Lease, ownership of all tenant improvements on the land will transfer to GLPI.</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concluded control of the land underlying the Morgantown facility was not passed from the Company to the lessor in accordance with ASC 842. As such we recognized a financing obligation in accordance with ASC 470 and continue to recognize the underlying asset in Property and Equipment, net within our unaudited Consolidated Balance Sheets. The Company recognizes interest expense on the lease payments related to the financing obligation under the effective yield method.</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Perryville Lease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acquisition of the operations of Perryville on July 1, 2021, the Company entered into a triple net lease with GLPI for the real estate assets associated with the property (“Perryville Lease”) for initial annual rent of $7.8 million per year subject to escalation. As discussed above, as a result of entering into the 2023 Master Lease, the Perryville Lease was terminated effective January 1, 2023.</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lease termination, the land and building components were classified as finance leases. Lease components classified as a finance lease were recorded to “Depreciation and amortization” and “Interest expense, net” within our unaudited Consolidated Statements of Operations.</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Meadows Lease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of Pinnacle, we assumed a triple net operating lease associated with the real estate assets at Meadows (“Meadows Lease”), originally effective September 9, 2016. Upon assumption of the Meadows Lease, there were eight years remaining of the initial ten-year term, with three subsequent, five-year renewal options followed by one four-year renewal option on the same terms and conditions, exercisable at the Company’s option.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above, as a result of entering into the 2023 Master Lease, the Meadows Lease was terminated effective January 1, 2023.</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termination of the Meadows Lease, the land and building components were classified as operating leases. Lease components classified as an operating lease were recorded to “General and Administrative” within our unaudited Consolidated Statements of Operations.</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Margaritaville Lease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 2019, the Company entered into an individual triple net lease with VICI Properties Inc. (NYSE: VICI) (“VICI”) for the real estate assets used in the operations of Margaritaville Resort Casino (the “Margaritaville Lease”). The Margaritaville Lease has an initial term of 15 years, with four subsequent five-year renewal options on the same terms and conditions, exercisable at the Company’s option. The payment structure under the Margaritaville Lease includes a fixed component, a portion that is subject to an annual escalator of up to 2% depending on a minimum coverage floor ratio of Net Revenue to Rent of 6.1:1, and a component that is based on performance, which is prospectively adjusted every two years by an amount equal to 4% of the average change in net revenues of the property compared to a contractual baseline during the preceding two years (“Margaritaville Percentage Rent”).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 2023, the Margaritaville Lease annual escalator test resulted in an annual rent increase of $0.4 million and the recognition of an additional operating lease ROU asset and corresponding lease liability of $2.8 million. The next annual escalator test date is scheduled to occur on February 1, 2024. Additionally, on February 1, 2023, the Margaritaville Percentage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Rent reset resulted in an annual rent increase of $2.3 million which will be in effect until the next Margaritaville Percentage Rent reset, scheduled to occur on February 1, 2025. Upon reset of the Margaritaville Percentage Rent, effective February 1, 2023, we recognized an additional operating lease ROU asset and corresponding lease liability of $9.8 million.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land and building components contained within the Margaritaville Lease are classified as operating leases. Lease components classified as an operating lease are recorded to “General and Administrative” within our unaudited Consolidated Statements of Operations.</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Greektown Lease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23, 2019, the Company entered into an individual triple net lease with VICI for the real estate assets used in the operations of Hollywood Casino at Greektown (the “Greektown Lease”). The Greektown Lease has an initial term of 15 years, with four subsequent five-year renewal options on the same terms and conditions, exercisable at the Company’s option. The payment structure under the Greektown Lease includes a fixed component, a portion subject to an annual escalator of up to 2% depending on an Adjusted Revenue to Rent Ratio (as defined in the Greektown Lease) of 1.85:1, and a component that is based on performance, which is prospectively adjusted every two years by an amount equal to 4% of the average change in net revenues of the property compared to a contractual baseline during the preceding two years (Greektown Percentage Rent”).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1, 2023, the Greektown Percentage Rent reset resulted in an annual rent increase of $1.5 million, which will be in effect until the next Greektown Percentage Rent reset, scheduled to occur on June 1, 2025. Upon reset of the Greektown Percentage Rent, effective June 1, 2023, we recognized an additional operating lease ROU asset and corresponding lease liability of $7.0 million. We did not incur an annual escalator for the lease year ended June 1, 2023. On April 1, 2023, the lease was amended to provide for a Net Revenue to Rent coverage floor to be mutually agreed upon prior to the commencement of the sixth lease year (June 1, 2024).</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land and building components contained within the Greektown Lease are classified as operating leases. Lease components classified as an operating lease are recorded to “General and Administrative” within our unaudited Consolidated Statements of Operations.</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Tropicana Lease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closing of the sale of PENN’s outstanding equity interest in Tropicana Las Vegas (“Tropicana”) on September 26, 2022, the Company leased the real estate assets used in the operations of Tropicana for nominal cash rent (the “Tropicana Lease”). The term of the Tropicana Lease was for two years (subject to three one-year extensions at GLPI’s option) or until the real estate assets and the operations of the Tropicana were sold. Upon execution of the Tropicana Lease, we recorded an operating lease ROU asset of $61.6 million, which was included in “Lease right-of-use assets” within our unaudited Consolidated Balance Sheets.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land and building components contained within the Tropicana Lease were classified as operating leases. Lease components classified as an operating lease were recorded to “General and Administrative” within our unaudited Consolidated Statements of Operations.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Non-REIT Operating Leases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any operating lease components contained within the Master Leases, Meadows Lease, Margaritaville Lease, Greektown Lease and Tropicana Lease (referred to as “triple net operating leases”), the Company’s operating leases consists of (i) ground and levee leases to landlords which were not assumed by our REIT Landlords and remain an obligation of the Company, and (ii) buildings and equipment not associated with our REIT Landlords. Certain of our lease agreements include rental payments based on a percentage of sales over specified contractual amounts, rental payments adjusted periodically for inflation, and rental payments based on usage. The Company’s leases include options to extend the lease terms. The Company’s operating lease agreements do not contain any material residual value guarantees or material restrictive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maturity analysis of our operating leases, finance leases and financing obligations as of June 30, 2023:</w:t>
      </w:r>
    </w:p>
    <w:tbl>
      <w:tblPr>
        <w:tblW w:w="10162" w:type="dxa"/>
        <w:jc w:val="left"/>
        <w:tblInd w:w="0" w:type="dxa"/>
        <w:tblLayout w:type="fixed"/>
        <w:tblCellMar>
          <w:top w:w="28" w:type="dxa"/>
          <w:left w:w="28" w:type="dxa"/>
          <w:bottom w:w="28" w:type="dxa"/>
          <w:right w:w="28" w:type="dxa"/>
        </w:tblCellMar>
      </w:tblPr>
      <w:tblGrid>
        <w:gridCol w:w="1626"/>
        <w:gridCol w:w="1427"/>
        <w:gridCol w:w="1431"/>
        <w:gridCol w:w="309"/>
        <w:gridCol w:w="1122"/>
        <w:gridCol w:w="159"/>
        <w:gridCol w:w="109"/>
        <w:gridCol w:w="109"/>
        <w:gridCol w:w="109"/>
        <w:gridCol w:w="271"/>
        <w:gridCol w:w="984"/>
        <w:gridCol w:w="140"/>
        <w:gridCol w:w="109"/>
        <w:gridCol w:w="109"/>
        <w:gridCol w:w="109"/>
        <w:gridCol w:w="379"/>
        <w:gridCol w:w="1380"/>
        <w:gridCol w:w="280"/>
      </w:tblGrid>
      <w:tr>
        <w:trPr/>
        <w:tc>
          <w:tcPr>
            <w:tcW w:w="162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Financing Obligations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(excluding the six months ended June 30, 2023)</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6,547.7 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4,745.5 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(2,298.4)</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lease payments</w:t>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2,447.1 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lease obligations</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lease obligations</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2,406.8 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payments made under the Triple Net Leases were as follows:</w:t>
      </w:r>
    </w:p>
    <w:tbl>
      <w:tblPr>
        <w:tblW w:w="8509" w:type="dxa"/>
        <w:jc w:val="left"/>
        <w:tblInd w:w="0" w:type="dxa"/>
        <w:tblLayout w:type="fixed"/>
        <w:tblCellMar>
          <w:top w:w="28" w:type="dxa"/>
          <w:left w:w="28" w:type="dxa"/>
          <w:bottom w:w="28" w:type="dxa"/>
          <w:right w:w="28" w:type="dxa"/>
        </w:tblCellMar>
      </w:tblPr>
      <w:tblGrid>
        <w:gridCol w:w="739"/>
        <w:gridCol w:w="649"/>
        <w:gridCol w:w="651"/>
        <w:gridCol w:w="302"/>
        <w:gridCol w:w="882"/>
        <w:gridCol w:w="156"/>
        <w:gridCol w:w="156"/>
        <w:gridCol w:w="156"/>
        <w:gridCol w:w="156"/>
        <w:gridCol w:w="302"/>
        <w:gridCol w:w="882"/>
        <w:gridCol w:w="156"/>
        <w:gridCol w:w="109"/>
        <w:gridCol w:w="109"/>
        <w:gridCol w:w="109"/>
        <w:gridCol w:w="282"/>
        <w:gridCol w:w="823"/>
        <w:gridCol w:w="145"/>
        <w:gridCol w:w="145"/>
        <w:gridCol w:w="145"/>
        <w:gridCol w:w="145"/>
        <w:gridCol w:w="282"/>
        <w:gridCol w:w="823"/>
        <w:gridCol w:w="205"/>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 PENN Master Lease</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Master Lease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 Master Lease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Pinnacle Master Lease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Perryville Lease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Meadows Lease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Margaritaville Lease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Greektown Lease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Morgantown Lease </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w:t>
            </w:r>
            <w:r>
              <w:rPr>
                <w:color w:val="000000"/>
              </w:rPr>
              <w:t xml:space="preserve"> </w:t>
            </w:r>
            <w:r>
              <w:rPr>
                <w:rFonts w:ascii="Times New Roman;sans-serif" w:hAnsi="Times New Roman;sans-serif"/>
                <w:b w:val="false"/>
                <w:color w:val="000000"/>
                <w:sz w:val="13"/>
              </w:rPr>
              <w:t>(1)</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(1)For the three and six months ended June 30, 2022, rent payable under the Tropicana Lease was nominal. Therefore, it has been excluded from the table above. The Tropicana Lease was terminated on September 26, 2022.</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related to lease term and discount rate was as follows:</w:t>
      </w:r>
    </w:p>
    <w:tbl>
      <w:tblPr>
        <w:tblW w:w="7120" w:type="dxa"/>
        <w:jc w:val="left"/>
        <w:tblInd w:w="0" w:type="dxa"/>
        <w:tblLayout w:type="fixed"/>
        <w:tblCellMar>
          <w:top w:w="28" w:type="dxa"/>
          <w:left w:w="28" w:type="dxa"/>
          <w:bottom w:w="28" w:type="dxa"/>
          <w:right w:w="28" w:type="dxa"/>
        </w:tblCellMar>
      </w:tblPr>
      <w:tblGrid>
        <w:gridCol w:w="1359"/>
        <w:gridCol w:w="1194"/>
        <w:gridCol w:w="1196"/>
        <w:gridCol w:w="282"/>
        <w:gridCol w:w="282"/>
        <w:gridCol w:w="711"/>
        <w:gridCol w:w="109"/>
        <w:gridCol w:w="109"/>
        <w:gridCol w:w="109"/>
        <w:gridCol w:w="360"/>
        <w:gridCol w:w="360"/>
        <w:gridCol w:w="1049"/>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 xml:space="preserve">11.7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years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 xml:space="preserve">27.8 years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 xml:space="preserve">28.1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years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w:t>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before="0" w:after="200"/>
        <w:ind w:left="0" w:right="0" w:firstLine="360"/>
        <w:jc w:val="left"/>
        <w:rPr/>
      </w:pPr>
      <w:r>
        <w:rPr/>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10205" w:type="dxa"/>
        <w:jc w:val="left"/>
        <w:tblInd w:w="0" w:type="dxa"/>
        <w:tblLayout w:type="fixed"/>
        <w:tblCellMar>
          <w:top w:w="28" w:type="dxa"/>
          <w:left w:w="28" w:type="dxa"/>
          <w:bottom w:w="28" w:type="dxa"/>
          <w:right w:w="28" w:type="dxa"/>
        </w:tblCellMar>
      </w:tblPr>
      <w:tblGrid>
        <w:gridCol w:w="987"/>
        <w:gridCol w:w="747"/>
        <w:gridCol w:w="753"/>
        <w:gridCol w:w="697"/>
        <w:gridCol w:w="659"/>
        <w:gridCol w:w="660"/>
        <w:gridCol w:w="109"/>
        <w:gridCol w:w="109"/>
        <w:gridCol w:w="109"/>
        <w:gridCol w:w="243"/>
        <w:gridCol w:w="710"/>
        <w:gridCol w:w="125"/>
        <w:gridCol w:w="125"/>
        <w:gridCol w:w="125"/>
        <w:gridCol w:w="125"/>
        <w:gridCol w:w="243"/>
        <w:gridCol w:w="710"/>
        <w:gridCol w:w="125"/>
        <w:gridCol w:w="109"/>
        <w:gridCol w:w="109"/>
        <w:gridCol w:w="109"/>
        <w:gridCol w:w="236"/>
        <w:gridCol w:w="689"/>
        <w:gridCol w:w="121"/>
        <w:gridCol w:w="121"/>
        <w:gridCol w:w="121"/>
        <w:gridCol w:w="121"/>
        <w:gridCol w:w="236"/>
        <w:gridCol w:w="689"/>
        <w:gridCol w:w="183"/>
      </w:tblGrid>
      <w:tr>
        <w:trPr/>
        <w:tc>
          <w:tcPr>
            <w:tcW w:w="98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Location on unaudited </w:t>
              <w:br/>
              <w:t>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2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0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Costs</w:t>
            </w:r>
          </w:p>
        </w:tc>
        <w:tc>
          <w:tcPr>
            <w:tcW w:w="2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 expense associated with triple net operating leases </w:t>
            </w:r>
            <w:r>
              <w:rPr>
                <w:rFonts w:ascii="Times New Roman;sans-serif" w:hAnsi="Times New Roman;sans-serif"/>
                <w:b w:val="false"/>
                <w:color w:val="000000"/>
                <w:sz w:val="13"/>
              </w:rPr>
              <w:t>(1)</w:t>
            </w:r>
          </w:p>
        </w:tc>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(2)</w:t>
            </w:r>
          </w:p>
        </w:tc>
        <w:tc>
          <w:tcPr>
            <w:tcW w:w="2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Primarily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Primarily Gaming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Variable lease cost</w:t>
            </w:r>
            <w:r>
              <w:rPr>
                <w:color w:val="000000"/>
              </w:rPr>
              <w:t xml:space="preserve"> </w:t>
            </w:r>
            <w:r>
              <w:rPr>
                <w:rFonts w:ascii="Times New Roman;sans-serif" w:hAnsi="Times New Roman;sans-serif"/>
                <w:b w:val="false"/>
                <w:color w:val="000000"/>
                <w:sz w:val="13"/>
              </w:rPr>
              <w:t>(2)</w:t>
            </w:r>
          </w:p>
        </w:tc>
        <w:tc>
          <w:tcPr>
            <w:tcW w:w="2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Primarily Gaming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Costs</w:t>
            </w:r>
          </w:p>
        </w:tc>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on lease liabilities </w:t>
            </w:r>
            <w:r>
              <w:rPr>
                <w:rFonts w:ascii="Times New Roman;sans-serif" w:hAnsi="Times New Roman;sans-serif"/>
                <w:b w:val="false"/>
                <w:color w:val="000000"/>
                <w:sz w:val="13"/>
              </w:rPr>
              <w:t>(3)</w:t>
            </w:r>
          </w:p>
        </w:tc>
        <w:tc>
          <w:tcPr>
            <w:tcW w:w="2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ROU assets </w:t>
            </w:r>
            <w:r>
              <w:rPr>
                <w:rFonts w:ascii="Times New Roman;sans-serif" w:hAnsi="Times New Roman;sans-serif"/>
                <w:b w:val="false"/>
                <w:color w:val="000000"/>
                <w:sz w:val="13"/>
              </w:rPr>
              <w:t>(3)</w:t>
            </w:r>
          </w:p>
        </w:tc>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Obligation Costs</w:t>
            </w:r>
          </w:p>
        </w:tc>
        <w:tc>
          <w:tcPr>
            <w:tcW w:w="2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on financing obligations </w:t>
            </w:r>
            <w:r>
              <w:rPr>
                <w:rFonts w:ascii="Times New Roman;sans-serif" w:hAnsi="Times New Roman;sans-serif"/>
                <w:b w:val="false"/>
                <w:color w:val="000000"/>
                <w:sz w:val="13"/>
              </w:rPr>
              <w:t>(4)</w:t>
            </w:r>
          </w:p>
        </w:tc>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(1)For the three and six months ended June 30, 2023, pertains to the following operating leases: (i) AR PENN Master Lease; (ii) 2023 Master Lease; (iii) Margaritaville Lease; and (iv) Greektown Lease.</w:t>
      </w:r>
    </w:p>
    <w:p>
      <w:pPr>
        <w:pStyle w:val="TextBody"/>
        <w:bidi w:val="0"/>
        <w:spacing w:lineRule="auto" w:line="288" w:before="0" w:after="60"/>
        <w:jc w:val="left"/>
        <w:rPr>
          <w:rFonts w:ascii="Times New Roman;sans-serif" w:hAnsi="Times New Roman;sans-serif"/>
          <w:b w:val="false"/>
          <w:color w:val="000000"/>
          <w:sz w:val="16"/>
        </w:rPr>
      </w:pPr>
      <w:r>
        <w:rPr>
          <w:rFonts w:ascii="Times New Roman;sans-serif" w:hAnsi="Times New Roman;sans-serif"/>
          <w:b w:val="false"/>
          <w:color w:val="000000"/>
          <w:sz w:val="16"/>
        </w:rPr>
        <w:t>For the three and six months ended June 30, 2022, pertains to the operating lease components contained within the (i) PENN Master Lease (specific to the land and building components associated with the operations of Dayton and Mahoning Valley); (ii) Meadows Lease; (iii) Margaritaville Lease; (iv) Greektown Lease; and (v) Tropicana Lease (which terminated on September 26, 2022).</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(2)Excludes the operating lease costs and variable lease costs pertaining to our triple net leases with our REIT landlords classified as operating leases, discussed in footnote (1) above.</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(3)For the three and six months ended June 30, 2023, pertains to the finance lease components associated with the Pinnacle Master Lease.</w:t>
      </w:r>
    </w:p>
    <w:p>
      <w:pPr>
        <w:pStyle w:val="TextBody"/>
        <w:bidi w:val="0"/>
        <w:spacing w:lineRule="auto" w:line="288" w:before="0" w:after="60"/>
        <w:jc w:val="left"/>
        <w:rPr>
          <w:rFonts w:ascii="Times New Roman;sans-serif" w:hAnsi="Times New Roman;sans-serif"/>
          <w:b w:val="false"/>
          <w:color w:val="000000"/>
          <w:sz w:val="16"/>
        </w:rPr>
      </w:pPr>
      <w:r>
        <w:rPr>
          <w:rFonts w:ascii="Times New Roman;sans-serif" w:hAnsi="Times New Roman;sans-serif"/>
          <w:b w:val="false"/>
          <w:color w:val="000000"/>
          <w:sz w:val="16"/>
        </w:rPr>
        <w:t>For the three and six months ended June 30, 2022, pertains to the finance lease components associated with the (i) PENN Master Lease; (ii) Pinnacle Master Lease; and (iii) Perryville Lease. The finance lease components contained within the PENN Master Lease and the Pinnacle Master Lease consist of the land, inclusive of the variable expense associated with Columbus and Toledo.</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     For the three and six months ended June 30, 2023, pertains to the components contained within the Pinnacle Master Lease (primarily buildings) and the Morgantown Lease.</w:t>
      </w:r>
    </w:p>
    <w:p>
      <w:pPr>
        <w:pStyle w:val="TextBody"/>
        <w:bidi w:val="0"/>
        <w:spacing w:lineRule="auto" w:line="288" w:before="0" w:after="200"/>
        <w:jc w:val="left"/>
        <w:rPr>
          <w:rFonts w:ascii="Times New Roman;sans-serif" w:hAnsi="Times New Roman;sans-serif"/>
          <w:b w:val="false"/>
          <w:color w:val="000000"/>
          <w:sz w:val="16"/>
        </w:rPr>
      </w:pPr>
      <w:r>
        <w:rPr>
          <w:rFonts w:ascii="Times New Roman;sans-serif" w:hAnsi="Times New Roman;sans-serif"/>
          <w:b w:val="false"/>
          <w:color w:val="000000"/>
          <w:sz w:val="16"/>
        </w:rPr>
        <w:t>For the three and six months ended June 30, 2022, pertains to the components contained within the PENN Master Lease (primarily buildings) inclusive of the variable expense associated with Columbus and Toledo for the financing obligation components, Pinnacle Master Lease (primarily buildings), and the Morgantown Lease.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w:t>
      </w:r>
    </w:p>
    <w:tbl>
      <w:tblPr>
        <w:tblW w:w="6594" w:type="dxa"/>
        <w:jc w:val="left"/>
        <w:tblInd w:w="0" w:type="dxa"/>
        <w:tblLayout w:type="fixed"/>
        <w:tblCellMar>
          <w:top w:w="28" w:type="dxa"/>
          <w:left w:w="28" w:type="dxa"/>
          <w:bottom w:w="28" w:type="dxa"/>
          <w:right w:w="28" w:type="dxa"/>
        </w:tblCellMar>
      </w:tblPr>
      <w:tblGrid>
        <w:gridCol w:w="1305"/>
        <w:gridCol w:w="1146"/>
        <w:gridCol w:w="1148"/>
        <w:gridCol w:w="248"/>
        <w:gridCol w:w="903"/>
        <w:gridCol w:w="128"/>
        <w:gridCol w:w="128"/>
        <w:gridCol w:w="128"/>
        <w:gridCol w:w="128"/>
        <w:gridCol w:w="248"/>
        <w:gridCol w:w="903"/>
        <w:gridCol w:w="181"/>
      </w:tblGrid>
      <w:tr>
        <w:trPr/>
        <w:tc>
          <w:tcPr>
            <w:tcW w:w="130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lease activities:</w:t>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Commencement of operating leases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Derecognition of operating lease liabilities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Commencement of finance leases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Derecognition of finance lease liabilities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Derecognition of finance obligations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10—Investments in and Advances to Unconsolidated Affiliates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investments in and advances to unconsolidated affiliates primarily consisted of the Company’s 50% investment in Kansas Entertainment, the joint venture with NASCAR that owns Hollywood Casino at Kansas Speedway.</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Kansas Entertainment Joint Venture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our investment in Kansas Entertainment was $80.7 million and $81.5 million, respectively. During the three and six months ended June 30, 2023, the Company received distributions from Kansas Entertainment totaling $8.3 million and $16.8 million, respectively, as compared to $9.0 million and $17.0 million for the three and six months ended June 30, 2022, respectively. The Company deems these distributions to be returns on its investment based on the source of those cash flows from the normal business operations of Kansas Entertainment.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Kansas Entertainment does not qualify as a VIE. Using the guidance for entities that are not VIEs, the Company determined that it did not have a controlling financial interest in the joint venture, primarily as it did not have the ability to direct the activities of the joint venture that most significantly impacted the joint venture’s economic performance without the input of NASCAR. Therefore, the Company did not consolidate the financial position of Kansas Entertainment as of June 30, 2023 and December 31, 2022, nor the results of operations for the three and six months ended June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11—Income Taxes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calculates the provision for income taxes during interim reporting periods by applying an estimate of the annual effective tax rate to its year-to-date pretax book income or loss. The tax effects of discrete items, including but not limited to, excess tax benefits associated with stock-based compensation, are reported in the interim period in which they occur. The effective tax rate (income taxes as a percentage of income or loss before income taxes) including discrete items was 30.7% and 25.5% for the three and six months ended June 30, 2023, as compared to 68.3% and 57.2% for the three and six months ended June 30, 2022. We excluded certain foreign losses from our worldwide effective tax rate calculation due to a year-to-date ordinary loss for which no benefit may be recognized. Our effective income tax rate can vary from period to period depending on, among other factors, the geographic and business mix of our earnings and changes to our valuation allowance. Certain of these and other factors, including our history and projections of pretax earnings, are considered in assessing our ability to realize our net deferred tax assets.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each reporting date, the Company considers all available positive and negative evidence that could affect its view of the future realization of deferred tax assets pursuant to ASC Topic 740, “Income Taxes.” As of June 30, 2023, we intend to continue maintaining a valuation allowance on our deferred tax assets until there is sufficient positive evidence to support the reversal of all or some portion of these allowances. A reduction in the valuation allowance could result in a significant decrease to income tax expense in the period the release is recorded. Although the exact timing and valuation reversal amount are estimated, the actual determination is contingent upon the earnings level we achieve in 2023 as well as our projected income levels in future periods. During the three and six months ended June 30, 2023, the Company’s valuation allowance increased in the amount of $1.0 million and decreased in the amount of $2.1 million, respectively, due to a combination of income levels, accounting for Master Leases and the Barstool Acquisition that had the effect on certain state deferred tax assets that are more likely than not to be realized.</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During the three months ended March 31, 2023, the Company recorded a net deferred tax liability of $115.9 million with respect to the Barstool stock acquisition on February 17, 2023, as discussed in </w:t>
      </w:r>
      <w:hyperlink w:anchor="i7f5745e410cd4baaad4ca320a657bd0b_55">
        <w:r>
          <w:rPr>
            <w:rStyle w:val="InternetLink"/>
            <w:rFonts w:ascii="Times New Roman;sans-serif" w:hAnsi="Times New Roman;sans-serif"/>
            <w:b w:val="false"/>
            <w:color w:val="0000FF"/>
            <w:sz w:val="20"/>
            <w:u w:val="single"/>
          </w:rPr>
          <w:t>Note 6, “Acquisitions and Dispositions.”</w:t>
        </w:r>
      </w:hyperlink>
      <w:r>
        <w:rPr>
          <w:color w:val="000000"/>
        </w:rPr>
        <w:t xml:space="preserve"> </w:t>
      </w:r>
      <w:r>
        <w:rPr>
          <w:rFonts w:ascii="Times New Roman;sans-serif" w:hAnsi="Times New Roman;sans-serif"/>
          <w:b w:val="false"/>
          <w:color w:val="000000"/>
          <w:sz w:val="20"/>
        </w:rPr>
        <w:t>These temporary differences were primarily related to existing carryover tax basis, acquired federal and state net operating losses and other acquired intangible assets excluding goodwill. Barstool’s operations are now included in our consolidated federal, state and local tax returns, which has an impact on our effective tax rate in certain jurisdictions.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In August 2023, we entered into the Barstool SPA, as discussed in </w:t>
      </w:r>
      <w:hyperlink w:anchor="i7f5745e410cd4baaad4ca320a657bd0b_55">
        <w:r>
          <w:rPr>
            <w:rStyle w:val="InternetLink"/>
            <w:rFonts w:ascii="Times New Roman;sans-serif" w:hAnsi="Times New Roman;sans-serif"/>
            <w:b w:val="false"/>
            <w:color w:val="0000FF"/>
            <w:sz w:val="20"/>
            <w:u w:val="single"/>
          </w:rPr>
          <w:t>Note 6, “Acquisitions and Dispositions,”</w:t>
        </w:r>
      </w:hyperlink>
      <w:r>
        <w:rPr>
          <w:color w:val="000000"/>
        </w:rPr>
        <w:t xml:space="preserve"> </w:t>
      </w:r>
      <w:r>
        <w:rPr>
          <w:rFonts w:ascii="Times New Roman;sans-serif" w:hAnsi="Times New Roman;sans-serif"/>
          <w:b w:val="false"/>
          <w:color w:val="000000"/>
          <w:sz w:val="20"/>
        </w:rPr>
        <w:t xml:space="preserve">pursuant to which PENN sold 100% of the outstanding shares of Barstool to David Portnoy in exchange for a nominal cash consideration ($1.00 dollar) and certain non-compete and other restrictive covenants. As such, the deferred tax liability associated with the Barstool tradename and other intangible assets will be written off to income tax expense, which will have a material impact on our unaudited Consolidated Statements of Operations and unaudited Consolidated Balance Sheets.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has a current income tax payable of $4.4 million included in “Accrued expenses and other current liabilities” within our unaudited Consolidated Balance Sheets, compared to prepaid income taxes of $15.2 million as of December 31, 2022, which were included in “Prepaid expenses” within our unaudited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12—Commitments and Contingencies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legal and administrative proceedings relating to personal injuries, employment matters, commercial transactions, development agreements and other matters arising in the ordinary course of business. Although the Company maintains what it believes to be adequate insurance coverage to mitigate the risk of loss pertaining to covered matters, legal and administrative proceedings can be costly, time-consuming and unpredictable. The Company does not believe that the final outcome of these matters will have a material adverse effect on its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Note 13—Stockholders’ Equity and Stock-Based Compensation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Common and Preferred Stock</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29, 2023, in connection with the acquisition of HitPoint Inc. and Lucky Point Inc. (collectively, “Hitpoint”) which were acquired in 2021, the Company issued 4,055 shares of common stock with a par value of $0.01, representing the achievement of the second of three annual mutual goals established by the Company and Hitpoint. </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On February 17, 2023, as part of the Barstool Acquisition as discussed in </w:t>
      </w:r>
      <w:hyperlink w:anchor="i7f5745e410cd4baaad4ca320a657bd0b_55">
        <w:r>
          <w:rPr>
            <w:rStyle w:val="InternetLink"/>
            <w:rFonts w:ascii="Times New Roman;sans-serif" w:hAnsi="Times New Roman;sans-serif"/>
            <w:b w:val="false"/>
            <w:color w:val="0000FF"/>
            <w:sz w:val="20"/>
            <w:u w:val="single"/>
          </w:rPr>
          <w:t>Note 6, “Acquisitions and Dispositions,”</w:t>
        </w:r>
      </w:hyperlink>
      <w:r>
        <w:rPr>
          <w:color w:val="000000"/>
        </w:rPr>
        <w:t xml:space="preserve"> </w:t>
      </w:r>
      <w:r>
        <w:rPr>
          <w:rFonts w:ascii="Times New Roman;sans-serif" w:hAnsi="Times New Roman;sans-serif"/>
          <w:b w:val="false"/>
          <w:color w:val="000000"/>
          <w:sz w:val="20"/>
        </w:rPr>
        <w:t xml:space="preserve">the Company issued 2,442,809 shares of common stock with a par value of $0.01, to certain former stockholders of Barstool (the “Share Consideration”). The issuance of the Share Consideration was exempt from the registration requirements of the Securities Act of 1933, as amended, pursuant to Section 4(a)(2) thereof, because such issuance did not involve a public offering. The Share Consideration is subject to transfer restrictions which will be waived on August 11, 2023 pursuant to the Barstool SPA. See </w:t>
      </w:r>
      <w:hyperlink w:anchor="i7f5745e410cd4baaad4ca320a657bd0b_55">
        <w:r>
          <w:rPr>
            <w:rStyle w:val="InternetLink"/>
            <w:rFonts w:ascii="Times New Roman;sans-serif" w:hAnsi="Times New Roman;sans-serif"/>
            <w:b w:val="false"/>
            <w:color w:val="000080"/>
            <w:sz w:val="20"/>
            <w:u w:val="single"/>
          </w:rPr>
          <w:t>Note 6, “Acquisitions and Dispositions</w:t>
        </w:r>
      </w:hyperlink>
      <w:hyperlink w:anchor="i7f5745e410cd4baaad4ca320a657bd0b_55">
        <w:r>
          <w:rPr>
            <w:rStyle w:val="InternetLink"/>
            <w:rFonts w:ascii="Times New Roman;sans-serif" w:hAnsi="Times New Roman;sans-serif"/>
            <w:b w:val="false"/>
            <w:color w:val="000080"/>
            <w:sz w:val="20"/>
            <w:u w:val="single"/>
          </w:rPr>
          <w:t>”</w:t>
        </w:r>
      </w:hyperlink>
      <w:r>
        <w:rPr>
          <w:color w:val="000000"/>
        </w:rPr>
        <w:t xml:space="preserve"> </w:t>
      </w:r>
      <w:r>
        <w:rPr>
          <w:rFonts w:ascii="Times New Roman;sans-serif" w:hAnsi="Times New Roman;sans-serif"/>
          <w:b w:val="false"/>
          <w:color w:val="000000"/>
          <w:sz w:val="20"/>
        </w:rPr>
        <w:t>for additional information related to the Barstool SPA.</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February 20, 2020 stock purchase agreement between PENN and Barstool, the Company issued 883 shares of Series D Preferred Stock, par value $0.01 (the “Series D Preferred Stock”) to certain individual stockholders affiliated with Barstool. 1/1,000th of a share of Series D Preferred Stock is convertible into one share of PENN common stock. The Series D Preferred stockholders are entitled to participate equally and ratably in all dividends and distributions paid to holders of PENN common stock based on the number of shares of PENN common stock into which such Series D Preferred Stock could convert. Series D Preferred Stock is nonvoting stock.</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 2023, 227 shares of Series D Preferred Stock were converted to common stock. As a result of the conversion, the Company issued 226,800 shares of common stock with a par value of $0.01. The issuances were exempt from registration pursuant to Section 4(a)(2) of the Securities Act. As of June 30, 2023, 89 shares of the Series D Preferred Stock were eligible for conversion into PENN common stock. Pursuant to the Barstool SPA, all 354 outstanding Series D Preferred Stock will become eligible for conversion on August 11, 2023.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of theScore in October 2021, the Company issued 12,319,340 of common stock with a par value of $0.01, and 697,539 exchangeable shares (“Exchangeable Shares”) through the capital of an indirect wholly-owned subsidiary of PENN, in addition to cash consideration. Each Exchangeable Share is exchangeable into one share of PENN Common Stock at the option of the holder, subject to certain adjustments. Upon the acquisition of theScore, certain employees of theScore elected to have their outstanding equity awards, which were assumed under theScore plan (as defined below), issued as Exchangeable Shares, once the shares vest or are exercised. In addition, the Company may redeem all outstanding Exchangeable Shares in exchange for shares of PENN common stock at any time following the fifth anniversary of the closing, or earlier under certain circumstances.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issued no Exchangeable Shares during the three months ended June 30, 2023. During the six months ended June 30, 2023, we issued 2,854 Exchangeable Shares. No Exchangeable Shares were issued during the three and six months ended June 30, 2022. As of both June 30, 2023 and December 31, 2022, there were 768,441 Exchangeable Shares authorized, of which 560,388 shares and 620,019 shares were outstanding, respectively.</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Share Repurchase Authorization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we completed our $750.0 million share repurchase authorization approved by the Board of Directors on February 1, 2022 (the “February 2022 Authorization”).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2022, a second share repurchase program was authorized for an additional $750.0 million (the “December 2022 Authorization”). The December 2022 Authorization expires on December 31, 2025.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utilized the capacity under the February 2022 Authorization prior to effecting any repurchases under the December 2022 Authorization. Repurchases by the Company are subject to available liquidity, general market and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conditions, alternate uses for the capital and other factors. Share repurchases may be made from time to time through a Rule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respectively, the Company repurchased 3,791,258 and 5,438,221 shares of its common stock in open market transactions for $99.8 million and $149.8 million, at an average price of $26.31 and $27.54 per share under the February 2022 and December 2022 Authorizations.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2022, the Company repurchased 5,539,177 and 9,341,585 shares of its common stock in open market transactions for $167.0 million and $342.1 million, at an average price of $30.16 and $36.62 per share under the February 2022 Authorization.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all repurchased shares is recorded as “Treasury stock” within our unaudited Consolidated Balance Sheets.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 shares of the Company’s common stock were repurchased subsequent to the quarter ended June 30, 2023. As of August 8, 2023, the remaining availability under our December 2022 Authorization was $749.5 million.</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2022 Long Term Incentive Compensation Plan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7, 2022, the Company’s shareholders, upon the recommendation of the Company’s Board of Directors, approved the Company’s 2022 Long Term Incentive Compensation Plan (the “2022 Plan”). The 2022 Plan authorizes the Company to issue stock options (incentive and/or non-qualified), stock appreciation rights (“SARs”), restricted stock (shares and/or units), performance awards (shares and/or units), and cash awards to executive officers, non-employee directors, other employees, consultants, and advisors of the Company and its subsidiaries. Non-employee directors and consultants are eligible to receive all such awards, other than incentive stock options. Pursuant to the 2022 Plan, an initial 6,870,000 shares of the Company’s common stock were reserved for issuance, plus any shares of common stock subject to outstanding awards under both the previous 2018 Long Term Incentive Compensation Plan, as amended (“2018 Plan”) and the Score Media and Gaming Inc. Second Amended and Restated Stock Option and Restricted Stock Unit Plan (the “theScore Plan”) as of June 7, 2022, and outstanding awards that are forfeited or settled for cash under each of the prior plans.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6, 2023, the Company’s shareholders, upon the recommendation of the Company’s Board of Directors, approved an amendment to the 2022 Plan (as amended, the “2022 Amended Plan”), which increased the number of shares reserved for issuance under the plan by 7,000,000 shares to 13,870,000 shares. For purposes of determining the number of shares available for issuance under the 2022 Amended Plan, stock options, restricted stock and all other equity settled awards count against the 13,870,000 share limit as one share of common stock for each share granted. Any awards that are not settled in shares of common stock are not counted against the share limit. As of June 30, 2023, there are 10,974,710 shares available for future grants under the 2022 Amended Plan.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Performance Share Program</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performance share programs were adopted to provide our NEOs and certain other key executives with stock-based compensation tied directly to the Company’s performance, which further aligns their interests with our shareholders and provides compensation only if the designated performance goals are met for the applicable performance periods.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aggregate of 461,747 and 244,955 restricted units with performance-based vesting conditions, at target, were granted during the six months ended June 30, 2023 and 2022, respectively. Restricted performance units granted prior to the adoption of the 2022 Plan were awarded under a performance share program (“the Performance Share Program II”). Subsequent restricted performance units are governed by the 2022 Plan. Restricted performance units consist of three one-year performance periods over a three-year service period. The awards have the potential to be earned at between 0% and 150% of the number of shares granted depending on achievement of the annual performance goals, and remain subject to vesting for the full three-year service period.</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during the six months ended June 30, 2023, the Company granted employees of theScore 202,518 restricted units with performance-based vesting conditions that are dependent on the achievement of certain milestones. The awards have the potential to be earned at between 0% and 100% and consist of two, one-year performance periods, each containing an applicable milestone. The awards also contain a one-year vesting requirement and vesting is subject to: (a) the satisfaction of the milestones on or before the applicable expiration date and (b) continued service through the date on which the respective portion of the awards vests.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which pertains principally to our stock options and restricted stock, including restricted stock with performance conditions, was $19.7 million and $36.2 million for the three and six months ended June 30, 2023 as compared to $14.5 million and $31.5 million for the three and six months ended June 30, 2022 and is included within the unaudited Consolidated Statements of Operations under “General and administrative.”</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granted 2,362 and 840,235 stock options during the three and six months ended June 30, 2023 respectively, as compared to 3,316 and 396,365 for the three and six months ended June 30, 2022 respectively.</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Cash-settled Phantom Stock Units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outstanding phantom stock units (“CPUs”), are settled in cash and entitle plan recipients to receive a cash payment based on the fair value of the Company’s common stock which is based on the closing stock price of the trading day preceding the vest date. Our CPUs vest over a period of one to four years. The CPUs are accounted for as liability awards and are re-measured at fair value each reporting period until they become vested with compensation expense being recognized over the requisite service period. The Company has a liability, which is included in “Accrued expenses and other current liabilities” within the unaudited Consolidated Balance Sheets, associated with its cash-settled CPUs of $1.7 million and $2.1 million as of June 30, 2023 and December 31, 2022, respectively.</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a total of $2.3 million unrecognized compensation cost related to CPUs that will be recognized over the awards remaining weighted-average vesting period of 0.8 years. For the three and six months ended June 30, 2023, the Company recognized $0.9 million and $1.6 million of compensation expense associated with these awards, respectively, as compared to $0.8 million and $1.4 million for the three and six months ended June 30, 2022. Compensation expense associated with our CPUs is recorded in “General and administrative” within the unaudited Consolidated Statements of Operations. We paid $2.0 million and $8.0 million for the six months ended June 30, 2023 and 2022, respectively, pertaining to cash-settled CPUs.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Stock Appreciation Rights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outstanding SARs are settled in cash and are accounted for as liability awards, and generally vest over a period of four years. The fair value of cash-settled SARs is calculated each reporting period and estimated using the Black-Scholes option pricing model. The Company has a liability, which is included in “Accrued expenses and other current liabilities” within the unaudited Consolidated Balance Sheets, associated with its cash-settled SARs of $5.7 million and $9.2 million as of June 30, 2023 and December 31, 2022, respectively.</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SARs held by employees of the Company, there was $2.4 million of total unrecognized compensation cost as of June 30, 2023 that will be recognized over the awards remaining weighted-average vesting period of 1.7 years. The Company recognized a reduction to compensation expense of $3.6 million and $3.7 million for the three and six months ended June 30, 2023, as compared to a reduction to compensation expense of $6.8 million for the three and six months ended June 30, 2022. Compensation expense associated with our SARs is recorded in “General and administrative” within the unaudited Consolidated Statements of Operations. We paid $0.6 million and $2.1 million during the six months ended June 30, 2023 and 2022, respectively, related to cash-settled SARs.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2021, the Company entered into two promissory notes with shareholders for a total of $9.0 million. The promissory notes were unsecured with interest of 2.25%. During the first quarter of 2023, the outstanding loan balance was settled and recorded as an increase of equity within “Additional paid-in capital” in our unaudited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Note 14—Earnings per Share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and 2022 we recorded net income attributable to PENN. As such, we used diluted weighted-average common shares outstanding when calculating diluted income per share. Stock options, restricted stock, convertible preferred shares and convertible debt that could potentially dilute basic EPS in the future are included in the computation of diluted income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allocation of net income for the three and six months ended June 30, 2023 and 2022 under the two-class method.</w:t>
      </w:r>
    </w:p>
    <w:tbl>
      <w:tblPr>
        <w:tblW w:w="10205" w:type="dxa"/>
        <w:jc w:val="left"/>
        <w:tblInd w:w="0" w:type="dxa"/>
        <w:tblLayout w:type="fixed"/>
        <w:tblCellMar>
          <w:top w:w="28" w:type="dxa"/>
          <w:left w:w="28" w:type="dxa"/>
          <w:bottom w:w="28" w:type="dxa"/>
          <w:right w:w="28" w:type="dxa"/>
        </w:tblCellMar>
      </w:tblPr>
      <w:tblGrid>
        <w:gridCol w:w="1392"/>
        <w:gridCol w:w="1219"/>
        <w:gridCol w:w="1232"/>
        <w:gridCol w:w="327"/>
        <w:gridCol w:w="792"/>
        <w:gridCol w:w="168"/>
        <w:gridCol w:w="168"/>
        <w:gridCol w:w="168"/>
        <w:gridCol w:w="168"/>
        <w:gridCol w:w="327"/>
        <w:gridCol w:w="792"/>
        <w:gridCol w:w="168"/>
        <w:gridCol w:w="109"/>
        <w:gridCol w:w="109"/>
        <w:gridCol w:w="109"/>
        <w:gridCol w:w="291"/>
        <w:gridCol w:w="850"/>
        <w:gridCol w:w="149"/>
        <w:gridCol w:w="149"/>
        <w:gridCol w:w="149"/>
        <w:gridCol w:w="149"/>
        <w:gridCol w:w="291"/>
        <w:gridCol w:w="704"/>
        <w:gridCol w:w="225"/>
      </w:tblGrid>
      <w:tr>
        <w:trPr/>
        <w:tc>
          <w:tcPr>
            <w:tcW w:w="139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3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PENN Entertainment</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applicable to preferred stock</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applicable to common stock</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weighted-average common shares outstanding used in the calculation of basic EPS to the weighted-average common shares outstanding used in the calculation of diluted EPS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531"/>
        <w:gridCol w:w="1343"/>
        <w:gridCol w:w="1353"/>
        <w:gridCol w:w="350"/>
        <w:gridCol w:w="333"/>
        <w:gridCol w:w="303"/>
        <w:gridCol w:w="303"/>
        <w:gridCol w:w="303"/>
        <w:gridCol w:w="303"/>
        <w:gridCol w:w="350"/>
        <w:gridCol w:w="333"/>
        <w:gridCol w:w="303"/>
        <w:gridCol w:w="109"/>
        <w:gridCol w:w="109"/>
        <w:gridCol w:w="109"/>
        <w:gridCol w:w="318"/>
        <w:gridCol w:w="314"/>
        <w:gridCol w:w="277"/>
        <w:gridCol w:w="277"/>
        <w:gridCol w:w="277"/>
        <w:gridCol w:w="277"/>
        <w:gridCol w:w="318"/>
        <w:gridCol w:w="314"/>
        <w:gridCol w:w="398"/>
      </w:tblGrid>
      <w:tr>
        <w:trPr/>
        <w:tc>
          <w:tcPr>
            <w:tcW w:w="15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common shares outstanding</w:t>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w:t>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stock options</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restricted stock</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common shares outstanding - Diluted</w:t>
            </w:r>
          </w:p>
        </w:tc>
        <w:tc>
          <w:tcPr>
            <w:tcW w:w="6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with performance and market based vesting conditions that have not been met as of June 30, 2023 were excluded from the computation of diluted EPS.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1.8 million and 1.7 million shares were outstanding during the three and six months ended June 30, 2023, compared to 0.9 million and 0.8 million during the three and six months ended June 30, 2022, but were not included in the computation of diluted EPS because they were anti-dilutive.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assumed conversion of 0.4 million preferred shares were excluded from the computation of diluted EPS for each of the three and six months ended June 30, 2023, as compared to 0.6 million preferred shares for each of the three and six months ended June 30, 2022, because including them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The Company’s calculation of weighted-average common shares outstanding includes the Exchangeable Shares as discussed </w:t>
      </w:r>
      <w:hyperlink w:anchor="i7f5745e410cd4baaad4ca320a657bd0b_91">
        <w:r>
          <w:rPr>
            <w:rStyle w:val="InternetLink"/>
            <w:rFonts w:ascii="Times New Roman;sans-serif" w:hAnsi="Times New Roman;sans-serif"/>
            <w:b w:val="false"/>
            <w:color w:val="0000FF"/>
            <w:sz w:val="20"/>
            <w:u w:val="single"/>
          </w:rPr>
          <w:t>Note 13, “Stockholders’ Equity and Stock-Based Compensation.”</w:t>
        </w:r>
      </w:hyperlink>
      <w:r>
        <w:rPr>
          <w:color w:val="000000"/>
        </w:rPr>
        <w:t xml:space="preserve"> </w:t>
      </w:r>
      <w:r>
        <w:rPr>
          <w:rFonts w:ascii="Times New Roman;sans-serif" w:hAnsi="Times New Roman;sans-serif"/>
          <w:b w:val="false"/>
          <w:color w:val="000000"/>
          <w:sz w:val="20"/>
        </w:rPr>
        <w:t>The following table presents the calculation of basic and diluted EPS for the Company’s common stock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661"/>
        <w:gridCol w:w="1272"/>
        <w:gridCol w:w="1283"/>
        <w:gridCol w:w="304"/>
        <w:gridCol w:w="737"/>
        <w:gridCol w:w="156"/>
        <w:gridCol w:w="156"/>
        <w:gridCol w:w="156"/>
        <w:gridCol w:w="156"/>
        <w:gridCol w:w="304"/>
        <w:gridCol w:w="737"/>
        <w:gridCol w:w="156"/>
        <w:gridCol w:w="109"/>
        <w:gridCol w:w="109"/>
        <w:gridCol w:w="109"/>
        <w:gridCol w:w="275"/>
        <w:gridCol w:w="804"/>
        <w:gridCol w:w="141"/>
        <w:gridCol w:w="141"/>
        <w:gridCol w:w="141"/>
        <w:gridCol w:w="141"/>
        <w:gridCol w:w="275"/>
        <w:gridCol w:w="666"/>
        <w:gridCol w:w="216"/>
      </w:tblGrid>
      <w:tr>
        <w:trPr/>
        <w:tc>
          <w:tcPr>
            <w:tcW w:w="166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 except per share data)</w:t>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Calculation of basic earnings per share:</w:t>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applicable to common stock</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PENN Entertainment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Exchangeable Shares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basic</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Calculation of diluted earnings per share:</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applicable to common stock</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net of tax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applicable to common stock</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diluted</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(1)The three and six months ended June 30, 2023 and 2022 were tax-affected at a rate of 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15—Fair Value Measurements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ASC Topic 820, “Fair Value Measurements and Disclosures,” establishes a hierarchy that prioritizes fair value measurements based on the types of inputs used for the various valuation techniques (market approach, income approach, and cost approach). The levels of the hierarchy are described below:</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Level 1: Observable inputs such as quoted prices in active markets for identical assets or liabilities.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Level 3: Unobservable inputs that reflect the reporting entity’s own assumptions, as there is little, if any, related market activity.</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assessment of the significance of a particular input to the fair value measurement requires judgment and may affect the valuation of assets and liabilities and their placement within the fair value hierarchy. The following methods and assumptions are used to estimate the fair value of each class of financial instruments for which it is practicable to estimate. The fair value of the Company’s trade accounts receivable and payables approximates the carrying amounts.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cash and cash equivalents approximates their carrying amount, due to the short maturity of the cash equivalents.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Equity Securities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we held $20.2 million and $17.1 million in equity securities of ordinary shares, respectively, which are reported as “Other assets” in our unaudited Consolidated Balance Sheets. These equity securities are the result of PENN Interactive entering into multi-year agreements with third-party online sports betting and/or iCasino operators for online sports betting and iCasino market access across our portfolio.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we recognized unrealized holding gains of $6.3 million and $3.1 million related to these equity securities, respectively, compared to unrealized holding losses of $16.9 million and $55.6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2022, which is included in “Other,” as reported in “Other income (expenses)” within our unaudited Consolidated Statements of Operations.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equity securities was determined using Level 2 inputs, which use market approach valuation techniques. The primary inputs to those techniques include the quoted market price of the equity securities and foreign currency exchange rates.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Available-for-Sale Debt Securities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acquired 12.0% secured convertible notes on April 7, 2023 for $20.0 million, due on the third-year anniversary of the date of issuance, which are reported in “Other assets” in our unaudited Consolidated Balance Sheets. The terms contain optional and mandatory conversion provisions pursuant to which we will receive common stock upon conversion. As of June 30, 2023, the fair value of the convertible notes approximates the transaction price, as such we did not record any unrealized gains or losses to “Other comprehensive income (loss)” within our unaudited Consolidated Statements of Comprehensive Income (Loss).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convertible notes was determined using a binomial lattice model and is categorized as a Level 3 measurement.</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Held-to-Maturity Securities and Promissory Notes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a management contract with Retama Development Corporation (“RDC”), a local government corporation of the City of Selma, Texas, to manage the day-to-day operations of Retama Park Racetrack, located outside of San Antonio, Texas. In addition, we own 1.0% of the equity of Retama Nominal Holder, LLC, which holds a nominal interest in the racing license used to operate Retama Park Racetrack, and a 75.5% interest in Pinnacle Retama Partners, LLC (“PRP”), which owns the contingent gaming rights that may arise if gaming under the existing racing license becomes legal in Texas in the future.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PRP held $7.9 million in promissory notes issued by RDC and $6.7 million in local government corporation bonds issued by RDC, at amortized cost. The promissory notes and the local government corporation bonds are collateralized by the assets of Retama Park Racetrack. As of June 30, 2023 and December 31, 2022, the promissory notes and the local government corporation bonds were included in “Other assets” within our unaudited Consolidated Balance Sheets.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contractual terms of these promissory notes include interest payments due at maturity; however, we have not recorded accrued interest on these promissory notes because uncertainty exists as to RDC’s ability to make interest payments. We have the positive intent and ability to hold the local government corporation bonds to maturity and until the amortized cost is recovered. The estimated fair values of such investments are principally based on appraised values of the land associated with Retama Park Racetrack, which are classified as Level 2 inputs.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Long-term Debt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Amended Term Loan A Facility, Amended Term Loan B Facility, 5.625% Notes, 4.125% Notes, and the Convertible Notes is estimated based on quoted prices in active markets and is classified as a Level 1 measurement. </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Other long-term obligations as of June 30, 2023 and December 31, 2022 included a financing arrangement entered in February of 2021, the relocation fees for Dayton and Mahoning Valley, and the repayment obligation of the hotel and event center located near Hollywood Casino Lawrenceburg. See </w:t>
      </w:r>
      <w:hyperlink w:anchor="i7f5745e410cd4baaad4ca320a657bd0b_67">
        <w:r>
          <w:rPr>
            <w:rStyle w:val="InternetLink"/>
            <w:rFonts w:ascii="Times New Roman;sans-serif" w:hAnsi="Times New Roman;sans-serif"/>
            <w:b w:val="false"/>
            <w:color w:val="0000FF"/>
            <w:sz w:val="20"/>
            <w:u w:val="single"/>
          </w:rPr>
          <w:t>Note 8, “Long-term Debt”</w:t>
        </w:r>
      </w:hyperlink>
      <w:r>
        <w:rPr>
          <w:color w:val="000000"/>
        </w:rPr>
        <w:t xml:space="preserve"> </w:t>
      </w:r>
      <w:r>
        <w:rPr>
          <w:rFonts w:ascii="Times New Roman;sans-serif" w:hAnsi="Times New Roman;sans-serif"/>
          <w:b w:val="false"/>
          <w:color w:val="000000"/>
          <w:sz w:val="20"/>
        </w:rPr>
        <w:t xml:space="preserve">for details. The fair values of the Dayton and Mahoning Valley relocation fees and the Lawrenceburg repayment obligation are estimated based on rates consistent with the Company’s credit rating for comparable terms and debt instruments and are classified as Level 2 measurements. </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Additionally, in February 2021, we entered into a third-party financing arrangement providing the Company with upfront cash proceeds while permitting us to participate in future proceeds on certain claims. The financing obligation has been classified as a non-current liability and the fair value of the financing obligation is based on what we expect to be settled in a future period of which the principal is contingent and predicated on other events, plus accreted period non-cash interest using an effective interest rate of 27.0% until the claims and related obligation is settled. The financing obligation has been classified as a Level 3 measurement and is included within our unaudited Consolidated Balance Sheets in “Long-term debt, net of current maturities, debt discount and debt issuance costs.” See </w:t>
      </w:r>
      <w:hyperlink w:anchor="i7f5745e410cd4baaad4ca320a657bd0b_67">
        <w:r>
          <w:rPr>
            <w:rStyle w:val="InternetLink"/>
            <w:rFonts w:ascii="Times New Roman;sans-serif" w:hAnsi="Times New Roman;sans-serif"/>
            <w:b w:val="false"/>
            <w:color w:val="0000FF"/>
            <w:sz w:val="20"/>
            <w:u w:val="single"/>
          </w:rPr>
          <w:t>Note 8, “Long-term Debt.”</w:t>
        </w:r>
      </w:hyperlink>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Other Liabilities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as of June 30, 2023 and December 31, 2022 includes contingent purchase price liabilities related to Plainridge Park Casino and Hitpoint, of which Hitpoint was acquired on May 11, 2021. The Hitpoint contingent purchase price liability is payable in installments up to a maximum of $1.0 million in the form of cash and equity, on the first three anniversaries of the acquisition close date and is based on the achievement of mutual goals established by the Company and Hitpoint. As of June 30, 2023, there is one annual achievement period remaining. The Plainridge Park Casino contingent purchase price liability is calculated based on earnings of the gaming operations over the first ten years of operations, which commenced on June 24, 2015. As of June 30, 2023, we were contractually obligated to make three additional annual payments. The fair value of the Plainridge Park Casino contingent purchase price liability is estimated based on an income approach using a discounted cash flow model. These contingent purchase price liabilities have been classified as a Level 3 measurement and are included within our unaudited Consolidated Balance Sheets in “Accrued expenses and other current liabilities” or “Other long-term liabilities,” depending on the timing of the next payment.</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estimated fair values by input level of the Company’s financial instruments were as follows:</w:t>
      </w:r>
    </w:p>
    <w:tbl>
      <w:tblPr>
        <w:tblW w:w="9701" w:type="dxa"/>
        <w:jc w:val="left"/>
        <w:tblInd w:w="0" w:type="dxa"/>
        <w:tblLayout w:type="fixed"/>
        <w:tblCellMar>
          <w:top w:w="28" w:type="dxa"/>
          <w:left w:w="28" w:type="dxa"/>
          <w:bottom w:w="28" w:type="dxa"/>
          <w:right w:w="28" w:type="dxa"/>
        </w:tblCellMar>
      </w:tblPr>
      <w:tblGrid>
        <w:gridCol w:w="1012"/>
        <w:gridCol w:w="887"/>
        <w:gridCol w:w="891"/>
        <w:gridCol w:w="314"/>
        <w:gridCol w:w="1143"/>
        <w:gridCol w:w="162"/>
        <w:gridCol w:w="109"/>
        <w:gridCol w:w="109"/>
        <w:gridCol w:w="109"/>
        <w:gridCol w:w="211"/>
        <w:gridCol w:w="766"/>
        <w:gridCol w:w="109"/>
        <w:gridCol w:w="109"/>
        <w:gridCol w:w="109"/>
        <w:gridCol w:w="109"/>
        <w:gridCol w:w="211"/>
        <w:gridCol w:w="766"/>
        <w:gridCol w:w="109"/>
        <w:gridCol w:w="109"/>
        <w:gridCol w:w="109"/>
        <w:gridCol w:w="109"/>
        <w:gridCol w:w="211"/>
        <w:gridCol w:w="511"/>
        <w:gridCol w:w="109"/>
        <w:gridCol w:w="109"/>
        <w:gridCol w:w="109"/>
        <w:gridCol w:w="109"/>
        <w:gridCol w:w="211"/>
        <w:gridCol w:w="616"/>
        <w:gridCol w:w="154"/>
      </w:tblGrid>
      <w:tr>
        <w:trPr/>
        <w:tc>
          <w:tcPr>
            <w:tcW w:w="10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 securities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Promissory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Credit Facilities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4.125% Notes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93"/>
        <w:gridCol w:w="1067"/>
        <w:gridCol w:w="1044"/>
        <w:gridCol w:w="292"/>
        <w:gridCol w:w="1063"/>
        <w:gridCol w:w="150"/>
        <w:gridCol w:w="109"/>
        <w:gridCol w:w="109"/>
        <w:gridCol w:w="109"/>
        <w:gridCol w:w="211"/>
        <w:gridCol w:w="766"/>
        <w:gridCol w:w="109"/>
        <w:gridCol w:w="109"/>
        <w:gridCol w:w="109"/>
        <w:gridCol w:w="109"/>
        <w:gridCol w:w="211"/>
        <w:gridCol w:w="766"/>
        <w:gridCol w:w="109"/>
        <w:gridCol w:w="109"/>
        <w:gridCol w:w="109"/>
        <w:gridCol w:w="109"/>
        <w:gridCol w:w="211"/>
        <w:gridCol w:w="511"/>
        <w:gridCol w:w="109"/>
        <w:gridCol w:w="109"/>
        <w:gridCol w:w="109"/>
        <w:gridCol w:w="109"/>
        <w:gridCol w:w="211"/>
        <w:gridCol w:w="616"/>
        <w:gridCol w:w="158"/>
      </w:tblGrid>
      <w:tr>
        <w:trPr/>
        <w:tc>
          <w:tcPr>
            <w:tcW w:w="129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 securities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Promissory notes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Credit Facilities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Notes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4.125% Notes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Puts and calls related to certain Barstool shares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fair value of our Level 3 assets and liabilities measured on a recurring basis:</w:t>
      </w:r>
    </w:p>
    <w:tbl>
      <w:tblPr>
        <w:tblW w:w="5145" w:type="dxa"/>
        <w:jc w:val="left"/>
        <w:tblInd w:w="0" w:type="dxa"/>
        <w:tblLayout w:type="fixed"/>
        <w:tblCellMar>
          <w:top w:w="28" w:type="dxa"/>
          <w:left w:w="28" w:type="dxa"/>
          <w:bottom w:w="28" w:type="dxa"/>
          <w:right w:w="28" w:type="dxa"/>
        </w:tblCellMar>
      </w:tblPr>
      <w:tblGrid>
        <w:gridCol w:w="968"/>
        <w:gridCol w:w="850"/>
        <w:gridCol w:w="852"/>
        <w:gridCol w:w="531"/>
        <w:gridCol w:w="1554"/>
        <w:gridCol w:w="390"/>
      </w:tblGrid>
      <w:tr>
        <w:trPr/>
        <w:tc>
          <w:tcPr>
            <w:tcW w:w="96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Assets and Liabilities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2023</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2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installments</w:t>
            </w:r>
          </w:p>
        </w:tc>
        <w:tc>
          <w:tcPr>
            <w:tcW w:w="2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Included in earnings</w:t>
            </w:r>
            <w:r>
              <w:rPr>
                <w:color w:val="000000"/>
              </w:rPr>
              <w:t xml:space="preserve"> </w:t>
            </w:r>
            <w:r>
              <w:rPr>
                <w:rFonts w:ascii="Times New Roman;sans-serif" w:hAnsi="Times New Roman;sans-serif"/>
                <w:b w:val="false"/>
                <w:color w:val="000000"/>
                <w:sz w:val="13"/>
              </w:rPr>
              <w:t>(1)</w:t>
            </w:r>
          </w:p>
        </w:tc>
        <w:tc>
          <w:tcPr>
            <w:tcW w:w="2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as of June 30, 2023</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expense is included in “General and administrative” within our unaudited Consolidated Statements of Operations.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significant unobservable inputs used in calculating fair value for our Level 3 assets and liabilities on a recurring basis as of June 30, 2023:</w:t>
      </w:r>
    </w:p>
    <w:tbl>
      <w:tblPr>
        <w:tblW w:w="9892" w:type="dxa"/>
        <w:jc w:val="left"/>
        <w:tblInd w:w="0" w:type="dxa"/>
        <w:tblLayout w:type="fixed"/>
        <w:tblCellMar>
          <w:top w:w="28" w:type="dxa"/>
          <w:left w:w="28" w:type="dxa"/>
          <w:bottom w:w="28" w:type="dxa"/>
          <w:right w:w="28" w:type="dxa"/>
        </w:tblCellMar>
      </w:tblPr>
      <w:tblGrid>
        <w:gridCol w:w="1549"/>
        <w:gridCol w:w="1362"/>
        <w:gridCol w:w="1364"/>
        <w:gridCol w:w="624"/>
        <w:gridCol w:w="624"/>
        <w:gridCol w:w="626"/>
        <w:gridCol w:w="109"/>
        <w:gridCol w:w="109"/>
        <w:gridCol w:w="109"/>
        <w:gridCol w:w="589"/>
        <w:gridCol w:w="589"/>
        <w:gridCol w:w="591"/>
        <w:gridCol w:w="109"/>
        <w:gridCol w:w="109"/>
        <w:gridCol w:w="109"/>
        <w:gridCol w:w="386"/>
        <w:gridCol w:w="386"/>
        <w:gridCol w:w="548"/>
      </w:tblGrid>
      <w:tr>
        <w:trPr/>
        <w:tc>
          <w:tcPr>
            <w:tcW w:w="154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Discount Rate</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w:t>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purchase price - Plainridge Park Casino</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16—Segment Information</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We have aggregated our operating segments into five reportable segments. Retail operating segments are based on the similar characteristics within the regions in which they operate: Northeast, South, West, and Midwest. Our Interactive segment includes all of our online sports betting, iCasino and social gaming operations, management of retail sports betting, media, and the operating results of Barstool (the remaining 64% of Barstool common stock, not already owned by PENN, was acquired on February 17, 2023, as discussed in </w:t>
      </w:r>
      <w:hyperlink w:anchor="i7f5745e410cd4baaad4ca320a657bd0b_55">
        <w:r>
          <w:rPr>
            <w:rStyle w:val="InternetLink"/>
            <w:rFonts w:ascii="Times New Roman;sans-serif" w:hAnsi="Times New Roman;sans-serif"/>
            <w:b w:val="false"/>
            <w:color w:val="0000FF"/>
            <w:sz w:val="20"/>
            <w:u w:val="single"/>
          </w:rPr>
          <w:t>Note 6, “Acquisitions and Dispositions”</w:t>
        </w:r>
      </w:hyperlink>
      <w:r>
        <w:rPr>
          <w:rFonts w:ascii="Times New Roman;sans-serif" w:hAnsi="Times New Roman;sans-serif"/>
          <w:b w:val="false"/>
          <w:color w:val="000000"/>
          <w:sz w:val="20"/>
        </w:rPr>
        <w:t>). The Other category is included in the following tables to reconcile the segment information to the consolidated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utilizes Adjusted EBITDAR (as defined below) as its measure of segment profit or loss. The following table highlights our revenues and Adjusted EBITDAR for each reportable segment and reconciles Adjusted EBITDAR on a consolidated basis to net income.</w:t>
      </w:r>
    </w:p>
    <w:tbl>
      <w:tblPr>
        <w:tblW w:w="10205" w:type="dxa"/>
        <w:jc w:val="left"/>
        <w:tblInd w:w="0" w:type="dxa"/>
        <w:tblLayout w:type="fixed"/>
        <w:tblCellMar>
          <w:top w:w="28" w:type="dxa"/>
          <w:left w:w="28" w:type="dxa"/>
          <w:bottom w:w="28" w:type="dxa"/>
          <w:right w:w="28" w:type="dxa"/>
        </w:tblCellMar>
      </w:tblPr>
      <w:tblGrid>
        <w:gridCol w:w="1569"/>
        <w:gridCol w:w="1263"/>
        <w:gridCol w:w="1234"/>
        <w:gridCol w:w="249"/>
        <w:gridCol w:w="905"/>
        <w:gridCol w:w="128"/>
        <w:gridCol w:w="128"/>
        <w:gridCol w:w="128"/>
        <w:gridCol w:w="128"/>
        <w:gridCol w:w="249"/>
        <w:gridCol w:w="905"/>
        <w:gridCol w:w="128"/>
        <w:gridCol w:w="109"/>
        <w:gridCol w:w="109"/>
        <w:gridCol w:w="109"/>
        <w:gridCol w:w="236"/>
        <w:gridCol w:w="861"/>
        <w:gridCol w:w="122"/>
        <w:gridCol w:w="122"/>
        <w:gridCol w:w="122"/>
        <w:gridCol w:w="122"/>
        <w:gridCol w:w="236"/>
        <w:gridCol w:w="861"/>
        <w:gridCol w:w="182"/>
      </w:tblGrid>
      <w:tr>
        <w:trPr/>
        <w:tc>
          <w:tcPr>
            <w:tcW w:w="156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4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millions)</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 segment</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segment</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segment</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Midwest segment</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Interactive segment</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Intersegment eliminations </w:t>
            </w:r>
            <w:r>
              <w:rPr>
                <w:rFonts w:ascii="Times New Roman;sans-serif" w:hAnsi="Times New Roman;sans-serif"/>
                <w:b w:val="false"/>
                <w:color w:val="000000"/>
                <w:sz w:val="13"/>
              </w:rPr>
              <w:t>(2)</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Adjusted EBITDAR </w:t>
            </w:r>
            <w:r>
              <w:rPr>
                <w:rFonts w:ascii="Times New Roman;sans-serif" w:hAnsi="Times New Roman;sans-serif"/>
                <w:b/>
                <w:color w:val="000000"/>
                <w:sz w:val="13"/>
              </w:rPr>
              <w:t>(3)</w:t>
            </w:r>
            <w:r>
              <w:rPr>
                <w:rFonts w:ascii="Times New Roman;sans-serif" w:hAnsi="Times New Roman;sans-serif"/>
                <w:b/>
                <w:color w:val="000000"/>
                <w:sz w:val="20"/>
              </w:rPr>
              <w:t>:</w:t>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 segment</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segment</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segment</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Midwest segment </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Interactive segment</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Total </w:t>
            </w:r>
            <w:r>
              <w:rPr>
                <w:rFonts w:ascii="Times New Roman;sans-serif" w:hAnsi="Times New Roman;sans-serif"/>
                <w:b/>
                <w:color w:val="000000"/>
                <w:sz w:val="13"/>
              </w:rPr>
              <w:t>(3)</w:t>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benefits (costs) and other income (expenses):</w:t>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Rent expense associated with triple net operating leases</w:t>
            </w:r>
            <w:r>
              <w:rPr>
                <w:color w:val="000000"/>
              </w:rPr>
              <w:t xml:space="preserve"> </w:t>
            </w:r>
            <w:r>
              <w:rPr>
                <w:rFonts w:ascii="Times New Roman;sans-serif" w:hAnsi="Times New Roman;sans-serif"/>
                <w:b w:val="false"/>
                <w:color w:val="000000"/>
                <w:sz w:val="13"/>
              </w:rPr>
              <w:t>(4)</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Cash-settled stock-based awards variance</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purchase price</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recoveries, net of deductible charges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Non-operating items of equity method investments </w:t>
            </w:r>
            <w:r>
              <w:rPr>
                <w:rFonts w:ascii="Times New Roman;sans-serif" w:hAnsi="Times New Roman;sans-serif"/>
                <w:b w:val="false"/>
                <w:color w:val="000000"/>
                <w:sz w:val="13"/>
              </w:rPr>
              <w:t>(5)</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Gain on Barstool Acquisition, net </w:t>
            </w:r>
            <w:r>
              <w:rPr>
                <w:rFonts w:ascii="Times New Roman;sans-serif" w:hAnsi="Times New Roman;sans-serif"/>
                <w:b w:val="false"/>
                <w:color w:val="000000"/>
                <w:sz w:val="13"/>
              </w:rPr>
              <w:t>(6)</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Gain on REIT transactions, net </w:t>
            </w:r>
            <w:r>
              <w:rPr>
                <w:rFonts w:ascii="Times New Roman;sans-serif" w:hAnsi="Times New Roman;sans-serif"/>
                <w:b w:val="false"/>
                <w:color w:val="000000"/>
                <w:sz w:val="13"/>
              </w:rPr>
              <w:t>(7)</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(8)</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(1)The Other category consists of the Company’s stand-alone racing operations, namely Sanford-Orlando Kennel Club, Sam Houston and Valley Race Park, the Company’s joint venture interests in Freehold Raceway, and our management contract for Retama Park Racetrack. The Other category also includes corporate overhead costs, which consist of certain expenses, such as: payroll, professional fees, travel expenses and other general and administrative expenses that do not directly relate or have not otherwise been allocated. Corporate overhead costs were $24.8 million and $51.1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60"/>
        <w:jc w:val="left"/>
        <w:rPr>
          <w:rFonts w:ascii="Times New Roman;sans-serif" w:hAnsi="Times New Roman;sans-serif"/>
          <w:b w:val="false"/>
          <w:color w:val="000000"/>
          <w:sz w:val="16"/>
        </w:rPr>
      </w:pPr>
      <w:r>
        <w:rPr>
          <w:rFonts w:ascii="Times New Roman;sans-serif" w:hAnsi="Times New Roman;sans-serif"/>
          <w:b w:val="false"/>
          <w:color w:val="000000"/>
          <w:sz w:val="16"/>
        </w:rPr>
        <w:t>million for the three and six months ended June 30, 2023, respectively, as compared to $23.6 million and $48.4 million for the three and six months ended June 30, 2022, respectively.</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(3)We define Adjusted EBITDAR as earnings before interest expense, net, interest income, income taxes, depreciation and amortization, rent expense associated with triple net operating leases (see footnote (4)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non-cash gains/losses associated with REIT transactions; non-cash gains/losses associated with partial and step acquisitions as measured in accordance with ASC 805 “Business Combinations”; and other. Adjusted EBITDAR is also inclusive of income or loss from unconsolidated affiliates, with our share of non-operating items (see footnote (5) below) added back for Barstool and our Kansas Entertainment joint venture.</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(4)For the three and six months ended June 30, 2023, pertains to the operating lease components contained within the: (i) AR PENN Master Lease; (ii) 2023 Master Lease; (iii) Margaritaville Lease; and (iv) Greektown Lease.</w:t>
      </w:r>
    </w:p>
    <w:p>
      <w:pPr>
        <w:pStyle w:val="TextBody"/>
        <w:bidi w:val="0"/>
        <w:spacing w:lineRule="auto" w:line="288" w:before="0" w:after="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For the three and six months ended June 30, 2022, pertains to the operating lease components contained within the (i) PENN Master Lease (specific to the land and building components associated with the operations of Dayton and Mahoning Valley); (ii) Meadows Lease; (iii) Margaritaville Lease; (iv) Greektown Lease; and (v) Tropicana Lease (which terminated on September 26, 2022). </w:t>
      </w:r>
    </w:p>
    <w:p>
      <w:pPr>
        <w:pStyle w:val="TextBody"/>
        <w:bidi w:val="0"/>
        <w:spacing w:lineRule="auto" w:line="288" w:before="0" w:after="60"/>
        <w:ind w:left="0" w:right="0" w:hanging="360"/>
        <w:jc w:val="left"/>
        <w:rPr/>
      </w:pPr>
      <w:r>
        <w:rPr>
          <w:rFonts w:ascii="Times New Roman;sans-serif" w:hAnsi="Times New Roman;sans-serif"/>
          <w:b w:val="false"/>
          <w:color w:val="000000"/>
          <w:sz w:val="16"/>
        </w:rPr>
        <w:t xml:space="preserve">(5)Consists principally of interest expense, net, income taxes, depreciation and amortization, and stock-based compensation expense associated with Barstool prior to us acquiring the remaining 64% of Barstool common stock (see </w:t>
      </w:r>
      <w:hyperlink w:anchor="i7f5745e410cd4baaad4ca320a657bd0b_55">
        <w:r>
          <w:rPr>
            <w:rStyle w:val="InternetLink"/>
            <w:rFonts w:ascii="Times New Roman;sans-serif" w:hAnsi="Times New Roman;sans-serif"/>
            <w:b w:val="false"/>
            <w:color w:val="0000FF"/>
            <w:sz w:val="16"/>
            <w:u w:val="single"/>
          </w:rPr>
          <w:t>Note 6, “Acquisitions and Dispositions”</w:t>
        </w:r>
      </w:hyperlink>
      <w:r>
        <w:rPr>
          <w:rFonts w:ascii="Times New Roman;sans-serif" w:hAnsi="Times New Roman;sans-serif"/>
          <w:b w:val="false"/>
          <w:color w:val="000000"/>
          <w:sz w:val="16"/>
        </w:rPr>
        <w:t xml:space="preserve">) and our Kansas Entertainment joint venture. </w:t>
      </w:r>
    </w:p>
    <w:p>
      <w:pPr>
        <w:pStyle w:val="TextBody"/>
        <w:bidi w:val="0"/>
        <w:spacing w:lineRule="auto" w:line="288" w:before="0" w:after="60"/>
        <w:ind w:left="0" w:right="0" w:hanging="360"/>
        <w:jc w:val="left"/>
        <w:rPr/>
      </w:pPr>
      <w:r>
        <w:rPr>
          <w:rFonts w:ascii="Times New Roman;sans-serif" w:hAnsi="Times New Roman;sans-serif"/>
          <w:b w:val="false"/>
          <w:color w:val="000000"/>
          <w:sz w:val="16"/>
        </w:rPr>
        <w:t xml:space="preserve">(6)Includes a gain of $66.5 million associated with Barstool related to remeasurement of the equity investment immediately prior to the acquisition date of February 17, 2023 and a gain of $16.9 million related to the acquisition of the remaining 64% of Barstool common stock (see </w:t>
      </w:r>
      <w:hyperlink w:anchor="i7f5745e410cd4baaad4ca320a657bd0b_55">
        <w:r>
          <w:rPr>
            <w:rStyle w:val="InternetLink"/>
            <w:rFonts w:ascii="Times New Roman;sans-serif" w:hAnsi="Times New Roman;sans-serif"/>
            <w:b w:val="false"/>
            <w:color w:val="0000FF"/>
            <w:sz w:val="16"/>
            <w:u w:val="single"/>
          </w:rPr>
          <w:t>Note 6, “Acquisitions and Dispositions”</w:t>
        </w:r>
      </w:hyperlink>
      <w:r>
        <w:rPr>
          <w:rFonts w:ascii="Times New Roman;sans-serif" w:hAnsi="Times New Roman;sans-serif"/>
          <w:b w:val="false"/>
          <w:color w:val="000000"/>
          <w:sz w:val="16"/>
        </w:rPr>
        <w:t>).</w:t>
      </w:r>
    </w:p>
    <w:p>
      <w:pPr>
        <w:pStyle w:val="TextBody"/>
        <w:bidi w:val="0"/>
        <w:spacing w:lineRule="auto" w:line="288" w:before="0" w:after="60"/>
        <w:ind w:left="0" w:right="0" w:hanging="360"/>
        <w:jc w:val="left"/>
        <w:rPr/>
      </w:pPr>
      <w:r>
        <w:rPr>
          <w:rFonts w:ascii="Times New Roman;sans-serif" w:hAnsi="Times New Roman;sans-serif"/>
          <w:b w:val="false"/>
          <w:color w:val="000000"/>
          <w:sz w:val="16"/>
        </w:rPr>
        <w:t xml:space="preserve">(7)Upon the execution of the February 21, 2023 AR PENN Master Lease and the 2023 Master Lease, both effective January 1, 2023, we recognized a gain of $500.8 million as a result of the reclassification and remeasurement of lease components (see </w:t>
      </w:r>
      <w:hyperlink w:anchor="i7f5745e410cd4baaad4ca320a657bd0b_73">
        <w:r>
          <w:rPr>
            <w:rStyle w:val="InternetLink"/>
            <w:rFonts w:ascii="Times New Roman;sans-serif" w:hAnsi="Times New Roman;sans-serif"/>
            <w:b w:val="false"/>
            <w:color w:val="0000FF"/>
            <w:sz w:val="16"/>
            <w:u w:val="single"/>
          </w:rPr>
          <w:t>Note 9, “Leases”</w:t>
        </w:r>
      </w:hyperlink>
      <w:r>
        <w:rPr>
          <w:rFonts w:ascii="Times New Roman;sans-serif" w:hAnsi="Times New Roman;sans-serif"/>
          <w:b w:val="false"/>
          <w:color w:val="000000"/>
          <w:sz w:val="16"/>
        </w:rPr>
        <w:t>).</w:t>
      </w:r>
    </w:p>
    <w:p>
      <w:pPr>
        <w:pStyle w:val="TextBody"/>
        <w:bidi w:val="0"/>
        <w:spacing w:lineRule="auto" w:line="288" w:before="0" w:after="200"/>
        <w:ind w:left="0" w:right="0" w:hanging="360"/>
        <w:jc w:val="left"/>
        <w:rPr/>
      </w:pPr>
      <w:r>
        <w:rPr>
          <w:rFonts w:ascii="Times New Roman;sans-serif" w:hAnsi="Times New Roman;sans-serif"/>
          <w:b w:val="false"/>
          <w:color w:val="000000"/>
          <w:sz w:val="16"/>
        </w:rPr>
        <w:t xml:space="preserve">(8)Primarily relates to unrealized holding gains on our equity securities of $6.3 million and $3.1 million, respectively, for the three and six months ended June 30, 2023, offset by transaction and finance transformation costs. Primarily relates to unrealized holding losses of $16.9 million and $55.6 million, respectively, for the three and six months ended June 30, 2022, which are discussed in </w:t>
      </w:r>
      <w:hyperlink w:anchor="i7f5745e410cd4baaad4ca320a657bd0b_100">
        <w:r>
          <w:rPr>
            <w:rStyle w:val="InternetLink"/>
            <w:rFonts w:ascii="Times New Roman;sans-serif" w:hAnsi="Times New Roman;sans-serif"/>
            <w:b w:val="false"/>
            <w:color w:val="0000FF"/>
            <w:sz w:val="16"/>
            <w:u w:val="single"/>
          </w:rPr>
          <w:t>Note 15, “Fair Value Measurements.</w:t>
        </w:r>
      </w:hyperlink>
      <w:r>
        <w:rPr>
          <w:color w:val="000000"/>
        </w:rPr>
        <w:t>”</w:t>
      </w:r>
    </w:p>
    <w:p>
      <w:pPr>
        <w:pStyle w:val="TextBody"/>
        <w:bidi w:val="0"/>
        <w:spacing w:lineRule="auto" w:line="288" w:before="0" w:after="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capital expenditures by segment:</w:t>
      </w:r>
    </w:p>
    <w:tbl>
      <w:tblPr>
        <w:tblW w:w="8808" w:type="dxa"/>
        <w:jc w:val="left"/>
        <w:tblInd w:w="0" w:type="dxa"/>
        <w:tblLayout w:type="fixed"/>
        <w:tblCellMar>
          <w:top w:w="28" w:type="dxa"/>
          <w:left w:w="28" w:type="dxa"/>
          <w:bottom w:w="28" w:type="dxa"/>
          <w:right w:w="28" w:type="dxa"/>
        </w:tblCellMar>
      </w:tblPr>
      <w:tblGrid>
        <w:gridCol w:w="848"/>
        <w:gridCol w:w="742"/>
        <w:gridCol w:w="750"/>
        <w:gridCol w:w="334"/>
        <w:gridCol w:w="809"/>
        <w:gridCol w:w="172"/>
        <w:gridCol w:w="172"/>
        <w:gridCol w:w="172"/>
        <w:gridCol w:w="172"/>
        <w:gridCol w:w="334"/>
        <w:gridCol w:w="809"/>
        <w:gridCol w:w="172"/>
        <w:gridCol w:w="109"/>
        <w:gridCol w:w="109"/>
        <w:gridCol w:w="109"/>
        <w:gridCol w:w="282"/>
        <w:gridCol w:w="823"/>
        <w:gridCol w:w="145"/>
        <w:gridCol w:w="145"/>
        <w:gridCol w:w="145"/>
        <w:gridCol w:w="145"/>
        <w:gridCol w:w="282"/>
        <w:gridCol w:w="823"/>
        <w:gridCol w:w="205"/>
      </w:tblGrid>
      <w:tr>
        <w:trPr/>
        <w:tc>
          <w:tcPr>
            <w:tcW w:w="8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1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 segment</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segment</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segment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Midwest segment</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Interactive segment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expenditures</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investment in and advances to unconsolidated affiliates and total assets by segment:</w:t>
      </w:r>
    </w:p>
    <w:tbl>
      <w:tblPr>
        <w:tblW w:w="10205" w:type="dxa"/>
        <w:jc w:val="left"/>
        <w:tblInd w:w="0" w:type="dxa"/>
        <w:tblLayout w:type="fixed"/>
        <w:tblCellMar>
          <w:top w:w="28" w:type="dxa"/>
          <w:left w:w="28" w:type="dxa"/>
          <w:bottom w:w="28" w:type="dxa"/>
          <w:right w:w="28" w:type="dxa"/>
        </w:tblCellMar>
      </w:tblPr>
      <w:tblGrid>
        <w:gridCol w:w="756"/>
        <w:gridCol w:w="256"/>
        <w:gridCol w:w="257"/>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56"/>
      </w:tblGrid>
      <w:tr>
        <w:trPr/>
        <w:tc>
          <w:tcPr>
            <w:tcW w:w="7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millions)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Northeast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South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Interactive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Other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sheet as of June 30, 2023</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and advances to unconsolidated affiliates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sheet as of December 31, 2022</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and advances to unconsolidated affiliates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real estate assets subject to the Master Leases, which are classified as either property and equipment, operating lease ROU assets, or finance lease ROU assets, are included within the Other category.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90"/>
        <w:jc w:val="left"/>
        <w:rPr>
          <w:rFonts w:ascii="Times New Roman;sans-serif" w:hAnsi="Times New Roman;sans-serif"/>
          <w:b/>
          <w:color w:val="000000"/>
          <w:sz w:val="20"/>
        </w:rPr>
      </w:pPr>
      <w:r>
        <w:rPr>
          <w:rFonts w:ascii="Times New Roman;sans-serif" w:hAnsi="Times New Roman;sans-serif"/>
          <w:b/>
          <w:color w:val="000000"/>
          <w:sz w:val="20"/>
        </w:rPr>
        <w:t>Note 17—Subsequent Events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8, 2023, PENN entered into the Sportsbook Agreement with ESPN which provides for a long-term strategic relationship between PENN and ESPN relating to online sports betting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Sportsbook Agreement, PENN will rebrand its existing Barstool Sportsbook across all online platforms in the United States as ESPN Bet (the “Sportsbook”) and will oversee daily operations of the Sportsbook. The Sportsbook Agreement provides PENN with an exclusive license to use the ESPN Bet trademark in the United States in connection with the Sportsbook. In addition, ESPN will provide certain marketing, content integration and promotional services in support of the Sportsbook, including access to ESPN talent, and will exclusively promote the Sportsbook in the United States, subject to certain exceptions, in accordance with a mutually agreed on-channel marketing plan. The Sportsbook will be deeply integrated within the broader ESPN editorial, content, digital product and sports programming ecosystem, with access to ESPN’s industry leading audience and database.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Sportsbook Agreement has an initial 10-year term and may be extended for an additional ten years upon mutual agreement of PENN and ESPN. In consideration for the media marketing services and brand and other rights provided by ESPN, PENN will pay $150.0 million per year in cash pursuant to the Sportsbook Agreement for the initial 10-year term and issue the warrants pursuant to the Investment Agreement (as defined and described in more detail below). In addition, the Sportsbook Agreement may be terminated by either party (i) in the case of an uncured material breach by or bankruptcy of the other party, (ii) if at the end of year 3 of the term the Sportsbook has not achieved a specified level of market share based on gross gaming revenue in the states in which the Sportsbook operates while branded ESPN Bet, (iii) in certain circumstances, if the other party or certain of its officers is the subject of a criminal or other investigation by federal or state authorities, is charged with certain crimes or commits certain other acts, including those which would reasonably be expected to cause material damage to the terminating party’s reputation or brand, or (iv) in certain circumstances involving non-compliance with data privacy laws. In addition, ESPN has the right to terminate the Sportsbook Agreement (i) a repeated material breach by PENN of the terms of the ESPN intellectual property license or an uncured material breach by PENN of the terms of the ESPN intellectual property license that results in material harm to the reputation or goodwill associated with the ESPN brand or name, (ii) in certain circumstances where PENN commits a material failure of specified product and technology guidelines or certain customer service level metrics, (iii) if at the end of year 3 or year 7 of the term the Sportsbook’s market access is not at least a specified percentage of the total market access by the online sportsbook operator with the most expansive market access, subject to certain exceptions, (iv) if ESPN undergoes certain transactions involving a significant change in ownership of ESPN, subject to the payment of a termination fee to PENN or (v) in certain circumstances if PENN undergoes certain transactions involving a significant change in ownership of PENN, including such a transaction involving a competitor of The Walt Disney Company (“TWDC”). PENN has the right to terminate the Sportsbook Agreement (i) if ESPN undergoes certain transactions resulting in a significant change in ownership of ESPN involving a competitor of PENN, (ii) in certain circumstances related to the suitability of ESPN, TWDC or certain of their respective officers for gaming regulatory purposes or (iii) in certain circumstances if PENN is unable to utilize the ESPN Bet brand in states comprising a specified percentage of the aggregate population for all states in which PENN conducts online sports betting in the United States.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Sportsbook Agreement, PENN and ESPN, Inc. entered into an Investment Agreement (the “Investment Agreement”) on August 8, 2023. The Investment Agreement provides for the issuance to ESPN, Inc. of certain warrants to purchase shares of PENN common stock, par value $0.01 per share, and setting forth certain other governance rights of ESPN, Inc. Pursuant to the Investment Agreement PENN issued to ESPN warrants to purchase approximately 31.8 million shares of PENN common stock. The warrants are expected to be classified as equity and contain three separate tranches which vest quarterly over ten years from the date of the Investment Agreement, provided that any remaining unvested portion of the first tranche of warrants will vest on August 8, 2032. If the Sportsbook Agreement is terminated due to certain breaches of the Sportsbook Agreement by PENN, then all unvested warrants will immediately vest. If the Sportsbook Agreement is terminated for any other reason, then all unvested warrants will immediately be forfeited, subject to certain exceptions. At the grant date, the fair value of the awards was determined using the Black Scholes pricing model with contractual terms ranging from 9.5 to 11.5 years, and strike prices ranging from $26.08 to $32.60. Additionally, if after February 29, 2024 and during the term of the Sportsbook Agreement, PENN achieves specified performance conditions based on an average market share based on gross gaming revenue in the states in which the Sportsbook operates (as defined within the Investment Agreement), PENN could issue to ESPN warrants to purchase up to an additional 6.4 million shares of PENN common stock. The additional warrants will be fully vested upon issuance, have an exercise price of $28.95 and will be exercisable for 10.5 years from the date of issuance. Further details on the Investment Agreement are contained in PENN’s Current Report on Form 8-K dated August 8, 2023.</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In connection with the Sportsbook Agreement, PENN entered into the Barstool SPA on August 8, 2023. Pursuant to the Barstool SPA, PENN sold 100% of the outstanding shares of Barstool to David Portnoy in exchange for a nominal cash consideration ($1.00 dollar) and certain non-compete and other restrictive covenants. Pursuant to the Barstool SPA, PENN has the right to receive 50% of the gross proceeds received by David Portnoy in any subsequent sale or other monetization event of Barstool. See </w:t>
      </w:r>
      <w:hyperlink w:anchor="i7f5745e410cd4baaad4ca320a657bd0b_55">
        <w:r>
          <w:rPr>
            <w:rStyle w:val="InternetLink"/>
            <w:rFonts w:ascii="Times New Roman;sans-serif" w:hAnsi="Times New Roman;sans-serif"/>
            <w:b w:val="false"/>
            <w:color w:val="0000FF"/>
            <w:sz w:val="20"/>
            <w:u w:val="single"/>
          </w:rPr>
          <w:t>Note 6, “Acquisitions and Dispositions”</w:t>
        </w:r>
      </w:hyperlink>
      <w:r>
        <w:rPr>
          <w:color w:val="000000"/>
        </w:rPr>
        <w:t xml:space="preserve"> </w:t>
      </w:r>
      <w:r>
        <w:rPr>
          <w:rFonts w:ascii="Times New Roman;sans-serif" w:hAnsi="Times New Roman;sans-serif"/>
          <w:b w:val="false"/>
          <w:color w:val="000000"/>
          <w:sz w:val="20"/>
        </w:rPr>
        <w:t>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financial condition, results of operations, liquidity and capital resources should be read in conjunction with, and is qualified in its entirety by, the unaudited Consolidated Financial Statements and the notes thereto included in this Quarterly Report on Form 10-Q, and the Consolidated Financial Statements and notes thereto and Management’s Discussion and Analysis of Financial Condition and Results of Operations contained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Our Business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PENN Entertainment, Inc., together with its subsidiaries (“PENN,” the “Company,” “we,” “our,” or “us”), is North America’s leading provider of integrated entertainment, sports content, and casino gaming experiences. As of June 30, 2023, PENN operated 43 properties in 20 states, online sports betting in 17 jurisdictions and iCasino in five jurisdictions, under a portfolio of well-recognized brands including Hollywood Casino®, L’Auberge®, Barstool Sportsbook® and theScore Bet Sportsbook and Casino®. In August 2023, PENN entered into a transformative, exclusive long-term strategic alliance with ESPN, Inc. and ESPN Enterprises, Inc. (together, “ESPN”) relating to online sports betting within the United States. In the fall of 2023, the existing Barstool Sportsbook will be rebranded across all online platforms in the United States as ESPN Bet, and our online product will include a Hollywood-branded integrated iCasino where permitted. PENN’s ability to leverage the leading sports media brands in the United States (ESPN) and Canada (theScore) will position us to significantly expand our digital footprint and efficiently grow our customer ecosystem. This highly differentiated strategy, which is focused on organic cross-sell opportunities, is reinforced by our investment in market-leading retail casinos, sports media assets and technology, including a proprietary state-of-the-art, fully integrated digital sports and iCasino betting platform and an in-house iCasino content studio. PENN’s portfolio is further bolstered by our industry-leading PENN Play</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customer loyalty program, which offers our approximately 27 million members a unique set of rewards and experiences across business channels.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The majority of the real estate assets (i.e., land and buildings) used in our operations are subject to triple net master leases; the most significant of which are the AR PENN Master Lease, 2023 Master Lease, PENN Master Lease (prior to January 1, 2023), and Pinnacle Master Lease (as such terms are defined in </w:t>
      </w:r>
      <w:hyperlink w:anchor="i7f5745e410cd4baaad4ca320a657bd0b_133">
        <w:r>
          <w:rPr>
            <w:rStyle w:val="InternetLink"/>
            <w:color w:val="0E32E1"/>
            <w:u w:val="single"/>
          </w:rPr>
          <w:t>“</w:t>
        </w:r>
      </w:hyperlink>
      <w:hyperlink w:anchor="i7f5745e410cd4baaad4ca320a657bd0b_133">
        <w:r>
          <w:rPr>
            <w:rStyle w:val="InternetLink"/>
            <w:rFonts w:ascii="Times New Roman;sans-serif" w:hAnsi="Times New Roman;sans-serif"/>
            <w:b w:val="false"/>
            <w:color w:val="000080"/>
            <w:sz w:val="20"/>
            <w:u w:val="single"/>
          </w:rPr>
          <w:t>Li</w:t>
        </w:r>
      </w:hyperlink>
      <w:hyperlink w:anchor="i7f5745e410cd4baaad4ca320a657bd0b_133">
        <w:r>
          <w:rPr>
            <w:rStyle w:val="InternetLink"/>
            <w:rFonts w:ascii="Times New Roman;sans-serif" w:hAnsi="Times New Roman;sans-serif"/>
            <w:b w:val="false"/>
            <w:color w:val="000080"/>
            <w:sz w:val="20"/>
            <w:u w:val="single"/>
          </w:rPr>
          <w:t xml:space="preserve">quidity and Capital </w:t>
        </w:r>
      </w:hyperlink>
      <w:hyperlink w:anchor="i7f5745e410cd4baaad4ca320a657bd0b_133">
        <w:r>
          <w:rPr>
            <w:rStyle w:val="InternetLink"/>
            <w:rFonts w:ascii="Times New Roman;sans-serif" w:hAnsi="Times New Roman;sans-serif"/>
            <w:b w:val="false"/>
            <w:color w:val="000080"/>
            <w:sz w:val="20"/>
            <w:u w:val="single"/>
          </w:rPr>
          <w:t>Resources</w:t>
        </w:r>
      </w:hyperlink>
      <w:hyperlink w:anchor="i7f5745e410cd4baaad4ca320a657bd0b_133">
        <w:r>
          <w:rPr>
            <w:rStyle w:val="InternetLink"/>
            <w:color w:val="0E32E1"/>
            <w:u w:val="single"/>
          </w:rPr>
          <w:t>”</w:t>
        </w:r>
      </w:hyperlink>
      <w:r>
        <w:rPr>
          <w:color w:val="000000"/>
        </w:rPr>
        <w:t xml:space="preserve"> </w:t>
      </w:r>
      <w:r>
        <w:rPr>
          <w:rFonts w:ascii="Times New Roman;sans-serif" w:hAnsi="Times New Roman;sans-serif"/>
          <w:b w:val="false"/>
          <w:color w:val="000000"/>
          <w:sz w:val="20"/>
        </w:rPr>
        <w:t>and collectively referred to as the “Master Leases”), with Gaming and Leisure Properties, Inc. (Nasdaq: GLPI) (“GLPI”), a real estate investment trust (“REIT”).</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Recent Acquisitions, Dispositions, Development Projects, and Other</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On February 17, 2023, we acquired the remaining 64% of the outstanding shares of Barstool Sports, Inc. (“Barstool”) common stock not already owned by us for a consideration of approximately $405.5 million, which is inclusive of cash and common stock issuance, repayment of Barstool indebtedness of $23.8 million, transaction expenses and other purchase price adjustments in accordance with GAAP (the “Barstool Acquisition”). Prior to the acquisition, we held a 36% ownership interest, which was accounted for under the equity method. Upon the completion of the Barstool Acquisition, we obtained 100% of the Barstool common stock of which the fair value of Barstool was determined to be $660.0 million based on market participant assumptions and Barstool became an indirect wholly owned subsidiary of PENN. See </w:t>
      </w:r>
      <w:hyperlink w:anchor="i7f5745e410cd4baaad4ca320a657bd0b_55">
        <w:r>
          <w:rPr>
            <w:rStyle w:val="InternetLink"/>
            <w:rFonts w:ascii="Times New Roman;sans-serif" w:hAnsi="Times New Roman;sans-serif"/>
            <w:b w:val="false"/>
            <w:color w:val="0000FF"/>
            <w:sz w:val="20"/>
            <w:u w:val="single"/>
          </w:rPr>
          <w:t xml:space="preserve">Note 6, “Acquisitions and Dispositions” </w:t>
        </w:r>
      </w:hyperlink>
      <w:r>
        <w:rPr>
          <w:rFonts w:ascii="Times New Roman;sans-serif" w:hAnsi="Times New Roman;sans-serif"/>
          <w:b w:val="false"/>
          <w:color w:val="000000"/>
          <w:sz w:val="20"/>
        </w:rPr>
        <w:t xml:space="preserve">and </w:t>
      </w:r>
      <w:hyperlink w:anchor="i7f5745e410cd4baaad4ca320a657bd0b_91">
        <w:r>
          <w:rPr>
            <w:rStyle w:val="InternetLink"/>
            <w:rFonts w:ascii="Times New Roman;sans-serif" w:hAnsi="Times New Roman;sans-serif"/>
            <w:b w:val="false"/>
            <w:color w:val="0000FF"/>
            <w:sz w:val="20"/>
            <w:u w:val="single"/>
          </w:rPr>
          <w:t>Note 13, “Stockholders’ Equity and Stock-Based Compensation”</w:t>
        </w:r>
      </w:hyperlink>
      <w:r>
        <w:rPr>
          <w:color w:val="000000"/>
        </w:rPr>
        <w:t xml:space="preserve"> </w:t>
      </w:r>
      <w:r>
        <w:rPr>
          <w:rFonts w:ascii="Times New Roman;sans-serif" w:hAnsi="Times New Roman;sans-serif"/>
          <w:b w:val="false"/>
          <w:color w:val="000000"/>
          <w:sz w:val="20"/>
        </w:rPr>
        <w:t xml:space="preserve">in the notes to our unaudited Consolidated Financial Statements for further discussion. </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On August 8, 2023, PENN entered into a Sportsbook Agreement (the “Sportsbook Agreement”) with ESPN, which provides for a long-term strategic relationship between PENN and ESPN relating to online sports betting in the United States. Pursuant to the Sportsbook Agreement, PENN will rebrand its existing Barstool Sportsbook across all online platforms in the United States as ESPN Bet (the “Sportsbook”) and will oversee daily operations of the Sportsbook. The Sportsbook will be deeply integrated within the broader ESPN editorial, content, digital product and sports programming ecosystem, with access to ESPN’s industry leading audience and database. In addition to the Sportsbook Agreement, on August 8, 2023, PENN and ESPN, Inc. entered into an Investment Agreement (the “Investment Agreement”) providing for the issuance to ESPN, Inc. of certain warrants to purchase shares of PENN common stock, par value $0.01 per share, and setting forth certain other governance rights of ESPN, Inc., as discussed in </w:t>
      </w:r>
      <w:hyperlink w:anchor="i7f5745e410cd4baaad4ca320a657bd0b_109">
        <w:r>
          <w:rPr>
            <w:rStyle w:val="InternetLink"/>
            <w:rFonts w:ascii="Times New Roman;sans-serif" w:hAnsi="Times New Roman;sans-serif"/>
            <w:b w:val="false"/>
            <w:color w:val="0000FF"/>
            <w:sz w:val="20"/>
            <w:u w:val="single"/>
          </w:rPr>
          <w:t>Note 17, “Subsequent Events”</w:t>
        </w:r>
      </w:hyperlink>
      <w:r>
        <w:rPr>
          <w:color w:val="000000"/>
        </w:rPr>
        <w:t xml:space="preserve"> </w:t>
      </w:r>
      <w:r>
        <w:rPr>
          <w:rFonts w:ascii="Times New Roman;sans-serif" w:hAnsi="Times New Roman;sans-serif"/>
          <w:b w:val="false"/>
          <w:color w:val="000000"/>
          <w:sz w:val="20"/>
        </w:rPr>
        <w:t>in the notes to our unaudited Consolidated Financial Statements.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PENN’s decision to rebrand our online sports betting business from Barstool Sportsbook to ESPN Bet pursuant to the Sportsbook Agreement as discussed above, PENN concurrently entered into a stock purchase agreement with David Portnoy (the “Barstool SPA”) pursuant to which PENN sold 100% of the outstanding shares of Barstool to David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pPr>
      <w:r>
        <w:rPr>
          <w:rFonts w:ascii="Times New Roman;sans-serif" w:hAnsi="Times New Roman;sans-serif"/>
          <w:b w:val="false"/>
          <w:color w:val="000000"/>
          <w:sz w:val="20"/>
        </w:rPr>
        <w:t xml:space="preserve">Portnoy in exchange for a nominal cash consideration ($1.00 dollar) and certain non-compete and other restrictive covenants. Pursuant to the Barstool SPA, PENN has the right to receive 50% of the gross proceeds received by David Portnoy in any subsequent sale or other monetization event of Barstool, as discussed in </w:t>
      </w:r>
      <w:hyperlink w:anchor="i7f5745e410cd4baaad4ca320a657bd0b_55">
        <w:r>
          <w:rPr>
            <w:rStyle w:val="InternetLink"/>
            <w:rFonts w:ascii="Times New Roman;sans-serif" w:hAnsi="Times New Roman;sans-serif"/>
            <w:b w:val="false"/>
            <w:color w:val="0000FF"/>
            <w:sz w:val="20"/>
            <w:u w:val="single"/>
          </w:rPr>
          <w:t>Note 6, “Acquisitions and Dispositions”</w:t>
        </w:r>
      </w:hyperlink>
      <w:r>
        <w:rPr>
          <w:color w:val="000000"/>
        </w:rPr>
        <w:t xml:space="preserve"> </w:t>
      </w:r>
      <w:r>
        <w:rPr>
          <w:rFonts w:ascii="Times New Roman;sans-serif" w:hAnsi="Times New Roman;sans-serif"/>
          <w:b w:val="false"/>
          <w:color w:val="000000"/>
          <w:sz w:val="20"/>
        </w:rPr>
        <w:t>in the notes to our unaudited Consolidated Financial Statements.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We are currently quantifying the impact of the Barstool SPA to our unaudited Consolidated Financial Statements, however we expect the carrying value of the net assets held-for-sale, to be greater than their fair value, less costs to sell, which is expected to result in a material non-cash loss and the corresponding reversal of the net deferred tax liability of approximately $115.9 million that will have a significant impact to income taxes. The pre-tax non-cash loss is estimated to be between $800.0 million and $850.0 million (inclusive of $705.0 million to $720.0 million in goodwill and intangible assets write offs) to be incurred in the third quarter of 2023. These material adjustments will be reflected in our September 30, 2023 unaudited Consolidated Statements of Operations and unaudited Consolidated Balance Sheets. See </w:t>
      </w:r>
      <w:hyperlink w:anchor="i7f5745e410cd4baaad4ca320a657bd0b_55">
        <w:r>
          <w:rPr>
            <w:rStyle w:val="InternetLink"/>
            <w:rFonts w:ascii="Times New Roman;sans-serif" w:hAnsi="Times New Roman;sans-serif"/>
            <w:b w:val="false"/>
            <w:color w:val="000080"/>
            <w:sz w:val="20"/>
            <w:u w:val="single"/>
          </w:rPr>
          <w:t>Note 6, “Acquisitions and Dispositions</w:t>
        </w:r>
      </w:hyperlink>
      <w:hyperlink w:anchor="i7f5745e410cd4baaad4ca320a657bd0b_55">
        <w:r>
          <w:rPr>
            <w:rStyle w:val="InternetLink"/>
            <w:rFonts w:ascii="Times New Roman;sans-serif" w:hAnsi="Times New Roman;sans-serif"/>
            <w:b w:val="false"/>
            <w:color w:val="000080"/>
            <w:sz w:val="20"/>
            <w:u w:val="single"/>
          </w:rPr>
          <w:t>”</w:t>
        </w:r>
      </w:hyperlink>
      <w:r>
        <w:rPr>
          <w:color w:val="000000"/>
        </w:rPr>
        <w:t xml:space="preserve"> </w:t>
      </w:r>
      <w:r>
        <w:rPr>
          <w:rFonts w:ascii="Times New Roman;sans-serif" w:hAnsi="Times New Roman;sans-serif"/>
          <w:b w:val="false"/>
          <w:color w:val="000000"/>
          <w:sz w:val="20"/>
        </w:rPr>
        <w:t xml:space="preserve">and </w:t>
      </w:r>
      <w:hyperlink w:anchor="i7f5745e410cd4baaad4ca320a657bd0b_85">
        <w:r>
          <w:rPr>
            <w:rStyle w:val="InternetLink"/>
            <w:rFonts w:ascii="Times New Roman;sans-serif" w:hAnsi="Times New Roman;sans-serif"/>
            <w:b w:val="false"/>
            <w:color w:val="0000FF"/>
            <w:sz w:val="20"/>
            <w:u w:val="single"/>
          </w:rPr>
          <w:t>Note 11, “Income Taxes”</w:t>
        </w:r>
      </w:hyperlink>
      <w:r>
        <w:rPr>
          <w:color w:val="000000"/>
        </w:rPr>
        <w:t xml:space="preserve"> </w:t>
      </w:r>
      <w:r>
        <w:rPr>
          <w:rFonts w:ascii="Times New Roman;sans-serif" w:hAnsi="Times New Roman;sans-serif"/>
          <w:b w:val="false"/>
          <w:color w:val="000000"/>
          <w:sz w:val="20"/>
        </w:rPr>
        <w:t>in the notes to our unaudited Consolidated Financial Statements.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On February 21, 2023, as described in </w:t>
      </w:r>
      <w:hyperlink w:anchor="i7f5745e410cd4baaad4ca320a657bd0b_133">
        <w:r>
          <w:rPr>
            <w:rStyle w:val="InternetLink"/>
            <w:color w:val="0000FF"/>
            <w:u w:val="single"/>
          </w:rPr>
          <w:t>“</w:t>
        </w:r>
      </w:hyperlink>
      <w:hyperlink w:anchor="i7f5745e410cd4baaad4ca320a657bd0b_133">
        <w:r>
          <w:rPr>
            <w:rStyle w:val="InternetLink"/>
            <w:rFonts w:ascii="Times New Roman;sans-serif" w:hAnsi="Times New Roman;sans-serif"/>
            <w:b w:val="false"/>
            <w:color w:val="0000FF"/>
            <w:sz w:val="20"/>
            <w:u w:val="single"/>
          </w:rPr>
          <w:t>Liquidity and Capital Resources,”</w:t>
        </w:r>
      </w:hyperlink>
      <w:r>
        <w:rPr>
          <w:color w:val="000000"/>
        </w:rPr>
        <w:t xml:space="preserve"> </w:t>
      </w:r>
      <w:r>
        <w:rPr>
          <w:rFonts w:ascii="Times New Roman;sans-serif" w:hAnsi="Times New Roman;sans-serif"/>
          <w:b w:val="false"/>
          <w:color w:val="000000"/>
          <w:sz w:val="20"/>
        </w:rPr>
        <w:t>the Company and GLPI entered into an agreement to amend and restate the PENN Master Lease (the “AR PENN Master Lease”), effective January 1, 2023, to (i) remove the land and buildings for Hollywood Casino Aurora (“Aurora”), Hollywood Casino Joliet (“Joliet”), Hollywood Casino Columbus (“Columbus”), Hollywood Casino Toledo (“Toledo”), and the M Resort Spa Casino (“M Resort”), and (ii) make associated adjustments to the rent after which the initial rent in the AR PENN Master Lease will be $284.1 million, consisting of $208.2 million of building base rent, $43.0 million of land base rent and $32.9 million of percentage rent (as such terms are defined in the AR PENN Master Lease). Subsequent to the execution of the AR PENN Master Lease, the Company leases real estate assets associated with 14 of the gaming facilities used in its operations via a triple net master lease. The current term of the AR PENN Master Lease expires on October 31, 2033 and thereafter contains three renewal terms of five years each on the same terms and conditions, exercisable at the Company’s option.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 with the execution of the AR PENN Master Lease, the Company and GLPI entered into a new master lease (the “2023 Master Lease”), effective January 1, 2023, specific to the properties associated with Aurora, Joliet, Columbus, Toledo, M Resort, Hollywood Casino at The Meadows (“Meadows”) and Hollywood Casino Perryville (“Perryville”) and a master development agreement (the “Master Development Agreement”). The 2023 Master Lease has an initial term through October 31, 2033 with three subsequent five-year renewal periods on the same terms and conditions, exercisable at the Company’s option. The 2023 Master Lease terminated the individual triple net leases associated with Meadows and Perryville. The 2023 Master Lease and AR PENN Master Lease are cross-defaulted, cross-collateralized, and coterminous, and subject to a parent guarantee.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2023 Master Lease includes a base rent (the “2023 Master Lease Base Rent”) equal to $232.2 million and the Master Development Agreement contains additional rent (together with the 2023 Master Lease Base Rent, the “2023 Master Lease Rent”) equal to (i) 7.75% of any project funding received by PENN from GLPI for an anticipated relocation of PENN’s riverboat casino and related developments with respect to Aurora (the “Aurora Project”) and (ii) a percentage, based on the then-current GLPI stock price, of any project funding received by PENN from GLPI for certain anticipated development projects with respect to Joliet, Columbus, and M Resort (the “Other Development Projects”). The Master Development Agreement provides that GLPI will fund up to $225 million for the Aurora Project and, upon PENN’s request, up to $350 million in the aggregate for the Other Development Projects, in accordance with certain terms and conditions set forth in the Master Development Agreement. These funding obligations of GLPI expire on January 1, 2026. The 2023 Master Lease Rent will be subject to a one-time increase of $1.4 million, effective November 1, 2027. The 2023 Master Lease Rent will be further subject to a fixed escalator of 1.5% on November 1, 2023 and annually thereafter. The Master Development Agreement provides that PENN may elect not to proceed with a development project prior to GLPI’s commencement of any equity or debt offering or credit facility draw intended to fund such a project or after such time in certain instances, provided that GLPI will be reimbursed for all costs and expenses incurred in connection with such discontinued project. The Aurora Project and the Other Development Projects are all subject to necessary regulatory and other government approvals.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portfolio of assets provides us with the benefit of geographically-diversified cash flow from operations. We expect to continue to expand our gaming operations through the implementation and execution of a disciplined capital expenditure program at our existing properties, the pursuit of strategic acquisitions and investments, and the development of new gaming properties. In addition, the acquisition of theScore and our Sportsbook Agreement with ESPN reflects our strategy to continue evolving from the nation’s largest regional gaming operator to a best-in-class omni-channel provider of retail and online gaming and sports betting entertainment.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Operating and Competitive Environment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properties operate in mature, competitive markets. We expect the majority of our future growth to come from cross-sell opportunities between our retail casino, online sports betting and online gaming businesses; improvements, expansions or relocations of our existing properties; entrance into new jurisdictions; expansions of gaming in existing jurisdictions; and strategic investments and acquisitions. Our portfolio is comprised largely of well-maintained regional gaming facilities, which has allowed us to develop what we believe to be a solid base for future growth opportunities.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adjust operations, offerings, and cost structures at our properties to reflect changing economic conditions. We also continue to focus on revenue and cost synergies from recent acquisitions, technology enhancements, and providing our customers with additional gaming experiences through our omni-channel distribution strategy. We seek to grow our customer database and loyalty program through the development of new properties, the expansion of properties and other business lines as well as through partnerships with third-party operators, such as Live Nation Entertainment and Choice Hotels International, Inc. Acquisitions such as theScore and our Sportsbook Agreement with ESPN enables us to further our omnichannel strategy by adding additional revenue streams and customer acquisition.</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The gaming industry is characterized by an increasingly high degree of competition among a large number of participants, including riverboat casinos; dockside casinos; land-based casinos; video lottery; iCasinos and social casinos; online and retail sports betting; sports media companies; gaming at taverns; gaming at truck stop establishments; sweepstakes and poker machines not located in casinos; the potential for increased fantasy sports; significant growth of Native American gaming, historic racing or state-sponsored i-lottery products in or adjacent to states we operate in; and other forms of gaming in the U.S. See the </w:t>
      </w:r>
      <w:hyperlink w:anchor="i7f5745e410cd4baaad4ca320a657bd0b_124">
        <w:r>
          <w:rPr>
            <w:rStyle w:val="InternetLink"/>
            <w:color w:val="0000FF"/>
            <w:u w:val="single"/>
          </w:rPr>
          <w:t>“</w:t>
        </w:r>
      </w:hyperlink>
      <w:hyperlink w:anchor="i7f5745e410cd4baaad4ca320a657bd0b_124">
        <w:r>
          <w:rPr>
            <w:rStyle w:val="InternetLink"/>
            <w:rFonts w:ascii="Times New Roman;sans-serif" w:hAnsi="Times New Roman;sans-serif"/>
            <w:b w:val="false"/>
            <w:color w:val="0000FF"/>
            <w:sz w:val="20"/>
            <w:u w:val="single"/>
          </w:rPr>
          <w:t>Segment comparison of the three and six months ended June 30, 2023 and 2022”</w:t>
        </w:r>
      </w:hyperlink>
      <w:r>
        <w:rPr>
          <w:color w:val="000000"/>
        </w:rPr>
        <w:t xml:space="preserve"> </w:t>
      </w:r>
      <w:r>
        <w:rPr>
          <w:rFonts w:ascii="Times New Roman;sans-serif" w:hAnsi="Times New Roman;sans-serif"/>
          <w:b w:val="false"/>
          <w:color w:val="000000"/>
          <w:sz w:val="20"/>
        </w:rPr>
        <w:t>section below for discussions of the impact of competition on our results of operations by reportable segment.</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Key Performance Indicators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our business, revenue is driven by discretionary consumer spending. We have no certain mechanism for determining why consumers choose to spend more or less money at our properties or on our online offerings from period-to-period; therefore, we are unable to quantify a dollar amount for each factor that impacts our customers’ spending behaviors. However, based on our experience, we can generally offer some insight into the factors that we believe are likely to account for such changes and which factors may have a greater impact than others. For example, decreases in discretionary consumer spending have historically been brought about by weakened general economic conditions, such as recessions, inflation, rising interest rate environments, high unemployment levels, higher income taxes, low levels of consumer confidence, weakness in the housing market, high fuel or other transportation costs, and the effects of the COVID-19 pandemic. In addition, visitation and the volume of play have historically been negatively impacted by significant construction surrounding our properties, adverse regional weather conditions and natural disasters. In all instances, such insights are based solely on our judgment and professional experience, and no assurance can be given as to the accuracy of our judgments.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vast majority of our revenues is gaming revenue, which is highly dependent upon the volume and spending levels of customers at our properties. Our gaming revenue is derived primarily from slot machines (which represented approximately 85% and 83% of our gaming revenue for the six months ended June 30, 2023 and 2022, respectively) and, to a lesser extent, table games and online gaming consisting of online slots, online table games, and online sports betting. Aside from gaming revenue, our revenues are primarily derived from our hotel, dining, retail, commissions, media, program sales, admissions, concessions and certain other ancillary activities, and our racing operations.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Key performance indicators related to gaming revenue are slot handle and table game drop, which are volume indicators, and “win” or “hold” percentage. Our typical property slot win percentage is in the range of approximately 7% to 11% of slot handle, and our typical table game hold percentage is in the range of approximately 15% to 28% of table game drop.</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Slot handle is the gross amount wagered during a given period. The win or hold percentage is the net amount of gaming wins and losses, with liabilities recognized for accruals related to the anticipated payout of progressive jackpots. Given the stability in our slot hold percentages on a historical basis, we have not experienced significant impacts to net income from changes in these percentages. For table games, customers usually purchase chips at the gaming tables. The cash and markers (extensions of credit granted to certain credit-worthy customers) are deposited in the gaming table’s drop box. Table game hold is the amount of drop that is retained and recorded as gaming revenue, with liabilities recognized for funds deposited by customers before gaming play occurs and for unredeemed gaming chips. As we are primarily focused on regional gaming markets, our table game hold percentages are fairly stable since the majority of these markets do not regularly experience high-end play, which can lead to volatility in hold percentages. Therefore, changes in table game hold percentages do not typically have a material impact to our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Under normal operating conditions, our properties generate significant operating cash flow since most of our revenue is cash-based from slot machines, table games, and online gaming, including sports betting. Our business is capital intensive, and we rely on cash flow from our properties to generate sufficient cash to satisfy our obligations under the Triple Net Leases (as defined in </w:t>
      </w:r>
      <w:hyperlink w:anchor="i7f5745e410cd4baaad4ca320a657bd0b_133">
        <w:r>
          <w:rPr>
            <w:rStyle w:val="InternetLink"/>
            <w:color w:val="0000FF"/>
            <w:u w:val="single"/>
          </w:rPr>
          <w:t>“</w:t>
        </w:r>
      </w:hyperlink>
      <w:hyperlink w:anchor="i7f5745e410cd4baaad4ca320a657bd0b_133">
        <w:r>
          <w:rPr>
            <w:rStyle w:val="InternetLink"/>
            <w:rFonts w:ascii="Times New Roman;sans-serif" w:hAnsi="Times New Roman;sans-serif"/>
            <w:b w:val="false"/>
            <w:color w:val="0000FF"/>
            <w:sz w:val="20"/>
            <w:u w:val="single"/>
          </w:rPr>
          <w:t>Liquidity and Capital Resources”</w:t>
        </w:r>
      </w:hyperlink>
      <w:r>
        <w:rPr>
          <w:rFonts w:ascii="Times New Roman;sans-serif" w:hAnsi="Times New Roman;sans-serif"/>
          <w:b w:val="false"/>
          <w:color w:val="000000"/>
          <w:sz w:val="20"/>
        </w:rPr>
        <w:t xml:space="preserve">), repay debt, fund maintenance capital expenditures, repurchase our common stock, fund new capital projects at existing properties and provide excess cash for future development and acquisitions. Additional information regarding our capital projects is discussed in </w:t>
      </w:r>
      <w:hyperlink w:anchor="i7f5745e410cd4baaad4ca320a657bd0b_133">
        <w:r>
          <w:rPr>
            <w:rStyle w:val="InternetLink"/>
            <w:color w:val="0000FF"/>
            <w:u w:val="single"/>
          </w:rPr>
          <w:t>“</w:t>
        </w:r>
      </w:hyperlink>
      <w:hyperlink w:anchor="i7f5745e410cd4baaad4ca320a657bd0b_133">
        <w:r>
          <w:rPr>
            <w:rStyle w:val="InternetLink"/>
            <w:rFonts w:ascii="Times New Roman;sans-serif" w:hAnsi="Times New Roman;sans-serif"/>
            <w:b w:val="false"/>
            <w:color w:val="0000FF"/>
            <w:sz w:val="20"/>
            <w:u w:val="single"/>
          </w:rPr>
          <w:t>Liquidity and Capital Resources”</w:t>
        </w:r>
      </w:hyperlink>
      <w:r>
        <w:rPr>
          <w:color w:val="000000"/>
        </w:rPr>
        <w:t xml:space="preserve"> </w:t>
      </w:r>
      <w:r>
        <w:rPr>
          <w:rFonts w:ascii="Times New Roman;sans-serif" w:hAnsi="Times New Roman;sans-serif"/>
          <w:b w:val="false"/>
          <w:color w:val="000000"/>
          <w:sz w:val="20"/>
        </w:rPr>
        <w:t>below.</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Reportable Segments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We have aggregated our operating segments into five reportable segments. Retail operating segments are based on the similar characteristics within the regions in which they operate: Northeast, South, West, and Midwest. The Interactive segment includes all of our online sports betting, iCasino and social gaming operations, management of retail sports betting, media, and the operating results of Barstool (the remaining 64% of Barstool common stock, not already owned by PENN, was acquired on February 17, 2023). See </w:t>
      </w:r>
      <w:hyperlink w:anchor="i7f5745e410cd4baaad4ca320a657bd0b_55">
        <w:r>
          <w:rPr>
            <w:rStyle w:val="InternetLink"/>
            <w:rFonts w:ascii="Times New Roman;sans-serif" w:hAnsi="Times New Roman;sans-serif"/>
            <w:b w:val="false"/>
            <w:color w:val="0000FF"/>
            <w:sz w:val="20"/>
            <w:u w:val="single"/>
          </w:rPr>
          <w:t>Note 6, “Acquisitions and Dispositions”</w:t>
        </w:r>
      </w:hyperlink>
      <w:r>
        <w:rPr>
          <w:color w:val="000000"/>
        </w:rPr>
        <w:t xml:space="preserve"> </w:t>
      </w:r>
      <w:r>
        <w:rPr>
          <w:rFonts w:ascii="Times New Roman;sans-serif" w:hAnsi="Times New Roman;sans-serif"/>
          <w:b w:val="false"/>
          <w:color w:val="000000"/>
          <w:sz w:val="20"/>
        </w:rPr>
        <w:t xml:space="preserve">in the notes to our unaudited Consolidated Financial Statements for further information. We view each of our gaming and racing properties as an operating segment with the exception of our two properties in Jackpot, Nevada, which we view as one operating segment. We consider our combined Video Gaming Terminal (“VGT”) operations, by state, to be separate operating segments. For a listing of our gaming properties and VGT operations included in each reportable segment, see </w:t>
      </w:r>
      <w:hyperlink w:anchor="i7f5745e410cd4baaad4ca320a657bd0b_40">
        <w:r>
          <w:rPr>
            <w:rStyle w:val="InternetLink"/>
            <w:rFonts w:ascii="Times New Roman;sans-serif" w:hAnsi="Times New Roman;sans-serif"/>
            <w:b w:val="false"/>
            <w:color w:val="0000FF"/>
            <w:sz w:val="20"/>
            <w:u w:val="single"/>
          </w:rPr>
          <w:t>Note 2, “Significant Accounting Policies”</w:t>
        </w:r>
      </w:hyperlink>
      <w:r>
        <w:rPr>
          <w:color w:val="000000"/>
        </w:rPr>
        <w:t xml:space="preserve"> </w:t>
      </w:r>
      <w:r>
        <w:rPr>
          <w:rFonts w:ascii="Times New Roman;sans-serif" w:hAnsi="Times New Roman;sans-serif"/>
          <w:b w:val="false"/>
          <w:color w:val="000000"/>
          <w:sz w:val="20"/>
        </w:rPr>
        <w:t>in the notes to our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highlights our revenues, net income, and Adjusted EBITDA, on a consolidated basis, as well as our revenues and Adjusted EBITDAR by reportable segment. Such segment reporting is consistent with how we measure our business and allocate resources internally. We consider net income to be the most directly comparable financial measure calculated in accordance with generally accepted accounting principles in the United States (“GAAP”) to Adjusted EBITDA and Adjusted EBITDAR, which are non-GAAP financial measures. Refer to “Non-GAAP Financial Measures” below for the definitions of Adjusted EBITDA, Adjusted EBITDA margin, Adjusted EBITDAR, and Adjusted EBITDAR margin; as well as a reconciliation of net income to Adjusted EBITDA and Adjusted EBITDAR and related margins.</w:t>
      </w:r>
    </w:p>
    <w:tbl>
      <w:tblPr>
        <w:tblW w:w="10205" w:type="dxa"/>
        <w:jc w:val="left"/>
        <w:tblInd w:w="0" w:type="dxa"/>
        <w:tblLayout w:type="fixed"/>
        <w:tblCellMar>
          <w:top w:w="28" w:type="dxa"/>
          <w:left w:w="28" w:type="dxa"/>
          <w:bottom w:w="28" w:type="dxa"/>
          <w:right w:w="28" w:type="dxa"/>
        </w:tblCellMar>
      </w:tblPr>
      <w:tblGrid>
        <w:gridCol w:w="1499"/>
        <w:gridCol w:w="1268"/>
        <w:gridCol w:w="1275"/>
        <w:gridCol w:w="405"/>
        <w:gridCol w:w="227"/>
        <w:gridCol w:w="549"/>
        <w:gridCol w:w="200"/>
        <w:gridCol w:w="200"/>
        <w:gridCol w:w="200"/>
        <w:gridCol w:w="405"/>
        <w:gridCol w:w="227"/>
        <w:gridCol w:w="549"/>
        <w:gridCol w:w="109"/>
        <w:gridCol w:w="109"/>
        <w:gridCol w:w="109"/>
        <w:gridCol w:w="383"/>
        <w:gridCol w:w="210"/>
        <w:gridCol w:w="520"/>
        <w:gridCol w:w="187"/>
        <w:gridCol w:w="187"/>
        <w:gridCol w:w="187"/>
        <w:gridCol w:w="383"/>
        <w:gridCol w:w="210"/>
        <w:gridCol w:w="607"/>
      </w:tblGrid>
      <w:tr>
        <w:trPr/>
        <w:tc>
          <w:tcPr>
            <w:tcW w:w="149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40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4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 segment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w:t>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segment</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w:t>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segment</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w:t>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Midwest segment</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w:t>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Interactive segment</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w:t>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Intersegment eliminations </w:t>
            </w:r>
            <w:r>
              <w:rPr>
                <w:rFonts w:ascii="Times New Roman;sans-serif" w:hAnsi="Times New Roman;sans-serif"/>
                <w:b w:val="false"/>
                <w:color w:val="000000"/>
                <w:sz w:val="13"/>
              </w:rPr>
              <w:t>(2)</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1,674.8</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3,348.1</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3,191.1</w:t>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w:t>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EBITDAR:</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 segment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w:t>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segment</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w:t>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segment</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w:t>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Midwest segment</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w:t>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Interactive segment</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r>
      <w:tr>
        <w:trPr/>
        <w:tc>
          <w:tcPr>
            <w:tcW w:w="4042"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Total </w:t>
            </w:r>
            <w:r>
              <w:rPr>
                <w:rFonts w:ascii="Times New Roman;sans-serif" w:hAnsi="Times New Roman;sans-serif"/>
                <w:b/>
                <w:color w:val="000000"/>
                <w:sz w:val="13"/>
              </w:rPr>
              <w:t>(3)</w:t>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955.0</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w:t>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Rent expense associated with triple net operating leases</w:t>
            </w:r>
            <w:r>
              <w:rPr>
                <w:color w:val="000000"/>
              </w:rPr>
              <w:t xml:space="preserve"> </w:t>
            </w:r>
            <w:r>
              <w:rPr>
                <w:rFonts w:ascii="Times New Roman;sans-serif" w:hAnsi="Times New Roman;sans-serif"/>
                <w:b w:val="false"/>
                <w:color w:val="000000"/>
                <w:sz w:val="13"/>
              </w:rPr>
              <w:t>(4)</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w:t>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margin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EBITDAR margin</w:t>
            </w:r>
            <w:r>
              <w:rPr>
                <w:color w:val="000000"/>
              </w:rPr>
              <w:t xml:space="preserve"> </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 margin</w:t>
            </w:r>
            <w:r>
              <w:rPr>
                <w:color w:val="000000"/>
              </w:rPr>
              <w:t xml:space="preserve"> </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Other category consists of the Company’s stand-alone racing operations, namely Sanford-Orlando Kennel Club, Sam Houston and Valley Race Park, the Company’s joint venture interests in Freehold Raceway, and our management contract for Retama Park Racetrack. Expenses incurred for corporate and shared services activities that are directly attributable to a property or are otherwise incurred to support a property are allocated to each property. The Other category also includes corporate overhead costs, which consist of certain expenses, such as: payroll, professional fees, travel expenses and other general and administrative expenses that do not directly relate or have not otherwise been allocated. Corporate overhead costs were $24.8 million and $51.1 million for the three and six months ended June 30, 2023, respectively, as compared to $23.6 million and $48.4 million for the three and six months ended June 30, 2022, respectively.</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(2)Primarily represents the elimination of intersegment revenues associated with our retail sportsbooks, which are operated by PENN Interactive.</w:t>
      </w:r>
    </w:p>
    <w:p>
      <w:pPr>
        <w:pStyle w:val="TextBody"/>
        <w:bidi w:val="0"/>
        <w:spacing w:lineRule="auto" w:line="288" w:before="0" w:after="60"/>
        <w:ind w:left="0" w:right="0" w:hanging="360"/>
        <w:jc w:val="left"/>
        <w:rPr/>
      </w:pPr>
      <w:r>
        <w:rPr>
          <w:rFonts w:ascii="Times New Roman;sans-serif" w:hAnsi="Times New Roman;sans-serif"/>
          <w:b w:val="false"/>
          <w:color w:val="000000"/>
          <w:sz w:val="16"/>
          <w:shd w:fill="FFFFFF" w:val="clear"/>
        </w:rPr>
        <w:t>(3)</w:t>
      </w:r>
      <w:r>
        <w:rPr>
          <w:rFonts w:ascii="Times New Roman;sans-serif" w:hAnsi="Times New Roman;sans-serif"/>
          <w:b w:val="false"/>
          <w:color w:val="000000"/>
          <w:sz w:val="16"/>
        </w:rPr>
        <w:t xml:space="preserve">The total is a mathematical calculation derived from the sum of reportable segments (as well as the Other category). As noted within “Non-GAAP Financial Measures” below, Adjusted EBITDAR, and the related margin, is presented on a consolidated basis outside the financial statements solely as a valuation metric. </w:t>
      </w:r>
    </w:p>
    <w:p>
      <w:pPr>
        <w:pStyle w:val="TextBody"/>
        <w:bidi w:val="0"/>
        <w:spacing w:lineRule="auto" w:line="288" w:before="0" w:after="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(4)For the three and six months ended June 30, 2023, pertains to the following operating leases: (i) AR PENN Master Lease; (ii) 2023 Master Lease; (iii) Margaritaville Lease; and (iv) Greektown Lease.</w:t>
      </w:r>
    </w:p>
    <w:p>
      <w:pPr>
        <w:pStyle w:val="TextBody"/>
        <w:bidi w:val="0"/>
        <w:spacing w:lineRule="auto" w:line="288" w:before="0" w:after="20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For the three and six months ended June 30, 2022, pertains to the operating lease components contained within the (i) PENN Master Lease (specific to the land and building components associated with the operations of Hollywood Gaming at Dayton Raceway and Hollywood Gaming at Mahoning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16"/>
        </w:rPr>
      </w:pPr>
      <w:r>
        <w:rPr>
          <w:rFonts w:ascii="Times New Roman;sans-serif" w:hAnsi="Times New Roman;sans-serif"/>
          <w:b w:val="false"/>
          <w:color w:val="000000"/>
          <w:sz w:val="16"/>
        </w:rPr>
        <w:t>Valley Race Course); (ii) Meadows Lease; (iii) Margaritaville Lease; (iv) Greektown Lease; and (v) Tropicana Lease (which terminated on September 26,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Consolidated comparison of the three and six months ended June 30, 2023 and 2022</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consolidated revenues:</w:t>
      </w:r>
    </w:p>
    <w:tbl>
      <w:tblPr>
        <w:tblW w:w="10265" w:type="dxa"/>
        <w:jc w:val="left"/>
        <w:tblInd w:w="0" w:type="dxa"/>
        <w:tblLayout w:type="fixed"/>
        <w:tblCellMar>
          <w:top w:w="28" w:type="dxa"/>
          <w:left w:w="28" w:type="dxa"/>
          <w:bottom w:w="28" w:type="dxa"/>
          <w:right w:w="28" w:type="dxa"/>
        </w:tblCellMar>
      </w:tblPr>
      <w:tblGrid>
        <w:gridCol w:w="425"/>
        <w:gridCol w:w="215"/>
        <w:gridCol w:w="216"/>
        <w:gridCol w:w="196"/>
        <w:gridCol w:w="691"/>
        <w:gridCol w:w="109"/>
        <w:gridCol w:w="109"/>
        <w:gridCol w:w="109"/>
        <w:gridCol w:w="109"/>
        <w:gridCol w:w="196"/>
        <w:gridCol w:w="691"/>
        <w:gridCol w:w="109"/>
        <w:gridCol w:w="109"/>
        <w:gridCol w:w="109"/>
        <w:gridCol w:w="109"/>
        <w:gridCol w:w="196"/>
        <w:gridCol w:w="481"/>
        <w:gridCol w:w="109"/>
        <w:gridCol w:w="109"/>
        <w:gridCol w:w="109"/>
        <w:gridCol w:w="109"/>
        <w:gridCol w:w="232"/>
        <w:gridCol w:w="234"/>
        <w:gridCol w:w="256"/>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233"/>
        <w:gridCol w:w="233"/>
        <w:gridCol w:w="301"/>
      </w:tblGrid>
      <w:tr>
        <w:trPr/>
        <w:tc>
          <w:tcPr>
            <w:tcW w:w="4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beverage, hotel, and 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200"/>
        <w:ind w:left="0" w:right="0" w:firstLine="360"/>
        <w:jc w:val="left"/>
        <w:rPr/>
      </w:pPr>
      <w:r>
        <w:rPr>
          <w:rFonts w:ascii="Times New Roman;sans-serif" w:hAnsi="Times New Roman;sans-serif"/>
          <w:b/>
          <w:i/>
          <w:color w:val="000000"/>
          <w:sz w:val="20"/>
        </w:rPr>
        <w:t>Gaming revenues</w:t>
      </w:r>
      <w:r>
        <w:rPr>
          <w:color w:val="000000"/>
        </w:rPr>
        <w:t xml:space="preserve"> </w:t>
      </w:r>
      <w:r>
        <w:rPr>
          <w:rFonts w:ascii="Times New Roman;sans-serif" w:hAnsi="Times New Roman;sans-serif"/>
          <w:b w:val="false"/>
          <w:color w:val="000000"/>
          <w:sz w:val="20"/>
        </w:rPr>
        <w:t>for the 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 xml:space="preserve">June 30, 2023 decreased $32.8 million compared to the corresponding prior year period, primarily due to a decrease in visitation among all segments, offset by increases in our Interactive segment </w:t>
      </w:r>
      <w:r>
        <w:rPr>
          <w:rFonts w:ascii="Times New Roman;sans-serif" w:hAnsi="Times New Roman;sans-serif"/>
          <w:b w:val="false"/>
          <w:color w:val="000000"/>
          <w:sz w:val="20"/>
          <w:shd w:fill="FFFFFF" w:val="clear"/>
        </w:rPr>
        <w:t>resulting from continued growth in our online revenues.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shd w:fill="FFFFFF" w:val="clear"/>
        </w:rPr>
        <w:t xml:space="preserve">Gaming revenues for the six months ended </w:t>
      </w:r>
      <w:r>
        <w:rPr>
          <w:rFonts w:ascii="Times New Roman;sans-serif" w:hAnsi="Times New Roman;sans-serif"/>
          <w:b w:val="false"/>
          <w:color w:val="000000"/>
          <w:sz w:val="20"/>
        </w:rPr>
        <w:t>June 30, 2023</w:t>
      </w:r>
      <w:r>
        <w:rPr>
          <w:color w:val="000000"/>
          <w:shd w:fill="FFFFFF" w:val="clear"/>
        </w:rPr>
        <w:t xml:space="preserve"> </w:t>
      </w:r>
      <w:r>
        <w:rPr>
          <w:rFonts w:ascii="Times New Roman;sans-serif" w:hAnsi="Times New Roman;sans-serif"/>
          <w:b w:val="false"/>
          <w:color w:val="000000"/>
          <w:sz w:val="20"/>
          <w:shd w:fill="FFFFFF" w:val="clear"/>
        </w:rPr>
        <w:t xml:space="preserve">increased by $0.6 million compared to the corresponding prior year period, primarily due to increased visitation at our properties in the Northeast segment during the first quarter of 2023 and </w:t>
      </w:r>
      <w:r>
        <w:rPr>
          <w:rFonts w:ascii="Times New Roman;sans-serif" w:hAnsi="Times New Roman;sans-serif"/>
          <w:b w:val="false"/>
          <w:color w:val="000000"/>
          <w:sz w:val="20"/>
        </w:rPr>
        <w:t xml:space="preserve">increases in our Interactive segment </w:t>
      </w:r>
      <w:r>
        <w:rPr>
          <w:rFonts w:ascii="Times New Roman;sans-serif" w:hAnsi="Times New Roman;sans-serif"/>
          <w:b w:val="false"/>
          <w:color w:val="000000"/>
          <w:sz w:val="20"/>
          <w:shd w:fill="FFFFFF" w:val="clear"/>
        </w:rPr>
        <w:t xml:space="preserve">resulting from continued growth in our online revenues, offset by decreases in the second quarter, as described above. </w:t>
      </w:r>
    </w:p>
    <w:p>
      <w:pPr>
        <w:pStyle w:val="TextBody"/>
        <w:bidi w:val="0"/>
        <w:spacing w:lineRule="auto" w:line="288" w:before="0" w:after="200"/>
        <w:ind w:left="0" w:right="0" w:firstLine="360"/>
        <w:jc w:val="left"/>
        <w:rPr/>
      </w:pPr>
      <w:r>
        <w:rPr>
          <w:rFonts w:ascii="Times New Roman;sans-serif" w:hAnsi="Times New Roman;sans-serif"/>
          <w:b/>
          <w:i/>
          <w:color w:val="000000"/>
          <w:sz w:val="20"/>
        </w:rPr>
        <w:t>Food, beverage, hotel, and other revenues</w:t>
      </w:r>
      <w:r>
        <w:rPr>
          <w:color w:val="000000"/>
        </w:rPr>
        <w:t xml:space="preserve"> </w:t>
      </w:r>
      <w:r>
        <w:rPr>
          <w:rFonts w:ascii="Times New Roman;sans-serif" w:hAnsi="Times New Roman;sans-serif"/>
          <w:b w:val="false"/>
          <w:color w:val="000000"/>
          <w:sz w:val="20"/>
        </w:rPr>
        <w:t xml:space="preserve">for the </w:t>
      </w:r>
      <w:r>
        <w:rPr>
          <w:rFonts w:ascii="Times New Roman;sans-serif" w:hAnsi="Times New Roman;sans-serif"/>
          <w:b w:val="false"/>
          <w:color w:val="000000"/>
          <w:sz w:val="20"/>
          <w:shd w:fill="FFFFFF" w:val="clear"/>
        </w:rPr>
        <w:t xml:space="preserve">three and six months ended </w:t>
      </w:r>
      <w:r>
        <w:rPr>
          <w:rFonts w:ascii="Times New Roman;sans-serif" w:hAnsi="Times New Roman;sans-serif"/>
          <w:b w:val="false"/>
          <w:color w:val="000000"/>
          <w:sz w:val="20"/>
        </w:rPr>
        <w:t xml:space="preserve">June 30, 2023 increased $80.7 million and $156.4 million, respectively, compared to the corresponding prior year periods, </w:t>
      </w:r>
      <w:r>
        <w:rPr>
          <w:rFonts w:ascii="Times New Roman;sans-serif" w:hAnsi="Times New Roman;sans-serif"/>
          <w:b w:val="false"/>
          <w:color w:val="000000"/>
          <w:sz w:val="20"/>
          <w:shd w:fill="FFFFFF" w:val="clear"/>
        </w:rPr>
        <w:t xml:space="preserve">primarily due to the inclusion of 100% of the operating results of Barstool subsequent to the Barstool Acquisition on February 17, 2023, as well as increases in gaming tax reimbursement amounts charged to </w:t>
      </w:r>
      <w:r>
        <w:rPr>
          <w:rFonts w:ascii="Times New Roman;sans-serif" w:hAnsi="Times New Roman;sans-serif"/>
          <w:b w:val="false"/>
          <w:color w:val="000000"/>
          <w:sz w:val="20"/>
        </w:rPr>
        <w:t>third-party online sports betting and/or iCasino</w:t>
      </w:r>
      <w:r>
        <w:rPr>
          <w:color w:val="000000"/>
          <w:shd w:fill="FFFFFF" w:val="clear"/>
        </w:rPr>
        <w:t xml:space="preserve"> </w:t>
      </w:r>
      <w:r>
        <w:rPr>
          <w:rFonts w:ascii="Times New Roman;sans-serif" w:hAnsi="Times New Roman;sans-serif"/>
          <w:b w:val="false"/>
          <w:color w:val="000000"/>
          <w:sz w:val="20"/>
          <w:shd w:fill="FFFFFF" w:val="clear"/>
        </w:rPr>
        <w:t>partners for online sports betting and iCasino market access</w:t>
      </w:r>
      <w:r>
        <w:rPr>
          <w:rFonts w:ascii="Times New Roman;sans-serif" w:hAnsi="Times New Roman;sans-serif"/>
          <w:b w:val="false"/>
          <w:color w:val="000000"/>
          <w:sz w:val="20"/>
        </w:rPr>
        <w:t>.</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See </w:t>
      </w:r>
      <w:hyperlink w:anchor="i7f5745e410cd4baaad4ca320a657bd0b_124">
        <w:r>
          <w:rPr>
            <w:rStyle w:val="InternetLink"/>
            <w:color w:val="0000FF"/>
            <w:u w:val="single"/>
          </w:rPr>
          <w:t>“</w:t>
        </w:r>
      </w:hyperlink>
      <w:hyperlink w:anchor="i7f5745e410cd4baaad4ca320a657bd0b_124">
        <w:r>
          <w:rPr>
            <w:rStyle w:val="InternetLink"/>
            <w:rFonts w:ascii="Times New Roman;sans-serif" w:hAnsi="Times New Roman;sans-serif"/>
            <w:b w:val="false"/>
            <w:color w:val="0000FF"/>
            <w:sz w:val="20"/>
            <w:u w:val="single"/>
          </w:rPr>
          <w:t>Segment comparison of the three and six months ended June 30, 2023 and 2022”</w:t>
        </w:r>
      </w:hyperlink>
      <w:r>
        <w:rPr>
          <w:color w:val="000000"/>
        </w:rPr>
        <w:t xml:space="preserve"> </w:t>
      </w:r>
      <w:r>
        <w:rPr>
          <w:rFonts w:ascii="Times New Roman;sans-serif" w:hAnsi="Times New Roman;sans-serif"/>
          <w:b w:val="false"/>
          <w:color w:val="000000"/>
          <w:sz w:val="20"/>
        </w:rPr>
        <w:t>below for more detailed explanations of the fluctuations in revenues.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consolidated operating expenses:</w:t>
      </w:r>
    </w:p>
    <w:tbl>
      <w:tblPr>
        <w:tblW w:w="10625" w:type="dxa"/>
        <w:jc w:val="left"/>
        <w:tblInd w:w="0" w:type="dxa"/>
        <w:tblLayout w:type="fixed"/>
        <w:tblCellMar>
          <w:top w:w="28" w:type="dxa"/>
          <w:left w:w="28" w:type="dxa"/>
          <w:bottom w:w="28" w:type="dxa"/>
          <w:right w:w="28" w:type="dxa"/>
        </w:tblCellMar>
      </w:tblPr>
      <w:tblGrid>
        <w:gridCol w:w="680"/>
        <w:gridCol w:w="215"/>
        <w:gridCol w:w="216"/>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239"/>
        <w:gridCol w:w="242"/>
        <w:gridCol w:w="256"/>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240"/>
        <w:gridCol w:w="241"/>
        <w:gridCol w:w="301"/>
      </w:tblGrid>
      <w:tr>
        <w:trPr/>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beverage, hotel, and 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200"/>
        <w:ind w:left="0" w:right="0" w:firstLine="360"/>
        <w:jc w:val="left"/>
        <w:rPr/>
      </w:pPr>
      <w:r>
        <w:rPr>
          <w:rFonts w:ascii="Times New Roman;sans-serif" w:hAnsi="Times New Roman;sans-serif"/>
          <w:b/>
          <w:i/>
          <w:color w:val="000000"/>
          <w:sz w:val="20"/>
        </w:rPr>
        <w:t>Gaming expenses</w:t>
      </w:r>
      <w:r>
        <w:rPr>
          <w:color w:val="000000"/>
        </w:rPr>
        <w:t xml:space="preserve"> </w:t>
      </w:r>
      <w:r>
        <w:rPr>
          <w:rFonts w:ascii="Times New Roman;sans-serif" w:hAnsi="Times New Roman;sans-serif"/>
          <w:b w:val="false"/>
          <w:color w:val="000000"/>
          <w:sz w:val="20"/>
        </w:rPr>
        <w:t>consist primarily of gaming taxes, payroll, marketing and promotional, and other expenses associated with our gaming operations. Gaming expenses for the 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 xml:space="preserve">June 30, 2023 decreased $3.0 million compared to the corresponding prior year period, due to lower gaming taxes resulting from the decrease in gaming revenues, offset by higher payroll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Gaming expenses for the </w:t>
      </w:r>
      <w:r>
        <w:rPr>
          <w:rFonts w:ascii="Times New Roman;sans-serif" w:hAnsi="Times New Roman;sans-serif"/>
          <w:b w:val="false"/>
          <w:color w:val="000000"/>
          <w:sz w:val="20"/>
          <w:shd w:fill="FFFFFF" w:val="clear"/>
        </w:rPr>
        <w:t xml:space="preserve">six months ended </w:t>
      </w:r>
      <w:r>
        <w:rPr>
          <w:rFonts w:ascii="Times New Roman;sans-serif" w:hAnsi="Times New Roman;sans-serif"/>
          <w:b w:val="false"/>
          <w:color w:val="000000"/>
          <w:sz w:val="20"/>
        </w:rPr>
        <w:t>June 30, 2023 increased $39.9 million compared to the corresponding prior year period, primarily due to increases in payroll expenses and higher third-party service provider fees from higher online gaming activity.</w:t>
      </w:r>
    </w:p>
    <w:p>
      <w:pPr>
        <w:pStyle w:val="TextBody"/>
        <w:bidi w:val="0"/>
        <w:spacing w:lineRule="auto" w:line="288" w:before="0" w:after="200"/>
        <w:ind w:left="0" w:right="0" w:firstLine="360"/>
        <w:jc w:val="left"/>
        <w:rPr/>
      </w:pPr>
      <w:r>
        <w:rPr>
          <w:rFonts w:ascii="Times New Roman;sans-serif" w:hAnsi="Times New Roman;sans-serif"/>
          <w:b/>
          <w:i/>
          <w:color w:val="000000"/>
          <w:sz w:val="20"/>
        </w:rPr>
        <w:t xml:space="preserve">Food, beverage, hotel, and other expenses </w:t>
      </w:r>
      <w:r>
        <w:rPr>
          <w:rFonts w:ascii="Times New Roman;sans-serif" w:hAnsi="Times New Roman;sans-serif"/>
          <w:b w:val="false"/>
          <w:color w:val="000000"/>
          <w:sz w:val="20"/>
        </w:rPr>
        <w:t>consist primarily of payroll expenses, costs of goods sold, and other costs associated with our food, beverage, hotel, retail, racing, and interactive operations. Fo</w:t>
      </w:r>
      <w:r>
        <w:rPr>
          <w:rFonts w:ascii="Times New Roman;sans-serif" w:hAnsi="Times New Roman;sans-serif"/>
          <w:b w:val="false"/>
          <w:color w:val="000000"/>
          <w:sz w:val="20"/>
          <w:shd w:fill="FFFFFF" w:val="clear"/>
        </w:rPr>
        <w:t xml:space="preserve">od, beverage, hotel, and other expenses for the three and six months ended </w:t>
      </w:r>
      <w:r>
        <w:rPr>
          <w:rFonts w:ascii="Times New Roman;sans-serif" w:hAnsi="Times New Roman;sans-serif"/>
          <w:b w:val="false"/>
          <w:color w:val="000000"/>
          <w:sz w:val="20"/>
        </w:rPr>
        <w:t>June 30, 2023</w:t>
      </w:r>
      <w:r>
        <w:rPr>
          <w:color w:val="000000"/>
          <w:shd w:fill="FFFFFF" w:val="clear"/>
        </w:rPr>
        <w:t xml:space="preserve"> </w:t>
      </w:r>
      <w:r>
        <w:rPr>
          <w:rFonts w:ascii="Times New Roman;sans-serif" w:hAnsi="Times New Roman;sans-serif"/>
          <w:b w:val="false"/>
          <w:color w:val="000000"/>
          <w:sz w:val="20"/>
          <w:shd w:fill="FFFFFF" w:val="clear"/>
        </w:rPr>
        <w:t xml:space="preserve">increased $81.0 million and </w:t>
      </w:r>
      <w:r>
        <w:rPr>
          <w:rFonts w:ascii="Times New Roman;sans-serif" w:hAnsi="Times New Roman;sans-serif"/>
          <w:b w:val="false"/>
          <w:color w:val="000000"/>
          <w:sz w:val="20"/>
        </w:rPr>
        <w:t xml:space="preserve">$153.4 million, </w:t>
      </w:r>
      <w:r>
        <w:rPr>
          <w:rFonts w:ascii="Times New Roman;sans-serif" w:hAnsi="Times New Roman;sans-serif"/>
          <w:b w:val="false"/>
          <w:color w:val="000000"/>
          <w:sz w:val="20"/>
          <w:shd w:fill="FFFFFF" w:val="clear"/>
        </w:rPr>
        <w:t xml:space="preserve">respectively, compared to the corresponding prior year periods, primarily due to the inclusion of operating expenses related to Barstool subsequent to the Barstool Acquisition, which was completed on February 17, 2023, as well as increases in gaming tax reimbursement amounts related to </w:t>
      </w:r>
      <w:r>
        <w:rPr>
          <w:rFonts w:ascii="Times New Roman;sans-serif" w:hAnsi="Times New Roman;sans-serif"/>
          <w:b w:val="false"/>
          <w:color w:val="000000"/>
          <w:sz w:val="20"/>
        </w:rPr>
        <w:t xml:space="preserve">third-party online sports betting and/or iCasino </w:t>
      </w:r>
      <w:r>
        <w:rPr>
          <w:rFonts w:ascii="Times New Roman;sans-serif" w:hAnsi="Times New Roman;sans-serif"/>
          <w:b w:val="false"/>
          <w:color w:val="000000"/>
          <w:sz w:val="20"/>
          <w:shd w:fill="FFFFFF" w:val="clear"/>
        </w:rPr>
        <w:t>partners for online sports betting and iCasino market access.</w:t>
      </w:r>
    </w:p>
    <w:p>
      <w:pPr>
        <w:pStyle w:val="TextBody"/>
        <w:bidi w:val="0"/>
        <w:spacing w:lineRule="auto" w:line="288" w:before="0" w:after="200"/>
        <w:ind w:left="0" w:right="0" w:firstLine="360"/>
        <w:jc w:val="left"/>
        <w:rPr/>
      </w:pPr>
      <w:r>
        <w:rPr>
          <w:rFonts w:ascii="Times New Roman;sans-serif" w:hAnsi="Times New Roman;sans-serif"/>
          <w:b/>
          <w:i/>
          <w:color w:val="000000"/>
          <w:sz w:val="20"/>
        </w:rPr>
        <w:t xml:space="preserve">General and administrative expenses </w:t>
      </w:r>
      <w:r>
        <w:rPr>
          <w:rFonts w:ascii="Times New Roman;sans-serif" w:hAnsi="Times New Roman;sans-serif"/>
          <w:b w:val="false"/>
          <w:color w:val="000000"/>
          <w:sz w:val="20"/>
        </w:rPr>
        <w:t>include items such as compliance, facility maintenance, utilities, property and liability insurance, surveillance and security, and lobbying expenses, as well as all expenses for administrative departments such as accounting, purchasing, human resources, legal and internal audit. General and administrative expenses also include stock-based compensation expense; pre-opening expenses; acquisition and transaction costs; gains and losses on disposal of assets; insurance recoveries, net of deductible charges; changes in the fair value of our contingent purchase price obligations; expense associated with cash-settled stock-based awards (including changes in fair value thereto); and rent expense associated with our triple net operating leases.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For the </w:t>
      </w:r>
      <w:r>
        <w:rPr>
          <w:rFonts w:ascii="Times New Roman;sans-serif" w:hAnsi="Times New Roman;sans-serif"/>
          <w:b w:val="false"/>
          <w:color w:val="000000"/>
          <w:sz w:val="20"/>
          <w:shd w:fill="FFFFFF" w:val="clear"/>
        </w:rPr>
        <w:t xml:space="preserve">three and six months ended </w:t>
      </w:r>
      <w:r>
        <w:rPr>
          <w:rFonts w:ascii="Times New Roman;sans-serif" w:hAnsi="Times New Roman;sans-serif"/>
          <w:b w:val="false"/>
          <w:color w:val="000000"/>
          <w:sz w:val="20"/>
        </w:rPr>
        <w:t xml:space="preserve">June 30, 2023, general and administrative expenses increased by </w:t>
      </w:r>
      <w:r>
        <w:rPr>
          <w:rFonts w:ascii="Times New Roman;sans-serif" w:hAnsi="Times New Roman;sans-serif"/>
          <w:b w:val="false"/>
          <w:color w:val="000000"/>
          <w:sz w:val="20"/>
          <w:shd w:fill="FFFFFF" w:val="clear"/>
        </w:rPr>
        <w:t>$106.5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$203.9 million,</w:t>
      </w:r>
      <w:r>
        <w:rPr>
          <w:color w:val="000000"/>
        </w:rPr>
        <w:t xml:space="preserve"> </w:t>
      </w:r>
      <w:r>
        <w:rPr>
          <w:rFonts w:ascii="Times New Roman;sans-serif" w:hAnsi="Times New Roman;sans-serif"/>
          <w:b w:val="false"/>
          <w:color w:val="000000"/>
          <w:sz w:val="20"/>
        </w:rPr>
        <w:t xml:space="preserve">respectively, compared to the corresponding prior year periods, primarily due to an increase in rent expense associated with triple net operating leases of $118.4 million and $204.3 million respectively, stemming from the execution on February 21, 2023 of both the AR PENN Master Lease and 2023 Master Lease. The impact of these aforementioned lease transactions resulted in the classification of all land components and building components to be operating leases of which the associated rent expense is recorded to “General and Administrative” as described in </w:t>
      </w:r>
      <w:hyperlink w:anchor="i7f5745e410cd4baaad4ca320a657bd0b_73">
        <w:r>
          <w:rPr>
            <w:rStyle w:val="InternetLink"/>
            <w:rFonts w:ascii="Times New Roman;sans-serif" w:hAnsi="Times New Roman;sans-serif"/>
            <w:b w:val="false"/>
            <w:color w:val="0000FF"/>
            <w:sz w:val="20"/>
            <w:u w:val="single"/>
          </w:rPr>
          <w:t>Note 9, “Leases”</w:t>
        </w:r>
      </w:hyperlink>
      <w:r>
        <w:rPr>
          <w:color w:val="000000"/>
        </w:rPr>
        <w:t xml:space="preserve"> </w:t>
      </w:r>
      <w:r>
        <w:rPr>
          <w:rFonts w:ascii="Times New Roman;sans-serif" w:hAnsi="Times New Roman;sans-serif"/>
          <w:b w:val="false"/>
          <w:color w:val="000000"/>
          <w:sz w:val="20"/>
        </w:rPr>
        <w:t>to our unaudited Consolidated Financial Statements.</w:t>
      </w:r>
    </w:p>
    <w:p>
      <w:pPr>
        <w:pStyle w:val="TextBody"/>
        <w:bidi w:val="0"/>
        <w:spacing w:lineRule="auto" w:line="288" w:before="0" w:after="200"/>
        <w:ind w:left="0" w:right="0" w:firstLine="360"/>
        <w:jc w:val="left"/>
        <w:rPr/>
      </w:pPr>
      <w:r>
        <w:rPr>
          <w:rFonts w:ascii="Times New Roman;sans-serif" w:hAnsi="Times New Roman;sans-serif"/>
          <w:b/>
          <w:i/>
          <w:color w:val="000000"/>
          <w:sz w:val="20"/>
        </w:rPr>
        <w:t xml:space="preserve">Depreciation and amortization </w:t>
      </w:r>
      <w:r>
        <w:rPr>
          <w:rFonts w:ascii="Times New Roman;sans-serif" w:hAnsi="Times New Roman;sans-serif"/>
          <w:b w:val="false"/>
          <w:color w:val="000000"/>
          <w:sz w:val="20"/>
        </w:rPr>
        <w:t xml:space="preserve">for the </w:t>
      </w:r>
      <w:r>
        <w:rPr>
          <w:rFonts w:ascii="Times New Roman;sans-serif" w:hAnsi="Times New Roman;sans-serif"/>
          <w:b w:val="false"/>
          <w:color w:val="000000"/>
          <w:sz w:val="20"/>
          <w:shd w:fill="FFFFFF" w:val="clear"/>
        </w:rPr>
        <w:t xml:space="preserve">three and six months ended </w:t>
      </w:r>
      <w:r>
        <w:rPr>
          <w:rFonts w:ascii="Times New Roman;sans-serif" w:hAnsi="Times New Roman;sans-serif"/>
          <w:b w:val="false"/>
          <w:color w:val="000000"/>
          <w:sz w:val="20"/>
        </w:rPr>
        <w:t xml:space="preserve">June 30, 2023 decreased $39.7 million and $50.4 million, respectively, compared to the corresponding prior year periods, primarily due to a decrease in depreciation and amortization costs stemming from the execution on February 21, 2023 of both the AR PENN Master Lease and 2023 Master Lease. Prior to the execution of the aforementioned lease transactions, primarily all of the building components of the PENN Master Lease were classified as financing obligations of which depreciation of the associated property and equipment assets were previously recorded to “Depreciation and amortization” expense. Additionally, primarily all of the land components contained within the PENN Master Lease and the land and building components contained within the Perryville Lease (as defined in </w:t>
      </w:r>
      <w:hyperlink w:anchor="i7f5745e410cd4baaad4ca320a657bd0b_133">
        <w:r>
          <w:rPr>
            <w:rStyle w:val="InternetLink"/>
            <w:color w:val="0000FF"/>
            <w:u w:val="single"/>
          </w:rPr>
          <w:t>“</w:t>
        </w:r>
      </w:hyperlink>
      <w:hyperlink w:anchor="i7f5745e410cd4baaad4ca320a657bd0b_133">
        <w:r>
          <w:rPr>
            <w:rStyle w:val="InternetLink"/>
            <w:rFonts w:ascii="Times New Roman;sans-serif" w:hAnsi="Times New Roman;sans-serif"/>
            <w:b w:val="false"/>
            <w:color w:val="0000FF"/>
            <w:sz w:val="20"/>
            <w:u w:val="single"/>
          </w:rPr>
          <w:t>Liquidity and Capital Resources”</w:t>
        </w:r>
      </w:hyperlink>
      <w:r>
        <w:rPr>
          <w:rFonts w:ascii="Times New Roman;sans-serif" w:hAnsi="Times New Roman;sans-serif"/>
          <w:b w:val="false"/>
          <w:color w:val="000000"/>
          <w:sz w:val="20"/>
        </w:rPr>
        <w:t xml:space="preserve">) were classified as finance leases of which amortization of the lease right-of-use assets (“ROU”) were recorded to “Depreciation and Amortization” expense. The impact of these aforementioned lease transactions resulted in the classification of all land components and building components associated with the AR PENN Master Lease to be operating leases with the associated rent expense recorded to “General and Administrative” as described in </w:t>
      </w:r>
      <w:hyperlink w:anchor="i7f5745e410cd4baaad4ca320a657bd0b_73">
        <w:r>
          <w:rPr>
            <w:rStyle w:val="InternetLink"/>
            <w:rFonts w:ascii="Times New Roman;sans-serif" w:hAnsi="Times New Roman;sans-serif"/>
            <w:b w:val="false"/>
            <w:color w:val="0000FF"/>
            <w:sz w:val="20"/>
            <w:u w:val="single"/>
          </w:rPr>
          <w:t>Note 9, “Leases”</w:t>
        </w:r>
      </w:hyperlink>
      <w:r>
        <w:rPr>
          <w:color w:val="000000"/>
        </w:rPr>
        <w:t xml:space="preserve"> </w:t>
      </w:r>
      <w:r>
        <w:rPr>
          <w:rFonts w:ascii="Times New Roman;sans-serif" w:hAnsi="Times New Roman;sans-serif"/>
          <w:b w:val="false"/>
          <w:color w:val="000000"/>
          <w:sz w:val="20"/>
        </w:rPr>
        <w:t>to our unaudited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Other income (expenses)</w:t>
      </w:r>
    </w:p>
    <w:p>
      <w:pPr>
        <w:pStyle w:val="TextBody"/>
        <w:bidi w:val="0"/>
        <w:spacing w:lineRule="auto" w:line="288" w:before="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consolidated other income (expenses):</w:t>
      </w:r>
    </w:p>
    <w:tbl>
      <w:tblPr>
        <w:tblW w:w="10430" w:type="dxa"/>
        <w:jc w:val="left"/>
        <w:tblInd w:w="0" w:type="dxa"/>
        <w:tblLayout w:type="fixed"/>
        <w:tblCellMar>
          <w:top w:w="28" w:type="dxa"/>
          <w:left w:w="28" w:type="dxa"/>
          <w:bottom w:w="28" w:type="dxa"/>
          <w:right w:w="28" w:type="dxa"/>
        </w:tblCellMar>
      </w:tblPr>
      <w:tblGrid>
        <w:gridCol w:w="738"/>
        <w:gridCol w:w="247"/>
        <w:gridCol w:w="216"/>
        <w:gridCol w:w="196"/>
        <w:gridCol w:w="571"/>
        <w:gridCol w:w="109"/>
        <w:gridCol w:w="109"/>
        <w:gridCol w:w="109"/>
        <w:gridCol w:w="109"/>
        <w:gridCol w:w="196"/>
        <w:gridCol w:w="571"/>
        <w:gridCol w:w="109"/>
        <w:gridCol w:w="109"/>
        <w:gridCol w:w="109"/>
        <w:gridCol w:w="109"/>
        <w:gridCol w:w="196"/>
        <w:gridCol w:w="466"/>
        <w:gridCol w:w="109"/>
        <w:gridCol w:w="109"/>
        <w:gridCol w:w="109"/>
        <w:gridCol w:w="109"/>
        <w:gridCol w:w="277"/>
        <w:gridCol w:w="279"/>
        <w:gridCol w:w="256"/>
        <w:gridCol w:w="109"/>
        <w:gridCol w:w="109"/>
        <w:gridCol w:w="109"/>
        <w:gridCol w:w="196"/>
        <w:gridCol w:w="571"/>
        <w:gridCol w:w="109"/>
        <w:gridCol w:w="109"/>
        <w:gridCol w:w="109"/>
        <w:gridCol w:w="109"/>
        <w:gridCol w:w="196"/>
        <w:gridCol w:w="571"/>
        <w:gridCol w:w="109"/>
        <w:gridCol w:w="109"/>
        <w:gridCol w:w="109"/>
        <w:gridCol w:w="109"/>
        <w:gridCol w:w="196"/>
        <w:gridCol w:w="556"/>
        <w:gridCol w:w="109"/>
        <w:gridCol w:w="109"/>
        <w:gridCol w:w="109"/>
        <w:gridCol w:w="109"/>
        <w:gridCol w:w="344"/>
        <w:gridCol w:w="347"/>
        <w:gridCol w:w="301"/>
      </w:tblGrid>
      <w:tr>
        <w:trPr/>
        <w:tc>
          <w:tcPr>
            <w:tcW w:w="7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unconsolidated affiliates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Barstool Acquisition,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REIT transactions,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early extinguishment of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200"/>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0" w:after="200"/>
        <w:ind w:left="0" w:right="0" w:firstLine="360"/>
        <w:jc w:val="left"/>
        <w:rPr/>
      </w:pPr>
      <w:r>
        <w:rPr>
          <w:rFonts w:ascii="Times New Roman;sans-serif" w:hAnsi="Times New Roman;sans-serif"/>
          <w:b/>
          <w:i/>
          <w:color w:val="000000"/>
          <w:sz w:val="20"/>
        </w:rPr>
        <w:t>Interest expense, net</w:t>
      </w:r>
      <w:r>
        <w:rPr>
          <w:color w:val="000000"/>
        </w:rPr>
        <w:t xml:space="preserve"> </w:t>
      </w:r>
      <w:r>
        <w:rPr>
          <w:rFonts w:ascii="Times New Roman;sans-serif" w:hAnsi="Times New Roman;sans-serif"/>
          <w:b w:val="false"/>
          <w:color w:val="000000"/>
          <w:sz w:val="20"/>
        </w:rPr>
        <w:t xml:space="preserve">decreased by $79.4 million and $127.6 million for the </w:t>
      </w:r>
      <w:r>
        <w:rPr>
          <w:rFonts w:ascii="Times New Roman;sans-serif" w:hAnsi="Times New Roman;sans-serif"/>
          <w:b w:val="false"/>
          <w:color w:val="000000"/>
          <w:sz w:val="20"/>
          <w:shd w:fill="FFFFFF" w:val="clear"/>
        </w:rPr>
        <w:t>three and six</w:t>
      </w:r>
      <w:r>
        <w:rPr>
          <w:color w:val="000000"/>
        </w:rPr>
        <w:t xml:space="preserve"> </w:t>
      </w:r>
      <w:r>
        <w:rPr>
          <w:rFonts w:ascii="Times New Roman;sans-serif" w:hAnsi="Times New Roman;sans-serif"/>
          <w:b w:val="false"/>
          <w:color w:val="000000"/>
          <w:sz w:val="20"/>
        </w:rPr>
        <w:t xml:space="preserve">months ended June 30, 2023, respectively, compared to the corresponding prior year periods, primarily due to a net decrease in Master Lease interest costs due to changes in lease classifications as a result of the amendment of the PENN Master Lease, as described in </w:t>
      </w:r>
      <w:hyperlink w:anchor="i7f5745e410cd4baaad4ca320a657bd0b_133">
        <w:r>
          <w:rPr>
            <w:rStyle w:val="InternetLink"/>
            <w:color w:val="0000FF"/>
            <w:u w:val="single"/>
          </w:rPr>
          <w:t>“</w:t>
        </w:r>
      </w:hyperlink>
      <w:hyperlink w:anchor="i7f5745e410cd4baaad4ca320a657bd0b_133">
        <w:r>
          <w:rPr>
            <w:rStyle w:val="InternetLink"/>
            <w:rFonts w:ascii="Times New Roman;sans-serif" w:hAnsi="Times New Roman;sans-serif"/>
            <w:b w:val="false"/>
            <w:color w:val="0000FF"/>
            <w:sz w:val="20"/>
            <w:u w:val="single"/>
          </w:rPr>
          <w:t>Liquidity and Capital Resources,”</w:t>
        </w:r>
      </w:hyperlink>
      <w:r>
        <w:rPr>
          <w:color w:val="000000"/>
        </w:rPr>
        <w:t xml:space="preserve"> </w:t>
      </w:r>
      <w:r>
        <w:rPr>
          <w:rFonts w:ascii="Times New Roman;sans-serif" w:hAnsi="Times New Roman;sans-serif"/>
          <w:b w:val="false"/>
          <w:color w:val="000000"/>
          <w:sz w:val="20"/>
        </w:rPr>
        <w:t>of $96.4 million and $161.5 million, respectively, partially offset by an increase in interest expense on our Senior Secured Credit Facilities related to an overall increase in interest rates.</w:t>
      </w:r>
    </w:p>
    <w:p>
      <w:pPr>
        <w:pStyle w:val="TextBody"/>
        <w:bidi w:val="0"/>
        <w:spacing w:lineRule="auto" w:line="288" w:before="0" w:after="200"/>
        <w:ind w:left="0" w:right="0" w:firstLine="360"/>
        <w:jc w:val="left"/>
        <w:rPr/>
      </w:pPr>
      <w:r>
        <w:rPr>
          <w:rFonts w:ascii="Times New Roman;sans-serif" w:hAnsi="Times New Roman;sans-serif"/>
          <w:b/>
          <w:i/>
          <w:color w:val="000000"/>
          <w:sz w:val="20"/>
        </w:rPr>
        <w:t>Interest income</w:t>
      </w:r>
      <w:r>
        <w:rPr>
          <w:color w:val="000000"/>
        </w:rPr>
        <w:t xml:space="preserve"> </w:t>
      </w:r>
      <w:r>
        <w:rPr>
          <w:rFonts w:ascii="Times New Roman;sans-serif" w:hAnsi="Times New Roman;sans-serif"/>
          <w:b w:val="false"/>
          <w:color w:val="000000"/>
          <w:sz w:val="20"/>
        </w:rPr>
        <w:t xml:space="preserve">increased by $8.5 million and $18.5 million for the </w:t>
      </w:r>
      <w:r>
        <w:rPr>
          <w:rFonts w:ascii="Times New Roman;sans-serif" w:hAnsi="Times New Roman;sans-serif"/>
          <w:b w:val="false"/>
          <w:color w:val="000000"/>
          <w:sz w:val="20"/>
          <w:shd w:fill="FFFFFF" w:val="clear"/>
        </w:rPr>
        <w:t>three and six</w:t>
      </w:r>
      <w:r>
        <w:rPr>
          <w:color w:val="000000"/>
        </w:rPr>
        <w:t xml:space="preserve"> </w:t>
      </w:r>
      <w:r>
        <w:rPr>
          <w:rFonts w:ascii="Times New Roman;sans-serif" w:hAnsi="Times New Roman;sans-serif"/>
          <w:b w:val="false"/>
          <w:color w:val="000000"/>
          <w:sz w:val="20"/>
        </w:rPr>
        <w:t xml:space="preserve">months ended June 30, 2023, respectively, compared to the corresponding prior year periods, primarily due to executing on our short term investing strategy utilizing money market funds which commenced during the year ended December 31, 2022. </w:t>
      </w:r>
    </w:p>
    <w:p>
      <w:pPr>
        <w:pStyle w:val="TextBody"/>
        <w:bidi w:val="0"/>
        <w:spacing w:lineRule="auto" w:line="288" w:before="0" w:after="200"/>
        <w:ind w:left="0" w:right="0" w:firstLine="360"/>
        <w:jc w:val="left"/>
        <w:rPr/>
      </w:pPr>
      <w:r>
        <w:rPr>
          <w:rFonts w:ascii="Times New Roman;sans-serif" w:hAnsi="Times New Roman;sans-serif"/>
          <w:b/>
          <w:i/>
          <w:color w:val="000000"/>
          <w:sz w:val="20"/>
        </w:rPr>
        <w:t>Income from unconsolidated affiliates</w:t>
      </w:r>
      <w:r>
        <w:rPr>
          <w:color w:val="000000"/>
        </w:rPr>
        <w:t xml:space="preserve"> </w:t>
      </w:r>
      <w:r>
        <w:rPr>
          <w:rFonts w:ascii="Times New Roman;sans-serif" w:hAnsi="Times New Roman;sans-serif"/>
          <w:b w:val="false"/>
          <w:color w:val="000000"/>
          <w:sz w:val="20"/>
        </w:rPr>
        <w:t>relates principally to our investment in Kansas Entertainment and Freehold Raceway joint ventures, as well as Barstool (prior to the Barstool Acquisition on February 17, 2023). The increase of $5.4 million for the 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 xml:space="preserve">June 30, 2023, compared to the corresponding prior year period, is due to higher income earned from our investments in unconsolidated affiliates. The decrease of $0.7 million for the </w:t>
      </w:r>
      <w:r>
        <w:rPr>
          <w:rFonts w:ascii="Times New Roman;sans-serif" w:hAnsi="Times New Roman;sans-serif"/>
          <w:b w:val="false"/>
          <w:color w:val="000000"/>
          <w:sz w:val="20"/>
          <w:shd w:fill="FFFFFF" w:val="clear"/>
        </w:rPr>
        <w:t xml:space="preserve">six months ended </w:t>
      </w:r>
      <w:r>
        <w:rPr>
          <w:rFonts w:ascii="Times New Roman;sans-serif" w:hAnsi="Times New Roman;sans-serif"/>
          <w:b w:val="false"/>
          <w:color w:val="000000"/>
          <w:sz w:val="20"/>
        </w:rPr>
        <w:t xml:space="preserve">June 30, 2023, compared to the corresponding prior year period, is due to lower income earned from our investments in unconsolidated affiliates. </w:t>
      </w:r>
    </w:p>
    <w:p>
      <w:pPr>
        <w:pStyle w:val="TextBody"/>
        <w:bidi w:val="0"/>
        <w:spacing w:lineRule="auto" w:line="288" w:before="0" w:after="200"/>
        <w:ind w:left="0" w:right="0" w:firstLine="360"/>
        <w:jc w:val="left"/>
        <w:rPr/>
      </w:pPr>
      <w:r>
        <w:rPr>
          <w:rFonts w:ascii="Times New Roman;sans-serif" w:hAnsi="Times New Roman;sans-serif"/>
          <w:b/>
          <w:i/>
          <w:color w:val="000000"/>
          <w:sz w:val="20"/>
        </w:rPr>
        <w:t>Gain on Barstool Acquisition, net</w:t>
      </w:r>
      <w:r>
        <w:rPr>
          <w:color w:val="000000"/>
        </w:rPr>
        <w:t xml:space="preserve"> </w:t>
      </w:r>
      <w:r>
        <w:rPr>
          <w:rFonts w:ascii="Times New Roman;sans-serif" w:hAnsi="Times New Roman;sans-serif"/>
          <w:b w:val="false"/>
          <w:color w:val="000000"/>
          <w:sz w:val="20"/>
        </w:rPr>
        <w:t xml:space="preserve">relates to the gain on our acquisition of all the outstanding shares of Barstool common stock not already owned by us on February 17, 2023 as described in </w:t>
      </w:r>
      <w:hyperlink w:anchor="i7f5745e410cd4baaad4ca320a657bd0b_55">
        <w:r>
          <w:rPr>
            <w:rStyle w:val="InternetLink"/>
            <w:rFonts w:ascii="Times New Roman;sans-serif" w:hAnsi="Times New Roman;sans-serif"/>
            <w:b w:val="false"/>
            <w:color w:val="0000FF"/>
            <w:sz w:val="20"/>
            <w:u w:val="single"/>
          </w:rPr>
          <w:t>Note 6, “Acquisitions and Dispositions”</w:t>
        </w:r>
      </w:hyperlink>
      <w:r>
        <w:rPr>
          <w:color w:val="000000"/>
        </w:rPr>
        <w:t xml:space="preserve"> </w:t>
      </w:r>
      <w:r>
        <w:rPr>
          <w:rFonts w:ascii="Times New Roman;sans-serif" w:hAnsi="Times New Roman;sans-serif"/>
          <w:b w:val="false"/>
          <w:color w:val="000000"/>
          <w:sz w:val="20"/>
        </w:rPr>
        <w:t>in the notes to our unaudited Consolidated Financial Statements. The gain consists of $66.5 million related to the remeasurement of our equity investment immediately prior to the acquisition date and $16.9 million related to the acquisition of the remaining 64% of Barstool common stock.</w:t>
      </w:r>
    </w:p>
    <w:p>
      <w:pPr>
        <w:pStyle w:val="TextBody"/>
        <w:bidi w:val="0"/>
        <w:spacing w:lineRule="auto" w:line="288" w:before="0" w:after="200"/>
        <w:ind w:left="0" w:right="0" w:firstLine="360"/>
        <w:jc w:val="left"/>
        <w:rPr/>
      </w:pPr>
      <w:r>
        <w:rPr>
          <w:rFonts w:ascii="Times New Roman;sans-serif" w:hAnsi="Times New Roman;sans-serif"/>
          <w:b/>
          <w:i/>
          <w:color w:val="000000"/>
          <w:sz w:val="20"/>
        </w:rPr>
        <w:t>Gain on REIT transactions, net</w:t>
      </w:r>
      <w:r>
        <w:rPr>
          <w:color w:val="000000"/>
        </w:rPr>
        <w:t xml:space="preserve"> </w:t>
      </w:r>
      <w:r>
        <w:rPr>
          <w:rFonts w:ascii="Times New Roman;sans-serif" w:hAnsi="Times New Roman;sans-serif"/>
          <w:b w:val="false"/>
          <w:color w:val="000000"/>
          <w:sz w:val="20"/>
        </w:rPr>
        <w:t xml:space="preserve">relates to the amendment and restatement of the PENN Master Lease which resulted in the (i) derecognition of $1.6 billion of financing obligations and (ii) derecognition of $1.1 billion of Property and Equipment, net. In conjunction with entering into the 2023 Master Lease, the individual triple net leases associated with the Meadows Lease (as such terms are defined in </w:t>
      </w:r>
      <w:hyperlink w:anchor="i7f5745e410cd4baaad4ca320a657bd0b_133">
        <w:r>
          <w:rPr>
            <w:rStyle w:val="InternetLink"/>
            <w:color w:val="0000FF"/>
            <w:u w:val="single"/>
          </w:rPr>
          <w:t>“</w:t>
        </w:r>
      </w:hyperlink>
      <w:hyperlink w:anchor="i7f5745e410cd4baaad4ca320a657bd0b_133">
        <w:r>
          <w:rPr>
            <w:rStyle w:val="InternetLink"/>
            <w:rFonts w:ascii="Times New Roman;sans-serif" w:hAnsi="Times New Roman;sans-serif"/>
            <w:b w:val="false"/>
            <w:color w:val="0000FF"/>
            <w:sz w:val="20"/>
            <w:u w:val="single"/>
          </w:rPr>
          <w:t>Liquidity and Capital Resources”</w:t>
        </w:r>
      </w:hyperlink>
      <w:r>
        <w:rPr>
          <w:rFonts w:ascii="Times New Roman;sans-serif" w:hAnsi="Times New Roman;sans-serif"/>
          <w:b w:val="false"/>
          <w:color w:val="000000"/>
          <w:sz w:val="20"/>
        </w:rPr>
        <w:t xml:space="preserve">) and the Perryville Lease (as such terms are defined in </w:t>
      </w:r>
      <w:hyperlink w:anchor="i7f5745e410cd4baaad4ca320a657bd0b_133">
        <w:r>
          <w:rPr>
            <w:rStyle w:val="InternetLink"/>
            <w:color w:val="0000FF"/>
            <w:u w:val="single"/>
          </w:rPr>
          <w:t>“</w:t>
        </w:r>
      </w:hyperlink>
      <w:hyperlink w:anchor="i7f5745e410cd4baaad4ca320a657bd0b_133">
        <w:r>
          <w:rPr>
            <w:rStyle w:val="InternetLink"/>
            <w:rFonts w:ascii="Times New Roman;sans-serif" w:hAnsi="Times New Roman;sans-serif"/>
            <w:b w:val="false"/>
            <w:color w:val="0000FF"/>
            <w:sz w:val="20"/>
            <w:u w:val="single"/>
          </w:rPr>
          <w:t>Liquidity and Capital Resources”</w:t>
        </w:r>
      </w:hyperlink>
      <w:r>
        <w:rPr>
          <w:rFonts w:ascii="Times New Roman;sans-serif" w:hAnsi="Times New Roman;sans-serif"/>
          <w:b w:val="false"/>
          <w:color w:val="000000"/>
          <w:sz w:val="20"/>
        </w:rPr>
        <w:t xml:space="preserve">) were terminated which resulted in a $6.5 million loss from the derecognition of ROU assets and lease liabilities. See </w:t>
      </w:r>
      <w:hyperlink w:anchor="i7f5745e410cd4baaad4ca320a657bd0b_73">
        <w:r>
          <w:rPr>
            <w:rStyle w:val="InternetLink"/>
            <w:rFonts w:ascii="Times New Roman;sans-serif" w:hAnsi="Times New Roman;sans-serif"/>
            <w:b w:val="false"/>
            <w:color w:val="0000FF"/>
            <w:sz w:val="20"/>
            <w:u w:val="single"/>
          </w:rPr>
          <w:t>Note 9, “Leases”</w:t>
        </w:r>
      </w:hyperlink>
      <w:r>
        <w:rPr>
          <w:color w:val="000000"/>
        </w:rPr>
        <w:t xml:space="preserve"> </w:t>
      </w:r>
      <w:r>
        <w:rPr>
          <w:rFonts w:ascii="Times New Roman;sans-serif" w:hAnsi="Times New Roman;sans-serif"/>
          <w:b w:val="false"/>
          <w:color w:val="000000"/>
          <w:sz w:val="20"/>
        </w:rPr>
        <w:t>to our unaudited Consolidated Financial Statements for additional details on both of these transactions.</w:t>
      </w:r>
    </w:p>
    <w:p>
      <w:pPr>
        <w:pStyle w:val="TextBody"/>
        <w:bidi w:val="0"/>
        <w:spacing w:lineRule="auto" w:line="288" w:before="0" w:after="200"/>
        <w:ind w:left="0" w:right="0" w:firstLine="360"/>
        <w:jc w:val="left"/>
        <w:rPr/>
      </w:pPr>
      <w:r>
        <w:rPr>
          <w:rFonts w:ascii="Times New Roman;sans-serif" w:hAnsi="Times New Roman;sans-serif"/>
          <w:b/>
          <w:i/>
          <w:color w:val="000000"/>
          <w:sz w:val="20"/>
        </w:rPr>
        <w:t>Loss on extinguishment of debt</w:t>
      </w:r>
      <w:r>
        <w:rPr>
          <w:color w:val="000000"/>
        </w:rPr>
        <w:t xml:space="preserve"> </w:t>
      </w:r>
      <w:r>
        <w:rPr>
          <w:rFonts w:ascii="Times New Roman;sans-serif" w:hAnsi="Times New Roman;sans-serif"/>
          <w:b w:val="false"/>
          <w:color w:val="000000"/>
          <w:sz w:val="20"/>
        </w:rPr>
        <w:t xml:space="preserve">relates to the refinancing of the previous Senior Secured Credit Facilities in the prior year. See </w:t>
      </w:r>
      <w:hyperlink w:anchor="i7f5745e410cd4baaad4ca320a657bd0b_67">
        <w:r>
          <w:rPr>
            <w:rStyle w:val="InternetLink"/>
            <w:rFonts w:ascii="Times New Roman;sans-serif" w:hAnsi="Times New Roman;sans-serif"/>
            <w:b w:val="false"/>
            <w:color w:val="0000FF"/>
            <w:sz w:val="20"/>
            <w:u w:val="single"/>
          </w:rPr>
          <w:t>Note 8, “Long-term Debt”</w:t>
        </w:r>
      </w:hyperlink>
      <w:r>
        <w:rPr>
          <w:color w:val="000000"/>
        </w:rPr>
        <w:t xml:space="preserve"> </w:t>
      </w:r>
      <w:r>
        <w:rPr>
          <w:rFonts w:ascii="Times New Roman;sans-serif" w:hAnsi="Times New Roman;sans-serif"/>
          <w:b w:val="false"/>
          <w:color w:val="000000"/>
          <w:sz w:val="20"/>
        </w:rPr>
        <w:t>in the notes to our unaudited Consolidated Financial Statements for further discussion.</w:t>
      </w:r>
    </w:p>
    <w:p>
      <w:pPr>
        <w:pStyle w:val="TextBody"/>
        <w:bidi w:val="0"/>
        <w:spacing w:lineRule="auto" w:line="288" w:before="0" w:after="200"/>
        <w:ind w:left="0" w:right="0" w:firstLine="360"/>
        <w:jc w:val="left"/>
        <w:rPr/>
      </w:pPr>
      <w:r>
        <w:rPr>
          <w:rFonts w:ascii="Times New Roman;sans-serif" w:hAnsi="Times New Roman;sans-serif"/>
          <w:b/>
          <w:i/>
          <w:color w:val="000000"/>
          <w:sz w:val="20"/>
        </w:rPr>
        <w:t xml:space="preserve">Other </w:t>
      </w:r>
      <w:r>
        <w:rPr>
          <w:rFonts w:ascii="Times New Roman;sans-serif" w:hAnsi="Times New Roman;sans-serif"/>
          <w:b w:val="false"/>
          <w:color w:val="000000"/>
          <w:sz w:val="20"/>
        </w:rPr>
        <w:t xml:space="preserve">primarily relates to realized and unrealized gains and losses on equity securities, held by PENN Interactive, unrealized gains and losses related to certain Barstool shares (prior to the Barstool Acquisition on February 17, 2023) as well as miscellaneous income and expense items. Equity securities were provided to the Company in conjunction with entering into multi-year agreements with sports betting operators for online sports betting and iCasino market access across our portfolio.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pPr>
      <w:r>
        <w:rPr>
          <w:rFonts w:ascii="Times New Roman;sans-serif" w:hAnsi="Times New Roman;sans-serif"/>
          <w:b w:val="false"/>
          <w:color w:val="000000"/>
          <w:sz w:val="20"/>
        </w:rPr>
        <w:t>the three and six m</w:t>
      </w:r>
      <w:r>
        <w:rPr>
          <w:rFonts w:ascii="Times New Roman;sans-serif" w:hAnsi="Times New Roman;sans-serif"/>
          <w:b w:val="false"/>
          <w:color w:val="000000"/>
          <w:sz w:val="20"/>
          <w:shd w:fill="FFFFFF" w:val="clear"/>
        </w:rPr>
        <w:t xml:space="preserve">onths ended </w:t>
      </w:r>
      <w:r>
        <w:rPr>
          <w:rFonts w:ascii="Times New Roman;sans-serif" w:hAnsi="Times New Roman;sans-serif"/>
          <w:b w:val="false"/>
          <w:color w:val="000000"/>
          <w:sz w:val="20"/>
        </w:rPr>
        <w:t>June 30, 2023, other income primarily consisted of an unrealized holding gain of $6.3 million and $3.1 million, respectively, compared to an unrealized holding loss of $16.9 million and $55.6 million for the three and six m</w:t>
      </w:r>
      <w:r>
        <w:rPr>
          <w:rFonts w:ascii="Times New Roman;sans-serif" w:hAnsi="Times New Roman;sans-serif"/>
          <w:b w:val="false"/>
          <w:color w:val="000000"/>
          <w:sz w:val="20"/>
          <w:shd w:fill="FFFFFF" w:val="clear"/>
        </w:rPr>
        <w:t>onths ended June 30, 2022, respectively.</w:t>
      </w:r>
    </w:p>
    <w:p>
      <w:pPr>
        <w:pStyle w:val="TextBody"/>
        <w:bidi w:val="0"/>
        <w:spacing w:lineRule="auto" w:line="288" w:before="0" w:after="200"/>
        <w:ind w:left="0" w:right="0" w:firstLine="360"/>
        <w:jc w:val="left"/>
        <w:rPr/>
      </w:pPr>
      <w:r>
        <w:rPr>
          <w:rFonts w:ascii="Times New Roman;sans-serif" w:hAnsi="Times New Roman;sans-serif"/>
          <w:b/>
          <w:i/>
          <w:color w:val="000000"/>
          <w:sz w:val="20"/>
        </w:rPr>
        <w:t>Income tax expense</w:t>
      </w:r>
      <w:r>
        <w:rPr>
          <w:color w:val="000000"/>
        </w:rPr>
        <w:t xml:space="preserve"> </w:t>
      </w:r>
      <w:r>
        <w:rPr>
          <w:rFonts w:ascii="Times New Roman;sans-serif" w:hAnsi="Times New Roman;sans-serif"/>
          <w:b w:val="false"/>
          <w:color w:val="000000"/>
          <w:sz w:val="20"/>
        </w:rPr>
        <w:t xml:space="preserve">was $34.7 million and $202.6 million for the three and six months ended June 30, 2023, respectively, compared to $56.3 million and $103.9 million for the </w:t>
      </w:r>
      <w:r>
        <w:rPr>
          <w:rFonts w:ascii="Times New Roman;sans-serif" w:hAnsi="Times New Roman;sans-serif"/>
          <w:b w:val="false"/>
          <w:color w:val="000000"/>
          <w:sz w:val="20"/>
          <w:shd w:fill="FFFFFF" w:val="clear"/>
        </w:rPr>
        <w:t>three and six</w:t>
      </w:r>
      <w:r>
        <w:rPr>
          <w:color w:val="000000"/>
        </w:rPr>
        <w:t xml:space="preserve"> </w:t>
      </w:r>
      <w:r>
        <w:rPr>
          <w:rFonts w:ascii="Times New Roman;sans-serif" w:hAnsi="Times New Roman;sans-serif"/>
          <w:b w:val="false"/>
          <w:color w:val="000000"/>
          <w:sz w:val="20"/>
        </w:rPr>
        <w:t xml:space="preserve">months ended June 30, 2022, respectively. Our effective tax rate (income taxes as a percentage of income from operations before income taxes) including discrete items was 30.7% and 25.5% for the three and six months ended June 30, 2023, respectively, as compared to 68.3% and 57.2% for the three and six months ended </w:t>
      </w:r>
      <w:r>
        <w:rPr>
          <w:rFonts w:ascii="Times New Roman;sans-serif" w:hAnsi="Times New Roman;sans-serif"/>
          <w:b w:val="false"/>
          <w:color w:val="000000"/>
          <w:sz w:val="20"/>
          <w:shd w:fill="FFFFFF" w:val="clear"/>
        </w:rPr>
        <w:t>June 30, 2022, respectively</w:t>
      </w:r>
      <w:r>
        <w:rPr>
          <w:rFonts w:ascii="Times New Roman;sans-serif" w:hAnsi="Times New Roman;sans-serif"/>
          <w:b w:val="false"/>
          <w:color w:val="000000"/>
          <w:sz w:val="20"/>
        </w:rPr>
        <w:t xml:space="preserve">. The change in the effective rate for the </w:t>
      </w:r>
      <w:r>
        <w:rPr>
          <w:rFonts w:ascii="Times New Roman;sans-serif" w:hAnsi="Times New Roman;sans-serif"/>
          <w:b w:val="false"/>
          <w:color w:val="000000"/>
          <w:sz w:val="20"/>
          <w:shd w:fill="FFFFFF" w:val="clear"/>
        </w:rPr>
        <w:t>three and six months ended</w:t>
      </w:r>
      <w:r>
        <w:rPr>
          <w:color w:val="000000"/>
        </w:rPr>
        <w:t xml:space="preserve"> </w:t>
      </w:r>
      <w:r>
        <w:rPr>
          <w:rFonts w:ascii="Times New Roman;sans-serif" w:hAnsi="Times New Roman;sans-serif"/>
          <w:b w:val="false"/>
          <w:color w:val="000000"/>
          <w:sz w:val="20"/>
        </w:rPr>
        <w:t>June 30, 2023 compared to the corresponding prior year periods was primarily due to the increase in pre-tax income.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income tax rate can vary each reporting period depending on, among other factors, the geographic and business mix of our earnings, changes to our valuation allowance, and the level of our tax credits. Certain of these and other factors, including our history and projections of pre-tax earnings, are considered in assessing our ability to realize our net deferred tax assets.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Additionally, as a result of the Barstool SPA entered into in August 2023, the deferred tax liability associated with the Barstool tradename and other intangibles will be written off to income tax expense, which will have a material impact on our unaudited Consolidated Statements of Operations and unaudited Consolidated Balance Sheets, as discussed in </w:t>
      </w:r>
      <w:hyperlink w:anchor="i7f5745e410cd4baaad4ca320a657bd0b_85">
        <w:r>
          <w:rPr>
            <w:rStyle w:val="InternetLink"/>
            <w:rFonts w:ascii="Times New Roman;sans-serif" w:hAnsi="Times New Roman;sans-serif"/>
            <w:b w:val="false"/>
            <w:color w:val="0000FF"/>
            <w:sz w:val="20"/>
            <w:u w:val="single"/>
          </w:rPr>
          <w:t>Note 11, “Income Taxes”</w:t>
        </w:r>
      </w:hyperlink>
      <w:r>
        <w:rPr>
          <w:color w:val="000000"/>
        </w:rPr>
        <w:t xml:space="preserve"> </w:t>
      </w:r>
      <w:r>
        <w:rPr>
          <w:rFonts w:ascii="Times New Roman;sans-serif" w:hAnsi="Times New Roman;sans-serif"/>
          <w:b w:val="false"/>
          <w:color w:val="000000"/>
          <w:sz w:val="20"/>
        </w:rPr>
        <w:t>to our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Segment comparison of the three and six months ended June 30, 2023 and 2022</w:t>
      </w:r>
    </w:p>
    <w:p>
      <w:pPr>
        <w:pStyle w:val="TextBody"/>
        <w:bidi w:val="0"/>
        <w:spacing w:lineRule="auto" w:line="288" w:before="0" w:after="1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Northeast Segment</w:t>
      </w:r>
    </w:p>
    <w:tbl>
      <w:tblPr>
        <w:tblW w:w="10448" w:type="dxa"/>
        <w:jc w:val="left"/>
        <w:tblInd w:w="0" w:type="dxa"/>
        <w:tblLayout w:type="fixed"/>
        <w:tblCellMar>
          <w:top w:w="28" w:type="dxa"/>
          <w:left w:w="28" w:type="dxa"/>
          <w:bottom w:w="28" w:type="dxa"/>
          <w:right w:w="28" w:type="dxa"/>
        </w:tblCellMar>
      </w:tblPr>
      <w:tblGrid>
        <w:gridCol w:w="470"/>
        <w:gridCol w:w="215"/>
        <w:gridCol w:w="216"/>
        <w:gridCol w:w="196"/>
        <w:gridCol w:w="556"/>
        <w:gridCol w:w="256"/>
        <w:gridCol w:w="109"/>
        <w:gridCol w:w="109"/>
        <w:gridCol w:w="109"/>
        <w:gridCol w:w="196"/>
        <w:gridCol w:w="556"/>
        <w:gridCol w:w="256"/>
        <w:gridCol w:w="109"/>
        <w:gridCol w:w="109"/>
        <w:gridCol w:w="109"/>
        <w:gridCol w:w="196"/>
        <w:gridCol w:w="391"/>
        <w:gridCol w:w="109"/>
        <w:gridCol w:w="109"/>
        <w:gridCol w:w="109"/>
        <w:gridCol w:w="109"/>
        <w:gridCol w:w="232"/>
        <w:gridCol w:w="234"/>
        <w:gridCol w:w="256"/>
        <w:gridCol w:w="109"/>
        <w:gridCol w:w="109"/>
        <w:gridCol w:w="109"/>
        <w:gridCol w:w="196"/>
        <w:gridCol w:w="691"/>
        <w:gridCol w:w="256"/>
        <w:gridCol w:w="109"/>
        <w:gridCol w:w="109"/>
        <w:gridCol w:w="109"/>
        <w:gridCol w:w="196"/>
        <w:gridCol w:w="691"/>
        <w:gridCol w:w="256"/>
        <w:gridCol w:w="109"/>
        <w:gridCol w:w="109"/>
        <w:gridCol w:w="109"/>
        <w:gridCol w:w="196"/>
        <w:gridCol w:w="466"/>
        <w:gridCol w:w="109"/>
        <w:gridCol w:w="109"/>
        <w:gridCol w:w="109"/>
        <w:gridCol w:w="109"/>
        <w:gridCol w:w="233"/>
        <w:gridCol w:w="233"/>
        <w:gridCol w:w="301"/>
      </w:tblGrid>
      <w:tr>
        <w:trPr/>
        <w:tc>
          <w:tcPr>
            <w:tcW w:w="4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beverage, hotel,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EBITDAR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bps</w:t>
            </w:r>
          </w:p>
        </w:tc>
      </w:tr>
    </w:tbl>
    <w:p>
      <w:pPr>
        <w:pStyle w:val="TextBody"/>
        <w:bidi w:val="0"/>
        <w:spacing w:lineRule="auto" w:line="288" w:before="0" w:after="200"/>
        <w:ind w:left="0" w:right="0" w:firstLine="360"/>
        <w:jc w:val="left"/>
        <w:rPr/>
      </w:pPr>
      <w:r>
        <w:rPr>
          <w:rFonts w:ascii="Times New Roman;sans-serif" w:hAnsi="Times New Roman;sans-serif"/>
          <w:b w:val="false"/>
          <w:color w:val="000000"/>
          <w:sz w:val="20"/>
          <w:shd w:fill="FFFFFF" w:val="clear"/>
        </w:rPr>
        <w:t>The Nort</w:t>
      </w:r>
      <w:r>
        <w:rPr>
          <w:rFonts w:ascii="Times New Roman;sans-serif" w:hAnsi="Times New Roman;sans-serif"/>
          <w:b w:val="false"/>
          <w:color w:val="000000"/>
          <w:sz w:val="20"/>
        </w:rPr>
        <w:t xml:space="preserve">heast segment’s revenues for the three months ended June 30, 2023 increased by $3.1 million due to increase in hotel and food and beverage revenues, primarily due to the completion of room renovations at our Hollywood Casino at our Greektown property, as well as increased visitation to our food and beverage outlets, offset by a reduction in gaming revenues, primarily at our </w:t>
      </w:r>
      <w:r>
        <w:rPr>
          <w:rFonts w:ascii="Times New Roman;sans-serif" w:hAnsi="Times New Roman;sans-serif"/>
          <w:b w:val="false"/>
          <w:color w:val="000000"/>
          <w:sz w:val="20"/>
          <w:shd w:fill="FFFFFF" w:val="clear"/>
        </w:rPr>
        <w:t>Hollywood Casino Lawrenceburg and Ameristar East Chicago properties due to increased competition.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Northeast segment’s revenues for the six months ended June 30, 2023 increased $45.1 million, primarily due to strong visitation at the Northeast segment’s properties during the first quarter, as well as increases in hotel and food and beverage revenues as described above. The increases were partially offset by decreases in gaming revenues at our Hollywood Casino Lawrenceburg and Ameristar East Chicago properties due to increased competition.</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For the three months ended June 30, 2023, the Northeast segment’s Adjusted EBITD</w:t>
      </w:r>
      <w:r>
        <w:rPr>
          <w:rFonts w:ascii="Times New Roman;sans-serif" w:hAnsi="Times New Roman;sans-serif"/>
          <w:b w:val="false"/>
          <w:color w:val="000000"/>
          <w:sz w:val="20"/>
          <w:shd w:fill="FFFFFF" w:val="clear"/>
        </w:rPr>
        <w:t>AR increased $2.9 million and Ad</w:t>
      </w:r>
      <w:r>
        <w:rPr>
          <w:rFonts w:ascii="Times New Roman;sans-serif" w:hAnsi="Times New Roman;sans-serif"/>
          <w:b w:val="false"/>
          <w:color w:val="000000"/>
          <w:sz w:val="20"/>
        </w:rPr>
        <w:t>justed EBITDAR margin increased to 31.6%, primarily due to an increase in non-gaming revenues, as well as a reversal of accrued gaming taxes that are no longer expected to be incurred, partially offset by increased labor costs.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For the six</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 xml:space="preserve">June 30, 2023, </w:t>
      </w:r>
      <w:r>
        <w:rPr>
          <w:rFonts w:ascii="Times New Roman;sans-serif" w:hAnsi="Times New Roman;sans-serif"/>
          <w:b w:val="false"/>
          <w:color w:val="000000"/>
          <w:sz w:val="20"/>
          <w:shd w:fill="FFFFFF" w:val="clear"/>
        </w:rPr>
        <w:t xml:space="preserve">the Northeast segment’s Adjusted EBITDAR increased $10.6 million, </w:t>
      </w:r>
      <w:r>
        <w:rPr>
          <w:rFonts w:ascii="Times New Roman;sans-serif" w:hAnsi="Times New Roman;sans-serif"/>
          <w:b w:val="false"/>
          <w:color w:val="000000"/>
          <w:sz w:val="20"/>
        </w:rPr>
        <w:t xml:space="preserve">primarily due to increased gaming and non-gaming revenues and the reversal of gaming taxes discussed above. </w:t>
      </w:r>
      <w:r>
        <w:rPr>
          <w:rFonts w:ascii="Times New Roman;sans-serif" w:hAnsi="Times New Roman;sans-serif"/>
          <w:b w:val="false"/>
          <w:color w:val="000000"/>
          <w:sz w:val="20"/>
          <w:shd w:fill="FFFFFF" w:val="clear"/>
        </w:rPr>
        <w:t>Ad</w:t>
      </w:r>
      <w:r>
        <w:rPr>
          <w:rFonts w:ascii="Times New Roman;sans-serif" w:hAnsi="Times New Roman;sans-serif"/>
          <w:b w:val="false"/>
          <w:color w:val="000000"/>
          <w:sz w:val="20"/>
        </w:rPr>
        <w:t>justed EBITDAR margin decreased to 31.0% primarily due to higher labor costs and cost of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South Segment</w:t>
      </w:r>
    </w:p>
    <w:tbl>
      <w:tblPr>
        <w:tblW w:w="10313" w:type="dxa"/>
        <w:jc w:val="left"/>
        <w:tblInd w:w="0" w:type="dxa"/>
        <w:tblLayout w:type="fixed"/>
        <w:tblCellMar>
          <w:top w:w="28" w:type="dxa"/>
          <w:left w:w="28" w:type="dxa"/>
          <w:bottom w:w="28" w:type="dxa"/>
          <w:right w:w="28" w:type="dxa"/>
        </w:tblCellMar>
      </w:tblPr>
      <w:tblGrid>
        <w:gridCol w:w="470"/>
        <w:gridCol w:w="215"/>
        <w:gridCol w:w="216"/>
        <w:gridCol w:w="196"/>
        <w:gridCol w:w="556"/>
        <w:gridCol w:w="256"/>
        <w:gridCol w:w="109"/>
        <w:gridCol w:w="109"/>
        <w:gridCol w:w="109"/>
        <w:gridCol w:w="196"/>
        <w:gridCol w:w="556"/>
        <w:gridCol w:w="256"/>
        <w:gridCol w:w="109"/>
        <w:gridCol w:w="109"/>
        <w:gridCol w:w="109"/>
        <w:gridCol w:w="196"/>
        <w:gridCol w:w="481"/>
        <w:gridCol w:w="109"/>
        <w:gridCol w:w="109"/>
        <w:gridCol w:w="109"/>
        <w:gridCol w:w="109"/>
        <w:gridCol w:w="240"/>
        <w:gridCol w:w="241"/>
        <w:gridCol w:w="256"/>
        <w:gridCol w:w="109"/>
        <w:gridCol w:w="109"/>
        <w:gridCol w:w="109"/>
        <w:gridCol w:w="196"/>
        <w:gridCol w:w="556"/>
        <w:gridCol w:w="256"/>
        <w:gridCol w:w="109"/>
        <w:gridCol w:w="109"/>
        <w:gridCol w:w="109"/>
        <w:gridCol w:w="196"/>
        <w:gridCol w:w="556"/>
        <w:gridCol w:w="256"/>
        <w:gridCol w:w="109"/>
        <w:gridCol w:w="109"/>
        <w:gridCol w:w="109"/>
        <w:gridCol w:w="196"/>
        <w:gridCol w:w="481"/>
        <w:gridCol w:w="109"/>
        <w:gridCol w:w="109"/>
        <w:gridCol w:w="109"/>
        <w:gridCol w:w="109"/>
        <w:gridCol w:w="240"/>
        <w:gridCol w:w="241"/>
        <w:gridCol w:w="301"/>
      </w:tblGrid>
      <w:tr>
        <w:trPr/>
        <w:tc>
          <w:tcPr>
            <w:tcW w:w="4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beverage, hotel,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EBITDAR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bps</w:t>
            </w:r>
          </w:p>
        </w:tc>
      </w:tr>
    </w:tbl>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South segment’s revenues for the three and six months ended June 30, 2023 decreased by $30.3 million and $56.9 million respectively, compared to the corresponding prior year periods, primarily due to a decrease in visitation at many properties, partially due to unfavorable weather and increased competition that affected our L’Auberge Lake Charles and Margaritaville properties. During the prior year periods, particularly in the first quarter, there were COVID restrictions in place in downtown New Orleans which increased visitation to our Hollywood Casino Gulf Coast, Boomtown New Orleans, and L’Auberge Baton Rouge properties. </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For the three and six months ended June 30, 2023, the South segment’s Adjusted EBITDAR decreased </w:t>
      </w:r>
      <w:r>
        <w:rPr>
          <w:rFonts w:ascii="Times New Roman;sans-serif" w:hAnsi="Times New Roman;sans-serif"/>
          <w:b w:val="false"/>
          <w:color w:val="000000"/>
          <w:sz w:val="20"/>
          <w:shd w:fill="FFFFFF" w:val="clear"/>
        </w:rPr>
        <w:t>$22.4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 xml:space="preserve">$45.3 million respectively, </w:t>
      </w:r>
      <w:r>
        <w:rPr>
          <w:rFonts w:ascii="Times New Roman;sans-serif" w:hAnsi="Times New Roman;sans-serif"/>
          <w:b w:val="false"/>
          <w:color w:val="000000"/>
          <w:sz w:val="20"/>
        </w:rPr>
        <w:t>and Adjusted EBITDAR margin decreased to 39.2%, primarily due to the decrease in revenues as described above.</w:t>
      </w:r>
    </w:p>
    <w:p>
      <w:pPr>
        <w:pStyle w:val="TextBody"/>
        <w:bidi w:val="0"/>
        <w:spacing w:lineRule="auto" w:line="288" w:before="0" w:after="1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West Segment</w:t>
      </w:r>
    </w:p>
    <w:tbl>
      <w:tblPr>
        <w:tblW w:w="10313" w:type="dxa"/>
        <w:jc w:val="left"/>
        <w:tblInd w:w="0" w:type="dxa"/>
        <w:tblLayout w:type="fixed"/>
        <w:tblCellMar>
          <w:top w:w="28" w:type="dxa"/>
          <w:left w:w="28" w:type="dxa"/>
          <w:bottom w:w="28" w:type="dxa"/>
          <w:right w:w="28" w:type="dxa"/>
        </w:tblCellMar>
      </w:tblPr>
      <w:tblGrid>
        <w:gridCol w:w="470"/>
        <w:gridCol w:w="215"/>
        <w:gridCol w:w="216"/>
        <w:gridCol w:w="196"/>
        <w:gridCol w:w="556"/>
        <w:gridCol w:w="256"/>
        <w:gridCol w:w="109"/>
        <w:gridCol w:w="109"/>
        <w:gridCol w:w="109"/>
        <w:gridCol w:w="196"/>
        <w:gridCol w:w="556"/>
        <w:gridCol w:w="256"/>
        <w:gridCol w:w="109"/>
        <w:gridCol w:w="109"/>
        <w:gridCol w:w="109"/>
        <w:gridCol w:w="196"/>
        <w:gridCol w:w="481"/>
        <w:gridCol w:w="109"/>
        <w:gridCol w:w="109"/>
        <w:gridCol w:w="109"/>
        <w:gridCol w:w="109"/>
        <w:gridCol w:w="239"/>
        <w:gridCol w:w="242"/>
        <w:gridCol w:w="256"/>
        <w:gridCol w:w="109"/>
        <w:gridCol w:w="109"/>
        <w:gridCol w:w="109"/>
        <w:gridCol w:w="196"/>
        <w:gridCol w:w="556"/>
        <w:gridCol w:w="256"/>
        <w:gridCol w:w="109"/>
        <w:gridCol w:w="109"/>
        <w:gridCol w:w="109"/>
        <w:gridCol w:w="196"/>
        <w:gridCol w:w="556"/>
        <w:gridCol w:w="256"/>
        <w:gridCol w:w="109"/>
        <w:gridCol w:w="109"/>
        <w:gridCol w:w="109"/>
        <w:gridCol w:w="196"/>
        <w:gridCol w:w="481"/>
        <w:gridCol w:w="109"/>
        <w:gridCol w:w="109"/>
        <w:gridCol w:w="109"/>
        <w:gridCol w:w="109"/>
        <w:gridCol w:w="239"/>
        <w:gridCol w:w="242"/>
        <w:gridCol w:w="301"/>
      </w:tblGrid>
      <w:tr>
        <w:trPr/>
        <w:tc>
          <w:tcPr>
            <w:tcW w:w="4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beverage, hotel,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EBITDAR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bps</w:t>
            </w:r>
          </w:p>
        </w:tc>
      </w:tr>
    </w:tbl>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The West segment’s revenues for the three and six months ended June 30, 2023 decreased by $23.8 million and $35.0 million, respectively, compared to the corresponding prior year periods, primarily </w:t>
      </w:r>
      <w:r>
        <w:rPr>
          <w:rFonts w:ascii="Times New Roman;sans-serif" w:hAnsi="Times New Roman;sans-serif"/>
          <w:b w:val="false"/>
          <w:color w:val="000000"/>
          <w:sz w:val="20"/>
          <w:shd w:fill="FFFFFF" w:val="clear"/>
        </w:rPr>
        <w:t xml:space="preserve">due to </w:t>
      </w:r>
      <w:r>
        <w:rPr>
          <w:rFonts w:ascii="Times New Roman;sans-serif" w:hAnsi="Times New Roman;sans-serif"/>
          <w:b w:val="false"/>
          <w:color w:val="000000"/>
          <w:sz w:val="20"/>
        </w:rPr>
        <w:t xml:space="preserve">the three and six months ended June 30, 2023 not including any revenue for Tropicana Las Vegas as the operations were sold on September 26, 2022, partially offset by an increase in revenue at Zia Park Casino. </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For the three months ended June 30, 2023, </w:t>
      </w:r>
      <w:r>
        <w:rPr>
          <w:rFonts w:ascii="Times New Roman;sans-serif" w:hAnsi="Times New Roman;sans-serif"/>
          <w:b w:val="false"/>
          <w:color w:val="000000"/>
          <w:sz w:val="20"/>
          <w:shd w:fill="FFFFFF" w:val="clear"/>
        </w:rPr>
        <w:t xml:space="preserve">the West segment’s Adjusted EBITDAR decreased $10.1 million primarily due to the sale of Tropicana Las Vegas, discussed above. </w:t>
      </w:r>
      <w:r>
        <w:rPr>
          <w:rFonts w:ascii="Times New Roman;sans-serif" w:hAnsi="Times New Roman;sans-serif"/>
          <w:b w:val="false"/>
          <w:color w:val="000000"/>
          <w:sz w:val="20"/>
        </w:rPr>
        <w:t xml:space="preserve">For the three months ended June 30, 2023, </w:t>
      </w:r>
      <w:r>
        <w:rPr>
          <w:rFonts w:ascii="Times New Roman;sans-serif" w:hAnsi="Times New Roman;sans-serif"/>
          <w:b w:val="false"/>
          <w:color w:val="000000"/>
          <w:sz w:val="20"/>
          <w:shd w:fill="FFFFFF" w:val="clear"/>
        </w:rPr>
        <w:t>the West segment’s Adjusted EBITDAR margin decreased to 38.2% primarily due to increases in labor costs and promotional offerings.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For the six months ended June 30, 2023, </w:t>
      </w:r>
      <w:r>
        <w:rPr>
          <w:rFonts w:ascii="Times New Roman;sans-serif" w:hAnsi="Times New Roman;sans-serif"/>
          <w:b w:val="false"/>
          <w:color w:val="000000"/>
          <w:sz w:val="20"/>
          <w:shd w:fill="FFFFFF" w:val="clear"/>
        </w:rPr>
        <w:t xml:space="preserve">the West segment’s Adjusted EBITDAR decreased $12.2 million primarily due to the sale of Tropicana Las Vegas, discussed above. </w:t>
      </w:r>
      <w:r>
        <w:rPr>
          <w:rFonts w:ascii="Times New Roman;sans-serif" w:hAnsi="Times New Roman;sans-serif"/>
          <w:b w:val="false"/>
          <w:color w:val="000000"/>
          <w:sz w:val="20"/>
        </w:rPr>
        <w:t xml:space="preserve">For the six months ended June 30, 2023, </w:t>
      </w:r>
      <w:r>
        <w:rPr>
          <w:rFonts w:ascii="Times New Roman;sans-serif" w:hAnsi="Times New Roman;sans-serif"/>
          <w:b w:val="false"/>
          <w:color w:val="000000"/>
          <w:sz w:val="20"/>
          <w:shd w:fill="FFFFFF" w:val="clear"/>
        </w:rPr>
        <w:t>the West segment’s Adjusted EBITDAR margin increased to 38.0% primarily driven by increased revenues at Zia Park Casino.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Midwest Segment</w:t>
      </w:r>
    </w:p>
    <w:tbl>
      <w:tblPr>
        <w:tblW w:w="10205" w:type="dxa"/>
        <w:jc w:val="left"/>
        <w:tblInd w:w="0" w:type="dxa"/>
        <w:tblLayout w:type="fixed"/>
        <w:tblCellMar>
          <w:top w:w="28" w:type="dxa"/>
          <w:left w:w="28" w:type="dxa"/>
          <w:bottom w:w="28" w:type="dxa"/>
          <w:right w:w="28" w:type="dxa"/>
        </w:tblCellMar>
      </w:tblPr>
      <w:tblGrid>
        <w:gridCol w:w="506"/>
        <w:gridCol w:w="264"/>
        <w:gridCol w:w="266"/>
        <w:gridCol w:w="200"/>
        <w:gridCol w:w="568"/>
        <w:gridCol w:w="261"/>
        <w:gridCol w:w="111"/>
        <w:gridCol w:w="111"/>
        <w:gridCol w:w="111"/>
        <w:gridCol w:w="200"/>
        <w:gridCol w:w="568"/>
        <w:gridCol w:w="261"/>
        <w:gridCol w:w="109"/>
        <w:gridCol w:w="109"/>
        <w:gridCol w:w="109"/>
        <w:gridCol w:w="196"/>
        <w:gridCol w:w="396"/>
        <w:gridCol w:w="109"/>
        <w:gridCol w:w="109"/>
        <w:gridCol w:w="109"/>
        <w:gridCol w:w="109"/>
        <w:gridCol w:w="198"/>
        <w:gridCol w:w="199"/>
        <w:gridCol w:w="256"/>
        <w:gridCol w:w="109"/>
        <w:gridCol w:w="109"/>
        <w:gridCol w:w="109"/>
        <w:gridCol w:w="199"/>
        <w:gridCol w:w="564"/>
        <w:gridCol w:w="260"/>
        <w:gridCol w:w="110"/>
        <w:gridCol w:w="110"/>
        <w:gridCol w:w="110"/>
        <w:gridCol w:w="199"/>
        <w:gridCol w:w="564"/>
        <w:gridCol w:w="260"/>
        <w:gridCol w:w="109"/>
        <w:gridCol w:w="109"/>
        <w:gridCol w:w="109"/>
        <w:gridCol w:w="196"/>
        <w:gridCol w:w="396"/>
        <w:gridCol w:w="109"/>
        <w:gridCol w:w="109"/>
        <w:gridCol w:w="109"/>
        <w:gridCol w:w="109"/>
        <w:gridCol w:w="198"/>
        <w:gridCol w:w="199"/>
        <w:gridCol w:w="315"/>
      </w:tblGrid>
      <w:tr>
        <w:trPr/>
        <w:tc>
          <w:tcPr>
            <w:tcW w:w="50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beverage, hotel, and other</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293.3 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588.6 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579.2 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EBITDAR</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EBITDAR margin</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bps</w:t>
            </w:r>
          </w:p>
        </w:tc>
      </w:tr>
    </w:tbl>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Midwest segment’s revenues for the three months ended June 30, 2023 decreased by $3.0 million, compared to the corresponding prior year period, due to a decrease in casino attendance, partially due to new competition in Nebraska which has affected our Ameristar Council Bluffs property. </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The Midwest segment’s revenues for the six months ended June 30, 2023 increased by $9.4 million, compared to the corresponding prior year period, due to </w:t>
      </w:r>
      <w:r>
        <w:rPr>
          <w:rFonts w:ascii="Times New Roman;sans-serif" w:hAnsi="Times New Roman;sans-serif"/>
          <w:b w:val="false"/>
          <w:color w:val="000000"/>
          <w:sz w:val="20"/>
          <w:shd w:fill="FFFFFF" w:val="clear"/>
        </w:rPr>
        <w:t>increased visitation at the Midwest segment properties particularly in the first quarter, partially offset by a decline in gaming revenues during the second quarter described above.</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For the three months ended June 30, 2023, </w:t>
      </w:r>
      <w:r>
        <w:rPr>
          <w:rFonts w:ascii="Times New Roman;sans-serif" w:hAnsi="Times New Roman;sans-serif"/>
          <w:b w:val="false"/>
          <w:color w:val="000000"/>
          <w:sz w:val="20"/>
          <w:shd w:fill="FFFFFF" w:val="clear"/>
        </w:rPr>
        <w:t xml:space="preserve">the Midwest segment’s Adjusted EBITDAR decreased $4.2 million </w:t>
      </w:r>
      <w:r>
        <w:rPr>
          <w:rFonts w:ascii="Times New Roman;sans-serif" w:hAnsi="Times New Roman;sans-serif"/>
          <w:b w:val="false"/>
          <w:color w:val="000000"/>
          <w:sz w:val="20"/>
        </w:rPr>
        <w:t xml:space="preserve">primarily </w:t>
      </w:r>
      <w:r>
        <w:rPr>
          <w:rFonts w:ascii="Times New Roman;sans-serif" w:hAnsi="Times New Roman;sans-serif"/>
          <w:b w:val="false"/>
          <w:color w:val="000000"/>
          <w:sz w:val="20"/>
          <w:shd w:fill="FFFFFF" w:val="clear"/>
        </w:rPr>
        <w:t>due to decreased total revenues and higher labor costs,</w:t>
      </w:r>
      <w:r>
        <w:rPr>
          <w:color w:val="000000"/>
        </w:rPr>
        <w:t xml:space="preserve"> </w:t>
      </w:r>
      <w:r>
        <w:rPr>
          <w:rFonts w:ascii="Times New Roman;sans-serif" w:hAnsi="Times New Roman;sans-serif"/>
          <w:b w:val="false"/>
          <w:color w:val="000000"/>
          <w:sz w:val="20"/>
        </w:rPr>
        <w:t>reflected in A</w:t>
      </w:r>
      <w:r>
        <w:rPr>
          <w:rFonts w:ascii="Times New Roman;sans-serif" w:hAnsi="Times New Roman;sans-serif"/>
          <w:b w:val="false"/>
          <w:color w:val="000000"/>
          <w:sz w:val="20"/>
          <w:shd w:fill="FFFFFF" w:val="clear"/>
        </w:rPr>
        <w:t>djusted EBITDAR margin, which decreased to 43.3%.</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For the six months ended June 30, 2023, </w:t>
      </w:r>
      <w:r>
        <w:rPr>
          <w:rFonts w:ascii="Times New Roman;sans-serif" w:hAnsi="Times New Roman;sans-serif"/>
          <w:b w:val="false"/>
          <w:color w:val="000000"/>
          <w:sz w:val="20"/>
          <w:shd w:fill="FFFFFF" w:val="clear"/>
        </w:rPr>
        <w:t xml:space="preserve">the Midwest segment’s Adjusted EBITDAR decreased $4.1 million </w:t>
      </w:r>
      <w:r>
        <w:rPr>
          <w:rFonts w:ascii="Times New Roman;sans-serif" w:hAnsi="Times New Roman;sans-serif"/>
          <w:b w:val="false"/>
          <w:color w:val="000000"/>
          <w:sz w:val="20"/>
        </w:rPr>
        <w:t xml:space="preserve">primarily </w:t>
      </w:r>
      <w:r>
        <w:rPr>
          <w:rFonts w:ascii="Times New Roman;sans-serif" w:hAnsi="Times New Roman;sans-serif"/>
          <w:b w:val="false"/>
          <w:color w:val="000000"/>
          <w:sz w:val="20"/>
          <w:shd w:fill="FFFFFF" w:val="clear"/>
        </w:rPr>
        <w:t>due to higher labor costs and cost of sales, partially offset by increased gaming and non-gaming revenues, reflected</w:t>
      </w:r>
      <w:r>
        <w:rPr>
          <w:color w:val="000000"/>
        </w:rPr>
        <w:t xml:space="preserve"> </w:t>
      </w:r>
      <w:r>
        <w:rPr>
          <w:rFonts w:ascii="Times New Roman;sans-serif" w:hAnsi="Times New Roman;sans-serif"/>
          <w:b w:val="false"/>
          <w:color w:val="000000"/>
          <w:sz w:val="20"/>
        </w:rPr>
        <w:t>in A</w:t>
      </w:r>
      <w:r>
        <w:rPr>
          <w:rFonts w:ascii="Times New Roman;sans-serif" w:hAnsi="Times New Roman;sans-serif"/>
          <w:b w:val="false"/>
          <w:color w:val="000000"/>
          <w:sz w:val="20"/>
          <w:shd w:fill="FFFFFF" w:val="clear"/>
        </w:rPr>
        <w:t>djusted EBITDAR margin, which decreased to 42.9%.</w:t>
      </w:r>
    </w:p>
    <w:p>
      <w:pPr>
        <w:pStyle w:val="TextBody"/>
        <w:bidi w:val="0"/>
        <w:spacing w:lineRule="auto" w:line="288" w:before="0" w:after="1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Interactive Segment</w:t>
      </w:r>
    </w:p>
    <w:tbl>
      <w:tblPr>
        <w:tblW w:w="10538" w:type="dxa"/>
        <w:jc w:val="left"/>
        <w:tblInd w:w="0" w:type="dxa"/>
        <w:tblLayout w:type="fixed"/>
        <w:tblCellMar>
          <w:top w:w="28" w:type="dxa"/>
          <w:left w:w="28" w:type="dxa"/>
          <w:bottom w:w="28" w:type="dxa"/>
          <w:right w:w="28" w:type="dxa"/>
        </w:tblCellMar>
      </w:tblPr>
      <w:tblGrid>
        <w:gridCol w:w="470"/>
        <w:gridCol w:w="215"/>
        <w:gridCol w:w="216"/>
        <w:gridCol w:w="196"/>
        <w:gridCol w:w="556"/>
        <w:gridCol w:w="256"/>
        <w:gridCol w:w="109"/>
        <w:gridCol w:w="109"/>
        <w:gridCol w:w="109"/>
        <w:gridCol w:w="196"/>
        <w:gridCol w:w="556"/>
        <w:gridCol w:w="256"/>
        <w:gridCol w:w="109"/>
        <w:gridCol w:w="109"/>
        <w:gridCol w:w="109"/>
        <w:gridCol w:w="196"/>
        <w:gridCol w:w="556"/>
        <w:gridCol w:w="109"/>
        <w:gridCol w:w="109"/>
        <w:gridCol w:w="109"/>
        <w:gridCol w:w="109"/>
        <w:gridCol w:w="278"/>
        <w:gridCol w:w="278"/>
        <w:gridCol w:w="256"/>
        <w:gridCol w:w="109"/>
        <w:gridCol w:w="109"/>
        <w:gridCol w:w="109"/>
        <w:gridCol w:w="196"/>
        <w:gridCol w:w="556"/>
        <w:gridCol w:w="256"/>
        <w:gridCol w:w="109"/>
        <w:gridCol w:w="109"/>
        <w:gridCol w:w="109"/>
        <w:gridCol w:w="196"/>
        <w:gridCol w:w="556"/>
        <w:gridCol w:w="256"/>
        <w:gridCol w:w="109"/>
        <w:gridCol w:w="109"/>
        <w:gridCol w:w="109"/>
        <w:gridCol w:w="196"/>
        <w:gridCol w:w="556"/>
        <w:gridCol w:w="109"/>
        <w:gridCol w:w="109"/>
        <w:gridCol w:w="109"/>
        <w:gridCol w:w="109"/>
        <w:gridCol w:w="240"/>
        <w:gridCol w:w="241"/>
        <w:gridCol w:w="301"/>
      </w:tblGrid>
      <w:tr>
        <w:trPr/>
        <w:tc>
          <w:tcPr>
            <w:tcW w:w="4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beverage, hotel,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EBITDAR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bps</w:t>
            </w:r>
          </w:p>
        </w:tc>
      </w:tr>
    </w:tbl>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The Interactive segment’s revenues for the three and six months ended June 30, 2023 increased by $102.6 million and $194.6 million, respectively, compared to the corresponding prior year periods, due to </w:t>
      </w:r>
      <w:r>
        <w:rPr>
          <w:rFonts w:ascii="Times New Roman;sans-serif" w:hAnsi="Times New Roman;sans-serif"/>
          <w:b w:val="false"/>
          <w:color w:val="000000"/>
          <w:sz w:val="20"/>
          <w:shd w:fill="FFFFFF" w:val="clear"/>
        </w:rPr>
        <w:t>the inclusion of 100% of the operating results of Barstool subsequent to the Barstool Acquisition on February 17, 2023 as well as an increase in gaming revenue related to operating in additional jurisdictions, inclusive of the launch of theScore Bet in April 2022.</w:t>
      </w:r>
      <w:r>
        <w:rPr>
          <w:color w:val="000000"/>
        </w:rPr>
        <w:t xml:space="preserve"> </w:t>
      </w:r>
      <w:r>
        <w:rPr>
          <w:rFonts w:ascii="Times New Roman;sans-serif" w:hAnsi="Times New Roman;sans-serif"/>
          <w:b w:val="false"/>
          <w:color w:val="000000"/>
          <w:sz w:val="20"/>
        </w:rPr>
        <w:t>Additionally, revenues are inclusive of a tax gross-up of $88.5 million and $180.8 million for the three and six months ended June 30, 2023, respectively, compared to $55.4 million and $105.7 million for the three and six months ended June 30, 2022, respectively.</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For the three and six months ended June 30, 2023, </w:t>
      </w:r>
      <w:r>
        <w:rPr>
          <w:rFonts w:ascii="Times New Roman;sans-serif" w:hAnsi="Times New Roman;sans-serif"/>
          <w:b w:val="false"/>
          <w:color w:val="000000"/>
          <w:sz w:val="20"/>
          <w:shd w:fill="FFFFFF" w:val="clear"/>
        </w:rPr>
        <w:t>the Interactive segment’s Adjusted EBITDAR increased primarily due to increases in total revenues due to operating in additional gaming jurisdictions over the prior year. Adjusted EBITDAR margin increased due to revenues increasing at a greater rate year-over-year than the rate at which operating expenses increased.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Other</w:t>
      </w:r>
    </w:p>
    <w:tbl>
      <w:tblPr>
        <w:tblW w:w="10205" w:type="dxa"/>
        <w:jc w:val="left"/>
        <w:tblInd w:w="0" w:type="dxa"/>
        <w:tblLayout w:type="fixed"/>
        <w:tblCellMar>
          <w:top w:w="28" w:type="dxa"/>
          <w:left w:w="28" w:type="dxa"/>
          <w:bottom w:w="28" w:type="dxa"/>
          <w:right w:w="28" w:type="dxa"/>
        </w:tblCellMar>
      </w:tblPr>
      <w:tblGrid>
        <w:gridCol w:w="556"/>
        <w:gridCol w:w="360"/>
        <w:gridCol w:w="361"/>
        <w:gridCol w:w="227"/>
        <w:gridCol w:w="588"/>
        <w:gridCol w:w="126"/>
        <w:gridCol w:w="126"/>
        <w:gridCol w:w="126"/>
        <w:gridCol w:w="126"/>
        <w:gridCol w:w="227"/>
        <w:gridCol w:w="588"/>
        <w:gridCol w:w="126"/>
        <w:gridCol w:w="109"/>
        <w:gridCol w:w="109"/>
        <w:gridCol w:w="109"/>
        <w:gridCol w:w="196"/>
        <w:gridCol w:w="412"/>
        <w:gridCol w:w="109"/>
        <w:gridCol w:w="109"/>
        <w:gridCol w:w="109"/>
        <w:gridCol w:w="109"/>
        <w:gridCol w:w="188"/>
        <w:gridCol w:w="188"/>
        <w:gridCol w:w="256"/>
        <w:gridCol w:w="109"/>
        <w:gridCol w:w="109"/>
        <w:gridCol w:w="109"/>
        <w:gridCol w:w="220"/>
        <w:gridCol w:w="570"/>
        <w:gridCol w:w="122"/>
        <w:gridCol w:w="122"/>
        <w:gridCol w:w="122"/>
        <w:gridCol w:w="122"/>
        <w:gridCol w:w="220"/>
        <w:gridCol w:w="570"/>
        <w:gridCol w:w="122"/>
        <w:gridCol w:w="109"/>
        <w:gridCol w:w="109"/>
        <w:gridCol w:w="109"/>
        <w:gridCol w:w="196"/>
        <w:gridCol w:w="412"/>
        <w:gridCol w:w="109"/>
        <w:gridCol w:w="109"/>
        <w:gridCol w:w="109"/>
        <w:gridCol w:w="109"/>
        <w:gridCol w:w="232"/>
        <w:gridCol w:w="234"/>
        <w:gridCol w:w="311"/>
      </w:tblGrid>
      <w:tr>
        <w:trPr/>
        <w:tc>
          <w:tcPr>
            <w:tcW w:w="5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beverage, and other</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EBITDAR</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200"/>
        <w:ind w:left="0" w:right="0" w:firstLine="360"/>
        <w:jc w:val="left"/>
        <w:rPr/>
      </w:pPr>
      <w:r>
        <w:rPr>
          <w:rFonts w:ascii="Times New Roman;sans-serif" w:hAnsi="Times New Roman;sans-serif"/>
          <w:b w:val="false"/>
          <w:color w:val="000000"/>
          <w:sz w:val="20"/>
          <w:shd w:fill="FFFFFF" w:val="clear"/>
        </w:rPr>
        <w:t xml:space="preserve">Other consists of the Company’s stand-alone racing operations, as well as corporate overhead costs, which primarily includes certain expenses such as payroll, professional fees, travel expenses and other general and administrative expenses that do not directly relate to or have not otherwise been allocated. Revenues </w:t>
      </w:r>
      <w:r>
        <w:rPr>
          <w:rFonts w:ascii="Times New Roman;sans-serif" w:hAnsi="Times New Roman;sans-serif"/>
          <w:b w:val="false"/>
          <w:color w:val="000000"/>
          <w:sz w:val="20"/>
        </w:rPr>
        <w:t xml:space="preserve">for the </w:t>
      </w:r>
      <w:r>
        <w:rPr>
          <w:rFonts w:ascii="Times New Roman;sans-serif" w:hAnsi="Times New Roman;sans-serif"/>
          <w:b w:val="false"/>
          <w:color w:val="000000"/>
          <w:sz w:val="20"/>
          <w:shd w:fill="FFFFFF" w:val="clear"/>
        </w:rPr>
        <w:t xml:space="preserve">three and six months ended </w:t>
      </w:r>
      <w:r>
        <w:rPr>
          <w:rFonts w:ascii="Times New Roman;sans-serif" w:hAnsi="Times New Roman;sans-serif"/>
          <w:b w:val="false"/>
          <w:color w:val="000000"/>
          <w:sz w:val="20"/>
        </w:rPr>
        <w:t xml:space="preserve">June 30, 2023 </w:t>
      </w:r>
      <w:r>
        <w:rPr>
          <w:rFonts w:ascii="Times New Roman;sans-serif" w:hAnsi="Times New Roman;sans-serif"/>
          <w:b w:val="false"/>
          <w:color w:val="000000"/>
          <w:sz w:val="20"/>
          <w:shd w:fill="FFFFFF" w:val="clear"/>
        </w:rPr>
        <w:t xml:space="preserve">have increased and decreased respectively, </w:t>
      </w:r>
      <w:r>
        <w:rPr>
          <w:rFonts w:ascii="Times New Roman;sans-serif" w:hAnsi="Times New Roman;sans-serif"/>
          <w:b w:val="false"/>
          <w:color w:val="000000"/>
          <w:sz w:val="20"/>
        </w:rPr>
        <w:t>compared to the prior ye</w:t>
      </w:r>
      <w:r>
        <w:rPr>
          <w:rFonts w:ascii="Times New Roman;sans-serif" w:hAnsi="Times New Roman;sans-serif"/>
          <w:b w:val="false"/>
          <w:color w:val="000000"/>
          <w:sz w:val="20"/>
          <w:shd w:fill="FFFFFF" w:val="clear"/>
        </w:rPr>
        <w:t>ar corresponding periods, primarily due to fluctuations in racing revenues.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Changes in Adjusted EBITDAR for the </w:t>
      </w:r>
      <w:r>
        <w:rPr>
          <w:rFonts w:ascii="Times New Roman;sans-serif" w:hAnsi="Times New Roman;sans-serif"/>
          <w:b w:val="false"/>
          <w:color w:val="000000"/>
          <w:sz w:val="20"/>
          <w:shd w:fill="FFFFFF" w:val="clear"/>
        </w:rPr>
        <w:t>three and six</w:t>
      </w:r>
      <w:r>
        <w:rPr>
          <w:color w:val="000000"/>
        </w:rPr>
        <w:t xml:space="preserve"> </w:t>
      </w:r>
      <w:r>
        <w:rPr>
          <w:rFonts w:ascii="Times New Roman;sans-serif" w:hAnsi="Times New Roman;sans-serif"/>
          <w:b w:val="false"/>
          <w:color w:val="000000"/>
          <w:sz w:val="20"/>
        </w:rPr>
        <w:t>months ended June 30, 2023 primarily relate to an increase in payroll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Use and Definitions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GAAP financial measures, management uses Adjusted EBITDA, Adjusted EBITDAR, Adjusted EBITDA margin, and Adjusted EBITDAR margin as non-GAAP financial measures. These non-GAAP financial measures should not be considered a substitute for, nor superior to, financial results and measures determined or calculated in accordance with GAAP. Each of these non-GAAP financial measures is not calculated in the same manner by all companies and, accordingly, may not be an appropriate measure of comparing performance among different companies.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We define Adjusted EBITDA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non-cash gains/losses associated with REIT transactions as described in </w:t>
      </w:r>
      <w:hyperlink w:anchor="i7f5745e410cd4baaad4ca320a657bd0b_73">
        <w:r>
          <w:rPr>
            <w:rStyle w:val="InternetLink"/>
            <w:rFonts w:ascii="Times New Roman;sans-serif" w:hAnsi="Times New Roman;sans-serif"/>
            <w:b w:val="false"/>
            <w:color w:val="0000FF"/>
            <w:sz w:val="20"/>
            <w:u w:val="single"/>
          </w:rPr>
          <w:t>Note 9, “Leases”</w:t>
        </w:r>
      </w:hyperlink>
      <w:r>
        <w:rPr>
          <w:color w:val="000000"/>
        </w:rPr>
        <w:t xml:space="preserve"> </w:t>
      </w:r>
      <w:r>
        <w:rPr>
          <w:rFonts w:ascii="Times New Roman;sans-serif" w:hAnsi="Times New Roman;sans-serif"/>
          <w:b w:val="false"/>
          <w:color w:val="000000"/>
          <w:sz w:val="20"/>
        </w:rPr>
        <w:t>to our unaudited Consolidated Financial Statements; non-cash gains/losses associated with partial and step acquisitions as measured in accordance with ASC 805 “Business Combinations”;</w:t>
      </w:r>
      <w:r>
        <w:rPr>
          <w:color w:val="000000"/>
        </w:rPr>
        <w:t xml:space="preserve"> </w:t>
      </w:r>
      <w:r>
        <w:rPr>
          <w:rFonts w:ascii="Times New Roman;sans-serif" w:hAnsi="Times New Roman;sans-serif"/>
          <w:b w:val="false"/>
          <w:color w:val="000000"/>
          <w:sz w:val="20"/>
        </w:rPr>
        <w:t>and other. Adjusted EBITDA is inclusive of income or loss from unconsolidated affiliates, with our share of non-operating items (such as interest expense, net; income taxes; depreciation and amortization; and stock-based compensation expense) added back for Barstool Sports, Inc. (prior to our acquisition of the remaining 64% of Barstool common stock on February 17, 2023) and our Kansas Entertainment, LLC joint venture. Adjusted EBITDA is inclusive of rent expense associated with our triple net operating leases with our REIT landlords. Although Adjusted EBITDA includes rent expense associated with our triple net operating leases, we believe Adjusted EBITDA is useful as a supplemental measure in evaluating the performance of our consolidated results of operations. We define Adjusted EBITDA margin as Adjusted EBITDA divided by consolidated revenues.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Adjusted EBITDA because it is used by some investors and creditors as an 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Adjusted EBITDA calculations certain corporate expenses that do not relate to the management of specific casino properties. However, Adjusted EBITDA is not a measure of performance or liquidity calculated in accordance with GAAP. Adjusted EBITDA information is presented as a supplemental disclosure, as management believes that it is a commonly used measure of performance in the gaming industry and that it is considered by many to be a key indicator of the Company’s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EBITDAR as Adjusted EBITDA (as defined above) plus rent expense associated with triple net operating leases (which is a normal, recurring cash operating expense necessary to operate our business). Adjusted EBITDAR is presented on a consolidated basis outside the financial statements solely as a valuation metric. Management believes that Adjusted EBITDAR is an additional metric traditionally used by analysts in valuing gaming companies subject to triple net leases since it eliminates the effects of variability in leasing methods and capital structures. This metric is included as a supplemental disclosure because (i) we believe Adjusted EBITDAR is traditionally used by gaming operator analysts and investors to determine the equity value of gaming operators and (ii) Adjusted EBITDAR is one of the metrics used by other financial analysts in valuing our business. We believe Adjusted EBITDAR is useful for equity valuation purposes because (i) its calculation isolates the effects of financing real estate; and (ii) using a multiple of Adjusted EBITDAR to calculate enterprise value allows for an adjustment to the balance sheet to recognize estimated liabilities arising from operating leases related to real estate. However, Adjusted EBITDAR when presented on a consolidated basis is not a financial measure in accordance with GAAP, and should not be viewed as a measure of overall operating performance or considered in isolation or as an alternative to net income because it excludes the rent expense associated with our triple net operating leases and is provided for the limited purposes referenced herein.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EBITDAR margin is defined as Adjusted EBITDAR on a consolidated basis divided by revenues on a consolidated basis. Adjusted EBITDAR margin is presented on a consolidated basis outside the financial statements solely as a valuation metric. We further define Adjusted EBITDAR margin by reportable segment as Adjusted EBITDAR for each segment divided by segment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Reconciliation of GAAP Financial Measures to Non-GAAP Financial Measures</w:t>
      </w:r>
    </w:p>
    <w:p>
      <w:pPr>
        <w:pStyle w:val="TextBody"/>
        <w:bidi w:val="0"/>
        <w:spacing w:lineRule="auto" w:line="288" w:before="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a reconciliation of net income, which is determined in accordance with GAAP, to Adjusted EBITDA and Adjusted EBITDAR, which are non-GAAP financial measures, as well as related margins:</w:t>
      </w:r>
    </w:p>
    <w:tbl>
      <w:tblPr>
        <w:tblW w:w="10205" w:type="dxa"/>
        <w:jc w:val="left"/>
        <w:tblInd w:w="0" w:type="dxa"/>
        <w:tblLayout w:type="fixed"/>
        <w:tblCellMar>
          <w:top w:w="28" w:type="dxa"/>
          <w:left w:w="28" w:type="dxa"/>
          <w:bottom w:w="28" w:type="dxa"/>
          <w:right w:w="28" w:type="dxa"/>
        </w:tblCellMar>
      </w:tblPr>
      <w:tblGrid>
        <w:gridCol w:w="1520"/>
        <w:gridCol w:w="1330"/>
        <w:gridCol w:w="1333"/>
        <w:gridCol w:w="393"/>
        <w:gridCol w:w="220"/>
        <w:gridCol w:w="513"/>
        <w:gridCol w:w="218"/>
        <w:gridCol w:w="218"/>
        <w:gridCol w:w="218"/>
        <w:gridCol w:w="393"/>
        <w:gridCol w:w="220"/>
        <w:gridCol w:w="513"/>
        <w:gridCol w:w="109"/>
        <w:gridCol w:w="109"/>
        <w:gridCol w:w="109"/>
        <w:gridCol w:w="228"/>
        <w:gridCol w:w="648"/>
        <w:gridCol w:w="298"/>
        <w:gridCol w:w="126"/>
        <w:gridCol w:w="126"/>
        <w:gridCol w:w="126"/>
        <w:gridCol w:w="228"/>
        <w:gridCol w:w="648"/>
        <w:gridCol w:w="361"/>
      </w:tblGrid>
      <w:tr>
        <w:trPr/>
        <w:tc>
          <w:tcPr>
            <w:tcW w:w="152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1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 June 30,</w:t>
            </w:r>
          </w:p>
        </w:tc>
      </w:tr>
      <w:tr>
        <w:trPr/>
        <w:tc>
          <w:tcPr>
            <w:tcW w:w="4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expense </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356.2 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unconsolidated affiliates</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Barstool Acquisition, net</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REIT transactions, net</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early extinguishment of debt</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404.6 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594.4 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Stock-based compensation </w:t>
            </w:r>
            <w:r>
              <w:rPr>
                <w:rFonts w:ascii="Times New Roman;sans-serif" w:hAnsi="Times New Roman;sans-serif"/>
                <w:b w:val="false"/>
                <w:color w:val="000000"/>
                <w:sz w:val="12"/>
              </w:rPr>
              <w:t>(1)</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Cash-settled stock-based award variance </w:t>
            </w:r>
            <w:r>
              <w:rPr>
                <w:rFonts w:ascii="Times New Roman;sans-serif" w:hAnsi="Times New Roman;sans-serif"/>
                <w:b w:val="false"/>
                <w:color w:val="000000"/>
                <w:sz w:val="12"/>
              </w:rPr>
              <w:t>(1)(2)</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Loss on disposal of assets </w:t>
            </w:r>
            <w:r>
              <w:rPr>
                <w:rFonts w:ascii="Times New Roman;sans-serif" w:hAnsi="Times New Roman;sans-serif"/>
                <w:b w:val="false"/>
                <w:color w:val="000000"/>
                <w:sz w:val="12"/>
              </w:rPr>
              <w:t>(1)</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Contingent purchase price </w:t>
            </w:r>
            <w:r>
              <w:rPr>
                <w:rFonts w:ascii="Times New Roman;sans-serif" w:hAnsi="Times New Roman;sans-serif"/>
                <w:b w:val="false"/>
                <w:color w:val="000000"/>
                <w:sz w:val="12"/>
              </w:rPr>
              <w:t>(1)</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Pre-opening expenses </w:t>
            </w:r>
            <w:r>
              <w:rPr>
                <w:rFonts w:ascii="Times New Roman;sans-serif" w:hAnsi="Times New Roman;sans-serif"/>
                <w:b w:val="false"/>
                <w:color w:val="000000"/>
                <w:sz w:val="12"/>
              </w:rPr>
              <w:t>(1)</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8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Insurance recoveries, net of deductible charges </w:t>
            </w:r>
            <w:r>
              <w:rPr>
                <w:rFonts w:ascii="Times New Roman;sans-serif" w:hAnsi="Times New Roman;sans-serif"/>
                <w:b w:val="false"/>
                <w:color w:val="000000"/>
                <w:sz w:val="12"/>
              </w:rPr>
              <w:t>(1)</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unconsolidated affiliates</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Non-operating items of equity method investments </w:t>
            </w:r>
            <w:r>
              <w:rPr>
                <w:rFonts w:ascii="Times New Roman;sans-serif" w:hAnsi="Times New Roman;sans-serif"/>
                <w:b w:val="false"/>
                <w:color w:val="000000"/>
                <w:sz w:val="12"/>
              </w:rPr>
              <w:t>(3)</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expenses </w:t>
            </w:r>
            <w:r>
              <w:rPr>
                <w:rFonts w:ascii="Times New Roman;sans-serif" w:hAnsi="Times New Roman;sans-serif"/>
                <w:b w:val="false"/>
                <w:color w:val="000000"/>
                <w:sz w:val="12"/>
              </w:rPr>
              <w:t>(1)(4)</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330.4</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662.6 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Rent expense associated with triple net operating leases </w:t>
            </w:r>
            <w:r>
              <w:rPr>
                <w:rFonts w:ascii="Times New Roman;sans-serif" w:hAnsi="Times New Roman;sans-serif"/>
                <w:b w:val="false"/>
                <w:color w:val="000000"/>
                <w:sz w:val="12"/>
              </w:rPr>
              <w:t>(1)</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EBITDAR</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476.8</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955.0 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margin</w:t>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EBITDAR margin</w:t>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60"/>
        <w:ind w:left="0" w:right="0" w:hanging="360"/>
        <w:jc w:val="left"/>
        <w:rPr/>
      </w:pPr>
      <w:r>
        <w:rPr>
          <w:rFonts w:ascii="Times New Roman;sans-serif" w:hAnsi="Times New Roman;sans-serif"/>
          <w:b w:val="false"/>
          <w:color w:val="000000"/>
          <w:sz w:val="18"/>
        </w:rPr>
        <w:t>(</w:t>
      </w:r>
      <w:r>
        <w:rPr>
          <w:rFonts w:ascii="Times New Roman;sans-serif" w:hAnsi="Times New Roman;sans-serif"/>
          <w:b w:val="false"/>
          <w:color w:val="000000"/>
          <w:sz w:val="16"/>
        </w:rPr>
        <w:t>1)    These items are included in “General and administrative” within the Company’s unaudited Consolidated Statements of Operations.</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    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 </w:t>
      </w:r>
    </w:p>
    <w:p>
      <w:pPr>
        <w:pStyle w:val="TextBody"/>
        <w:bidi w:val="0"/>
        <w:spacing w:lineRule="auto" w:line="288" w:before="0" w:after="60"/>
        <w:ind w:left="0" w:right="0" w:hanging="360"/>
        <w:jc w:val="left"/>
        <w:rPr/>
      </w:pPr>
      <w:r>
        <w:rPr>
          <w:rFonts w:ascii="Times New Roman;sans-serif" w:hAnsi="Times New Roman;sans-serif"/>
          <w:b w:val="false"/>
          <w:color w:val="000000"/>
          <w:sz w:val="16"/>
        </w:rPr>
        <w:t xml:space="preserve">(3)    Consists principally of interest expense, net, income taxes, depreciation and amortization, and stock-based compensation expense associated with Barstool prior to us acquiring the remaining 64% of Barstool common stock (see </w:t>
      </w:r>
      <w:hyperlink w:anchor="i7f5745e410cd4baaad4ca320a657bd0b_55">
        <w:r>
          <w:rPr>
            <w:rStyle w:val="InternetLink"/>
            <w:rFonts w:ascii="Times New Roman;sans-serif" w:hAnsi="Times New Roman;sans-serif"/>
            <w:b w:val="false"/>
            <w:color w:val="0000FF"/>
            <w:sz w:val="16"/>
            <w:u w:val="single"/>
          </w:rPr>
          <w:t>Note 6, “Acquisitions and Dispositions”</w:t>
        </w:r>
      </w:hyperlink>
      <w:r>
        <w:rPr>
          <w:color w:val="000000"/>
        </w:rPr>
        <w:t xml:space="preserve"> </w:t>
      </w:r>
      <w:r>
        <w:rPr>
          <w:rFonts w:ascii="Times New Roman;sans-serif" w:hAnsi="Times New Roman;sans-serif"/>
          <w:b w:val="false"/>
          <w:color w:val="000000"/>
          <w:sz w:val="16"/>
        </w:rPr>
        <w:t xml:space="preserve">in the notes to our unaudited Consolidated Financial Statements), and our Kansas Entertainment joint venture. </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    Consists of non-recurring acquisition and transaction costs, and finance transformation costs associated with the implementation of our new Enterprise Resource Management system.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and capital resources have been and are expected to be cash flow from operations, borrowings from banks, and proceeds from the issuance of debt and equity securities. Our ongoing liquidity will depend on a number of factors, including available cash resources, cash flow from operations, acquisitions or investments, funding of construction for development projects, and our compliance with covenants contained under our debt agreements.</w:t>
      </w:r>
    </w:p>
    <w:tbl>
      <w:tblPr>
        <w:tblW w:w="9204" w:type="dxa"/>
        <w:jc w:val="left"/>
        <w:tblInd w:w="0" w:type="dxa"/>
        <w:tblLayout w:type="fixed"/>
        <w:tblCellMar>
          <w:top w:w="28" w:type="dxa"/>
          <w:left w:w="28" w:type="dxa"/>
          <w:bottom w:w="28" w:type="dxa"/>
          <w:right w:w="28" w:type="dxa"/>
        </w:tblCellMar>
      </w:tblPr>
      <w:tblGrid>
        <w:gridCol w:w="1257"/>
        <w:gridCol w:w="1102"/>
        <w:gridCol w:w="1106"/>
        <w:gridCol w:w="109"/>
        <w:gridCol w:w="109"/>
        <w:gridCol w:w="109"/>
        <w:gridCol w:w="265"/>
        <w:gridCol w:w="869"/>
        <w:gridCol w:w="137"/>
        <w:gridCol w:w="137"/>
        <w:gridCol w:w="137"/>
        <w:gridCol w:w="137"/>
        <w:gridCol w:w="265"/>
        <w:gridCol w:w="869"/>
        <w:gridCol w:w="137"/>
        <w:gridCol w:w="109"/>
        <w:gridCol w:w="109"/>
        <w:gridCol w:w="109"/>
        <w:gridCol w:w="211"/>
        <w:gridCol w:w="691"/>
        <w:gridCol w:w="109"/>
        <w:gridCol w:w="109"/>
        <w:gridCol w:w="109"/>
        <w:gridCol w:w="109"/>
        <w:gridCol w:w="232"/>
        <w:gridCol w:w="232"/>
        <w:gridCol w:w="330"/>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(25.8)%</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307.1%</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(55.1)%</w:t>
            </w:r>
          </w:p>
        </w:tc>
      </w:tr>
    </w:tbl>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Operating Cash Flow</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Trends in our operating cash flows tend to follow trends in operating income, excluding non-cash charges, but can be affected by changes in working capital, the timing of significant interest payments, tax payments or refunds, and distributions from unconsolidated affiliates. Net cash provided by operating activities decreased by $112.7 million for the six months ended June 30, 2023, primarily due to a decrease in earnings, a negative impact in changes in working capital related to payroll related liabilities and an increase in cash paid for taxes.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Investing Cash Flow</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six months ended June 30, 2023 of $462.9 million is primarily due to consideration paid for the Barstool Acquisition, net of cash acquired, of $314.6 million and capital expenditures of $132.8 million. For the six months ended June 30, 2022, cash used in investing activities of $113.7 million primarily related to capital expenditures of $125.6 million and the acquisition of a $15.0 million cost method investment, offset by Hurricane Laura insurance proceeds.</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are accounted for as either project capital (new facilities or expansions) or maintenance (replacement) which is inclusive of projects such as our retail sportsbooks, our cashless, cardless and contactless technology and hotel renovations. Cash provided by operating activities, as well as cash available under our Amended Revolving Credit Facility and Revolving Facility, was available to fund our capital expenditures for the six months ended June 30, 2023 and 2022, as applicable.</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Capital expenditures for the six months ended June 30, 2023 and 2022 were $132.8 million and $125.6 million, respectively. </w:t>
      </w:r>
      <w:r>
        <w:rPr>
          <w:rFonts w:ascii="Times New Roman;sans-serif" w:hAnsi="Times New Roman;sans-serif"/>
          <w:b w:val="false"/>
          <w:color w:val="000000"/>
          <w:sz w:val="20"/>
          <w:shd w:fill="FFFFFF" w:val="clear"/>
        </w:rPr>
        <w:t xml:space="preserve">For the year ending December 31, 2023, our anticipated capital expenditures, inclusive of insurance proceeds, are approximately $413 million, </w:t>
      </w:r>
      <w:r>
        <w:rPr>
          <w:rFonts w:ascii="Times New Roman;sans-serif" w:hAnsi="Times New Roman;sans-serif"/>
          <w:b w:val="false"/>
          <w:color w:val="000000"/>
          <w:sz w:val="20"/>
        </w:rPr>
        <w:t>which include capital expenditures of $132.8 million incurred for the six months ended June 30, 2023 and capital expenditures required under our Triple Net Leases, which require us to spend a specified percentage of total revenues.</w:t>
      </w:r>
    </w:p>
    <w:p>
      <w:pPr>
        <w:pStyle w:val="TextBody"/>
        <w:bidi w:val="0"/>
        <w:spacing w:lineRule="auto" w:line="288" w:before="0" w:after="20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Financing Cash Flow</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used in financing activities totaled $214.1 million, primarily related to repurchases of our common stock of $149.8 million, as well as $42.7 million in principal payments on our finance leases and finance obligations and debt repayments of $18.8 million.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2022, net cash used in financing activities totaled $477.3 million, primarily related to $342.1 million common stock repurchases, net debt repayments of $18.7 million, $18.2 million in debt issuance costs, and $85.4 million in principal payments on our finance leases and finance obligations.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we had $2.8 billion in aggregate principal amount of indebtedness, including $1.5 billion outstanding under our Amended Credit Facilities, $400.0 million outstanding under our 5.625% senior unsecured notes, $400.0 million outstanding under our 4.125% senior unsecured notes, $330.5 million outstanding under our 2.75% Convertible Notes, and $172.2 million outstanding in other long-term obligations. No amounts were drawn on our Amended Revolving Credit Facility. We have no debt maturing prior to 2026. As of June 30, 2023 we had conditional obligations under letters of credit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Amended Credit Facilities with face amounts aggregating to $23.4 million resulting in $976.6 million available borrowing capacity under our Amended Revolving Credit Facility.</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Covenants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Credit Facilities, 5.625% Notes and 4.125% Notes require us, among other obligations, to maintain specified financial ratios and to satisfy certain financial tests. In addition, our Amended Credit Facilities, 5.625% Notes and 4.125%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AR PENN Master Lease, the 2023 Master Lease, PENN Master Lease (prior to January 1, 2023), and the Pinnacle Master Lease (all of which are defined below), each with GLPI. If we are unable to meet our financial covenants or in the event of a cross-default, it could trigger an acceleration of payment terms.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was in compliance with all required financial covenants. The Company believes that it will remain in compliance with all of its required financial covenants for at least the next twelve months following the date of filing this Quarterly Report on Form 10-Q with the SEC.</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See </w:t>
      </w:r>
      <w:hyperlink w:anchor="i7f5745e410cd4baaad4ca320a657bd0b_67">
        <w:r>
          <w:rPr>
            <w:rStyle w:val="InternetLink"/>
            <w:rFonts w:ascii="Times New Roman;sans-serif" w:hAnsi="Times New Roman;sans-serif"/>
            <w:b w:val="false"/>
            <w:color w:val="0000FF"/>
            <w:sz w:val="20"/>
            <w:u w:val="single"/>
          </w:rPr>
          <w:t>Note 8, “Long-term Debt”</w:t>
        </w:r>
      </w:hyperlink>
      <w:r>
        <w:rPr>
          <w:color w:val="000000"/>
        </w:rPr>
        <w:t xml:space="preserve"> </w:t>
      </w:r>
      <w:r>
        <w:rPr>
          <w:rFonts w:ascii="Times New Roman;sans-serif" w:hAnsi="Times New Roman;sans-serif"/>
          <w:b w:val="false"/>
          <w:color w:val="000000"/>
          <w:sz w:val="20"/>
        </w:rPr>
        <w:t>in the notes to our unaudited Consolidated Financial Statements for additional information of the Company’s debt and other long-term obligations.</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Authorization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we completed our $750.0 million share repurchase authorization approved by the Board of Directors on February 1, 2022 (the “February 2022 Authorization”).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6, 2022, a second share repurchase program was authorized for an additional $750.0 million (the “December 2022 Authorization”). The December 2022 Authorization expires on December 31, 2025.</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utilized the remaining capacity under the February 2022 Authorization prior to effecting any repurchases under the December 2022 Authorization. Repurchases by the Company are subject to available liquidity, general market and economic conditions, alternate uses for the capital and other factors. Share repurchases may be made from time to time through a Rule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respectively, the Company repurchased 3,791,258 and 5,438,221 shares of its common stock in open market transactions for $99.8 million and $149.8 million, at an average price of $26.31 and $27.54 per share under the February 2022 and December 2022 Authorizations. The cost of all repurchased shares is recorded as “Treasury stock” within our unaudited Consolidated Balance Sheets.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 shares of the Company’s common stock were repurchased subsequent to the quarter ended June 30, 2023. As of August 8, 2023, the remaining availability under our December 2022 Authorization was $749.5 million.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Other Factors Affecting Liquidity</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ESPN Bet Sportsbook Agreement</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On August 8, 2023, PENN entered into the Sportsbook Agreement with ESPN which provides for a long-term strategic relationship between PENN and ESPN relating to online sports betting in the United States. In the fall of 2023, the existing Barstool Sportsbook will be rebranded across all online platforms in the United States as ESPN Bet and our online product will include a Hollywood-branded integrated iCasino where permitted. The Sportsbook Agreement has an initial 10-year term and may be extended for an additional ten years upon mutual agreement of PENN and ESPN. In consideration for the media marketing services and brand and other rights provided by ESPN, PENN will pay $150.0 million per year in cash pursuant to the Sportsbook Agreement for the initial 10-year term and issue the warrants pursuant to the Investment Agreement (see </w:t>
      </w:r>
      <w:hyperlink w:anchor="i7f5745e410cd4baaad4ca320a657bd0b_109">
        <w:r>
          <w:rPr>
            <w:rStyle w:val="InternetLink"/>
            <w:rFonts w:ascii="Times New Roman;sans-serif" w:hAnsi="Times New Roman;sans-serif"/>
            <w:b w:val="false"/>
            <w:color w:val="0000FF"/>
            <w:sz w:val="20"/>
            <w:u w:val="single"/>
          </w:rPr>
          <w:t>Note 17, “Subsequent Events”</w:t>
        </w:r>
      </w:hyperlink>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Triple Net Leases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real estate assets (i.e., land and buildings) used in our operations are subject to triple net master leases; the most significant of which are the AR PENN Master Lease, 2023 Master Lease, PENN Master Lease (prior to January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pPr>
      <w:r>
        <w:rPr>
          <w:rFonts w:ascii="Times New Roman;sans-serif" w:hAnsi="Times New Roman;sans-serif"/>
          <w:b w:val="false"/>
          <w:color w:val="000000"/>
          <w:sz w:val="20"/>
        </w:rPr>
        <w:t xml:space="preserve">2023), and Pinnacle Master Lease (as such terms are defined in </w:t>
      </w:r>
      <w:hyperlink w:anchor="i7f5745e410cd4baaad4ca320a657bd0b_73">
        <w:r>
          <w:rPr>
            <w:rStyle w:val="InternetLink"/>
            <w:rFonts w:ascii="Times New Roman;sans-serif" w:hAnsi="Times New Roman;sans-serif"/>
            <w:b w:val="false"/>
            <w:color w:val="0000FF"/>
            <w:sz w:val="20"/>
            <w:u w:val="single"/>
          </w:rPr>
          <w:t>Note 9, “Leases”</w:t>
        </w:r>
      </w:hyperlink>
      <w:r>
        <w:rPr>
          <w:color w:val="000000"/>
        </w:rPr>
        <w:t xml:space="preserve"> </w:t>
      </w:r>
      <w:r>
        <w:rPr>
          <w:rFonts w:ascii="Times New Roman;sans-serif" w:hAnsi="Times New Roman;sans-serif"/>
          <w:b w:val="false"/>
          <w:color w:val="000000"/>
          <w:sz w:val="20"/>
        </w:rPr>
        <w:t>in the notes to our unaudited Consolidated Financial Statements, and collectively referred to as the “Master Leases”), with GLPI. We refer to the Master Leases, Perryville Lease (where applicable), the Meadows Lease (where applicable), the Margaritaville Lease, the Greektown Lease, the Tropicana Lease (terminated September 26, 2022) and the Morgantown Lease, collectively, as our “Triple Net Leases”. The Company’s Triple Net Leases are accounted for as either operating leases, finance leases, or financing obligations.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On February 21, 2023, as described in </w:t>
      </w:r>
      <w:hyperlink w:anchor="i7f5745e410cd4baaad4ca320a657bd0b_73">
        <w:r>
          <w:rPr>
            <w:rStyle w:val="InternetLink"/>
            <w:rFonts w:ascii="Times New Roman;sans-serif" w:hAnsi="Times New Roman;sans-serif"/>
            <w:b w:val="false"/>
            <w:color w:val="0000FF"/>
            <w:sz w:val="20"/>
            <w:u w:val="single"/>
          </w:rPr>
          <w:t>Note 9, “Leases”</w:t>
        </w:r>
      </w:hyperlink>
      <w:r>
        <w:rPr>
          <w:color w:val="000000"/>
        </w:rPr>
        <w:t xml:space="preserve"> </w:t>
      </w:r>
      <w:r>
        <w:rPr>
          <w:rFonts w:ascii="Times New Roman;sans-serif" w:hAnsi="Times New Roman;sans-serif"/>
          <w:b w:val="false"/>
          <w:color w:val="000000"/>
          <w:sz w:val="20"/>
        </w:rPr>
        <w:t>in the notes to our unaudited Consolidated Financial Statements, the Company and GLPI entered into the AR PENN Master Lease, effective January 1, 2023, to (i) remove the land and buildings for Aurora, Joliet, Columbus, Toledo and the M Resort, and (ii) make associated adjustments to the rent after which the initial rent in the AR PENN Master Lease will be $284.1 million, consisting of $208.2 million of building base rent, $43.0 million of land base rent and $32.9 million of percentage rent (as such terms are defined in the AR PENN Master Lease). Subsequent to the execution of the AR PENN Master Lease, the Company leases real estate assets associated with 14 of the gaming facilities used in its operations via a triple net master lease. The current term of the AR PENN Master Lease expires on October 31, 2033 and thereafter contains three renewal terms of five years each on the same terms and conditions, exercisable at the Company’s option.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Concurrent with the execution of the AR PENN Master Lease, the Company and GLPI entered into the 2023 Master Lease, effective January 1, 2023, specific to the properties associated with Aurora, Joliet, Columbus, Toledo, M Resort, Meadows, and Perryville and the Master Development Agreement. The 2023 Master Lease has an initial term through October 31, 2033 with three subsequent five-year renewal periods on the same terms and conditions, exercisable at the Company’s option. The 2023 Master Lease terminated the individual triple net leases associated with Meadows and Perryville. The 2023 Master Lease and AR PENN Master Lease are cross-defaulted, cross-collateralized, and coterminous, and subject to a parent guarantee.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2023 Master Lease includes the 2023 Master Lease Base Rent equal to $232.2 million and the Master Development Agreement contains additional rent (together with the 2023 Master Lease Base Rent, the “2023 Master Lease Rent”) equal to (i) 7.75% of any project funding received by PENN from GLPI for the Aurora Project and (ii) a percentage, based on the then-current GLPI stock price, of any project funding received by PENN from GLPI for the Other Development Projects. The Master Development Agreement provides that GLPI will fund up to $225 million for the Aurora Project and, upon PENN’s request, up to $350 million in the aggregate for the Other Development Projects, in accordance with certain terms and conditions set forth in the Master Development Agreement. These funding obligations of GLPI expire on January 1, 2026. The 2023 Master Lease Rent will be subject to a one-time increase of $1.4 million, effective November 1, 2027. The 2023 Master Lease Rent will be further subject to a fixed escalator of 1.5% on November 1, 2023 and annually thereafter. The Master Development Agreement provides that PENN may elect not to proceed with a development project prior to GLPI’s commencement of any equity or debt offering or credit facility draw intended to fund such a project or after such time in certain instances, provided that GLPI will be reimbursed for all costs and expenses incurred in connection with such discontinued project. The Aurora Project and the Other Development Projects are all subject to necessary regulatory and other government approvals.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Under our Triple Net Leases, in addition to lease payments for the real estate assets, we are required to pay the following, among other things: (i) all facility maintenance; (ii) all insurance required in connection with the leased properties and the business conducted on the leased properties; (iii) taxes levied on or with respect to the leased properties (other than taxes on the income of the lessor); (iv) all tenant capital improvements; and (v) all utilities and other services necessary or appropriate for the leased properties and the business conducted on the leased properties. Additionally, our Triple Net Leases are subject to annual escalators and periodic percentage rent resets, as applicable. See </w:t>
      </w:r>
      <w:hyperlink w:anchor="i7f5745e410cd4baaad4ca320a657bd0b_73">
        <w:r>
          <w:rPr>
            <w:rStyle w:val="InternetLink"/>
            <w:rFonts w:ascii="Times New Roman;sans-serif" w:hAnsi="Times New Roman;sans-serif"/>
            <w:b w:val="false"/>
            <w:color w:val="0000FF"/>
            <w:sz w:val="20"/>
            <w:u w:val="single"/>
          </w:rPr>
          <w:t>Note 9, “Leases”</w:t>
        </w:r>
      </w:hyperlink>
      <w:r>
        <w:rPr>
          <w:color w:val="000000"/>
        </w:rPr>
        <w:t xml:space="preserve"> </w:t>
      </w:r>
      <w:r>
        <w:rPr>
          <w:rFonts w:ascii="Times New Roman;sans-serif" w:hAnsi="Times New Roman;sans-serif"/>
          <w:b w:val="false"/>
          <w:color w:val="000000"/>
          <w:sz w:val="20"/>
        </w:rPr>
        <w:t>in the notes to our unaudited Consolidated Financial Statements for further discussion and disclosure related to the Company’s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Payments to our REIT Landlords under Triple Net Leases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 made to our REIT Landlords, GLPI and VICI, were as follows:</w:t>
      </w:r>
    </w:p>
    <w:tbl>
      <w:tblPr>
        <w:tblW w:w="9165" w:type="dxa"/>
        <w:jc w:val="left"/>
        <w:tblInd w:w="0" w:type="dxa"/>
        <w:tblLayout w:type="fixed"/>
        <w:tblCellMar>
          <w:top w:w="28" w:type="dxa"/>
          <w:left w:w="28" w:type="dxa"/>
          <w:bottom w:w="28" w:type="dxa"/>
          <w:right w:w="28" w:type="dxa"/>
        </w:tblCellMar>
      </w:tblPr>
      <w:tblGrid>
        <w:gridCol w:w="739"/>
        <w:gridCol w:w="649"/>
        <w:gridCol w:w="651"/>
        <w:gridCol w:w="302"/>
        <w:gridCol w:w="882"/>
        <w:gridCol w:w="156"/>
        <w:gridCol w:w="156"/>
        <w:gridCol w:w="156"/>
        <w:gridCol w:w="156"/>
        <w:gridCol w:w="302"/>
        <w:gridCol w:w="882"/>
        <w:gridCol w:w="156"/>
        <w:gridCol w:w="109"/>
        <w:gridCol w:w="109"/>
        <w:gridCol w:w="109"/>
        <w:gridCol w:w="283"/>
        <w:gridCol w:w="828"/>
        <w:gridCol w:w="146"/>
        <w:gridCol w:w="146"/>
        <w:gridCol w:w="146"/>
        <w:gridCol w:w="146"/>
        <w:gridCol w:w="283"/>
        <w:gridCol w:w="828"/>
        <w:gridCol w:w="146"/>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 PENN Master Lease</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Master Lease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 Master Lease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Pinnacle Master Lease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Perryville Lease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Meadows Lease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Margaritaville Lease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Greektown Lease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Morgantown Lease </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w:t>
            </w:r>
            <w:r>
              <w:rPr>
                <w:color w:val="000000"/>
              </w:rPr>
              <w:t xml:space="preserve"> </w:t>
            </w:r>
            <w:r>
              <w:rPr>
                <w:rFonts w:ascii="Times New Roman;sans-serif" w:hAnsi="Times New Roman;sans-serif"/>
                <w:b w:val="false"/>
                <w:color w:val="000000"/>
                <w:sz w:val="13"/>
              </w:rPr>
              <w:t>(1)</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(1)For the three and six months ended June 30, 2022, rent payable under the Tropicana Lease was nominal. Therefore, it has been excluded from the table above. The Tropicana Lease was terminated on September 26, 2022.</w:t>
      </w:r>
    </w:p>
    <w:p>
      <w:pPr>
        <w:pStyle w:val="TextBody"/>
        <w:bidi w:val="0"/>
        <w:spacing w:lineRule="auto" w:line="288" w:before="0" w:after="200"/>
        <w:jc w:val="left"/>
        <w:rPr/>
      </w:pPr>
      <w:r>
        <w:rPr>
          <w:rFonts w:ascii="Times New Roman;sans-serif" w:hAnsi="Times New Roman;sans-serif"/>
          <w:b/>
          <w:i/>
          <w:color w:val="000000"/>
          <w:sz w:val="20"/>
        </w:rPr>
        <w:t>Outlook</w:t>
      </w:r>
      <w:r>
        <w:rPr>
          <w:color w:val="000000"/>
        </w:rPr>
        <w:t>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current level of operations, we believe that cash generated from operations and cash on hand, together with amounts available under our Amended Credit Facilities, will be adequate to meet our anticipated obligations under our Triple Net Leases, debt service requirements, capital expenditures and working capital needs for the foreseeable future. However, our ability to generate sufficient cash flow from operations will depend on a range of economic, competitive and business factors, many of which are outside our control. We cannot be certain: (i) of the impact of global supply chain disruptions, price inflation, rising interest rates on the U.S. economy, slowing economic growth, geopolitical uncertainty, and instability in the banking sector following multiple bank failures; (ii) that our anticipated earnings projections will be realized; (iii) that we will achieve the expected synergies from our acquisitions; and (iv) that future borrowings will be available under our Amended Credit Facilities or otherwise will be available in the credit markets to enable us to service our indebtedness or to make anticipated capital expenditures. We caution that the performance and trends seen across our portfolio may not continue. In addition, while we anticipated that a significant amount of our future growth would come through the pursuit of opportunities within other distribution channels, such as media, retail and online sports betting, iCasino, and social gaming; from acquisitions of gaming properties at reasonable valuations; greenfield projects; development projects; and jurisdictional expansions and property expansion in under-penetrated markets; there can be no assurance that this will be the case. If we consummate significant acquisitions in the future or undertake any significant property expansions, our cash requirements may increase significantly and we may need to make additional borrowings or complete equity or debt financings to meet these requirements. See Part I, Item 1A. “Risk Factors” of the Company’s Form 10-K for the year ended December 31, 2022 for a discussion of additional risks related to the Company’s capital structure.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maintained a capital structure comprised of a mix of equity and debt financing. We vary our leverage to pursue opportunities in the marketplace in an effort to maximize our enterprise value for our shareholders. We expect to meet our debt obligations as they come due through internally-generated funds from operations and/or refinancing them through the debt or equity markets prior to their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 xml:space="preserve">CRITICAL ACCOUNTING ESTIMATES </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A complete discussion of our critical accounting estimates is included in our Form 10-K for the year ended December 31, 2022. Other than discussed below, there have been no significant changes in our critical accounting estimates during the </w:t>
      </w:r>
      <w:r>
        <w:rPr>
          <w:rFonts w:ascii="Times New Roman;sans-serif" w:hAnsi="Times New Roman;sans-serif"/>
          <w:b w:val="false"/>
          <w:color w:val="000000"/>
          <w:sz w:val="20"/>
          <w:shd w:fill="FFFFFF" w:val="clear"/>
        </w:rPr>
        <w:t>six months ended</w:t>
      </w:r>
      <w:r>
        <w:rPr>
          <w:color w:val="000000"/>
        </w:rPr>
        <w:t xml:space="preserve"> </w:t>
      </w:r>
      <w:r>
        <w:rPr>
          <w:rFonts w:ascii="Times New Roman;sans-serif" w:hAnsi="Times New Roman;sans-serif"/>
          <w:b w:val="false"/>
          <w:color w:val="000000"/>
          <w:sz w:val="20"/>
        </w:rPr>
        <w:t>June 30, 2023.</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The assessment of lease classifications of land and building components contained within each of the AR PENN Master Lease and the 2023 Master Lease (as described in </w:t>
      </w:r>
      <w:hyperlink w:anchor="i7f5745e410cd4baaad4ca320a657bd0b_73">
        <w:r>
          <w:rPr>
            <w:rStyle w:val="InternetLink"/>
            <w:rFonts w:ascii="Times New Roman;sans-serif" w:hAnsi="Times New Roman;sans-serif"/>
            <w:b w:val="false"/>
            <w:color w:val="0000FF"/>
            <w:sz w:val="20"/>
            <w:u w:val="single"/>
          </w:rPr>
          <w:t>Note 9, “Leases”</w:t>
        </w:r>
      </w:hyperlink>
      <w:r>
        <w:rPr>
          <w:color w:val="000000"/>
        </w:rPr>
        <w:t xml:space="preserve"> </w:t>
      </w:r>
      <w:r>
        <w:rPr>
          <w:rFonts w:ascii="Times New Roman;sans-serif" w:hAnsi="Times New Roman;sans-serif"/>
          <w:b w:val="false"/>
          <w:color w:val="000000"/>
          <w:sz w:val="20"/>
        </w:rPr>
        <w:t xml:space="preserve">in the notes to our unaudited Consolidated Financial Statements) required management to make significant estimates and assumptions. These included estimates for the (i)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of the land and building assets; (ii) the term of the lease, including whether any renewal terms are reasonably assured of being exercised; and (iii) the discount rate (collateralized incremental borrowing rate) over the lease term. Additionally, management assessed whether the agreements should be accounted for as a separate or combined contract and whether the AR PENN Master Lease should be considered a lease modification or a new lease.</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Business Combination</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 xml:space="preserve">In connection with the Company’s acquisition of Barstool (as described in </w:t>
      </w:r>
      <w:hyperlink w:anchor="i7f5745e410cd4baaad4ca320a657bd0b_55">
        <w:r>
          <w:rPr>
            <w:rStyle w:val="InternetLink"/>
            <w:rFonts w:ascii="Times New Roman;sans-serif" w:hAnsi="Times New Roman;sans-serif"/>
            <w:b w:val="false"/>
            <w:color w:val="0000FF"/>
            <w:sz w:val="20"/>
            <w:u w:val="single"/>
          </w:rPr>
          <w:t>Note 6, “Acquisitions and Dispositions”</w:t>
        </w:r>
      </w:hyperlink>
      <w:r>
        <w:rPr>
          <w:color w:val="000000"/>
        </w:rPr>
        <w:t xml:space="preserve"> </w:t>
      </w:r>
      <w:r>
        <w:rPr>
          <w:rFonts w:ascii="Times New Roman;sans-serif" w:hAnsi="Times New Roman;sans-serif"/>
          <w:b w:val="false"/>
          <w:color w:val="000000"/>
          <w:sz w:val="20"/>
        </w:rPr>
        <w:t>in the notes to our unaudited Consolidated Financial Statements), valuations were completed to determine the allocation of the purchase price. The factors considered in the valuation include data gathered as a result of the Company’s due diligence in connection with the acquisition, projections for future operations, and data obtained from third-party valuation specialists, as deemed appropriate.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allocated the business combination purchase price to tangible and identifiable intangible assets acquired and liabilities assumed based on their fair values. The excess of the purchase price over those fair values is recorded as goodwill.</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for this business combination required management to make significant estimates and assumptions, including our estimate of intangible assets, such as the Barstool trade name, advertising relationships, other tradenames and brands, and customer relationships. Although we believe the estimates and assumptions made have been reasonable and appropriate, they are inherently uncertain. The most significant of the assumptions used in the valuations included: (1) revenue growth; (2) discount rates; (3) effective income tax rates; (4) future terminal values; and (5) gaming royalties for the use of the Barstool tradename assumptions. These assumptions were developed based on historical trends in the current competitive markets in which Barstool and PENN operate as well as projections of future performance. Significant assumptions with respect to our trade names and customer relationships involved selecting the appropriate royalty rates and cost estimates for replacement cost analyses. Advertising relationships were valued utilizing a with-and-without method. Where a relief-from-royalty method was utilized, significant assumptions included projecting revenues attributable to the asset, royalty rates, obsolescence factors, estimated synergies and discount rates. Where a replacement cost method was utilized, significant assumptions included estimating cost and time required to replace, determining the opportunity cost over the replacement period, and estimating a mark-up on development costs. Where a with-and-without method was utilized, significant assumptions included projecting revenues with direct advertising relationships and projecting revenues without direct advertising relationships, and determining discount 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 xml:space="preserve">RECENTLY ISSUED ACCOUNTING PRONOUNCEMENTS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For information with respect to new accounting pronouncements and the impact of these pronouncements on our unaudited Consolidated Financial Statements, see </w:t>
      </w:r>
      <w:hyperlink w:anchor="i7f5745e410cd4baaad4ca320a657bd0b_43">
        <w:r>
          <w:rPr>
            <w:rStyle w:val="InternetLink"/>
            <w:rFonts w:ascii="Times New Roman;sans-serif" w:hAnsi="Times New Roman;sans-serif"/>
            <w:b w:val="false"/>
            <w:color w:val="0000FF"/>
            <w:sz w:val="20"/>
            <w:u w:val="single"/>
          </w:rPr>
          <w:t>Note 3, “New Accounting Pronouncements”</w:t>
        </w:r>
      </w:hyperlink>
      <w:r>
        <w:rPr>
          <w:color w:val="000000"/>
        </w:rPr>
        <w:t xml:space="preserve"> </w:t>
      </w:r>
      <w:r>
        <w:rPr>
          <w:rFonts w:ascii="Times New Roman;sans-serif" w:hAnsi="Times New Roman;sans-serif"/>
          <w:b w:val="false"/>
          <w:color w:val="000000"/>
          <w:sz w:val="20"/>
        </w:rPr>
        <w:t>in the notes to our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 xml:space="preserve">IMPORTANT FACTORS REGARDING FORWARD-LOOKING STATEMENTS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Form 10-Q contains “forward-looking statements” within the meaning of the Private Securities Litigation Reform Act of 1995. These statements can be identified by the use of forward-looking terminology such as “expects,” “believes,” “estimates,” “projects,” “intends,” “plans,” “goal,” “seeks,” “may,” “will,” “should,” or “anticipates” or the negative or other variations of these or similar words, or by discussions of future events, strategies or risks and uncertainties. Specifically, forward-looking statements include, but are not limited to, statements regarding: the Company’s anticipated share repurchases; the Company’s expectations of future results of operations and financial condition, the assumptions provided regarding the guidance, including the scale and timing of the Company’s product and technology investments; the Company’s expectations regarding results, and the impact of competition, in retail/mobile/online sportsbooks, iCasino, social gaming, and retail operations; the Company’s development and launch of its Interactive segment’s products in new jurisdictions and enhancements to existing Interactive segment products, including the content for the ESPN Bet and theScore Bet Sportsbook and Casino apps and the relaunch of the Barstool Sportsbook as ESPN Bet on our proprietary player account management system and risk and trading platforms; the expected timing of the rebrand of Barstool Sportsbook; the benefits of the agreement between the Company and ESPN; the Company’s expectations regarding its Sportsbook Agreement with ESPN and the future success of its products; the Company’s expectations with respect to the integration and synergies related to the Company’s integration of theScore and the continued growth and monetization of the Company’s media business; the Company’s expectations with respect to the ongoing introduction and the potential benefits of the cashless, cardless and contactless (3C’s) technology; the Company’s development projects, including the prospective development projects at Hollywood Casinos Aurora, Joliet, Columbus, and the M Resort Spa Casino; our ability to obtain financing for our development projects on attractive terms; and the timing, cost and expected impact of planned capital expenditures on the Company’s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20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operations; the actions of regulatory, legislative, executive or judicial decisions at the federal, state, provincial or local level with regard to our business and the impact of any such actions.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and market conditions in the markets in which the Company operates; competition with other entertainment, sports content, and casino gaming experiences; the timing, cost and expected impact of product and technology investments; risks relating to international operations, permits, licenses, financings, approvals and other contingencies in connection with growth in new or existing jurisdictions; the Company may not be able to achieve the anticipated financial returns from the Sportsbook Agreement with ESPN, including due to fees, costs, taxes or circumstances beyond the Company’s or ESPN’s control; the rebranding of the Barstool Sportsbook as ESPN Bet may be delayed, or in certain jurisdictions may not occur at all, for reasons beyond our control, including due to any delays in the receipt of, or failure to receive, any required regulatory approvals; potential adverse reactions or changes to business or regulatory relationships resulting from the announcement or performance of the Sportsbook Agreement with ESPN or the divestiture of Barstool Sports; the occurrence of any event, change or other circumstances that could give rise to the right of one or both of the Company and ESPN to terminate the Sportsbook Agreement between the companies; liabilities, costs and fees in connection with the divestiture of Barstool Sports and the transition from the Barstool Sportsbook and other uses of intellectual property of Barstool Sports, including in the Company’s retail locations; the ability of the Company and ESPN to agree to extend the initial 10-year term of the Sportsbook Agreement on mutually satisfactory terms, if at all, and the costs and obligations of such terms if agreed; the outcome of any legal proceedings that may be instituted against the Company, ESPN or their respective directors, officers or employees; the ability of the Company or ESPN to retain and hire key personnel; the impact of new or changes in current laws, regulations, rules or other industry standards; and additional risks and uncertainties described in the Company’s Annual Report on Form 10-K for the year ended December 31, 2022,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Form 10-Q may not occur.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 ABOUT MARKET RISK</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from adverse changes in interest rates with respect to the short-term floating interest rates on borrowings under our Amended Credit Facilities. As of June 30, 2023, the Company’s Amended Credit Facilities had a gross outstanding balance of $1.5 billion, consisting of a $522.5 million Amended Term Loan A Facility and a $990.0 million Amended Term Loan B Facility. As of June 30, 2023, we have $976.6 million of available borrowing capacity under our Amended Revolving Credit Facility.</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as of June 30, 2023 about our long-term debt obligations that are sensitive to changes in interest rates, including the notional amounts maturing during the twelve month period presented and the related weighted-average interest rates by maturity dates.</w:t>
      </w:r>
    </w:p>
    <w:tbl>
      <w:tblPr>
        <w:tblW w:w="10205" w:type="dxa"/>
        <w:jc w:val="left"/>
        <w:tblInd w:w="0" w:type="dxa"/>
        <w:tblLayout w:type="fixed"/>
        <w:tblCellMar>
          <w:top w:w="28" w:type="dxa"/>
          <w:left w:w="28" w:type="dxa"/>
          <w:bottom w:w="28" w:type="dxa"/>
          <w:right w:w="28" w:type="dxa"/>
        </w:tblCellMar>
      </w:tblPr>
      <w:tblGrid>
        <w:gridCol w:w="302"/>
        <w:gridCol w:w="227"/>
        <w:gridCol w:w="228"/>
        <w:gridCol w:w="392"/>
        <w:gridCol w:w="167"/>
        <w:gridCol w:w="266"/>
        <w:gridCol w:w="109"/>
        <w:gridCol w:w="109"/>
        <w:gridCol w:w="109"/>
        <w:gridCol w:w="392"/>
        <w:gridCol w:w="167"/>
        <w:gridCol w:w="266"/>
        <w:gridCol w:w="109"/>
        <w:gridCol w:w="109"/>
        <w:gridCol w:w="109"/>
        <w:gridCol w:w="318"/>
        <w:gridCol w:w="242"/>
        <w:gridCol w:w="279"/>
        <w:gridCol w:w="109"/>
        <w:gridCol w:w="109"/>
        <w:gridCol w:w="109"/>
        <w:gridCol w:w="318"/>
        <w:gridCol w:w="242"/>
        <w:gridCol w:w="279"/>
        <w:gridCol w:w="109"/>
        <w:gridCol w:w="109"/>
        <w:gridCol w:w="109"/>
        <w:gridCol w:w="392"/>
        <w:gridCol w:w="167"/>
        <w:gridCol w:w="266"/>
        <w:gridCol w:w="109"/>
        <w:gridCol w:w="109"/>
        <w:gridCol w:w="109"/>
        <w:gridCol w:w="357"/>
        <w:gridCol w:w="199"/>
        <w:gridCol w:w="405"/>
        <w:gridCol w:w="109"/>
        <w:gridCol w:w="109"/>
        <w:gridCol w:w="109"/>
        <w:gridCol w:w="196"/>
        <w:gridCol w:w="691"/>
        <w:gridCol w:w="109"/>
        <w:gridCol w:w="109"/>
        <w:gridCol w:w="109"/>
        <w:gridCol w:w="109"/>
        <w:gridCol w:w="196"/>
        <w:gridCol w:w="691"/>
        <w:gridCol w:w="162"/>
      </w:tblGrid>
      <w:tr>
        <w:trPr/>
        <w:tc>
          <w:tcPr>
            <w:tcW w:w="30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7/1/23 - 6/30/24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7/1/24 - 6/30/25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7/1/25 - 6/30/26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7/1/26 - 6/30/27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7/1/27 - 6/30/28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Fixed rate</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5.625 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Fixed rate</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Fixed rate</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Variable rate</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 xml:space="preserve">Average interest rate </w:t>
            </w:r>
            <w:r>
              <w:rPr>
                <w:rFonts w:ascii="Times New Roman;sans-serif" w:hAnsi="Times New Roman;sans-serif"/>
                <w:b w:val="false"/>
                <w:color w:val="000000"/>
                <w:sz w:val="12"/>
              </w:rPr>
              <w:t>(1)</w:t>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5.387 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5.321 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5.091 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5.968 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5.968 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(1)Estimated rate, reflective of forward SOFR as of June 30, 2023 plus the spread over SOFR applicable to variable-rate borrowing.</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Rate Risk</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currency translation risk because the results of our international entities are reported in local currency, which we then translate to U.S. dollars for inclusion in our unaudited Consolidated Financial Statements. As a result, changes between the foreign exchange rates, in particular the Canadian dollar compared to the U.S. dollar, affect the amounts we record for our foreign assets, liabilities, revenues and expenses, and could have a negative effect on our financial results. The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theScore are reported in Canadian dollars, which we then translate to U.S. dollars for inclusion in our unaudited Consolidated Financial Statements. We do not currently enter into hedging arrangements to minimize the impact of foreign currency fluctuations on our operations. For the three and six months ended June 30, 2023, we incurred unrealized foreign currency translation adjustment gains of $36.4 million and $44.6 million, respectively, compared to unrealized foreign currency translation adjustment losses of $62.7 million and $26.9 million for the three and six months ended June 30, 2022, respectively, as reported in “Foreign currency translation adjustment during the period” within our unaudited Consolidated Statements of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ITEM 4.CONTROLS AND PROCEDURES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under the supervision and with the participation of our principal executive officer and principal financial officer, has evaluated the effectiveness of the Company’s disclosure controls and procedures (as defined in Rules 13a-15(e) and 15d-15(e) under the Securities Exchange Act of 1934, as amended (the “Exchange Act”)), as of June 30, 2023. Based on this evaluation, our principal executive officer and principal financial officer concluded that the Company’s disclosure controls and procedures were effective as of June 30, 2023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2023, there were no changes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0" w:right="0" w:hanging="9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party to a number of other pending legal proceedings. Management does not expect that the outcome of such proceedings, either individually or in the aggregate, will have a material effect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ITEM 1A.RISK FACTORS </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refer you to our 2022 Annual Report on Form 10-K for a discussion of the risk factors that affect our business and financial results. There have been no material changes to those risk factors, except as discussed below.</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contractual obligations. Any of these impacts, or any other impacts resulting from the factors described above or other related or similar factors not described above, could have material adverse impacts on our liquidity and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total number of shares of our common stock that we repurchased during the second quarter of 2023, the average price paid per share, the number of shares that we repurchased as part of our share repurchase program, and the approximate dollar value of shares that still could have been repurchased at the end of the applicable fiscal period pursuant to our share repurchase program: </w:t>
      </w:r>
    </w:p>
    <w:tbl>
      <w:tblPr>
        <w:tblW w:w="10205" w:type="dxa"/>
        <w:jc w:val="left"/>
        <w:tblInd w:w="0" w:type="dxa"/>
        <w:tblLayout w:type="fixed"/>
        <w:tblCellMar>
          <w:top w:w="28" w:type="dxa"/>
          <w:left w:w="28" w:type="dxa"/>
          <w:bottom w:w="28" w:type="dxa"/>
          <w:right w:w="28" w:type="dxa"/>
        </w:tblCellMar>
      </w:tblPr>
      <w:tblGrid>
        <w:gridCol w:w="461"/>
        <w:gridCol w:w="404"/>
        <w:gridCol w:w="408"/>
        <w:gridCol w:w="109"/>
        <w:gridCol w:w="109"/>
        <w:gridCol w:w="109"/>
        <w:gridCol w:w="668"/>
        <w:gridCol w:w="468"/>
        <w:gridCol w:w="469"/>
        <w:gridCol w:w="109"/>
        <w:gridCol w:w="109"/>
        <w:gridCol w:w="109"/>
        <w:gridCol w:w="277"/>
        <w:gridCol w:w="785"/>
        <w:gridCol w:w="154"/>
        <w:gridCol w:w="109"/>
        <w:gridCol w:w="109"/>
        <w:gridCol w:w="109"/>
        <w:gridCol w:w="887"/>
        <w:gridCol w:w="733"/>
        <w:gridCol w:w="735"/>
        <w:gridCol w:w="109"/>
        <w:gridCol w:w="109"/>
        <w:gridCol w:w="109"/>
        <w:gridCol w:w="526"/>
        <w:gridCol w:w="1497"/>
        <w:gridCol w:w="425"/>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Total Number of Shares Purchased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Average Price Paid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Total Number of Shares Purchased as Part of Publicly Announced Program </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Maximum Dollar Value of Shares that May Yet Be Purchased Under the Plans or Program </w:t>
            </w:r>
            <w:r>
              <w:rPr>
                <w:rFonts w:ascii="Times New Roman;sans-serif" w:hAnsi="Times New Roman;sans-serif"/>
                <w:b/>
                <w:color w:val="000000"/>
                <w:sz w:val="12"/>
              </w:rPr>
              <w:t>(2)</w:t>
            </w:r>
          </w:p>
        </w:tc>
      </w:tr>
      <w:tr>
        <w:trPr/>
        <w:tc>
          <w:tcPr>
            <w:tcW w:w="12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1, 2023 -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562,625 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556,466 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 2023 - May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1,320,027 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1,318,427 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 2023 -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1,918,954 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1,916,365 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749.5 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3,801,606 </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3,791,258 </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6,159, 1,600, and 2,589 shares withheld to pay taxes due upon the vesting of employee restricted stock for the months ended April 30, May 31, and June 30, 2023, respectively.</w:t>
      </w:r>
    </w:p>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(2)On February 1, 2022, our Board of Directors authorized the February 2022 Authorization for the repurchase of up to $750.0 million of our common stock from time to time on the open market or in privately negotiated transactions. The February 2022 Authorization expires on January 31, 2025. On December 6, 2022, our Board of Directors authorized the December 2022 Authorization for the repurchase of an additional $750.0 million of our common stock from time to time on the open market or in privately negotiated transactions, which expires on December 31, 2025. During the three months ended June 30, 2023, we completed repurchasing the amount of shares authorized under the February 2022 Authorization and began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605" cy="14605"/>
                <wp:effectExtent l="0" t="0" r="0" b="0"/>
                <wp:wrapNone/>
                <wp:docPr id="64" name="Frame6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left"/>
        <w:rPr>
          <w:rFonts w:ascii="Times New Roman;sans-serif" w:hAnsi="Times New Roman;sans-serif"/>
          <w:b w:val="false"/>
          <w:color w:val="000000"/>
          <w:sz w:val="16"/>
        </w:rPr>
      </w:pPr>
      <w:r>
        <w:rPr>
          <w:rFonts w:ascii="Times New Roman;sans-serif" w:hAnsi="Times New Roman;sans-serif"/>
          <w:b w:val="false"/>
          <w:color w:val="000000"/>
          <w:sz w:val="16"/>
        </w:rPr>
        <w:t>the December 2022 Authorization. Stock repurchases, if any, will be funded using our available liquidity. The timing and amount of stock repurchases will depend on a variety of factors, including market conditions as well as corporate and regulatory considerations. As of June 30, 2023, we have repurchased a total of 22,999,509 shares of our common stock at an average price of $32.64.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2023, none of the Company’s directors or executive officers adopted or terminated any contract, instruction or written plan for the purchase or sale of the Company’s securities that was intended to satisfy the affirmative defense conditions of Rule 10b5-1(c) or any “non-Rule 10b5-1 trading arrangement.”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9"/>
        <w:gridCol w:w="263"/>
        <w:gridCol w:w="265"/>
        <w:gridCol w:w="109"/>
        <w:gridCol w:w="109"/>
        <w:gridCol w:w="109"/>
        <w:gridCol w:w="2789"/>
        <w:gridCol w:w="2583"/>
        <w:gridCol w:w="3679"/>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PENN Entertainment, Inc. 2022 Long Term Incentive Compensation Plan, as amended, is hereby incorporated by reference to Exhibit 10.1 to the Company’s Current Report on Form 8-K filed on June 9, 2023. (SEC File No. 000-24206).</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 xml:space="preserve">Form of Restricted Stock Unit Award Agreement (Stock-Settled) for the PENN Entertainment, Inc. 2022 Long Term Incentive Compensation Plan, as amended, is hereby incorporated by reference to Exhibit 10.2 to the Company’s Registration Statement on Form S-8 filed on June 16, 2023. (SEC File No. 333-272723). </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 xml:space="preserve">Form of Restricted Stock Unit Award Agreement (Cash-Settled) for the PENN Entertainment, Inc. 2022 Long Term Incentive Compensation Plan, as amended, is hereby incorporated by reference to Exhibit 10.3 to the Company’s Registration Statement on Form S-8 filed on June 16, 2023. (SEC File No. 333-272723). </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 xml:space="preserve">Form of Performance Unit Award Agreement (Stock-Settled) for the PENN Entertainment, Inc. 2022 Long Term Incentive Compensation Plan, as amended, is hereby incorporated by reference to Exhibit 10.4 to the Company’s Registration Statement on Form S-8 filed on June 16, 2023. (SEC File No. 333-272723). </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80"/>
                  <w:sz w:val="20"/>
                  <w:u w:val="single"/>
                </w:rPr>
                <w:t>Form of Restricted Stock Award Agreement for the PENN Entertainment, Inc.</w:t>
              </w:r>
            </w:hyperlink>
            <w:hyperlink r:id="rId7">
              <w:r>
                <w:rPr>
                  <w:rStyle w:val="InternetLink"/>
                  <w:rFonts w:ascii="Times New Roman;sans-serif" w:hAnsi="Times New Roman;sans-serif"/>
                  <w:b w:val="false"/>
                  <w:color w:val="000080"/>
                  <w:sz w:val="20"/>
                  <w:u w:val="single"/>
                </w:rPr>
                <w:t xml:space="preserve"> 2022 Long Term Incentive Compensation Plan, as amended, is hereby incorporated by reference to Exhibit 10.5 to the Company’s Registration Statement on Form S-8 filed on June 16, 2023. (SEC File No. 333-272723).</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 xml:space="preserve">Form of Non-Qualified Stock Option Award Agreement for the PENN Entertainment, Inc. 2022 Long Term Incentive Compensation Plan, as amended, is hereby incorporated by reference to Exhibit 10.6 to the Company’s Registration Statement on Form S-8 filed on June 16, 2023. (SEC File No. 333-272723). </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 xml:space="preserve">Form of Stock Appreciation Right Award Agreement for the PENN Entertainment, Inc. 2022 Long Term Incentive Compensation Plan, as amended, is hereby incorporated by reference to Exhibit 10.7 to the Company’s Registration Statement on Form S-8 filed on June 16, 2023. (SEC File No. 333-272723). </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1106302023.htm">
              <w:r>
                <w:rPr>
                  <w:rStyle w:val="InternetLink"/>
                  <w:rFonts w:ascii="Times New Roman;sans-serif" w:hAnsi="Times New Roman;sans-serif"/>
                  <w:b w:val="false"/>
                  <w:color w:val="0000FF"/>
                  <w:sz w:val="20"/>
                  <w:u w:val="single"/>
                </w:rPr>
                <w:t>CEO Certification pursuant to Exchange Act Rules 13a-14(a) and 15d-14(a), as adopted pursuant to Section 302 of the Sarbanes-Oxley Act of 2002.</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1206302023.htm">
              <w:r>
                <w:rPr>
                  <w:rStyle w:val="InternetLink"/>
                  <w:rFonts w:ascii="Times New Roman;sans-serif" w:hAnsi="Times New Roman;sans-serif"/>
                  <w:b w:val="false"/>
                  <w:color w:val="0000FF"/>
                  <w:sz w:val="20"/>
                  <w:u w:val="single"/>
                </w:rPr>
                <w:t>CFO Certification pursuant to Exchange Act Rules 13a-14(a) and 15d-14(a), as adopted pursuant to Section 302 of the Sarbanes-Oxley Act of 2002.</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2106302023.htm">
              <w:r>
                <w:rPr>
                  <w:rStyle w:val="InternetLink"/>
                  <w:rFonts w:ascii="Times New Roman;sans-serif" w:hAnsi="Times New Roman;sans-serif"/>
                  <w:b w:val="false"/>
                  <w:color w:val="0000FF"/>
                  <w:sz w:val="20"/>
                  <w:u w:val="single"/>
                </w:rPr>
                <w:t>CEO Certification pursuant to 18 U.S.C. Section 1350, As Adopted Pursuant to Section 906 of The Sarbanes-Oxley Act of 2002.</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ennex32206302023.htm">
              <w:r>
                <w:rPr>
                  <w:rStyle w:val="InternetLink"/>
                  <w:rFonts w:ascii="Times New Roman;sans-serif" w:hAnsi="Times New Roman;sans-serif"/>
                  <w:b w:val="false"/>
                  <w:color w:val="0000FF"/>
                  <w:sz w:val="20"/>
                  <w:u w:val="single"/>
                </w:rPr>
                <w:t>CFO Certification pursuant to 18 U.S.C. Section 1350, As Adopted Pursuant to Section 906 of The Sarbanes-Oxley Act of 2002.</w:t>
              </w:r>
            </w:hyperlink>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 </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Inline XBRL File (included in Exhibit 101)</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1" w:type="dxa"/>
            <w:gridSpan w:val="3"/>
            <w:tcBorders/>
            <w:vAlign w:val="center"/>
          </w:tcPr>
          <w:p>
            <w:pPr>
              <w:pStyle w:val="TableContents"/>
              <w:bidi w:val="0"/>
              <w:spacing w:before="0" w:after="283"/>
              <w:jc w:val="left"/>
              <w:rPr>
                <w:sz w:val="4"/>
                <w:szCs w:val="4"/>
              </w:rPr>
            </w:pPr>
            <w:r>
              <w:rPr>
                <w:sz w:val="4"/>
                <w:szCs w:val="4"/>
              </w:rPr>
            </w:r>
          </w:p>
        </w:tc>
      </w:tr>
      <w:tr>
        <w:trPr/>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f5745e410cd4baaad4ca320a657bd0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6792"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34"/>
        <w:gridCol w:w="134"/>
        <w:gridCol w:w="136"/>
        <w:gridCol w:w="1282"/>
        <w:gridCol w:w="1282"/>
        <w:gridCol w:w="181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 ENTERTAINMENT, INC.</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Christine LaBombard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Christine LaBombard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Accounting Officer</w:t>
            </w:r>
          </w:p>
        </w:tc>
      </w:tr>
    </w:tbl>
    <w:p>
      <w:pPr>
        <w:pStyle w:val="TextBody"/>
        <w:bidi w:val="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 Jay A. Snowden, certify that: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PENN Entertainment, Inc.;</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4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908" w:type="dxa"/>
        <w:jc w:val="right"/>
        <w:tblInd w:w="0" w:type="dxa"/>
        <w:tblLayout w:type="fixed"/>
        <w:tblCellMar>
          <w:top w:w="28" w:type="dxa"/>
          <w:left w:w="28" w:type="dxa"/>
          <w:bottom w:w="28" w:type="dxa"/>
          <w:right w:w="28" w:type="dxa"/>
        </w:tblCellMar>
      </w:tblPr>
      <w:tblGrid>
        <w:gridCol w:w="200"/>
        <w:gridCol w:w="177"/>
        <w:gridCol w:w="178"/>
        <w:gridCol w:w="449"/>
        <w:gridCol w:w="449"/>
        <w:gridCol w:w="451"/>
        <w:gridCol w:w="1173"/>
        <w:gridCol w:w="1173"/>
        <w:gridCol w:w="16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 Felicia R. Hendrix, certify that: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PENN Entertainment, Inc.;</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4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343" w:type="dxa"/>
        <w:jc w:val="right"/>
        <w:tblInd w:w="0" w:type="dxa"/>
        <w:tblLayout w:type="fixed"/>
        <w:tblCellMar>
          <w:top w:w="28" w:type="dxa"/>
          <w:left w:w="28" w:type="dxa"/>
          <w:bottom w:w="28" w:type="dxa"/>
          <w:right w:w="28" w:type="dxa"/>
        </w:tblCellMar>
      </w:tblPr>
      <w:tblGrid>
        <w:gridCol w:w="200"/>
        <w:gridCol w:w="177"/>
        <w:gridCol w:w="178"/>
        <w:gridCol w:w="449"/>
        <w:gridCol w:w="449"/>
        <w:gridCol w:w="451"/>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PENN Entertainment, Inc. (the “Company”) on Form 10-Q for the quarter ended June 30, 2023 as filed with the U.S. Securities and Exchange Commission on the date hereof (the “Report”), I, Jay A. Snowden, Chief Executive Officer and President of the Company, certify, pursuant to Section 906 of the Sarbanes-Oxley Act of 2002, 18 U.S.C. Section 1350 that, to my knowledge:</w:t>
      </w:r>
    </w:p>
    <w:p>
      <w:pPr>
        <w:pStyle w:val="TextBody"/>
        <w:bidi w:val="0"/>
        <w:spacing w:lineRule="auto" w:line="288" w:before="0" w:after="2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0" w:after="4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5908" w:type="dxa"/>
        <w:jc w:val="right"/>
        <w:tblInd w:w="0" w:type="dxa"/>
        <w:tblLayout w:type="fixed"/>
        <w:tblCellMar>
          <w:top w:w="28" w:type="dxa"/>
          <w:left w:w="28" w:type="dxa"/>
          <w:bottom w:w="28" w:type="dxa"/>
          <w:right w:w="28" w:type="dxa"/>
        </w:tblCellMar>
      </w:tblPr>
      <w:tblGrid>
        <w:gridCol w:w="200"/>
        <w:gridCol w:w="177"/>
        <w:gridCol w:w="178"/>
        <w:gridCol w:w="449"/>
        <w:gridCol w:w="449"/>
        <w:gridCol w:w="451"/>
        <w:gridCol w:w="1173"/>
        <w:gridCol w:w="1173"/>
        <w:gridCol w:w="16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Jay A. Snowden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PENN Entertainment, Inc. (the “Company”) on Form 10-Q for the quarter ended June 30, 2023 as filed with the U.S. Securities and Exchange Commission on the date hereof (the “Report”), I, Felicia R. Hendrix, Executive Vice President and Chief Financial Officer of the Company, certify, pursuant to Section 906 of the Sarbanes-Oxley Act of 2002, 18 U.S.C. Section 1350 that, to my knowledge:</w:t>
      </w:r>
    </w:p>
    <w:p>
      <w:pPr>
        <w:pStyle w:val="TextBody"/>
        <w:bidi w:val="0"/>
        <w:spacing w:lineRule="auto" w:line="288" w:before="0" w:after="2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0" w:after="4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6343" w:type="dxa"/>
        <w:jc w:val="right"/>
        <w:tblInd w:w="0" w:type="dxa"/>
        <w:tblLayout w:type="fixed"/>
        <w:tblCellMar>
          <w:top w:w="28" w:type="dxa"/>
          <w:left w:w="28" w:type="dxa"/>
          <w:bottom w:w="28" w:type="dxa"/>
          <w:right w:w="28" w:type="dxa"/>
        </w:tblCellMar>
      </w:tblPr>
      <w:tblGrid>
        <w:gridCol w:w="200"/>
        <w:gridCol w:w="177"/>
        <w:gridCol w:w="178"/>
        <w:gridCol w:w="449"/>
        <w:gridCol w:w="449"/>
        <w:gridCol w:w="451"/>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Felicia R. Hendrix</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ind w:left="0" w:right="0" w:hanging="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738/000114036123029128/brhc20054208_ex10-1.htm" TargetMode="External"/><Relationship Id="rId3" Type="http://schemas.openxmlformats.org/officeDocument/2006/relationships/hyperlink" Target="https://www.sec.gov/Archives/edgar/data/921738/000114036123030263/brhc20054430_ex10-2.htm" TargetMode="External"/><Relationship Id="rId4" Type="http://schemas.openxmlformats.org/officeDocument/2006/relationships/hyperlink" Target="https://www.sec.gov/Archives/edgar/data/921738/000114036123030263/brhc20054430_ex10-3.htm" TargetMode="External"/><Relationship Id="rId5" Type="http://schemas.openxmlformats.org/officeDocument/2006/relationships/hyperlink" Target="https://www.sec.gov/Archives/edgar/data/921738/000114036123030263/brhc20054430_ex10-4.htm" TargetMode="External"/><Relationship Id="rId6" Type="http://schemas.openxmlformats.org/officeDocument/2006/relationships/hyperlink" Target="https://www.sec.gov/Archives/edgar/data/921738/000114036123030263/brhc20054430_ex10-5.htm" TargetMode="External"/><Relationship Id="rId7" Type="http://schemas.openxmlformats.org/officeDocument/2006/relationships/hyperlink" Target="https://www.sec.gov/Archives/edgar/data/921738/000114036123030263/brhc20054430_ex10-5.htm" TargetMode="External"/><Relationship Id="rId8" Type="http://schemas.openxmlformats.org/officeDocument/2006/relationships/hyperlink" Target="https://www.sec.gov/Archives/edgar/data/921738/000114036123030263/brhc20054430_ex10-6.htm" TargetMode="External"/><Relationship Id="rId9" Type="http://schemas.openxmlformats.org/officeDocument/2006/relationships/hyperlink" Target="https://www.sec.gov/Archives/edgar/data/921738/000114036123030263/brhc20054430_ex10-7.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38226</Words>
  <Characters>209984</Characters>
  <CharactersWithSpaces>245554</CharactersWithSpaces>
  <Paragraphs>5368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