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0818x1_s3asr_100-regcov_pg1"/>
        <w:bookmarkStart w:id="1" w:name="ny20070818x1_s3asr.htm"/>
        <w:bookmarkStart w:id="2" w:name="ksny20070818x1_s3asr"/>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U.S. Securities and Exchange Commission on April 24,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90" w:after="283"/>
        <w:jc w:val="center"/>
        <w:rPr>
          <w:rFonts w:ascii="Times New Roman;Times;serif" w:hAnsi="Times New Roman;Times;serif"/>
          <w:b/>
          <w:color w:val="000000"/>
          <w:sz w:val="32"/>
        </w:rPr>
      </w:pPr>
      <w:r>
        <w:rPr>
          <w:rFonts w:ascii="Times New Roman;Times;serif" w:hAnsi="Times New Roman;Times;serif"/>
          <w:b/>
          <w:color w:val="000000"/>
          <w:sz w:val="32"/>
        </w:rPr>
        <w:t>FORM S-3</w:t>
      </w:r>
    </w:p>
    <w:p>
      <w:pPr>
        <w:pStyle w:val="TextBody"/>
        <w:bidi w:val="0"/>
        <w:spacing w:before="5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REGISTRATION STATEMENT </w:t>
      </w:r>
    </w:p>
    <w:p>
      <w:pPr>
        <w:pStyle w:val="TextBody"/>
        <w:bidi w:val="0"/>
        <w:spacing w:before="0" w:after="283"/>
        <w:jc w:val="center"/>
        <w:rPr>
          <w:rFonts w:ascii="Times New Roman;Times;serif" w:hAnsi="Times New Roman;Times;serif"/>
          <w:b/>
          <w:i/>
          <w:color w:val="000000"/>
          <w:sz w:val="22"/>
        </w:rPr>
      </w:pPr>
      <w:r>
        <w:rPr>
          <w:rFonts w:ascii="Times New Roman;Times;serif" w:hAnsi="Times New Roman;Times;serif"/>
          <w:b/>
          <w:i/>
          <w:color w:val="000000"/>
          <w:sz w:val="22"/>
        </w:rPr>
        <w:t>Under</w:t>
      </w:r>
    </w:p>
    <w:p>
      <w:pPr>
        <w:pStyle w:val="TextBody"/>
        <w:bidi w:val="0"/>
        <w:spacing w:before="0" w:after="283"/>
        <w:jc w:val="center"/>
        <w:rPr>
          <w:rFonts w:ascii="Times New Roman;Times;serif" w:hAnsi="Times New Roman;Times;serif"/>
          <w:b/>
          <w:i/>
          <w:color w:val="000000"/>
          <w:sz w:val="22"/>
        </w:rPr>
      </w:pPr>
      <w:r>
        <w:rPr>
          <w:rFonts w:ascii="Times New Roman;Times;serif" w:hAnsi="Times New Roman;Times;serif"/>
          <w:b/>
          <w:i/>
          <w:color w:val="000000"/>
          <w:sz w:val="22"/>
        </w:rPr>
        <w:t>THE SECURITIES ACT OF 1933</w:t>
      </w:r>
    </w:p>
    <w:p>
      <w:pPr>
        <w:pStyle w:val="TextBody"/>
        <w:bidi w:val="0"/>
        <w:spacing w:before="160" w:after="283"/>
        <w:jc w:val="center"/>
        <w:rPr>
          <w:rFonts w:ascii="Times New Roman;Times;serif" w:hAnsi="Times New Roman;Times;serif"/>
          <w:b/>
          <w:color w:val="000000"/>
          <w:sz w:val="40"/>
        </w:rPr>
      </w:pPr>
      <w:r>
        <w:rPr>
          <w:rFonts w:ascii="Times New Roman;Times;serif" w:hAnsi="Times New Roman;Times;serif"/>
          <w:b/>
          <w:color w:val="000000"/>
          <w:sz w:val="40"/>
        </w:rPr>
        <w:t>PENN ENTERTAINMENT, INC.</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(Exact name of registrant as specified in its charter) </w:t>
      </w:r>
    </w:p>
    <w:tbl>
      <w:tblPr>
        <w:tblW w:w="4715" w:type="dxa"/>
        <w:jc w:val="left"/>
        <w:tblInd w:w="0" w:type="dxa"/>
        <w:tblLayout w:type="fixed"/>
        <w:tblCellMar>
          <w:top w:w="0" w:type="dxa"/>
          <w:left w:w="0" w:type="dxa"/>
          <w:bottom w:w="0" w:type="dxa"/>
          <w:right w:w="0" w:type="dxa"/>
        </w:tblCellMar>
      </w:tblPr>
      <w:tblGrid>
        <w:gridCol w:w="2540"/>
        <w:gridCol w:w="140"/>
        <w:gridCol w:w="140"/>
        <w:gridCol w:w="1895"/>
      </w:tblGrid>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54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Pennsylvania </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(State or other jurisdiction of</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incorporation or organization)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23-2234473 </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(I.R.S. Employer</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Identification Number)</w:t>
            </w:r>
          </w:p>
        </w:tc>
      </w:tr>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825 Berkshire Blvd., Suite 200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Wyomissing, Pennsylvania 19610</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(610) 373-2400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(Address, including zip code, and telephone number, including area code, of registrant’s principal executive offices) </w:t>
      </w:r>
    </w:p>
    <w:p>
      <w:pPr>
        <w:pStyle w:val="TextBody"/>
        <w:bidi w:val="0"/>
        <w:spacing w:before="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Christopher Rogers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Executive Vice President, Chief Strategy and Legal Officer and Secretary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PENN Entertainment,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825 Berkshire Blvd., Suite 200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Wyomissing, Pennsylvania 19610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(610) 373-2400</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address, including zip code, and telephone number, including area code, of agent for service) </w:t>
      </w:r>
    </w:p>
    <w:p>
      <w:pPr>
        <w:pStyle w:val="TextBody"/>
        <w:bidi w:val="0"/>
        <w:spacing w:before="4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P. Michelle Gasaway, Esq.</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Skadden, Arps, Slate, Meagher &amp; Flom LLP</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2000 Avenue of the Stars, Suite 200N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Los Angeles, California 90067</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(213) 687-5000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Approximate date of commencement of proposed sale to the public: </w:t>
      </w:r>
      <w:r>
        <w:rPr>
          <w:rFonts w:ascii="Times New Roman;Times;serif" w:hAnsi="Times New Roman;Times;serif"/>
          <w:b w:val="false"/>
          <w:color w:val="000000"/>
          <w:sz w:val="18"/>
        </w:rPr>
        <w:t xml:space="preserve">From time to time after the effective date of this registration statement.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the only securities being registered on this Form are being offered pursuant to dividend or reinvestment plans, please check the following box.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00" w:type="dxa"/>
        <w:jc w:val="left"/>
        <w:tblInd w:w="0" w:type="dxa"/>
        <w:tblLayout w:type="fixed"/>
        <w:tblCellMar>
          <w:top w:w="0" w:type="dxa"/>
          <w:left w:w="0" w:type="dxa"/>
          <w:bottom w:w="0" w:type="dxa"/>
          <w:right w:w="0" w:type="dxa"/>
        </w:tblCellMar>
      </w:tblPr>
      <w:tblGrid>
        <w:gridCol w:w="1580"/>
        <w:gridCol w:w="140"/>
        <w:gridCol w:w="140"/>
        <w:gridCol w:w="275"/>
        <w:gridCol w:w="140"/>
        <w:gridCol w:w="140"/>
        <w:gridCol w:w="1955"/>
        <w:gridCol w:w="140"/>
        <w:gridCol w:w="140"/>
        <w:gridCol w:w="35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0818x1_s3asr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39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PENN ENTERTAINMENT,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Common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Preferred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Depositary Shares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Debt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securities listed above may be offered and sold by us or may be offered and sold, from time to time, by one or more selling securityholders to be identified in the future, including on a delayed or continuous basis. We will provide the specific terms of these securities in supplements to this prospectus. You should read this prospectus and the applicable prospectus supplement, as well as the documents incorporated and deemed to be incorporated by reference in this prospectus and the applicable prospectus supplement, carefully before you invest in the securities described in the applicable prospectus supplement.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may not be used to sell securities unless accompanied by the applicable prospectus supplement.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Select Market under the trading symbol “PENN.” </w:t>
      </w:r>
    </w:p>
    <w:p>
      <w:pPr>
        <w:pStyle w:val="TextBody"/>
        <w:bidi w:val="0"/>
        <w:spacing w:before="120" w:after="283"/>
        <w:ind w:left="0" w:right="0" w:firstLine="400"/>
        <w:jc w:val="both"/>
        <w:rPr/>
      </w:pPr>
      <w:r>
        <w:rPr>
          <w:rFonts w:ascii="Times New Roman;Times;serif" w:hAnsi="Times New Roman;Times;serif"/>
          <w:b/>
          <w:color w:val="000000"/>
          <w:sz w:val="20"/>
        </w:rPr>
        <w:t xml:space="preserve">Investing in our securities involves risks. You should carefully consider the risk factors referred to on page </w:t>
      </w:r>
      <w:hyperlink w:anchor="tRF">
        <w:r>
          <w:rPr>
            <w:rStyle w:val="InternetLink"/>
          </w:rPr>
          <w:t>5</w:t>
        </w:r>
      </w:hyperlink>
      <w:r>
        <w:rPr>
          <w:rFonts w:ascii="Times New Roman;Times;serif" w:hAnsi="Times New Roman;Times;serif"/>
          <w:b/>
          <w:color w:val="000000"/>
          <w:sz w:val="20"/>
        </w:rPr>
        <w:t xml:space="preserve"> of this prospectus, in any applicable prospectus supplement and in the documents incorporated by reference or deemed incorporated by reference in this prospectus and any applicable prospectus supplement, before you invest in our securities.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None of the U.S. Securities and Exchange Commission, any state securities commission, any state gaming commission or any other gaming authority or other regulatory agency has approved or disapproved of these securities or passed upon the accuracy or adequacy of this prospectus. Any representation to the contrary is a criminal offense. </w:t>
      </w:r>
    </w:p>
    <w:p>
      <w:pPr>
        <w:pStyle w:val="TextBody"/>
        <w:bidi w:val="0"/>
        <w:spacing w:before="772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April 24,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0818x1_s3asr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ind w:left="0" w:right="0" w:hanging="0"/>
        <w:jc w:val="left"/>
        <w:rPr>
          <w:sz w:val="4"/>
          <w:szCs w:val="4"/>
        </w:rPr>
      </w:pPr>
      <w:r>
        <w:rPr>
          <w:sz w:val="4"/>
          <w:szCs w:val="4"/>
        </w:rPr>
      </w:r>
      <w:bookmarkStart w:id="5" w:name="TOC"/>
      <w:bookmarkStart w:id="6" w:name="TOC"/>
      <w:bookmarkEnd w:id="6"/>
    </w:p>
    <w:tbl>
      <w:tblPr>
        <w:tblW w:w="9740" w:type="dxa"/>
        <w:jc w:val="left"/>
        <w:tblInd w:w="0" w:type="dxa"/>
        <w:tblLayout w:type="fixed"/>
        <w:tblCellMar>
          <w:top w:w="0" w:type="dxa"/>
          <w:left w:w="0" w:type="dxa"/>
          <w:bottom w:w="0" w:type="dxa"/>
          <w:right w:w="0" w:type="dxa"/>
        </w:tblCellMar>
      </w:tblPr>
      <w:tblGrid>
        <w:gridCol w:w="9260"/>
        <w:gridCol w:w="140"/>
        <w:gridCol w:w="140"/>
        <w:gridCol w:w="200"/>
      </w:tblGrid>
      <w:tr>
        <w:trPr/>
        <w:tc>
          <w:tcPr>
            <w:tcW w:w="92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 w:type="dxa"/>
            <w:tcBorders/>
            <w:shd w:fill="CCEEFF" w:val="clear"/>
            <w:vAlign w:val="center"/>
          </w:tcPr>
          <w:p>
            <w:pPr>
              <w:pStyle w:val="TableContents"/>
              <w:bidi w:val="0"/>
              <w:spacing w:before="0" w:after="0"/>
              <w:jc w:val="left"/>
              <w:rPr/>
            </w:pPr>
            <w:r>
              <w:rPr/>
              <w:t> </w:t>
            </w:r>
          </w:p>
        </w:tc>
      </w:tr>
      <w:tr>
        <w:trPr/>
        <w:tc>
          <w:tcPr>
            <w:tcW w:w="926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 xml:space="preserve">ii </w:t>
              </w:r>
            </w:hyperlink>
          </w:p>
        </w:tc>
      </w:tr>
      <w:tr>
        <w:trPr/>
        <w:tc>
          <w:tcPr>
            <w:tcW w:w="926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1</w:t>
              </w:r>
            </w:hyperlink>
            <w:hyperlink w:anchor="tWYC">
              <w:r>
                <w:rPr>
                  <w:rStyle w:val="InternetLink"/>
                  <w:rFonts w:ascii="Times New Roman;Times;serif" w:hAnsi="Times New Roman;Times;serif"/>
                  <w:color w:val="000000"/>
                  <w:sz w:val="20"/>
                </w:rPr>
                <w:t xml:space="preserve"> </w:t>
              </w:r>
            </w:hyperlink>
          </w:p>
        </w:tc>
      </w:tr>
      <w:tr>
        <w:trPr/>
        <w:tc>
          <w:tcPr>
            <w:tcW w:w="926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2</w:t>
              </w:r>
            </w:hyperlink>
            <w:hyperlink w:anchor="tFLS">
              <w:r>
                <w:rPr>
                  <w:rStyle w:val="InternetLink"/>
                  <w:rFonts w:ascii="Times New Roman;Times;serif" w:hAnsi="Times New Roman;Times;serif"/>
                  <w:color w:val="000000"/>
                  <w:sz w:val="20"/>
                </w:rPr>
                <w:t xml:space="preserve"> </w:t>
              </w:r>
            </w:hyperlink>
          </w:p>
        </w:tc>
      </w:tr>
      <w:tr>
        <w:trPr/>
        <w:tc>
          <w:tcPr>
            <w:tcW w:w="9260" w:type="dxa"/>
            <w:tcBorders/>
            <w:vAlign w:val="center"/>
          </w:tcPr>
          <w:p>
            <w:pPr>
              <w:pStyle w:val="TableContents"/>
              <w:bidi w:val="0"/>
              <w:spacing w:before="0" w:after="283"/>
              <w:ind w:left="0" w:right="0" w:hanging="0"/>
              <w:jc w:val="left"/>
              <w:rPr/>
            </w:pPr>
            <w:hyperlink w:anchor="tTC">
              <w:r>
                <w:rPr>
                  <w:rStyle w:val="InternetLink"/>
                  <w:rFonts w:ascii="Times New Roman;Times;serif" w:hAnsi="Times New Roman;Times;serif"/>
                  <w:color w:val="000000"/>
                  <w:sz w:val="20"/>
                </w:rPr>
                <w:t>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pPr>
            <w:hyperlink w:anchor="tTC">
              <w:r>
                <w:rPr>
                  <w:rStyle w:val="InternetLink"/>
                  <w:rFonts w:ascii="Times New Roman;Times;serif" w:hAnsi="Times New Roman;Times;serif"/>
                  <w:color w:val="000000"/>
                  <w:sz w:val="20"/>
                </w:rPr>
                <w:t>3</w:t>
              </w:r>
            </w:hyperlink>
            <w:hyperlink w:anchor="tTC">
              <w:r>
                <w:rPr>
                  <w:rStyle w:val="InternetLink"/>
                  <w:rFonts w:ascii="Times New Roman;Times;serif" w:hAnsi="Times New Roman;Times;serif"/>
                  <w:color w:val="000000"/>
                  <w:sz w:val="20"/>
                </w:rPr>
                <w:t xml:space="preserve"> </w:t>
              </w:r>
            </w:hyperlink>
          </w:p>
        </w:tc>
      </w:tr>
      <w:tr>
        <w:trPr/>
        <w:tc>
          <w:tcPr>
            <w:tcW w:w="9260" w:type="dxa"/>
            <w:tcBorders/>
            <w:shd w:fill="CCEEFF" w:val="clear"/>
            <w:vAlign w:val="center"/>
          </w:tcPr>
          <w:p>
            <w:pPr>
              <w:pStyle w:val="TableContents"/>
              <w:bidi w:val="0"/>
              <w:spacing w:before="0" w:after="283"/>
              <w:ind w:left="0" w:right="0" w:hanging="0"/>
              <w:jc w:val="left"/>
              <w:rPr/>
            </w:pPr>
            <w:hyperlink w:anchor="tIAM">
              <w:r>
                <w:rPr>
                  <w:rStyle w:val="InternetLink"/>
                  <w:rFonts w:ascii="Times New Roman;Times;serif" w:hAnsi="Times New Roman;Times;serif"/>
                  <w:color w:val="000000"/>
                  <w:sz w:val="20"/>
                </w:rPr>
                <w:t>INDUSTRY AND MARKET DATA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 w:type="dxa"/>
            <w:tcBorders/>
            <w:shd w:fill="CCEEFF" w:val="clear"/>
            <w:vAlign w:val="center"/>
          </w:tcPr>
          <w:p>
            <w:pPr>
              <w:pStyle w:val="TableContents"/>
              <w:bidi w:val="0"/>
              <w:spacing w:before="0" w:after="283"/>
              <w:ind w:left="0" w:right="0" w:hanging="0"/>
              <w:jc w:val="left"/>
              <w:rPr/>
            </w:pPr>
            <w:hyperlink w:anchor="tIAM">
              <w:r>
                <w:rPr>
                  <w:rStyle w:val="InternetLink"/>
                  <w:rFonts w:ascii="Times New Roman;Times;serif" w:hAnsi="Times New Roman;Times;serif"/>
                  <w:color w:val="000000"/>
                  <w:sz w:val="20"/>
                </w:rPr>
                <w:t>4</w:t>
              </w:r>
            </w:hyperlink>
            <w:hyperlink w:anchor="tIAM">
              <w:r>
                <w:rPr>
                  <w:rStyle w:val="InternetLink"/>
                  <w:rFonts w:ascii="Times New Roman;Times;serif" w:hAnsi="Times New Roman;Times;serif"/>
                  <w:color w:val="000000"/>
                  <w:sz w:val="20"/>
                </w:rPr>
                <w:t xml:space="preserve"> </w:t>
              </w:r>
            </w:hyperlink>
          </w:p>
        </w:tc>
      </w:tr>
      <w:tr>
        <w:trPr/>
        <w:tc>
          <w:tcPr>
            <w:tcW w:w="926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5</w:t>
              </w:r>
            </w:hyperlink>
            <w:hyperlink w:anchor="tRF">
              <w:r>
                <w:rPr>
                  <w:rStyle w:val="InternetLink"/>
                  <w:rFonts w:ascii="Times New Roman;Times;serif" w:hAnsi="Times New Roman;Times;serif"/>
                  <w:color w:val="000000"/>
                  <w:sz w:val="20"/>
                </w:rPr>
                <w:t xml:space="preserve"> </w:t>
              </w:r>
            </w:hyperlink>
          </w:p>
        </w:tc>
      </w:tr>
      <w:tr>
        <w:trPr/>
        <w:tc>
          <w:tcPr>
            <w:tcW w:w="926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6</w:t>
              </w:r>
            </w:hyperlink>
            <w:hyperlink w:anchor="tUOP">
              <w:r>
                <w:rPr>
                  <w:rStyle w:val="InternetLink"/>
                  <w:rFonts w:ascii="Times New Roman;Times;serif" w:hAnsi="Times New Roman;Times;serif"/>
                  <w:color w:val="000000"/>
                  <w:sz w:val="20"/>
                </w:rPr>
                <w:t xml:space="preserve"> </w:t>
              </w:r>
            </w:hyperlink>
          </w:p>
        </w:tc>
      </w:tr>
      <w:tr>
        <w:trPr/>
        <w:tc>
          <w:tcPr>
            <w:tcW w:w="9260" w:type="dxa"/>
            <w:tcBorders/>
            <w:vAlign w:val="center"/>
          </w:tcPr>
          <w:p>
            <w:pPr>
              <w:pStyle w:val="TableContents"/>
              <w:bidi w:val="0"/>
              <w:spacing w:before="0" w:after="283"/>
              <w:ind w:left="200" w:right="0" w:hanging="200"/>
              <w:jc w:val="left"/>
              <w:rPr/>
            </w:pPr>
            <w:hyperlink w:anchor="tDOC">
              <w:r>
                <w:rPr>
                  <w:rStyle w:val="InternetLink"/>
                  <w:rFonts w:ascii="Times New Roman;Times;serif" w:hAnsi="Times New Roman;Times;serif"/>
                  <w:color w:val="000000"/>
                  <w:sz w:val="20"/>
                </w:rPr>
                <w:t>DESCRIPTION OF COMMON STOCK, PREFERRED STOCK, DEPOSITARY SHARES AND DEBT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7</w:t>
              </w:r>
            </w:hyperlink>
            <w:hyperlink w:anchor="tDOC">
              <w:r>
                <w:rPr>
                  <w:rStyle w:val="InternetLink"/>
                  <w:rFonts w:ascii="Times New Roman;Times;serif" w:hAnsi="Times New Roman;Times;serif"/>
                  <w:color w:val="000000"/>
                  <w:sz w:val="20"/>
                </w:rPr>
                <w:t xml:space="preserve"> </w:t>
              </w:r>
            </w:hyperlink>
          </w:p>
        </w:tc>
      </w:tr>
      <w:tr>
        <w:trPr/>
        <w:tc>
          <w:tcPr>
            <w:tcW w:w="926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8</w:t>
              </w:r>
            </w:hyperlink>
            <w:hyperlink w:anchor="tLM">
              <w:r>
                <w:rPr>
                  <w:rStyle w:val="InternetLink"/>
                  <w:rFonts w:ascii="Times New Roman;Times;serif" w:hAnsi="Times New Roman;Times;serif"/>
                  <w:color w:val="000000"/>
                  <w:sz w:val="20"/>
                </w:rPr>
                <w:t xml:space="preserve"> </w:t>
              </w:r>
            </w:hyperlink>
          </w:p>
        </w:tc>
      </w:tr>
      <w:tr>
        <w:trPr/>
        <w:tc>
          <w:tcPr>
            <w:tcW w:w="9260" w:type="dxa"/>
            <w:tcBorders/>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olor w:val="000000"/>
                  <w:sz w:val="20"/>
                </w:rPr>
                <w:t>8</w:t>
              </w:r>
            </w:hyperlink>
          </w:p>
        </w:tc>
      </w:tr>
      <w:tr>
        <w:trPr/>
        <w:tc>
          <w:tcPr>
            <w:tcW w:w="9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requires otherwise, references to “PENN Entertainment,” “Penn National Gaming, Inc.” the “Company,” “we,” “us,” “our” or similar terms are to PENN Entertainment, Inc. and its subsidiaries. References to “$” and “dollars” are to United States dollars.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any applicable prospectus supplement and any free writing prospectus filed by us do not constitute an offer to sell or the solicitation of an offer to buy any securities other than the registered securities to which they relate, nor do they constitute an offer to sell or the solicitation of an offer to buy securities in any jurisdiction to any person to whom it is unlawful to make such offer or solicitation in such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investors outside of the United States, neither we nor any selling securityholders have done anything that would permit the offering, possession or distribution of this prospectus in any jurisdiction where action for that purpose is required, other than in the United States. You are required to inform yourselves about and to observe any restrictions relating to the offering, possession or distribution of this prospectus outside of the United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0818x1_s3asr_103-about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 w:name="tATP"/>
      <w:bookmarkEnd w:id="8"/>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a part of a registration statement that we filed on Form S-3 with the Securities and Exchange Commission (the “SEC”) under a “shelf” registration process. Under this shelf registration process, we may, from time to time, offer and sell, either separately or together, common stock, preferred stock, depositary shares or debt securities in one or more offerings.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time we offer and sell securities, we will provide a prospectus supplement or other type of offering document or supplement (together referred to herein as a “prospectus supplement”) that will contain specific information about the terms of that offering. Any applicable prospectus supplement or free writing prospectus may also add, update or change information contained in this prospectus, and accordingly, to the extent inconsistent, information in this prospectus is superseded by the information in such applicable prospectus supplement or free writing prospectus. You should read this prospectus and any applicable prospectus supplement together with the additional information described under the heading “Where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contains summaries of certain provisions contained in key documents described in this prospectus. All of the summaries are qualified in their entirety by the actual documents, which you should review before making your investment decision.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 should rely only on the information contained or incorporated or deemed incorporated by reference in this prospectus, in any applicable prospectus supplement or in any free writing prospectus filed by us with the SEC. We have not authorized anyone to provide any information other than that contained in this prospectus or in any prospectus supplement or free writing prospectus prepared by or on behalf of us or to which we may have referred you. We do not take any responsibility for, and can provide no assurance as to the reliability of, any other information that others may give you. We have not authorized any other person to provide you with different or additional information, and we are not making an offer to sell securities in any jurisdiction where the offer or sale is not permitted. You should assume that the information appearing in this prospectus is accurate only as of the date hereof or, in the case of information incorporated or deemed incorporated by reference herein, as of the date thereof, or, in each case, as of any earlier date as of which such information is given, regardless of the time of delivery of the prospectus or any sale of securities. Our business, financial condition, results of operations and prospects may have changed since the date of such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0818x1_s3asr_104-info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tWYC"/>
      <w:bookmarkEnd w:id="10"/>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available to the public from the SEC website at http://www.sec.gov.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the information we file with them, which means that we can disclose important information to you by referring you to those documents. The information incorporated by reference is considered to be a part of this prospectus, and later information that we file with the SEC will automatically update and, to the extent inconsistent, supersede this information. SEC rules and regulations also permit us to “furnish” rather than “file” certain reports and information with the SEC. Any such reports or information which we “furnish” or have “furnished” shall not be deemed to be incorporated by reference into or otherwise become a part of this prospectus, regardless of when furnished to the SEC. We incorporate by reference the following documents listed below and any future filings made with the SEC under Section 13(a), 13(c), 14 or 15(d) of the Securities Exchange Act of 1934, as amended (the “Exchange Act”) (other than, in each case, information deemed to have been furnished and not filed in accordance with SEC rules), on or after the date of this prospectus until we have terminated the offerings of all of the securities to which this prospectus relates: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fiscal year ended </w:t>
            </w:r>
            <w:hyperlink r:id="rId2">
              <w:r>
                <w:rPr>
                  <w:rStyle w:val="InternetLink"/>
                  <w:rFonts w:ascii="Times New Roman;Times;serif" w:hAnsi="Times New Roman;Times;serif"/>
                  <w:color w:val="000080"/>
                  <w:sz w:val="20"/>
                </w:rPr>
                <w:t>December 31, 2025</w:t>
              </w:r>
            </w:hyperlink>
            <w:r>
              <w:rPr>
                <w:rFonts w:ascii="Times New Roman;Times;serif" w:hAnsi="Times New Roman;Times;serif"/>
                <w:color w:val="000000"/>
                <w:sz w:val="20"/>
              </w:rPr>
              <w:t xml:space="preserve">, filed with the SEC on February 26, 2026 (the “2025 Form 10-K”);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information in our Definitive Proxy Statement on Schedule 14A for our Annual Meeting of Shareholders, filed with the SEC on </w:t>
            </w:r>
            <w:hyperlink r:id="rId3">
              <w:r>
                <w:rPr>
                  <w:rStyle w:val="InternetLink"/>
                  <w:rFonts w:ascii="Times New Roman;Times;serif" w:hAnsi="Times New Roman;Times;serif"/>
                  <w:color w:val="000080"/>
                  <w:sz w:val="20"/>
                </w:rPr>
                <w:t>April 28, 2025</w:t>
              </w:r>
            </w:hyperlink>
            <w:r>
              <w:rPr>
                <w:rFonts w:ascii="Times New Roman;Times;serif" w:hAnsi="Times New Roman;Times;serif"/>
                <w:color w:val="000000"/>
                <w:sz w:val="20"/>
              </w:rPr>
              <w:t xml:space="preserve">, that is incorporated by reference into Part III of our Annual Report on Form 10-K for the fiscal year ended December 31, 2024, filed with the SEC on </w:t>
            </w:r>
            <w:hyperlink r:id="rId4">
              <w:r>
                <w:rPr>
                  <w:rStyle w:val="InternetLink"/>
                  <w:rFonts w:ascii="Times New Roman;Times;serif" w:hAnsi="Times New Roman;Times;serif"/>
                  <w:color w:val="000080"/>
                  <w:sz w:val="20"/>
                </w:rPr>
                <w:t>February 27, 2025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on Form 8-K filed with the SEC on </w:t>
            </w:r>
            <w:hyperlink r:id="rId5">
              <w:r>
                <w:rPr>
                  <w:rStyle w:val="InternetLink"/>
                  <w:rFonts w:ascii="Times New Roman;Times;serif" w:hAnsi="Times New Roman;Times;serif"/>
                  <w:color w:val="000080"/>
                  <w:sz w:val="20"/>
                </w:rPr>
                <w:t>January 9, 2026</w:t>
              </w:r>
            </w:hyperlink>
            <w:r>
              <w:rPr>
                <w:rFonts w:ascii="Times New Roman;Times;serif" w:hAnsi="Times New Roman;Times;serif"/>
                <w:color w:val="000000"/>
                <w:sz w:val="20"/>
              </w:rPr>
              <w:t xml:space="preserve"> (Item 5.02 only), </w:t>
            </w:r>
            <w:hyperlink r:id="rId6">
              <w:r>
                <w:rPr>
                  <w:rStyle w:val="InternetLink"/>
                  <w:rFonts w:ascii="Times New Roman;Times;serif" w:hAnsi="Times New Roman;Times;serif"/>
                  <w:color w:val="000080"/>
                  <w:sz w:val="20"/>
                </w:rPr>
                <w:t>February 23, 2026</w:t>
              </w:r>
            </w:hyperlink>
            <w:r>
              <w:rPr>
                <w:rFonts w:ascii="Times New Roman;Times;serif" w:hAnsi="Times New Roman;Times;serif"/>
                <w:color w:val="000000"/>
                <w:sz w:val="20"/>
              </w:rPr>
              <w:t xml:space="preserve"> (Item 1.01 and Item 5.02 only), </w:t>
            </w:r>
            <w:hyperlink r:id="rId7">
              <w:r>
                <w:rPr>
                  <w:rStyle w:val="InternetLink"/>
                  <w:rFonts w:ascii="Times New Roman;Times;serif" w:hAnsi="Times New Roman;Times;serif"/>
                  <w:color w:val="000080"/>
                  <w:sz w:val="20"/>
                </w:rPr>
                <w:t>March 16, 2026</w:t>
              </w:r>
            </w:hyperlink>
            <w:r>
              <w:rPr>
                <w:rFonts w:ascii="Times New Roman;Times;serif" w:hAnsi="Times New Roman;Times;serif"/>
                <w:color w:val="000000"/>
                <w:sz w:val="20"/>
              </w:rPr>
              <w:t xml:space="preserve"> and </w:t>
            </w:r>
            <w:hyperlink r:id="rId8">
              <w:r>
                <w:rPr>
                  <w:rStyle w:val="InternetLink"/>
                  <w:rFonts w:ascii="Times New Roman;Times;serif" w:hAnsi="Times New Roman;Times;serif"/>
                  <w:color w:val="000080"/>
                  <w:sz w:val="20"/>
                </w:rPr>
                <w:t>April 16,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common stock included in Exhibit 4.4 to our Annual Report on Form 10-K for the fiscal year ended </w:t>
            </w:r>
            <w:hyperlink r:id="rId9">
              <w:r>
                <w:rPr>
                  <w:rStyle w:val="InternetLink"/>
                  <w:rFonts w:ascii="Times New Roman;Times;serif" w:hAnsi="Times New Roman;Times;serif"/>
                  <w:color w:val="000080"/>
                  <w:sz w:val="20"/>
                </w:rPr>
                <w:t>December 31, 2019</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Information that becomes a part of this prospectus after the date of this prospectus will automatically update and, to the extent inconsistent, replace information in this prospectus and information previously filed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(other than an exhibit to a filing unless that exhibit is specifically incorporated by reference into that filing), at no cost, by writing or calling us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PENN Entertainment,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825 Berkshire Boulevard, Suite 200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Wyomissing, Pennsylvania 19610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(610) 373-2400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our SEC filings, including our Annual Reports on Form 10-K and our Quarterly Reports on Form 10-Q, can be viewed and printed from the investor relations section of our website at www.pennentertainment.com free of charge. We have included our website address for the information of prospective investors and do not intend it to be an active link to our website. Information contained on our website is not part of this prospectus or any accompanying prospectus supplement (or any document incorporated by reference herein or therein), and you should not rely on that information in making your investment decision unless that information is also in this prospectus or any accompanying prospectus supplement or has been expressly incorporated by reference into this prospectus or any accompanying prospectus supplement. Our common stock is listed on the Nasdaq Global Select Market under the symbol “PENN.” You may inspect reports, proxy statements and other information about us at the office of Nasdaq, One Liberty Plaza, 165 Broadway, New York, New York 10006.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0818x1_s3asr_105-fls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FLS"/>
      <w:bookmarkEnd w:id="12"/>
      <w:r>
        <w:rPr>
          <w:rFonts w:ascii="Times New Roman;Times;serif" w:hAnsi="Times New Roman;Times;serif"/>
          <w:b/>
          <w:color w:val="000000"/>
          <w:sz w:val="20"/>
        </w:rPr>
        <w:t xml:space="preserve">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includes “forward-looking statements” within the meaning of the Private Securities Litigation Reform Act of 1995. These statements are included throughout the document, including within “Risk Factors,” and relate to our business strategy, prospects and financial position.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the Company’s expectations regarding the future success of theScore Bet, Hollywood iCasino and its other digital offerings; the Company’s expectations with respect to share repurchases;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(“OSB”),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 Such statements are all subject to risks, uncertainties and changes in circumstances that could significantly affect the Company’s future financial results and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credit facilities or other sources of capital to enable us to service our indebtedness, make anticipated capital expenditures or pay off or refinance our indebtedness prior to maturity; the impact of indemnification obligations under the Barstool SPA (as defined in the documents incorporated by reference herein); our ability to realize the anticipated benefits of our realigned digital strategy; our ability to attract and retain user adoption of theScore Bet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the impact of activist shareholders; adverse outcomes of litigation involving the Company; our ability to maintain our gaming licenses and concessions and comply with applicable gaming law, changes in current laws, regulations, rules or other industry standards; and other factors included in “Risk Factors” of this prospectus, the 2025 Form 10-K, subsequent Quarterly Reports on Form 10-Q and Current Reports on Form 8-K, each as filed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light of these risks, uncertainties and assumptions, the forward-looking events and circumstances discussed in this prospectus may not occur and actual results could differ materially from those anticipated or implied in the forward-looking statements. All forward-looking statements in this prospectus are based on information available to us as of the date hereof, such information may be limited or incomplete, and we assume no obligation to update any such forward-looking statements, whether as a result of new information, future events or otherwise, except as required by law. These statements are inherently uncertain, and investors are cautioned not to unduly rely upon these statements. All subsequent written and oral forward-looking statements attributable to us or persons acting on our behalf are expressly qualified in their entirety by the cautionary statements included in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0818x1_s3asr_106-company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TC"/>
      <w:bookmarkEnd w:id="14"/>
      <w:r>
        <w:rPr>
          <w:rFonts w:ascii="Times New Roman;Times;serif" w:hAnsi="Times New Roman;Times;serif"/>
          <w:b/>
          <w:color w:val="000000"/>
          <w:sz w:val="20"/>
        </w:rPr>
        <w:t xml:space="preserve">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PENN Entertainment (f/k/a Penn National Gaming, Inc.) operates in 27 jurisdictions throughout North America, with a broadly diversified portfolio of casinos, racetracks, and OSB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 customer loyalty program, offering its over 33 million members a unique set of rewards and experiences.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organized under the laws of the Commonwealth of Pennsylvania. The address and telephone number of our executive offices are 825 Berkshire Blvd., Suite 200, Wyomissing, Pennsylvania 19610, and (610) 373-2400. Our common stock is listed on the NASDAQ Global Select Market under the symbol “PENN.”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0818x1_s3asr_106-company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IAM"/>
      <w:bookmarkEnd w:id="16"/>
      <w:r>
        <w:rPr>
          <w:rFonts w:ascii="Times New Roman;Times;serif" w:hAnsi="Times New Roman;Times;serif"/>
          <w:b/>
          <w:color w:val="000000"/>
          <w:sz w:val="20"/>
        </w:rPr>
        <w:t xml:space="preserve">INDUSTRY AND MARKET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use or incorporate by reference in this prospectus data and industry forecasts which we have obtained from internal surveys, market research, publicly available information and industry publications. Industry publications generally state that the information they provide has been obtained from sources believed to be reliable but that the accuracy and completeness of such information is not guaranteed. Similarly, we believe that the surveys and market research we or others have performed are reliable, but we have not independently verified this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0818x1_s3asr_107-risk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RF"/>
      <w:bookmarkEnd w:id="18"/>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Investment in any securities offered pursuant to this prospectus and the applicable prospectus supplement involves risks. You should carefully consider the risk factors incorporated by reference from the 2025 Form 10-K and any subsequent Quarterly Reports on Form 10-Q or Current Reports on Form 8-K filed after the date of this prospectus, all other information contained or incorporated by reference in this prospectus, as updated by our subsequent filings under the Exchange Act, and the risk factors and other information contained in the applicable prospectus supplement before acquiring any of such securities. The occurrence of any of these risks, or additional risks and uncertainties not presently known to us, could materially and adversely affect our business, financial condition or results of operations and cause the value of our securities to decline. You could lose all or part of your investment in the offered securities. See also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0818x1_s3asr_108-use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UOP"/>
      <w:bookmarkEnd w:id="20"/>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use the net proceeds from the sales of the securities as set forth in the applicable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0818x1_s3asr_109-description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DOC"/>
      <w:bookmarkEnd w:id="22"/>
      <w:r>
        <w:rPr>
          <w:rFonts w:ascii="Times New Roman;Times;serif" w:hAnsi="Times New Roman;Times;serif"/>
          <w:b/>
          <w:color w:val="000000"/>
          <w:sz w:val="20"/>
        </w:rPr>
        <w:t xml:space="preserve">DESCRIPTION OF COMMON STOCK, PREFERRED STOCK, DEPOSITARY SHARES AND DEBT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our common stock, preferred stock, depositary shares or debt securities, as applicable, will be provided in a prospectus supplement. Each time we offer securities with this prospectus, the terms of that offering, including the specific amounts, prices and terms of the securities offered, and, if applicable, information about the selling securityholders, will be contained in the applicable prospectus supplement and other offering materials relating to such offering or in other filings we make with the SEC under the Exchange Act, which are incorporated by reference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0818x1_s3asr_110-legal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LM"/>
      <w:bookmarkEnd w:id="24"/>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in the applicable prospectus supplement, the validity of any securities to be offered will be passed upon for us by Skadden, Arps, Slate, Meagher &amp; Flom LLP, with respect to certain of our securities, or Ballard Spahr LLP, with respect to certain of our securities. Any underwriters will be represented by their own legal counsel. </w:t>
      </w:r>
    </w:p>
    <w:p>
      <w:pPr>
        <w:pStyle w:val="TextBody"/>
        <w:bidi w:val="0"/>
        <w:spacing w:before="410" w:after="283"/>
        <w:jc w:val="center"/>
        <w:rPr>
          <w:rFonts w:ascii="Times New Roman;Times;serif" w:hAnsi="Times New Roman;Times;serif"/>
          <w:b/>
          <w:color w:val="000000"/>
          <w:sz w:val="20"/>
        </w:rPr>
      </w:pPr>
      <w:bookmarkStart w:id="25" w:name="tEX"/>
      <w:bookmarkEnd w:id="25"/>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as of December 31, 2025 and 2024, and for each of the two years in the period ended December 31, 2025, and management’s assessment of the effectiveness of internal control over financial reporting (which is included in Management’s Report on Internal Control over Financial Reporting) as of December 31, 2025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PENN Entertainment Inc. for the period ended December 31, 2023,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0818x1_s3asr_300-part2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THE PROSPECTUS </w:t>
      </w:r>
    </w:p>
    <w:tbl>
      <w:tblPr>
        <w:tblW w:w="4540" w:type="dxa"/>
        <w:jc w:val="left"/>
        <w:tblInd w:w="0" w:type="dxa"/>
        <w:tblLayout w:type="fixed"/>
        <w:tblCellMar>
          <w:top w:w="0" w:type="dxa"/>
          <w:left w:w="0" w:type="dxa"/>
          <w:bottom w:w="0" w:type="dxa"/>
          <w:right w:w="0" w:type="dxa"/>
        </w:tblCellMar>
      </w:tblPr>
      <w:tblGrid>
        <w:gridCol w:w="710"/>
        <w:gridCol w:w="383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8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various expenses to be incurred in connection with the sale and distribution of the securities being registered hereby, all of which will be borne by PENN Entertainment, Inc. (the “Company”). </w:t>
      </w:r>
    </w:p>
    <w:tbl>
      <w:tblPr>
        <w:tblW w:w="5990" w:type="dxa"/>
        <w:jc w:val="left"/>
        <w:tblInd w:w="0" w:type="dxa"/>
        <w:tblLayout w:type="fixed"/>
        <w:tblCellMar>
          <w:top w:w="0" w:type="dxa"/>
          <w:left w:w="0" w:type="dxa"/>
          <w:bottom w:w="0" w:type="dxa"/>
          <w:right w:w="0" w:type="dxa"/>
        </w:tblCellMar>
      </w:tblPr>
      <w:tblGrid>
        <w:gridCol w:w="4685"/>
        <w:gridCol w:w="140"/>
        <w:gridCol w:w="140"/>
        <w:gridCol w:w="1025"/>
      </w:tblGrid>
      <w:tr>
        <w:trPr/>
        <w:tc>
          <w:tcPr>
            <w:tcW w:w="46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Securities and Exchange Commission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 </w:t>
            </w:r>
          </w:p>
        </w:tc>
      </w:tr>
      <w:tr>
        <w:trPr/>
        <w:tc>
          <w:tcPr>
            <w:tcW w:w="4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w:t>
            </w:r>
            <w:r>
              <w:rPr>
                <w:rFonts w:ascii="Times New Roman;Times;serif" w:hAnsi="Times New Roman;Times;serif"/>
                <w:color w:val="000000"/>
                <w:sz w:val="15"/>
              </w:rPr>
              <w:t xml:space="preserve">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w:t>
            </w:r>
            <w:r>
              <w:rPr>
                <w:rFonts w:ascii="Times New Roman;Times;serif" w:hAnsi="Times New Roman;Times;serif"/>
                <w:color w:val="000000"/>
                <w:sz w:val="15"/>
              </w:rPr>
              <w:t xml:space="preserve"> </w:t>
            </w:r>
          </w:p>
        </w:tc>
      </w:tr>
      <w:tr>
        <w:trPr/>
        <w:tc>
          <w:tcPr>
            <w:tcW w:w="4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Agent, Trustee and Depositary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w:t>
            </w:r>
            <w:r>
              <w:rPr>
                <w:rFonts w:ascii="Times New Roman;Times;serif" w:hAnsi="Times New Roman;Times;serif"/>
                <w:color w:val="000000"/>
                <w:sz w:val="15"/>
              </w:rPr>
              <w:t xml:space="preserve">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and engraving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w:t>
            </w:r>
            <w:r>
              <w:rPr>
                <w:rFonts w:ascii="Times New Roman;Times;serif" w:hAnsi="Times New Roman;Times;serif"/>
                <w:color w:val="000000"/>
                <w:sz w:val="15"/>
              </w:rPr>
              <w:t xml:space="preserve"> </w:t>
            </w:r>
          </w:p>
        </w:tc>
      </w:tr>
      <w:tr>
        <w:trPr/>
        <w:tc>
          <w:tcPr>
            <w:tcW w:w="4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Blue Sky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w:t>
            </w:r>
            <w:r>
              <w:rPr>
                <w:rFonts w:ascii="Times New Roman;Times;serif" w:hAnsi="Times New Roman;Times;serif"/>
                <w:color w:val="000000"/>
                <w:sz w:val="15"/>
              </w:rPr>
              <w:t xml:space="preserve">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Rating agency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w:t>
            </w:r>
            <w:r>
              <w:rPr>
                <w:rFonts w:ascii="Times New Roman;Times;serif" w:hAnsi="Times New Roman;Times;serif"/>
                <w:color w:val="000000"/>
                <w:sz w:val="15"/>
              </w:rPr>
              <w:t xml:space="preserve"> </w:t>
            </w:r>
          </w:p>
        </w:tc>
      </w:tr>
      <w:tr>
        <w:trPr/>
        <w:tc>
          <w:tcPr>
            <w:tcW w:w="4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Listing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w:t>
            </w:r>
            <w:r>
              <w:rPr>
                <w:rFonts w:ascii="Times New Roman;Times;serif" w:hAnsi="Times New Roman;Times;serif"/>
                <w:color w:val="000000"/>
                <w:sz w:val="15"/>
              </w:rPr>
              <w:t xml:space="preserve">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0" w:right="0" w:hanging="0"/>
              <w:jc w:val="left"/>
              <w:rPr>
                <w:color w:val="000000"/>
              </w:rPr>
            </w:pPr>
            <w:r>
              <w:rPr>
                <w:color w:val="000000"/>
                <w:bdr w:val="single" w:sz="8" w:space="2" w:color="000000"/>
              </w:rPr>
              <w:t>   </w:t>
            </w:r>
            <w:r>
              <w:rPr>
                <w:rFonts w:ascii="Times New Roman;Times;serif" w:hAnsi="Times New Roman;Times;serif"/>
                <w:color w:val="000000"/>
                <w:sz w:val="20"/>
                <w:bdr w:val="single" w:sz="8" w:space="2" w:color="000000"/>
              </w:rPr>
              <w:t>(2</w:t>
            </w:r>
            <w:r>
              <w:rPr>
                <w:rFonts w:ascii="Times New Roman;Times;serif" w:hAnsi="Times New Roman;Times;serif"/>
                <w:color w:val="000000"/>
                <w:sz w:val="20"/>
              </w:rPr>
              <w:t xml:space="preserve">) </w:t>
            </w:r>
          </w:p>
        </w:tc>
      </w:tr>
      <w:tr>
        <w:trPr/>
        <w:tc>
          <w:tcPr>
            <w:tcW w:w="4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$   (2</w:t>
            </w:r>
            <w:r>
              <w:rPr>
                <w:rFonts w:ascii="Times New Roman;Times;serif" w:hAnsi="Times New Roman;Times;serif"/>
                <w:color w:val="000000"/>
                <w:sz w:val="20"/>
              </w:rPr>
              <w:t>)</w:t>
            </w:r>
          </w:p>
        </w:tc>
      </w:tr>
      <w:tr>
        <w:trPr/>
        <w:tc>
          <w:tcPr>
            <w:tcW w:w="4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is registering an indeterminate amount of securities under this Registration Statement, and, in accordance with Rules 456(b) and 457(r), the Company is deferring payment of any additional registration fees until the time the securities are sold under this Registration Statement pursuant to a prospectus supplement.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fees are calculated based on the number of issuances and amount of securities offered and accordingly cannot be estimated at this time. The applicable prospectus supplement will set forth the estimated aggregate amount of expenses payable by us in respect of any offering of securities. </w:t>
            </w:r>
          </w:p>
        </w:tc>
      </w:tr>
    </w:tbl>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Sections 1741 and 1742 of the Pennsylvania Business Corporation Law, as amended (“PBCL”), a business corporation has the power to indemnify any person who was or is a party, or is threatened to be made a party, to any threatened, pending or completed action or proceeding, whether civil, criminal, administrative or investigative, by reason of the fact that such person is or was a representative of the corporation, or is or was serving at the request of the corporation as a director or officer of another corporation or other enterprise, against expenses (including attorneys’ fees), judgments, fines and amounts paid in settlement actually and reasonably incurred by such person in connection with such action or proceeding, if such person acted in good faith in a manner he or she reasonably believed to be in, or not opposed to, the best interests of the corporation, and, with respect to any criminal proceeding, had no reasonable cause to believe his or her conduct was unlawful. In the case of a threatened, pending or completed action or proceeding by or in the right of the corporation, such indemnification only covers expenses (including attorneys’ fees) actually and reasonably incurred in defense and settlement of such action and excludes judgments and amounts paid in settlement with respect to such action or proceeding, and no indemnification can be made for expenses if such person has been adjudged to be liable to the corporation unless, and only to the extent that, a court determines upon application that, despite the adjudication of liability but in view of all the circumstances, such person is fairly and reasonably entitled to indemnity for the expenses that the court deems proper.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Section 1744 of the PBCL provides that, unless ordered by a court, any indemnification referred to above shall be made by the corporation only as authorized in the specific case upon a determination that indemnification of the representative is proper in the circumstances because the indemnitee has met the applicable standard of conduct. Such determination shall be made: </w:t>
      </w:r>
    </w:p>
    <w:tbl>
      <w:tblPr>
        <w:tblW w:w="9925" w:type="dxa"/>
        <w:jc w:val="left"/>
        <w:tblInd w:w="0" w:type="dxa"/>
        <w:tblLayout w:type="fixed"/>
        <w:tblCellMar>
          <w:top w:w="0" w:type="dxa"/>
          <w:left w:w="0" w:type="dxa"/>
          <w:bottom w:w="0" w:type="dxa"/>
          <w:right w:w="0" w:type="dxa"/>
        </w:tblCellMar>
      </w:tblPr>
      <w:tblGrid>
        <w:gridCol w:w="245"/>
        <w:gridCol w:w="96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the board of directors by a majority vote of a quorum consisting of directors who were not parties to the proceeding;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such a quorum is not obtainable, or if obtainable and a majority vote of a quorum of disinterested directors so directs, by independent legal counsel in a written opinion; or </w:t>
            </w:r>
          </w:p>
        </w:tc>
      </w:tr>
    </w:tbl>
    <w:tbl>
      <w:tblPr>
        <w:tblW w:w="1930" w:type="dxa"/>
        <w:jc w:val="left"/>
        <w:tblInd w:w="0" w:type="dxa"/>
        <w:tblLayout w:type="fixed"/>
        <w:tblCellMar>
          <w:top w:w="0" w:type="dxa"/>
          <w:left w:w="0" w:type="dxa"/>
          <w:bottom w:w="0" w:type="dxa"/>
          <w:right w:w="0" w:type="dxa"/>
        </w:tblCellMar>
      </w:tblPr>
      <w:tblGrid>
        <w:gridCol w:w="245"/>
        <w:gridCol w:w="168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shareholders.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above, Section 1743 of the PBCL provides that, to the extent that a director or officer of a business corporation has been successful on the merits or otherwise in defense of a proceeding referred to above, or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0818x1_s3asr_300-part2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defense of any claim, issue or matter therein, such person shall be indemnified against expenses (including attorneys’ fees) actually and reasonably incurred by such person in connection therewith.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Section 1745 of the PBCL provides that expenses (including attorneys’ fees) incurred by an officer or director of a business corporation in defending any such proceeding may be paid by the corporation in advance of the final disposition of the proceeding upon receipt of an undertaking to repay the amount advanced if it is ultimately determined that the indemnitee is not entitled to be indemnified by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Section 1746 of the PBCL provides that the indemnification and advancement of expenses provided by, or granted pursuant to, the foregoing provisions shall not be deemed exclusive of any other rights to which a person seeking indemnification or advancement of expenses may be entitled under any bylaw, agreement, vote of shareholders or disinterested directors or otherwise, and that indemnification may be granted under any bylaw, agreement, vote of shareholders or directors or otherwise for any action taken or any failure to take any action whether or not the corporation would have the power to indemnify the person under any other provision of law and whether or not the indemnified liability arises or arose from any action by or in the right of the corporation; provided, however, that no indemnification may be made in any case where the act or failure to act giving rise to the claim for indemnification is determined by a court to have constituted willful misconduct or recklessness.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1747 of the PBCL permits a Pennsylvania business corporation to purchase and maintain insurance on behalf of any person who is or was a director or officer of the corporation, or is or was serving at the request of the corporation as a director or officer of another corporation or other enterprise, against any liability asserted against such person and incurred by such individual in any such capacity, or arising out of his or her status as such, whether or not the corporation or other enterprise would have the power to indemnify the person against such liability under the provisions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8.01 of the Sixth Amended and Restated Bylaws of the Company (the “PENN Bylaws”) provide for indemnification, to the fullest extent permitted by Pennsylvania law, for directors, officers and certain employees against all liability, loss and expense (including attorneys’ fees, judgments, fines and amounts paid in settlement) actually and reasonably incurred by such person by reason of the fact that such person is or was a director or officer of PENN, or is or was serving at the request of PENN as a director, officer, employee, agent, fiduciary or trustee of another corporation or of a partnership, joint venture, trust, employee benefit plan or other enterprise or entity. The PENN Bylaws also require the advancement of expenses incurred by an indemnified representation in connection with an indemnified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8.07 of the PENN Bylaws provides that, among other things, it may purchase and maintain insurance or enter into indemnifications to secure its indemnification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PENN maintains directors’ and officers’ liability insurance covering its directors and officers with respect to liabilities, which they may incur in connection with their serving in such capacity. Under this insurance, PENN may receive reimbursement for amounts as to which the directors and officers are indemnified by PENN under the bylaw indemnification provisions described above. Such insurance also provides certain additional coverage for the directors and officers against certain liabilities even though such liabilities may not be covered by the bylaw indemnification provisions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permitted by Section 1713(a) of the PBCL, Section 4.14 of the PENN Bylaws provide that no director shall be personally liable, as such, for monetary damages for any action taken, or failure to take any action, unless (i) the director has breached or failed to perform the duties of his or her office under the articles, bylaws or the PBCL; and (ii) the breach or failure to perform constitutes self-dealing, willful misconduct or recklessness. Section 1713(b) of the PBCL states that this exculpation from liability does not apply to the responsibility or liability of a director pursuant to any criminal statute or the liability of a director for the payment of taxes pursuant to federal, state or local law. It is uncertain whether this provision will control with respect to liabilities imposed upon directors by federal law, including federal securities laws. Section 1715(d) of the PBCL creates a presumption, subject to exceptions, that a director acted in the best interests of the corporation. Section 1712 of the PBCL, in defining the standard of care a director owes to the corporation, provides that a director stands in a fiduciary relation to the corporation and must perform his or her duties as a director or as a member of any committee of the board of directors in good faith, in a manner he or she reasonably believes to be in the best interests of the corporation and with such care, including the skill and diligence, that a person of ordinary prudence would use under similar circumstances and reasonable inquiry into those issues.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summaries are subject to the complete text of the PBCL and the PENN Bylaws and are qualified in their entirety by reference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0818x1_s3asr_300-part2_pg3"/>
        <w:bookmarkEnd w:id="28"/>
        <w:r>
          <w:rPr>
            <w:rStyle w:val="InternetLink"/>
            <w:rFonts w:ascii="Times New Roman;Times;Serif" w:hAnsi="Times New Roman;Times;Serif"/>
            <w:b/>
            <w:caps w:val="false"/>
            <w:smallCaps w:val="false"/>
            <w:color w:val="000000"/>
            <w:sz w:val="16"/>
          </w:rPr>
          <w:t>TABLE OF CONTENTS</w:t>
        </w:r>
      </w:hyperlink>
    </w:p>
    <w:tbl>
      <w:tblPr>
        <w:tblW w:w="1480" w:type="dxa"/>
        <w:jc w:val="left"/>
        <w:tblInd w:w="0" w:type="dxa"/>
        <w:tblLayout w:type="fixed"/>
        <w:tblCellMar>
          <w:top w:w="0" w:type="dxa"/>
          <w:left w:w="0" w:type="dxa"/>
          <w:bottom w:w="0" w:type="dxa"/>
          <w:right w:w="0" w:type="dxa"/>
        </w:tblCellMar>
      </w:tblPr>
      <w:tblGrid>
        <w:gridCol w:w="710"/>
        <w:gridCol w:w="77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LIST OF EXHIBITS </w:t>
      </w:r>
    </w:p>
    <w:tbl>
      <w:tblPr>
        <w:tblW w:w="10205" w:type="dxa"/>
        <w:jc w:val="left"/>
        <w:tblInd w:w="0" w:type="dxa"/>
        <w:tblLayout w:type="fixed"/>
        <w:tblCellMar>
          <w:top w:w="0" w:type="dxa"/>
          <w:left w:w="0" w:type="dxa"/>
          <w:bottom w:w="0" w:type="dxa"/>
          <w:right w:w="0" w:type="dxa"/>
        </w:tblCellMar>
      </w:tblPr>
      <w:tblGrid>
        <w:gridCol w:w="860"/>
        <w:gridCol w:w="140"/>
        <w:gridCol w:w="140"/>
        <w:gridCol w:w="9065"/>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left"/>
              <w:rPr/>
            </w:pPr>
            <w:r>
              <w:rPr/>
              <w:t> </w:t>
            </w:r>
          </w:p>
        </w:tc>
      </w:tr>
      <w:tr>
        <w:trPr/>
        <w:tc>
          <w:tcPr>
            <w:tcW w:w="86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Exhibit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Underwriting Agreement for any offering of securities.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r:id="rId10">
              <w:r>
                <w:rPr>
                  <w:rStyle w:val="InternetLink"/>
                  <w:rFonts w:ascii="Times New Roman;Times;serif" w:hAnsi="Times New Roman;Times;serif"/>
                  <w:color w:val="000000"/>
                  <w:sz w:val="20"/>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Amended and Restated Articles of Incorporation of Penn National Gaming, Inc., filed with the Pennsylvania Department of State on October 15, 1996, as amended by the Articles of Amendments to the Amended and Restated Articles of Incorporation filed with the Pennsylvania Department of State on November 13, 1996, July 23, 2001 and December 28, 2007, the Statement with Respect to Shares of Series C Convertible Preferred Stock of Penn National Gaming, Inc., dated as of January 17, 2013, and the Statement with Respect to Shares of Series D Convertible Preferred Stock of Penn National Gaming, Inc., dated as of February 19, 2020, and as further amended and restated by the Second Amended and Restated Articles of Incorporation of Penn National Gaming, Inc. filed with the Pennsylvania Department of State on June 17, 2021 (incorporated by reference to Exhibit 99.1 to the Company’s Current Report on Form 8-K filed on June 21, 2021) (SEC File No. 000-24206).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r:id="rId11">
              <w:r>
                <w:rPr>
                  <w:rStyle w:val="InternetLink"/>
                  <w:rFonts w:ascii="Times New Roman;Times;serif" w:hAnsi="Times New Roman;Times;serif"/>
                  <w:color w:val="000000"/>
                  <w:sz w:val="20"/>
                </w:rPr>
                <w:t>3.1(a)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Articles of Amendment to Second Amended and Restated Articles of Incorporation, effective August 4, 2022 (incorporated by reference to Exhibit 3.1 to the Company’s Quarterly Report on Form 10-Q for the quarterly period ended June 30, 2022) (SEC File No. 000-24206).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Sixth Amended and Restated Bylaws of the Company, as amended and restated on December 9, 2025 (incorporated by reference to Exhibit 3.1 to the Company’s Current Report on Form 8-K filed on December 10, 2025) (SEC File No. 000-24206).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00"/>
                  <w:sz w:val="20"/>
                </w:rPr>
                <w:t>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Specimen certificate for shares of Common Stock, par value of $.01 per share, for Penn National Gaming, Inc. (incorporated by reference to Exhibit 3.6 to the Company’s Quarterly Report on Form 10-Q for the quarterly period ended June 30, 2003) (SEC File No. 000-24206).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Specimen Preferred Stock Certificate.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Deposit Agreement for Depositary Shares.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00"/>
                  <w:sz w:val="20"/>
                </w:rPr>
                <w:t>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May 14, 2020, between the Company and Computershare Trust Company, N.A. as successor in interest to Wells Fargo Bank, National Association, as trustee (incorporated by reference to Exhibit 4.1 to the Company’s Current Report on Form 8-K filed on May 14, 2020) (SEC File No. 000-24206).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Note.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ny20070818x1_ex5-1.htm">
              <w:r>
                <w:rPr>
                  <w:rStyle w:val="InternetLink"/>
                  <w:rFonts w:ascii="Times New Roman;Times;serif" w:hAnsi="Times New Roman;Times;serif"/>
                  <w:color w:val="000000"/>
                  <w:sz w:val="20"/>
                </w:rPr>
                <w:t>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Skadden, Arps, Slate, Meagher &amp; Flom LLP.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ny20070818x1_ex5-2.htm">
              <w:r>
                <w:rPr>
                  <w:rStyle w:val="InternetLink"/>
                  <w:rFonts w:ascii="Times New Roman;Times;serif" w:hAnsi="Times New Roman;Times;serif"/>
                  <w:color w:val="000000"/>
                  <w:sz w:val="20"/>
                </w:rPr>
                <w:t>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Ballard Spahr LLP.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ny20070818x1_ex5-1.htm">
              <w:r>
                <w:rPr>
                  <w:rStyle w:val="InternetLink"/>
                  <w:rFonts w:ascii="Times New Roman;Times;serif" w:hAnsi="Times New Roman;Times;serif"/>
                  <w:color w:val="000000"/>
                  <w:sz w:val="20"/>
                </w:rPr>
                <w:t>23.1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Skadden, Arps, Slate, Meagher &amp; Flom LLP (included in Exhibit 5.1).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ny20070818x1_ex5-2.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Ballard Spahr LLP (included in Exhibit 5.2).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ny20070818x1_ex23-3.htm">
              <w:r>
                <w:rPr>
                  <w:rStyle w:val="InternetLink"/>
                  <w:rFonts w:ascii="Times New Roman;Times;serif" w:hAnsi="Times New Roman;Times;serif"/>
                  <w:color w:val="000000"/>
                  <w:sz w:val="20"/>
                </w:rPr>
                <w:t>23.3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PricewaterhouseCoopers LLP, Independent Registered Public Accounting Firm.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ny20070818x1_ex23-4.htm">
              <w:r>
                <w:rPr>
                  <w:rStyle w:val="InternetLink"/>
                  <w:rFonts w:ascii="Times New Roman;Times;serif" w:hAnsi="Times New Roman;Times;serif"/>
                  <w:color w:val="000000"/>
                  <w:sz w:val="20"/>
                </w:rPr>
                <w:t>23.4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Deloitte &amp; Touche LLP, Independent Registered Public Accounting Firm.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24.1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Powers of Attorney (included on signature page of this Registration Statement).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ny20070818x1_ex25-1.htm">
              <w:r>
                <w:rPr>
                  <w:rStyle w:val="InternetLink"/>
                  <w:rFonts w:ascii="Times New Roman;Times;serif" w:hAnsi="Times New Roman;Times;serif"/>
                  <w:color w:val="000000"/>
                  <w:sz w:val="20"/>
                </w:rPr>
                <w:t>25.1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Statement of Eligibility of Computershare Trust Company, N.A. as successor in interest to Wells Fargo Bank, N.A., as Trustee under the Indenture. </w:t>
            </w:r>
          </w:p>
        </w:tc>
      </w:tr>
      <w:tr>
        <w:trPr/>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5"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w:anchor="ny20070818x1_ex107.htm">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5" w:type="dxa"/>
            <w:tcBorders/>
            <w:shd w:fill="CCEEFF" w:val="clear"/>
            <w:vAlign w:val="center"/>
          </w:tcPr>
          <w:p>
            <w:pPr>
              <w:pStyle w:val="TableContents"/>
              <w:bidi w:val="0"/>
              <w:spacing w:before="0" w:after="0"/>
              <w:jc w:val="left"/>
              <w:rPr/>
            </w:pPr>
            <w:r>
              <w:rPr/>
              <w:t>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70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as an exhibit to a document to be incorporated by reference in this registration statement.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0818x1_s3asr_300-part2_pg4"/>
        <w:bookmarkEnd w:id="29"/>
        <w:r>
          <w:rPr>
            <w:rStyle w:val="InternetLink"/>
            <w:rFonts w:ascii="Times New Roman;Times;Serif" w:hAnsi="Times New Roman;Times;Serif"/>
            <w:b/>
            <w:caps w:val="false"/>
            <w:smallCaps w:val="false"/>
            <w:color w:val="000000"/>
            <w:sz w:val="16"/>
          </w:rPr>
          <w:t>TABLE OF CONTENTS</w:t>
        </w:r>
      </w:hyperlink>
    </w:p>
    <w:tbl>
      <w:tblPr>
        <w:tblW w:w="1915" w:type="dxa"/>
        <w:jc w:val="left"/>
        <w:tblInd w:w="0" w:type="dxa"/>
        <w:tblLayout w:type="fixed"/>
        <w:tblCellMar>
          <w:top w:w="0" w:type="dxa"/>
          <w:left w:w="0" w:type="dxa"/>
          <w:bottom w:w="0" w:type="dxa"/>
          <w:right w:w="0" w:type="dxa"/>
        </w:tblCellMar>
      </w:tblPr>
      <w:tblGrid>
        <w:gridCol w:w="710"/>
        <w:gridCol w:w="120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tbl>
      <w:tblPr>
        <w:tblW w:w="4000" w:type="dxa"/>
        <w:jc w:val="left"/>
        <w:tblInd w:w="0" w:type="dxa"/>
        <w:tblLayout w:type="fixed"/>
        <w:tblCellMar>
          <w:top w:w="0" w:type="dxa"/>
          <w:left w:w="0" w:type="dxa"/>
          <w:bottom w:w="0" w:type="dxa"/>
          <w:right w:w="0" w:type="dxa"/>
        </w:tblCellMar>
      </w:tblPr>
      <w:tblGrid>
        <w:gridCol w:w="170"/>
        <w:gridCol w:w="383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9955" w:type="dxa"/>
        <w:jc w:val="left"/>
        <w:tblInd w:w="0" w:type="dxa"/>
        <w:tblLayout w:type="fixed"/>
        <w:tblCellMar>
          <w:top w:w="0" w:type="dxa"/>
          <w:left w:w="0" w:type="dxa"/>
          <w:bottom w:w="0" w:type="dxa"/>
          <w:right w:w="0" w:type="dxa"/>
        </w:tblCellMar>
      </w:tblPr>
      <w:tblGrid>
        <w:gridCol w:w="200"/>
        <w:gridCol w:w="975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as amended (the “Securities Act”);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attached as an exhibit to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283"/>
        <w:ind w:left="800" w:right="0" w:hanging="0"/>
        <w:jc w:val="both"/>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however</w:t>
      </w:r>
      <w:r>
        <w:rPr>
          <w:rFonts w:ascii="Times New Roman;Times;serif" w:hAnsi="Times New Roman;Times;serif"/>
          <w:i w:val="false"/>
          <w:caps w:val="false"/>
          <w:smallCaps w:val="false"/>
          <w:color w:val="000000"/>
          <w:sz w:val="20"/>
        </w:rPr>
        <w:t xml:space="preserve">, that Paragraphs (1)(a)(i), (1)(a)(ii) and (1)(a)(iii)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(the “Exchange Act”) that are incorporated by reference in the registration statement, or is contained in a form of prospectus filed pursuant to Rule 424(b) (17 C.F.R. § 230.424(b)) that is part of the registration statement.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7360" w:type="dxa"/>
        <w:jc w:val="left"/>
        <w:tblInd w:w="0" w:type="dxa"/>
        <w:tblLayout w:type="fixed"/>
        <w:tblCellMar>
          <w:top w:w="0" w:type="dxa"/>
          <w:left w:w="0" w:type="dxa"/>
          <w:bottom w:w="0" w:type="dxa"/>
          <w:right w:w="0" w:type="dxa"/>
        </w:tblCellMar>
      </w:tblPr>
      <w:tblGrid>
        <w:gridCol w:w="245"/>
        <w:gridCol w:w="71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filed by the registrant pursuant to Rule 424(b)(3) (17 C.F.R. §230.424(b)(3)) shall be deemed to be part of the registration statement as of the date the filed prospectus was deemed part of and included in the registration statement; and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required to be filed pursuant to Rule 424(b)(2), (b)(5), or (b)(7) (17 C.F.R. § 230.424(b)(2), (b)(5), or (b)(7)) as part of a registration statement in reliance on Rule 430B relating to an offering made pursuant to Rule 415(a)(1)(i), (vii), or (x) (17 C.F.R. § 230.415(a)(1)(i),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0818x1_s3asr_300-part2_pg5"/>
        <w:bookmarkEnd w:id="3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(17 C.F.R. § 230.424);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0818x1_s3asr_301-sig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Wyomissing, Commonwealth of Pennsylvania, on this 24th day of April, 2026. </w:t>
      </w:r>
    </w:p>
    <w:tbl>
      <w:tblPr>
        <w:tblW w:w="3965" w:type="dxa"/>
        <w:jc w:val="left"/>
        <w:tblInd w:w="0" w:type="dxa"/>
        <w:tblLayout w:type="fixed"/>
        <w:tblCellMar>
          <w:top w:w="0" w:type="dxa"/>
          <w:left w:w="0" w:type="dxa"/>
          <w:bottom w:w="0" w:type="dxa"/>
          <w:right w:w="0" w:type="dxa"/>
        </w:tblCellMar>
      </w:tblPr>
      <w:tblGrid>
        <w:gridCol w:w="155"/>
        <w:gridCol w:w="140"/>
        <w:gridCol w:w="140"/>
        <w:gridCol w:w="590"/>
        <w:gridCol w:w="140"/>
        <w:gridCol w:w="140"/>
        <w:gridCol w:w="266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PENN ENTERTAINMENT,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Christopher Rogers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Rogers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Strategy and Legal Officer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0818x1_s3asr_301-sig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POA"/>
      <w:bookmarkEnd w:id="33"/>
      <w:r>
        <w:rPr>
          <w:rFonts w:ascii="Times New Roman;Times;serif" w:hAnsi="Times New Roman;Times;serif"/>
          <w:b/>
          <w:color w:val="000000"/>
          <w:sz w:val="20"/>
        </w:rPr>
        <w:t xml:space="preserve">POWER OF ATTORNEY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 IT KNOWN BY THESE PRESENTS, that each person whose signature appears below constitutes and appoints Jay A. Snowden and Christopher Rogers and each of them, his or her true and lawful attorney(s)-in-fact and agent(s), with full power of substitution and resubstitution, for him or her and in his or her name, place and stead, in any and all capacities, to sign any or all amendments to this Registration Statement and to file the same, with all exhibits and schedules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may lawfully do or cause to be done by virtue 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this Registration Statement has been signed by the following persons in the capacities and on the dates indicated. </w:t>
      </w:r>
    </w:p>
    <w:tbl>
      <w:tblPr>
        <w:tblW w:w="9875" w:type="dxa"/>
        <w:jc w:val="left"/>
        <w:tblInd w:w="0" w:type="dxa"/>
        <w:tblLayout w:type="fixed"/>
        <w:tblCellMar>
          <w:top w:w="0" w:type="dxa"/>
          <w:left w:w="0" w:type="dxa"/>
          <w:bottom w:w="0" w:type="dxa"/>
          <w:right w:w="0" w:type="dxa"/>
        </w:tblCellMar>
      </w:tblPr>
      <w:tblGrid>
        <w:gridCol w:w="1850"/>
        <w:gridCol w:w="140"/>
        <w:gridCol w:w="140"/>
        <w:gridCol w:w="6200"/>
        <w:gridCol w:w="140"/>
        <w:gridCol w:w="140"/>
        <w:gridCol w:w="1265"/>
      </w:tblGrid>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Jay A. Snowden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President, Chief Executive Officer and Director (Principal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Jay A. Snowden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color w:val="000000"/>
              </w:rPr>
            </w:pPr>
            <w:r>
              <w:rPr>
                <w:color w:val="000000"/>
              </w:rPr>
              <w:t> </w:t>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Felicia R. Hendrix</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Financial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Officer (Principal Financial Officer and Principal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Felicia R. Hendrix</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David A. Handler</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 Board Chair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David A. Handler</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 Heather Ace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Heather Ace</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Vimla Black-Gupta</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Vimla Black-Gupta</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Anuj Dhanda</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Anuj Dhanda</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Jeffrey Fox</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Jeffrey Fox</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Johnny Hartnett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Johnny Hartnett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Marla Kaplowitz</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April 24, 2026</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Marla Kaplowitz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Carlos Ruisanchez</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April 24, 2026</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Carlos Ruisanchez</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Jane Scaccetti</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Jane Scaccetti</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18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Fabio Schiavolin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20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6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24, 2026 </w:t>
            </w:r>
          </w:p>
        </w:tc>
      </w:tr>
      <w:tr>
        <w:trPr/>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Fabio Schiavolin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20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r>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jc w:val="left"/>
        <w:rPr/>
      </w:pPr>
      <w:r>
        <w:rPr/>
      </w:r>
      <w:bookmarkStart w:id="34" w:name="ny20070818x1_ex5-1.htm"/>
      <w:bookmarkStart w:id="35" w:name="ksny20070818x1_ex51"/>
      <w:bookmarkStart w:id="36" w:name="ny20070818x1_ex5-1.htm"/>
      <w:bookmarkStart w:id="37" w:name="ksny20070818x1_ex51"/>
      <w:bookmarkEnd w:id="36"/>
      <w:bookmarkEnd w:id="37"/>
      <w:r>
        <w:br w:type="page"/>
      </w:r>
    </w:p>
    <w:p>
      <w:pPr>
        <w:pStyle w:val="TextBody"/>
        <w:bidi w:val="0"/>
        <w:spacing w:before="0" w:after="0"/>
        <w:jc w:val="right"/>
        <w:rPr>
          <w:rFonts w:ascii="Times New Roman" w:hAnsi="Times New Roman"/>
          <w:b w:val="false"/>
          <w:smallCaps/>
          <w:color w:val="000000"/>
          <w:sz w:val="20"/>
        </w:rPr>
      </w:pPr>
      <w:r>
        <w:rPr>
          <w:rFonts w:ascii="Times New Roman" w:hAnsi="Times New Roman"/>
          <w:b w:val="false"/>
          <w:caps w:val="false"/>
          <w:smallCaps w:val="false"/>
          <w:color w:val="000000"/>
          <w:sz w:val="20"/>
        </w:rPr>
        <w:t>Exhibit</w:t>
      </w:r>
      <w:r>
        <w:rPr>
          <w:rFonts w:ascii="Times New Roman" w:hAnsi="Times New Roman"/>
          <w:b w:val="false"/>
          <w:smallCaps/>
          <w:color w:val="000000"/>
          <w:sz w:val="20"/>
        </w:rPr>
        <w:t xml:space="preserve"> 5.1</w:t>
      </w:r>
    </w:p>
    <w:p>
      <w:pPr>
        <w:pStyle w:val="TextBody"/>
        <w:bidi w:val="0"/>
        <w:spacing w:before="0" w:after="0"/>
        <w:jc w:val="left"/>
        <w:rPr/>
      </w:pPr>
      <w:r>
        <w:rPr/>
      </w:r>
    </w:p>
    <w:p>
      <w:pPr>
        <w:pStyle w:val="TextBody"/>
        <w:bidi w:val="0"/>
        <w:spacing w:before="0" w:after="0"/>
        <w:jc w:val="center"/>
        <w:rPr>
          <w:rFonts w:ascii="Times New Roman" w:hAnsi="Times New Roman"/>
          <w:smallCaps/>
          <w:color w:val="000000"/>
          <w:sz w:val="20"/>
        </w:rPr>
      </w:pPr>
      <w:r>
        <w:rPr>
          <w:rFonts w:ascii="Times New Roman" w:hAnsi="Times New Roman"/>
          <w:smallCaps/>
          <w:color w:val="000000"/>
          <w:sz w:val="20"/>
        </w:rPr>
        <w:t>Skadden, Arps, Slate, Meagher &amp; Flom llp</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ONE MANHATTAN WEST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NEW YORK, NY 10001</w:t>
      </w:r>
    </w:p>
    <w:p>
      <w:pPr>
        <w:pStyle w:val="TextBody"/>
        <w:bidi w:val="0"/>
        <w:spacing w:before="0" w:after="0"/>
        <w:jc w:val="center"/>
        <w:rPr>
          <w:color w:val="000000"/>
        </w:rPr>
      </w:pPr>
      <w:r>
        <w:rPr>
          <w:color w:val="000000"/>
        </w:rPr>
        <w:t xml:space="preserve">  </w:t>
      </w:r>
    </w:p>
    <w:p>
      <w:pPr>
        <w:pStyle w:val="HorizontalLine"/>
        <w:pBdr>
          <w:bottom w:val="single" w:sz="12" w:space="0" w:color="808080"/>
        </w:pBdr>
        <w:bidi w:val="0"/>
        <w:jc w:val="center"/>
        <w:rPr/>
      </w:pPr>
      <w:r>
        <w:rPr/>
      </w:r>
    </w:p>
    <w:p>
      <w:pPr>
        <w:pStyle w:val="TextBody"/>
        <w:bidi w:val="0"/>
        <w:spacing w:before="0" w:after="0"/>
        <w:jc w:val="center"/>
        <w:rPr>
          <w:color w:val="000000"/>
        </w:rPr>
      </w:pPr>
      <w:r>
        <w:rPr>
          <w:color w:val="000000"/>
        </w:rPr>
        <w:t xml:space="preserve">  </w:t>
      </w:r>
    </w:p>
    <w:p>
      <w:pPr>
        <w:pStyle w:val="Normal"/>
        <w:bidi w:val="0"/>
        <w:spacing w:before="0" w:after="0"/>
        <w:jc w:val="left"/>
        <w:rPr>
          <w:sz w:val="4"/>
          <w:szCs w:val="4"/>
        </w:rPr>
      </w:pPr>
      <w:r>
        <w:rPr>
          <w:sz w:val="4"/>
          <w:szCs w:val="4"/>
        </w:rPr>
      </w:r>
      <w:bookmarkStart w:id="38" w:name="zec56dd9220df4bf4a2a9914584bbc3b3"/>
      <w:bookmarkStart w:id="39" w:name="zec56dd9220df4bf4a2a9914584bbc3b3"/>
      <w:bookmarkEnd w:id="39"/>
    </w:p>
    <w:tbl>
      <w:tblPr>
        <w:tblW w:w="4450" w:type="dxa"/>
        <w:jc w:val="left"/>
        <w:tblInd w:w="0" w:type="dxa"/>
        <w:tblLayout w:type="fixed"/>
        <w:tblCellMar>
          <w:top w:w="0" w:type="dxa"/>
          <w:left w:w="0" w:type="dxa"/>
          <w:bottom w:w="0" w:type="dxa"/>
          <w:right w:w="0" w:type="dxa"/>
        </w:tblCellMar>
      </w:tblPr>
      <w:tblGrid>
        <w:gridCol w:w="60"/>
        <w:gridCol w:w="2120"/>
        <w:gridCol w:w="2270"/>
      </w:tblGrid>
      <w:tr>
        <w:trPr/>
        <w:tc>
          <w:tcPr>
            <w:tcW w:w="60" w:type="dxa"/>
            <w:tcBorders/>
            <w:vAlign w:val="center"/>
          </w:tcPr>
          <w:p>
            <w:pPr>
              <w:pStyle w:val="TableContents"/>
              <w:bidi w:val="0"/>
              <w:spacing w:before="0" w:after="283"/>
              <w:jc w:val="center"/>
              <w:rPr/>
            </w:pPr>
            <w:r>
              <w:rPr/>
              <w:t> </w:t>
            </w:r>
          </w:p>
        </w:tc>
        <w:tc>
          <w:tcPr>
            <w:tcW w:w="2120" w:type="dxa"/>
            <w:tcBorders/>
            <w:vAlign w:val="center"/>
          </w:tcPr>
          <w:p>
            <w:pPr>
              <w:pStyle w:val="TableContents"/>
              <w:bidi w:val="0"/>
              <w:spacing w:before="0" w:after="0"/>
              <w:jc w:val="center"/>
              <w:rPr/>
            </w:pPr>
            <w:r>
              <w:rPr/>
              <w:t>TEL: (212) 735-3000</w:t>
            </w:r>
          </w:p>
          <w:p>
            <w:pPr>
              <w:pStyle w:val="TableContents"/>
              <w:bidi w:val="0"/>
              <w:spacing w:before="0" w:after="0"/>
              <w:jc w:val="center"/>
              <w:rPr/>
            </w:pPr>
            <w:r>
              <w:rPr/>
              <w:t>FAX: (212) 735-2000</w:t>
            </w:r>
          </w:p>
          <w:p>
            <w:pPr>
              <w:pStyle w:val="TableContents"/>
              <w:bidi w:val="0"/>
              <w:spacing w:before="0" w:after="0"/>
              <w:jc w:val="center"/>
              <w:rPr/>
            </w:pPr>
            <w:r>
              <w:rPr/>
              <w:t>www.skadden.com</w:t>
            </w:r>
          </w:p>
        </w:tc>
        <w:tc>
          <w:tcPr>
            <w:tcW w:w="2270" w:type="dxa"/>
            <w:tcBorders/>
            <w:vAlign w:val="center"/>
          </w:tcPr>
          <w:p>
            <w:pPr>
              <w:pStyle w:val="TableContents"/>
              <w:bidi w:val="0"/>
              <w:spacing w:before="0" w:after="0"/>
              <w:jc w:val="center"/>
              <w:rPr/>
            </w:pPr>
            <w:r>
              <w:rPr/>
              <w:t>FIRM/AFFILIATE</w:t>
            </w:r>
          </w:p>
          <w:p>
            <w:pPr>
              <w:pStyle w:val="TableContents"/>
              <w:bidi w:val="0"/>
              <w:spacing w:before="0" w:after="0"/>
              <w:jc w:val="center"/>
              <w:rPr/>
            </w:pPr>
            <w:r>
              <w:rPr/>
              <w:t>OFFICES</w:t>
            </w:r>
          </w:p>
          <w:p>
            <w:pPr>
              <w:pStyle w:val="HorizontalLine"/>
              <w:pBdr>
                <w:bottom w:val="single" w:sz="12" w:space="0" w:color="808080"/>
              </w:pBdr>
              <w:bidi w:val="0"/>
              <w:jc w:val="left"/>
              <w:rPr/>
            </w:pPr>
            <w:r>
              <w:rPr/>
            </w:r>
          </w:p>
          <w:p>
            <w:pPr>
              <w:pStyle w:val="TableContents"/>
              <w:bidi w:val="0"/>
              <w:spacing w:before="0" w:after="0"/>
              <w:jc w:val="center"/>
              <w:rPr/>
            </w:pPr>
            <w:r>
              <w:rPr/>
              <w:t>BOSTON</w:t>
            </w:r>
          </w:p>
          <w:p>
            <w:pPr>
              <w:pStyle w:val="TableContents"/>
              <w:bidi w:val="0"/>
              <w:spacing w:before="0" w:after="0"/>
              <w:jc w:val="center"/>
              <w:rPr/>
            </w:pPr>
            <w:r>
              <w:rPr/>
              <w:t>CHICAGO</w:t>
            </w:r>
          </w:p>
          <w:p>
            <w:pPr>
              <w:pStyle w:val="TableContents"/>
              <w:bidi w:val="0"/>
              <w:spacing w:before="0" w:after="0"/>
              <w:jc w:val="center"/>
              <w:rPr/>
            </w:pPr>
            <w:r>
              <w:rPr/>
              <w:t>HOUSTON</w:t>
            </w:r>
          </w:p>
          <w:p>
            <w:pPr>
              <w:pStyle w:val="TableContents"/>
              <w:bidi w:val="0"/>
              <w:spacing w:before="0" w:after="0"/>
              <w:jc w:val="center"/>
              <w:rPr/>
            </w:pPr>
            <w:r>
              <w:rPr/>
              <w:t>LOS ANGELES</w:t>
            </w:r>
          </w:p>
          <w:p>
            <w:pPr>
              <w:pStyle w:val="TableContents"/>
              <w:bidi w:val="0"/>
              <w:spacing w:before="0" w:after="0"/>
              <w:jc w:val="center"/>
              <w:rPr/>
            </w:pPr>
            <w:r>
              <w:rPr/>
              <w:t>PALO ALTO</w:t>
            </w:r>
          </w:p>
          <w:p>
            <w:pPr>
              <w:pStyle w:val="TableContents"/>
              <w:bidi w:val="0"/>
              <w:spacing w:before="0" w:after="0"/>
              <w:jc w:val="center"/>
              <w:rPr/>
            </w:pPr>
            <w:r>
              <w:rPr/>
              <w:t>WASHINGTON, D.C.</w:t>
            </w:r>
          </w:p>
          <w:p>
            <w:pPr>
              <w:pStyle w:val="TableContents"/>
              <w:bidi w:val="0"/>
              <w:spacing w:before="0" w:after="0"/>
              <w:jc w:val="center"/>
              <w:rPr/>
            </w:pPr>
            <w:r>
              <w:rPr/>
              <w:t>WILMINGTON</w:t>
            </w:r>
          </w:p>
          <w:p>
            <w:pPr>
              <w:pStyle w:val="HorizontalLine"/>
              <w:pBdr>
                <w:bottom w:val="single" w:sz="12" w:space="0" w:color="808080"/>
              </w:pBdr>
              <w:bidi w:val="0"/>
              <w:jc w:val="center"/>
              <w:rPr/>
            </w:pPr>
            <w:r>
              <w:rPr/>
            </w:r>
          </w:p>
          <w:p>
            <w:pPr>
              <w:pStyle w:val="TableContents"/>
              <w:bidi w:val="0"/>
              <w:spacing w:before="0" w:after="0"/>
              <w:jc w:val="center"/>
              <w:rPr/>
            </w:pPr>
            <w:r>
              <w:rPr/>
              <w:t>ABU DHABI</w:t>
            </w:r>
          </w:p>
          <w:p>
            <w:pPr>
              <w:pStyle w:val="TableContents"/>
              <w:bidi w:val="0"/>
              <w:spacing w:before="0" w:after="0"/>
              <w:jc w:val="center"/>
              <w:rPr/>
            </w:pPr>
            <w:r>
              <w:rPr/>
              <w:t>BEIJING</w:t>
            </w:r>
          </w:p>
          <w:p>
            <w:pPr>
              <w:pStyle w:val="TableContents"/>
              <w:bidi w:val="0"/>
              <w:spacing w:before="0" w:after="0"/>
              <w:jc w:val="center"/>
              <w:rPr/>
            </w:pPr>
            <w:r>
              <w:rPr/>
              <w:t>BRUSSELS</w:t>
            </w:r>
          </w:p>
          <w:p>
            <w:pPr>
              <w:pStyle w:val="TableContents"/>
              <w:bidi w:val="0"/>
              <w:spacing w:before="0" w:after="0"/>
              <w:jc w:val="center"/>
              <w:rPr/>
            </w:pPr>
            <w:r>
              <w:rPr/>
              <w:t>FRANKFURT</w:t>
            </w:r>
          </w:p>
          <w:p>
            <w:pPr>
              <w:pStyle w:val="TableContents"/>
              <w:bidi w:val="0"/>
              <w:spacing w:before="0" w:after="0"/>
              <w:jc w:val="center"/>
              <w:rPr/>
            </w:pPr>
            <w:r>
              <w:rPr/>
              <w:t>HONG KONG</w:t>
            </w:r>
          </w:p>
          <w:p>
            <w:pPr>
              <w:pStyle w:val="TableContents"/>
              <w:bidi w:val="0"/>
              <w:spacing w:before="0" w:after="0"/>
              <w:jc w:val="center"/>
              <w:rPr/>
            </w:pPr>
            <w:r>
              <w:rPr/>
              <w:t>LONDON</w:t>
            </w:r>
          </w:p>
          <w:p>
            <w:pPr>
              <w:pStyle w:val="TableContents"/>
              <w:bidi w:val="0"/>
              <w:spacing w:before="0" w:after="0"/>
              <w:jc w:val="center"/>
              <w:rPr/>
            </w:pPr>
            <w:r>
              <w:rPr/>
              <w:t>MUNICH</w:t>
            </w:r>
          </w:p>
          <w:p>
            <w:pPr>
              <w:pStyle w:val="TableContents"/>
              <w:bidi w:val="0"/>
              <w:spacing w:before="0" w:after="0"/>
              <w:jc w:val="center"/>
              <w:rPr/>
            </w:pPr>
            <w:r>
              <w:rPr/>
              <w:t>PARIS</w:t>
            </w:r>
          </w:p>
          <w:p>
            <w:pPr>
              <w:pStyle w:val="TableContents"/>
              <w:bidi w:val="0"/>
              <w:spacing w:before="0" w:after="0"/>
              <w:jc w:val="center"/>
              <w:rPr/>
            </w:pPr>
            <w:r>
              <w:rPr/>
              <w:t>SÃO PAULO</w:t>
            </w:r>
          </w:p>
          <w:p>
            <w:pPr>
              <w:pStyle w:val="TableContents"/>
              <w:bidi w:val="0"/>
              <w:spacing w:before="0" w:after="0"/>
              <w:jc w:val="center"/>
              <w:rPr/>
            </w:pPr>
            <w:r>
              <w:rPr/>
              <w:t>SEOUL</w:t>
            </w:r>
          </w:p>
          <w:p>
            <w:pPr>
              <w:pStyle w:val="TableContents"/>
              <w:bidi w:val="0"/>
              <w:spacing w:before="0" w:after="0"/>
              <w:jc w:val="center"/>
              <w:rPr/>
            </w:pPr>
            <w:r>
              <w:rPr/>
              <w:t>SINGAPORE</w:t>
            </w:r>
          </w:p>
          <w:p>
            <w:pPr>
              <w:pStyle w:val="TableContents"/>
              <w:bidi w:val="0"/>
              <w:spacing w:before="0" w:after="0"/>
              <w:jc w:val="center"/>
              <w:rPr/>
            </w:pPr>
            <w:r>
              <w:rPr/>
              <w:t>TOKYO</w:t>
            </w:r>
          </w:p>
          <w:p>
            <w:pPr>
              <w:pStyle w:val="TableContents"/>
              <w:bidi w:val="0"/>
              <w:spacing w:before="0" w:after="0"/>
              <w:jc w:val="center"/>
              <w:rPr/>
            </w:pPr>
            <w:r>
              <w:rPr/>
              <w:t>TORONTO</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April 24,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PENN Entertainment,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825 Berkshire Blvd., Suite 200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Wyomissing, Pennsylvania 19610</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1b268ee3ab054c0cbfb706387e5d0de3"/>
      <w:bookmarkStart w:id="41" w:name="z1b268ee3ab054c0cbfb706387e5d0de3"/>
      <w:bookmarkEnd w:id="41"/>
    </w:p>
    <w:tbl>
      <w:tblPr>
        <w:tblW w:w="2928" w:type="dxa"/>
        <w:jc w:val="left"/>
        <w:tblInd w:w="0" w:type="dxa"/>
        <w:tblLayout w:type="fixed"/>
        <w:tblCellMar>
          <w:top w:w="0" w:type="dxa"/>
          <w:left w:w="0" w:type="dxa"/>
          <w:bottom w:w="0" w:type="dxa"/>
          <w:right w:w="0" w:type="dxa"/>
        </w:tblCellMar>
      </w:tblPr>
      <w:tblGrid>
        <w:gridCol w:w="38"/>
        <w:gridCol w:w="350"/>
        <w:gridCol w:w="254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Re:</w:t>
            </w:r>
          </w:p>
        </w:tc>
        <w:tc>
          <w:tcPr>
            <w:tcW w:w="2540" w:type="dxa"/>
            <w:tcBorders/>
            <w:vAlign w:val="center"/>
          </w:tcPr>
          <w:p>
            <w:pPr>
              <w:pStyle w:val="TableContents"/>
              <w:bidi w:val="0"/>
              <w:spacing w:before="0" w:after="0"/>
              <w:jc w:val="left"/>
              <w:rPr/>
            </w:pPr>
            <w:r>
              <w:rPr/>
              <w:t>PENN Entertainment, Inc.</w:t>
            </w:r>
          </w:p>
        </w:tc>
      </w:tr>
    </w:tbl>
    <w:p>
      <w:pPr>
        <w:pStyle w:val="TextBody"/>
        <w:bidi w:val="0"/>
        <w:spacing w:before="0" w:after="0"/>
        <w:ind w:left="1980" w:right="0" w:hanging="0"/>
        <w:jc w:val="left"/>
        <w:rPr>
          <w:rFonts w:ascii="Times New Roman" w:hAnsi="Times New Roman"/>
          <w:color w:val="000000"/>
          <w:sz w:val="20"/>
          <w:u w:val="single"/>
        </w:rPr>
      </w:pPr>
      <w:r>
        <w:rPr>
          <w:rFonts w:ascii="Times New Roman" w:hAnsi="Times New Roman"/>
          <w:color w:val="000000"/>
          <w:sz w:val="20"/>
          <w:u w:val="single"/>
        </w:rPr>
        <w:t>Registration Statement on Form S-3</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We have acted as special United States counsel to PENN Entertainment, Inc., a Pennsylvania corporation (the “Company”), in connection with the registration statement on Form S-3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(i) shares of common stock, par value $0.01 per share, of the Company (“Common Stock”), (ii) shares of preferred stock, par value $0.01 per share, of the Company (“Preferred Stock”), which may be issued in one or more series, (iii) depositary receipts (the “Receipts”) representing fractional or multiple shares of Preferred Stock, which are called depositary shares (the “Depositary Shares”) and which may be issued pursuant to one or more depositary agreements (each, a “Deposit Agreement”) proposed to be entered into between the Company and one or more bank or trust companies to be named in the applicable Deposit Agreement (each, a “Bank Depositary”), (iv) debt securities of the Company (“Debt Securities”), which may be issued in one or more series under the indenture, dated as of May 14, 2020 (the “Indenture”), between the Company and Computershare Trust Company, N.A., as trustee, which is filed as an exhibit to the Registration Statement and (v) such indeterminate number of shares of Common Stock, Preferred Stock or Depositary Shares and indeterminate amount of Debt Securities as may be issued upon conversion, exchange or exercise, as applicable, of any Preferred Stock, Depositary Shares or Debt Securities, including such shares of Common Stock or Preferred Stock as may be issued pursuant to anti-dilution adjustments determined at the time of offering (collectively, “Indeterminate Securities”).  The Common Stock, Preferred Stock, Depositary Shares, Debt Securities and Indeterminate Securities offered pursuant to the Registration Statement are collectively referred to herein as the “Securities.”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PENN Entertainment, Inc.</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24, 2026</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Page 2</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This opinion letter is being furnished in accordance with the requirements of Item 601(b)(5) of Regulation S-K under the Securities Act.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In rendering the opinions stated herein, we have examined and relied upon the following:</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Registration Statement; and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an executed copy of the Indenture.</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We do not express any opinion with respect to the laws of any jurisdiction other than the laws of the State of New York (the “Opined-on Law”).  The Securities may be issued from time to time on a delayed or continuous basis, and this opinion is limited to the laws, including the rules and regulations, as in effect on the date hereof, which laws are subject to change with possible retroactive effect.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PENN Entertainment, Inc.</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24, 2026</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Page 3</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As used herein, “Transaction Documents” means the Deposit Agreements, the Indenture and any supplemental indentures or officer’s certificates establishing the terms of the Debt Securities pursuant thereto and any applicable underwriting or purchase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The opinions stated in paragraphs 1 and 2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articles of incorporation of the Company so as not to violate any applicable law, the articles of incorporation of the Company or the bylaws of the Company, or result in a default under or breach of any agreement or instrument binding upon the Company its properties, and so as to comply with any requirement or restriction imposed by any court or governmental body having jurisdiction over the Company or its properties.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Based upon the foregoing and subject to the qualifications and assumptions stated herein, we are of the opinion that: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2" w:name="z_Hlk146823119"/>
      <w:bookmarkEnd w:id="42"/>
      <w:r>
        <w:rPr>
          <w:rFonts w:ascii="Times New Roman" w:hAnsi="Times New Roman"/>
          <w:color w:val="000000"/>
          <w:sz w:val="20"/>
        </w:rPr>
        <w:t>1.          With respect to any Depositary Shares offered by the Company, including any Indeterminate Securities constituting Depositary Shares (the “Offered Depositary Shares”), when (a) the general conditions shall have been satisfied, (b) the Preferred Stock relating to such Offered Depositary Shares has been duly authorized for issuance by the Company; (c) the Offered Depositary Shares have been duly executed, delivered, countersigned, issued and sold in accordance with the provisions of the applicable Deposit Agreement, and the Offered Depositary Shares have been delivered to the Bank Depositary for deposit in accordance with the applicable Deposit Agreement; and (d) the Receipts evidencing the Depositary Shares have been duly issued against deposit of the related shares of Preferred Stock with the Bank Depositary in accordance with the applicable Deposit Agreement, the Offered Depositary Shares evidenced by such Receipts will entitle the registered holder thereof to the rights specified in such Receipt and in the Deposit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PENN Entertainment, Inc.</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24, 2026</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Page 4</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2.          With respect to any series of Debt Securities offered by the Company, including any Indeterminate Securities constituting Debt Securities of such series (the “Offered Debt Securities”), when (a) the general conditions shall have been satisfied, (b) the issuance, sale and terms of the Offered Debt Securities and related matters have been approved and established in conformity with the applicable Transaction Documents and (c)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respective terms under the laws of the State of New York.</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The opinions stated herein are subject to the following assumptions and qualifications: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3" w:name="z_Toc287877020"/>
      <w:bookmarkEnd w:id="43"/>
      <w:r>
        <w:rPr>
          <w:rFonts w:ascii="Times New Roman" w:hAnsi="Times New Roman"/>
          <w:color w:val="000000"/>
          <w:sz w:val="20"/>
        </w:rPr>
        <w:t>(a)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4" w:name="z_Toc287877022"/>
      <w:bookmarkEnd w:id="44"/>
      <w:r>
        <w:rPr>
          <w:rFonts w:ascii="Times New Roman" w:hAnsi="Times New Roman"/>
          <w:color w:val="000000"/>
          <w:sz w:val="20"/>
        </w:rPr>
        <w:t>(b)        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bookmarkStart w:id="45" w:name="z_Toc287877024"/>
      <w:bookmarkEnd w:id="45"/>
      <w:r>
        <w:rPr>
          <w:rFonts w:ascii="Times New Roman" w:hAnsi="Times New Roman"/>
          <w:color w:val="000000"/>
          <w:sz w:val="20"/>
        </w:rPr>
        <w:t>(c)        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waiver or alter, or has the effect of waiving or altering, any statute of limitations;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(e)        we do not express any opinion with respect to the enforceability of any provision of any Transaction Document to the extent that such section purports to bind the Company to the exclusive jurisdiction of any particular federal court or courts;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PENN Entertainment, Inc.</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24, 2026</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Page 5</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(g)        the opinions stated herein are limited to the agreements and documents specifically identified in the opinions contained herein (the “Specified Documents”) without regard to any agreement or other document referenced in any Specified Document (including agreements or other documents incorporated by reference or attached or annexed thereto) and without regard to any other agreement or document relating to any Specified Document </w:t>
      </w:r>
      <w:bookmarkStart w:id="46" w:name="z_Hlk152087723"/>
      <w:bookmarkEnd w:id="46"/>
      <w:r>
        <w:rPr>
          <w:rFonts w:ascii="Times New Roman" w:hAnsi="Times New Roman"/>
          <w:color w:val="000000"/>
          <w:sz w:val="20"/>
        </w:rPr>
        <w:t>that is not a Transaction Document;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(h)        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t>
      </w:r>
      <w:bookmarkStart w:id="47" w:name="z_Hlk147737922"/>
      <w:bookmarkEnd w:id="47"/>
      <w:r>
        <w:rPr>
          <w:rFonts w:ascii="Times New Roman" w:hAnsi="Times New Roman"/>
          <w:color w:val="000000"/>
          <w:sz w:val="20"/>
        </w:rPr>
        <w:t>i)         the shares of Preferred Stock that will be deposited with the Bank Depositary in connection with the issuance of the Offered Depositary Shares will have been duly authorized, validly issued and will be fully paid and nonassessable and that any preemptive rights with respect to such Preferred Stock will have been validly waived or exercised, (ii) such Preferred Stock will be free and clear of any pledge, lien, security interest, charge, claim, equity or encumbrance of any kind or any restriction on transfer or voting, and (iii) certificates for the Preferred Stock will have been duly executed and delivered and will have been properly deposited with the Bank Depositary pursuant to the terms of the Deposit Agreement;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our opinion addresses only the Offered Depositary Shares and the Receipts issued pursuant to the Deposit Agreement and we express no opinion with respect to the Preferred Stock deposited with the Bank Depositary;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(k)        we have assumed that any Deposit Agreement will be duly authorized, executed and delivered by the Bank Depositary in substantially the form reviewed by us and subsequent to the effectiveness of any Deposit Agreement and immediately prior to the issuance of any related series Offered Depositary Shares, such Deposit Agreement has not been amended, restated, supplemented or otherwise modified in any way that affects or relates to such series of Offered Depositary Shares;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(l)         subsequent to the effectiveness of the Indenture and immediately prior to the issuance of any series Offered Debt Securities, the Indenture has not been amended, restated, supplemented or otherwise modified in any way that affects or relates to such series of Offered Debt Securities other than by the applicable Transaction Documents relating to such series of Offered Debt Securities;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(m)       this opinion letter shall be interpreted in accordance with customary practice of United States lawyers who regularly give opinions in transactions of this type;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PENN Entertainment, Inc.</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24, 2026</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Page 6</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(n)        we have assumed that the laws of the State of New York will be chosen to govern any Transaction Documents entered into subsequent to the date hereof and that such choice is and will be a valid and legal provision;</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(o)        we do not express any opinion as to the creation, validity, perfection or priority of any security interest; and</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(p)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In addition, in rendering the foregoing opinions we have also assumed that:</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the Company has the corporate power and authority to execute, deliver and perform all its obligations under each of the Transaction Documents;</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(c)        neither the execution and delivery by the Company of the Transaction Documents nor the performance by the Company of its obligations thereunder, including the issuance and sale of the applicable Securities: (i) conflicts or will conflict with the articles of incorporation or bylaws, as applicable, of the Company, (ii) constitutes or will constitute a violation of, or a default under, any lease, indenture, agreement or other instrument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(d)        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PENN Entertainment, Inc.</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24, 2026</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Page 7</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915ecfdad20542739a4f99d18d402fe3"/>
      <w:bookmarkStart w:id="49" w:name="z915ecfdad20542739a4f99d18d402fe3"/>
      <w:bookmarkEnd w:id="49"/>
    </w:p>
    <w:tbl>
      <w:tblPr>
        <w:tblW w:w="4595" w:type="dxa"/>
        <w:jc w:val="left"/>
        <w:tblInd w:w="0" w:type="dxa"/>
        <w:tblLayout w:type="fixed"/>
        <w:tblCellMar>
          <w:top w:w="0" w:type="dxa"/>
          <w:left w:w="0" w:type="dxa"/>
          <w:bottom w:w="0" w:type="dxa"/>
          <w:right w:w="0" w:type="dxa"/>
        </w:tblCellMar>
      </w:tblPr>
      <w:tblGrid>
        <w:gridCol w:w="60"/>
        <w:gridCol w:w="4535"/>
      </w:tblGrid>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pPr>
            <w:r>
              <w:rPr/>
              <w:t>/s/ Skadden, Arps, Slate, Meagher &amp; Flom LLP</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0" w:name="ny20070818x1_ex5-2.htm"/>
      <w:bookmarkStart w:id="51" w:name="ksny20070818x1_ex52"/>
      <w:bookmarkStart w:id="52" w:name="ny20070818x1_ex5-2.htm"/>
      <w:bookmarkStart w:id="53" w:name="ksny20070818x1_ex52"/>
      <w:bookmarkEnd w:id="52"/>
      <w:bookmarkEnd w:id="5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d163215d095f473e941343d52e4ed331"/>
      <w:bookmarkStart w:id="55" w:name="zd163215d095f473e941343d52e4ed331"/>
      <w:bookmarkEnd w:id="55"/>
    </w:p>
    <w:tbl>
      <w:tblPr>
        <w:tblW w:w="2790" w:type="dxa"/>
        <w:jc w:val="left"/>
        <w:tblInd w:w="0" w:type="dxa"/>
        <w:tblLayout w:type="fixed"/>
        <w:tblCellMar>
          <w:top w:w="0" w:type="dxa"/>
          <w:left w:w="0" w:type="dxa"/>
          <w:bottom w:w="0" w:type="dxa"/>
          <w:right w:w="0" w:type="dxa"/>
        </w:tblCellMar>
      </w:tblPr>
      <w:tblGrid>
        <w:gridCol w:w="2790"/>
      </w:tblGrid>
      <w:tr>
        <w:trPr/>
        <w:tc>
          <w:tcPr>
            <w:tcW w:w="2790" w:type="dxa"/>
            <w:tcBorders/>
            <w:vAlign w:val="center"/>
          </w:tcPr>
          <w:p>
            <w:pPr>
              <w:pStyle w:val="TableContents"/>
              <w:bidi w:val="0"/>
              <w:spacing w:before="0" w:after="0"/>
              <w:jc w:val="left"/>
              <w:rPr/>
            </w:pPr>
            <w:r>
              <w:rPr/>
              <w:drawing>
                <wp:inline distT="0" distB="0" distL="0" distR="0">
                  <wp:extent cx="177165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771650" cy="285750"/>
                          </a:xfrm>
                          <a:prstGeom prst="rect">
                            <a:avLst/>
                          </a:prstGeom>
                        </pic:spPr>
                      </pic:pic>
                    </a:graphicData>
                  </a:graphic>
                </wp:inline>
              </w:drawing>
            </w:r>
          </w:p>
        </w:tc>
      </w:tr>
    </w:tbl>
    <w:p>
      <w:pPr>
        <w:pStyle w:val="TextBody"/>
        <w:bidi w:val="0"/>
        <w:spacing w:before="0" w:after="0"/>
        <w:jc w:val="left"/>
        <w:rPr/>
      </w:pPr>
      <w:r>
        <w:rPr/>
      </w:r>
    </w:p>
    <w:tbl>
      <w:tblPr>
        <w:tblW w:w="2400" w:type="dxa"/>
        <w:jc w:val="left"/>
        <w:tblInd w:w="0" w:type="dxa"/>
        <w:tblLayout w:type="fixed"/>
        <w:tblCellMar>
          <w:top w:w="28" w:type="dxa"/>
          <w:left w:w="0" w:type="dxa"/>
          <w:bottom w:w="0" w:type="dxa"/>
          <w:right w:w="0" w:type="dxa"/>
        </w:tblCellMar>
      </w:tblPr>
      <w:tblGrid>
        <w:gridCol w:w="2340"/>
        <w:gridCol w:w="60"/>
      </w:tblGrid>
      <w:tr>
        <w:trPr/>
        <w:tc>
          <w:tcPr>
            <w:tcW w:w="2340" w:type="dxa"/>
            <w:tcBorders>
              <w:top w:val="single" w:sz="12" w:space="0" w:color="000000"/>
            </w:tcBorders>
            <w:vAlign w:val="center"/>
          </w:tcPr>
          <w:p>
            <w:pPr>
              <w:pStyle w:val="TableContents"/>
              <w:bidi w:val="0"/>
              <w:spacing w:before="0" w:after="0"/>
              <w:jc w:val="left"/>
              <w:rPr/>
            </w:pPr>
            <w:r>
              <w:rPr/>
              <w:drawing>
                <wp:inline distT="0" distB="0" distL="0" distR="0">
                  <wp:extent cx="148590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485900" cy="809625"/>
                          </a:xfrm>
                          <a:prstGeom prst="rect">
                            <a:avLst/>
                          </a:prstGeom>
                        </pic:spPr>
                      </pic:pic>
                    </a:graphicData>
                  </a:graphic>
                </wp:inline>
              </w:drawing>
            </w:r>
          </w:p>
        </w:tc>
        <w:tc>
          <w:tcPr>
            <w:tcW w:w="60"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April 24,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PENN Entertainment,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825 Berkshire Blvd., Suite 200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Wyomissing, Pennsylvania 19610</w:t>
      </w:r>
    </w:p>
    <w:p>
      <w:pPr>
        <w:pStyle w:val="TextBody"/>
        <w:bidi w:val="0"/>
        <w:spacing w:before="0" w:after="0"/>
        <w:jc w:val="left"/>
        <w:rPr/>
      </w:pPr>
      <w:r>
        <w:rPr/>
      </w:r>
    </w:p>
    <w:p>
      <w:pPr>
        <w:pStyle w:val="TextBody"/>
        <w:bidi w:val="0"/>
        <w:spacing w:before="0" w:after="0"/>
        <w:ind w:left="810" w:right="0" w:hanging="360"/>
        <w:jc w:val="left"/>
        <w:rPr>
          <w:rFonts w:ascii="Times New Roman" w:hAnsi="Times New Roman"/>
          <w:color w:val="000000"/>
          <w:sz w:val="20"/>
        </w:rPr>
      </w:pPr>
      <w:r>
        <w:rPr>
          <w:rFonts w:ascii="Times New Roman" w:hAnsi="Times New Roman"/>
          <w:color w:val="000000"/>
          <w:sz w:val="20"/>
        </w:rPr>
        <w:t xml:space="preserve">Re: </w:t>
      </w:r>
      <w:r>
        <w:rPr>
          <w:rFonts w:ascii="Times New Roman" w:hAnsi="Times New Roman"/>
          <w:color w:val="000000"/>
          <w:sz w:val="20"/>
          <w:u w:val="single"/>
        </w:rPr>
        <w:t>Registration Statement on Form S-3 for PENN Entertainment, Inc.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acted as counsel to PENN Entertainment, Inc., a Pennsylvania corporation (the “Company”), in connection with the filing of a Registration Statement on Form S-3 (the “Registration Statement”), relating to the registration under the Securities Act of 1933, as amended (the “Securities Act”), that is automatically effective under the Securities Act pursuant to Rule 462(e) promulgated thereunder of an indeterminate amount of the Company’s common stock, par value $.01 per share (“Common Stock”), preferred stock, par value $.01 per share (“Preferred Stock”), depositary shares (the “Depositary Shares”), and debt securities (the “Debt Securities,” and together with the Common Stock, the Preferred Stock, and the Depositary Shares, the “Securities”).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rendering this opinion, we have examined originals or copies, certified or otherwise identified to our satisfaction, of (i) the Registration Statement and all exhibits thereto, (ii) the Second Amended and Restated Articles of Incorporation, as amended, of the Company, and (iii) the Sixth Amended and Restated Bylaws of the Company (the “Bylaws”). We have also examined such corporate records and other agreements, documents and instruments, and such certificates or comparable documents of public officials and officers and representatives of the Company, and have made such inquiries of such officers and representatives and have considered such matters of law as we have deemed appropriate as the basis for the opinions hereinafter set forth, including the Bylaws, certain resolutions adopted by the Board of Directors of the Company relating to the registration of the Securities and statements from certain officers of the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delivering this opinion, we have assumed the genuineness of all signatures, the legal capacity of natural persons, the authenticity of all documents submitted to us as originals, the conformity to originals of all documents submitted to us as certified, photostatic or conformed copies, the authenticity of originals of all such latter documents, and the accuracy and completeness of all records, information and statements submitted to us by officers and representatives of the Company. In making our examination of documents executed by parties other than the Company, we have assumed that such parties had the power, corporate or other, to enter into and perform all obligations thereunder and have also assumed the due authorization of all requisite action, corporate or other, and execution and delivery by such parties of such documents and the validity and binding effect thereof with respect to such parties.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PENN Entertainment, Inc.</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24, 2026</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Page 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also assumed that (a) the Registration Statement and any amendments or supplements thereto (including all necessary post-effective amendments) will have become effective under the Securities Act and comply with all applicable laws and no stop order suspending the Registration Statement’s effectiveness will have been issued and remain in effect, in each case, at the time the Securities are offered or issued as contemplated by the Registration Statement, (b) a prospectus supplement will have been prepared and filed with the Securities and Exchange Commission describing the Securities offered thereby and will at all relevant times comply with all applicable laws, (c) a definitive purchase, underwriting, indenture, or similar agreement and any other necessary agreement with respect to any Securities (including, with respect to the Depositary Shares and Debt Securities, a term sheet) will have been duly authorized and validly executed and delivered by the Company and the other party or parties thereto and filed in compliance with the Securities Act, and that such agreement will be enforceable against the parties thereto in accordance with its terms, (d) all Securities will be issued and sold in compliance with applicable federal and state securities laws and in the manner stated in the Registration Statement and the applicable prospectus supplement, (e) the Securities, will be duly authorized, executed and delivered against payment of the agreed-upon consideration therefor, (f) any Securities issuable upon conversion, exercise, or exchange of any Securities being offered or issued will be duly authorized, created, and, if appropriate, reserved for issuance upon such conversion, exercise, or exchange, and (g) the Depositary Shares and Debt Securities when issued and sold in accordance with the applicable purchase, underwriting, indenture, or similar agreement and any other necessary agreement with respect to such Depositary Shares and Debt Securities to be entered into in connection with the issuance of such Depositary Shares and Debt Securities, will be valid and binding obligations of the Company, enforceable against the Company in accordance with their respective terms.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upon and subject to the limitations, qualifications, exceptions and assumptions set forth herein, we are of the opinion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8bf73fa2498b4426802eb53b542d8da3"/>
      <w:bookmarkStart w:id="57" w:name="z8bf73fa2498b4426802eb53b542d8da3"/>
      <w:bookmarkEnd w:id="57"/>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pPr>
            <w:r>
              <w:rPr/>
            </w:r>
          </w:p>
        </w:tc>
        <w:tc>
          <w:tcPr>
            <w:tcW w:w="199"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pPr>
            <w:r>
              <w:rPr/>
              <w:t>The Company is a corporation presently subsisting under the laws of the Commonwealth of Pennsylvania.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61e435bd5f794c74aebd2267dc878f5a"/>
      <w:bookmarkStart w:id="59" w:name="z61e435bd5f794c74aebd2267dc878f5a"/>
      <w:bookmarkEnd w:id="59"/>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pPr>
            <w:r>
              <w:rPr/>
            </w:r>
          </w:p>
        </w:tc>
        <w:tc>
          <w:tcPr>
            <w:tcW w:w="148"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0"/>
              <w:jc w:val="left"/>
              <w:rPr/>
            </w:pPr>
            <w:r>
              <w:rPr/>
              <w:t>When the shares of Common Stock have been duly and properly issued, delivered, and paid for in the manner contemplated in any prospectus supplement relating thereto, the shares of Common Stock (including any Common Stock duly issued upon the exchange or conversion of Preferred Stock or Debt Securities that is exchangeable for or convertible into Common Stock and receipt by the Company of any additional consideration payable upon such conversion, exchange or exercise in accordance with the terms of such Preferred Stock or Debt Securities, as applicable), will be legally issued, fully paid and non-assessable.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eb3b4fe95ae2467a892db9c30fe21329"/>
      <w:bookmarkStart w:id="61" w:name="zeb3b4fe95ae2467a892db9c30fe21329"/>
      <w:bookmarkEnd w:id="61"/>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pPr>
            <w:r>
              <w:rPr/>
            </w:r>
          </w:p>
        </w:tc>
        <w:tc>
          <w:tcPr>
            <w:tcW w:w="146" w:type="dxa"/>
            <w:tcBorders/>
            <w:vAlign w:val="center"/>
          </w:tcPr>
          <w:p>
            <w:pPr>
              <w:pStyle w:val="TableContents"/>
              <w:bidi w:val="0"/>
              <w:spacing w:before="0" w:after="283"/>
              <w:jc w:val="left"/>
              <w:rPr/>
            </w:pPr>
            <w:r>
              <w:rPr/>
              <w:t>3.</w:t>
            </w:r>
          </w:p>
        </w:tc>
        <w:tc>
          <w:tcPr>
            <w:tcW w:w="10021" w:type="dxa"/>
            <w:tcBorders/>
            <w:vAlign w:val="center"/>
          </w:tcPr>
          <w:p>
            <w:pPr>
              <w:pStyle w:val="TableContents"/>
              <w:bidi w:val="0"/>
              <w:spacing w:before="0" w:after="0"/>
              <w:jc w:val="left"/>
              <w:rPr/>
            </w:pPr>
            <w:r>
              <w:rPr/>
              <w:t>When (i) a Statement with Respect to Shares of the Company classifying the Preferred Stock and setting forth the terms thereof has been duly and properly authorized, executed and filed with the Secretary of the Commonwealth of Pennsylvania, Department of State and (ii) the shares of Preferred Stock have been duly and properly issued and paid for in the manner contemplated in any prospectus supplement relating thereto, the shares of the Preferred Stock (including any Preferred Stock duly issued upon the exchange or conversion of Debt Securities that is exchangeable for or convertible into Preferred Stock and receipt by the Company of any additional consideration payable upon such conversion, exchange or exercise in accordance with the terms of such Debt Securities) will be legally issued, fully paid and non-assessable.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e9d60a06a95648798125e0c5feee1033"/>
      <w:bookmarkStart w:id="63" w:name="ze9d60a06a95648798125e0c5feee1033"/>
      <w:bookmarkEnd w:id="63"/>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pPr>
            <w:r>
              <w:rPr/>
            </w:r>
          </w:p>
        </w:tc>
        <w:tc>
          <w:tcPr>
            <w:tcW w:w="148" w:type="dxa"/>
            <w:tcBorders/>
            <w:vAlign w:val="center"/>
          </w:tcPr>
          <w:p>
            <w:pPr>
              <w:pStyle w:val="TableContents"/>
              <w:bidi w:val="0"/>
              <w:spacing w:before="0" w:after="283"/>
              <w:jc w:val="left"/>
              <w:rPr/>
            </w:pPr>
            <w:r>
              <w:rPr/>
              <w:t>4.</w:t>
            </w:r>
          </w:p>
        </w:tc>
        <w:tc>
          <w:tcPr>
            <w:tcW w:w="10019" w:type="dxa"/>
            <w:tcBorders/>
            <w:vAlign w:val="center"/>
          </w:tcPr>
          <w:p>
            <w:pPr>
              <w:pStyle w:val="TableContents"/>
              <w:bidi w:val="0"/>
              <w:spacing w:before="0" w:after="0"/>
              <w:jc w:val="left"/>
              <w:rPr/>
            </w:pPr>
            <w:r>
              <w:rPr/>
              <w:t>When (i) a Statement with Respect to Shares of the Company classifying the Depositary Shares to be offered by the Company pursuant to the Registration Statement (the “Offered Depositary Shares”) and setting forth the terms thereof has been duly and properly authorized, executed, and filed with the Secretary of the Commonwealth of Pennsylvania, Department of State and (ii) the Offered Depositary Shares have been duly and properly issued and paid for in the manner contemplated in any prospectus supplement relating thereto, the shares of Offered Depositary Shares will be legally issued, fully paid, and non-assessable.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83715b5a729440f0a061e55f74c1b8eb"/>
      <w:bookmarkStart w:id="65" w:name="z83715b5a729440f0a061e55f74c1b8eb"/>
      <w:bookmarkEnd w:id="65"/>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pPr>
            <w:r>
              <w:rPr/>
              <w:t>5.</w:t>
            </w:r>
          </w:p>
        </w:tc>
        <w:tc>
          <w:tcPr>
            <w:tcW w:w="10023" w:type="dxa"/>
            <w:tcBorders/>
            <w:vAlign w:val="center"/>
          </w:tcPr>
          <w:p>
            <w:pPr>
              <w:pStyle w:val="TableContents"/>
              <w:bidi w:val="0"/>
              <w:spacing w:before="0" w:after="0"/>
              <w:jc w:val="left"/>
              <w:rPr/>
            </w:pPr>
            <w:r>
              <w:rPr/>
              <w:t>When (i) a series of Debt Securities have been duly and properly executed and authenticated in accordance with the applicable indenture or similar agreement setting forth the terms thereof, (ii) the board of directors of the Company establishes and duly authorizes the aggregate principal amount and any limits thereon of such series of Debt Securities, (iii) the board of directors of the Company duly authorizes the form, terms, execution, and delivery of such indenture or similar agreement relating to such Debt Securities and the issuance of such Debt Securities at a minimum price or value of consideration established by the board of directors, and (iv) the board of directors of the Company reserves and duly authorizes the issuance of any shares of Common Stock or Preferred Stock issuable upon conversion of, or exchange for, the Debt Securities in accordance with the procedures set forth in paragraphs 2 and 3 above, respectively, or of any other series of Debt Securities issuable upon conversion of, or exchange for, the Debt Securities issued in accordance with the procedures set forth in this paragraph 5, all necessary corporate action on the part of the Company will have been taken to authorize such Debt Securities.</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PENN Entertainment, Inc.</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April 24, 2026</w:t>
      </w:r>
    </w:p>
    <w:p>
      <w:pPr>
        <w:pStyle w:val="TextBody"/>
        <w:bidi w:val="0"/>
        <w:spacing w:before="200" w:after="20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Page 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express no opinion as to the law of any jurisdictions other than the federal securities laws and the laws of the Commonwealth of Pennsylvania.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opinion is limited to the matters expressly stated herein. No implied opinion may be inferred to extend this opinion beyond the matters expressly stated herein. We do not undertake to advise you or anyone else of any changes in the opinions expressed herein resulting from changes in law, changes in facts or any other matters that hereafter might occur or be brought to our attention.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hereby consent to the sole use of this opinion as an exhibit to the Registration Statement and to the use of our name under the heading “Legal Matters” in the prospectus included therein. In giving this consent, we do not admit that we are within the category of persons whose consent is required by Section 7 of the Securities Act and the rules and regulations promulgated thereunder.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Ballard Spahr LLP</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6" w:name="ny20070818x1_ex23-3.htm"/>
      <w:bookmarkStart w:id="67" w:name="ksny20070818x1_ex233"/>
      <w:bookmarkStart w:id="68" w:name="ny20070818x1_ex23-3.htm"/>
      <w:bookmarkStart w:id="69" w:name="ksny20070818x1_ex233"/>
      <w:bookmarkEnd w:id="68"/>
      <w:bookmarkEnd w:id="6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23.3</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We hereby consent to the incorporation by reference in this Registration Statement on Form S-3 of PENN Entertainment, Inc. of our report dated February 26, 2026 relating to the financial statements and the effectiveness of internal control over financial reporting, which appears in PENN Entertainment's Annual Report on Form 10-K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Las Vegas, NV</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April 24, 2026</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70" w:name="ny20070818x1_ex23-4.htm"/>
      <w:bookmarkStart w:id="71" w:name="ksny20070818x1_ex234"/>
      <w:bookmarkStart w:id="72" w:name="ny20070818x1_ex23-4.htm"/>
      <w:bookmarkStart w:id="73" w:name="ksny20070818x1_ex234"/>
      <w:bookmarkEnd w:id="72"/>
      <w:bookmarkEnd w:id="7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23.4</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this Registration Statement on Form S-3 of our report dated February 22, 2024 (February 27, 2025 as to Note 17) relating to the financial statements of PENN Entertainment, Inc., appearing in the Annual Report on Form 10-K of PENN Entertainment, Inc.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Deloitte &amp; Touche LLP</w:t>
      </w:r>
    </w:p>
    <w:p>
      <w:pPr>
        <w:pStyle w:val="TextBody"/>
        <w:bidi w:val="0"/>
        <w:spacing w:before="0" w:after="0"/>
        <w:jc w:val="left"/>
        <w:rPr/>
      </w:pPr>
      <w:r>
        <w:rPr/>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Philadelphia, Pennsylvania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April 24,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bidi w:val="0"/>
        <w:jc w:val="left"/>
        <w:rPr/>
      </w:pPr>
      <w:r>
        <w:rPr/>
      </w:r>
      <w:bookmarkStart w:id="74" w:name="ny20070818x1_ex25-1.htm"/>
      <w:bookmarkStart w:id="75" w:name="ksny20070818x1_ex251"/>
      <w:bookmarkStart w:id="76" w:name="ny20070818x1_ex25-1.htm"/>
      <w:bookmarkStart w:id="77" w:name="ksny20070818x1_ex251"/>
      <w:bookmarkEnd w:id="76"/>
      <w:bookmarkEnd w:id="7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25.1</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ind w:left="108" w:right="0" w:hanging="0"/>
        <w:jc w:val="center"/>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T-1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STATEMENT OF ELIGIBILITY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TRUST INDENTURE ACT OF 1939 OF 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CORPORATION DESIGNATED TO ACT AS TRUSTEE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CHECK IF AN APPLICATION TO DETERMINE ELIGIBILITY OF 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TRUSTEE PURSUANT TO SECTION 305(b)(2)  [___]</w:t>
      </w:r>
    </w:p>
    <w:p>
      <w:pPr>
        <w:pStyle w:val="TextBody"/>
        <w:bidi w:val="0"/>
        <w:spacing w:before="0" w:after="0"/>
        <w:ind w:left="108" w:right="0" w:hanging="0"/>
        <w:jc w:val="center"/>
        <w:rPr/>
      </w:pPr>
      <w:r>
        <w:rPr/>
      </w:r>
    </w:p>
    <w:p>
      <w:pPr>
        <w:pStyle w:val="HorizontalLine"/>
        <w:pBdr>
          <w:bottom w:val="single" w:sz="12" w:space="0" w:color="808080"/>
        </w:pBdr>
        <w:bidi w:val="0"/>
        <w:jc w:val="left"/>
        <w:rPr/>
      </w:pPr>
      <w:r>
        <w:rPr/>
      </w:r>
    </w:p>
    <w:p>
      <w:pPr>
        <w:pStyle w:val="TextBody"/>
        <w:bidi w:val="0"/>
        <w:spacing w:before="0" w:after="0"/>
        <w:ind w:left="108" w:right="0" w:hanging="0"/>
        <w:jc w:val="center"/>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COMPUTERSHARE TRUST COMPANY, NATIONAL ASSOCIATION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trustee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cdef119000434c5b92efbe252df38ad2"/>
      <w:bookmarkStart w:id="79" w:name="zcdef119000434c5b92efbe252df38ad2"/>
      <w:bookmarkEnd w:id="79"/>
    </w:p>
    <w:tbl>
      <w:tblPr>
        <w:tblW w:w="10205" w:type="dxa"/>
        <w:jc w:val="left"/>
        <w:tblInd w:w="0" w:type="dxa"/>
        <w:tblLayout w:type="fixed"/>
        <w:tblCellMar>
          <w:top w:w="0" w:type="dxa"/>
          <w:left w:w="0" w:type="dxa"/>
          <w:bottom w:w="0" w:type="dxa"/>
          <w:right w:w="0" w:type="dxa"/>
        </w:tblCellMar>
      </w:tblPr>
      <w:tblGrid>
        <w:gridCol w:w="6467"/>
        <w:gridCol w:w="60"/>
        <w:gridCol w:w="3678"/>
      </w:tblGrid>
      <w:tr>
        <w:trPr/>
        <w:tc>
          <w:tcPr>
            <w:tcW w:w="6467" w:type="dxa"/>
            <w:tcBorders/>
            <w:vAlign w:val="center"/>
          </w:tcPr>
          <w:p>
            <w:pPr>
              <w:pStyle w:val="TableContents"/>
              <w:bidi w:val="0"/>
              <w:spacing w:before="0" w:after="0"/>
              <w:jc w:val="center"/>
              <w:rPr>
                <w:b/>
              </w:rPr>
            </w:pPr>
            <w:r>
              <w:rPr>
                <w:b/>
              </w:rPr>
              <w:t>National Banking Association</w:t>
            </w:r>
          </w:p>
          <w:p>
            <w:pPr>
              <w:pStyle w:val="TableContents"/>
              <w:bidi w:val="0"/>
              <w:spacing w:before="0" w:after="0"/>
              <w:jc w:val="center"/>
              <w:rPr/>
            </w:pPr>
            <w:r>
              <w:rPr/>
              <w:t>(Jurisdiction of incorporation or organization if not a U.S. national bank)</w:t>
            </w:r>
          </w:p>
        </w:tc>
        <w:tc>
          <w:tcPr>
            <w:tcW w:w="60" w:type="dxa"/>
            <w:tcBorders/>
            <w:vAlign w:val="center"/>
          </w:tcPr>
          <w:p>
            <w:pPr>
              <w:pStyle w:val="TableContents"/>
              <w:bidi w:val="0"/>
              <w:spacing w:before="0" w:after="283"/>
              <w:jc w:val="left"/>
              <w:rPr/>
            </w:pPr>
            <w:r>
              <w:rPr/>
            </w:r>
          </w:p>
        </w:tc>
        <w:tc>
          <w:tcPr>
            <w:tcW w:w="3678" w:type="dxa"/>
            <w:tcBorders/>
            <w:vAlign w:val="center"/>
          </w:tcPr>
          <w:p>
            <w:pPr>
              <w:pStyle w:val="TableContents"/>
              <w:bidi w:val="0"/>
              <w:spacing w:before="0" w:after="0"/>
              <w:jc w:val="center"/>
              <w:rPr>
                <w:b/>
              </w:rPr>
            </w:pPr>
            <w:r>
              <w:rPr>
                <w:b/>
              </w:rPr>
              <w:t>04-3401714</w:t>
            </w:r>
          </w:p>
          <w:p>
            <w:pPr>
              <w:pStyle w:val="TableContents"/>
              <w:bidi w:val="0"/>
              <w:spacing w:before="0" w:after="0"/>
              <w:jc w:val="center"/>
              <w:rPr/>
            </w:pPr>
            <w:r>
              <w:rPr/>
              <w:t>(I.R.S. Employer Identification Number)</w:t>
            </w:r>
          </w:p>
        </w:tc>
      </w:tr>
      <w:tr>
        <w:trPr/>
        <w:tc>
          <w:tcPr>
            <w:tcW w:w="6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8" w:type="dxa"/>
            <w:tcBorders/>
            <w:vAlign w:val="center"/>
          </w:tcPr>
          <w:p>
            <w:pPr>
              <w:pStyle w:val="TableContents"/>
              <w:bidi w:val="0"/>
              <w:spacing w:before="0" w:after="283"/>
              <w:jc w:val="left"/>
              <w:rPr/>
            </w:pPr>
            <w:r>
              <w:rPr/>
              <w:t> </w:t>
            </w:r>
          </w:p>
        </w:tc>
      </w:tr>
      <w:tr>
        <w:trPr/>
        <w:tc>
          <w:tcPr>
            <w:tcW w:w="6467" w:type="dxa"/>
            <w:tcBorders/>
            <w:vAlign w:val="center"/>
          </w:tcPr>
          <w:p>
            <w:pPr>
              <w:pStyle w:val="TableContents"/>
              <w:bidi w:val="0"/>
              <w:spacing w:before="0" w:after="0"/>
              <w:jc w:val="center"/>
              <w:rPr>
                <w:b/>
              </w:rPr>
            </w:pPr>
            <w:r>
              <w:rPr>
                <w:b/>
              </w:rPr>
              <w:t>150 Royall Street, Canton, MA</w:t>
            </w:r>
          </w:p>
          <w:p>
            <w:pPr>
              <w:pStyle w:val="TableContents"/>
              <w:bidi w:val="0"/>
              <w:spacing w:before="0" w:after="0"/>
              <w:jc w:val="center"/>
              <w:rPr/>
            </w:pPr>
            <w:r>
              <w:rPr/>
              <w:t>(Address of principal executive offices)</w:t>
            </w:r>
          </w:p>
        </w:tc>
        <w:tc>
          <w:tcPr>
            <w:tcW w:w="60" w:type="dxa"/>
            <w:tcBorders/>
            <w:vAlign w:val="center"/>
          </w:tcPr>
          <w:p>
            <w:pPr>
              <w:pStyle w:val="TableContents"/>
              <w:bidi w:val="0"/>
              <w:spacing w:before="0" w:after="283"/>
              <w:jc w:val="left"/>
              <w:rPr/>
            </w:pPr>
            <w:r>
              <w:rPr/>
            </w:r>
          </w:p>
        </w:tc>
        <w:tc>
          <w:tcPr>
            <w:tcW w:w="3678" w:type="dxa"/>
            <w:tcBorders/>
            <w:vAlign w:val="center"/>
          </w:tcPr>
          <w:p>
            <w:pPr>
              <w:pStyle w:val="TableContents"/>
              <w:bidi w:val="0"/>
              <w:spacing w:before="0" w:after="0"/>
              <w:jc w:val="center"/>
              <w:rPr>
                <w:b/>
              </w:rPr>
            </w:pPr>
            <w:r>
              <w:rPr>
                <w:b/>
              </w:rPr>
              <w:t>02021</w:t>
            </w:r>
          </w:p>
          <w:p>
            <w:pPr>
              <w:pStyle w:val="TableContents"/>
              <w:bidi w:val="0"/>
              <w:spacing w:before="0" w:after="0"/>
              <w:jc w:val="center"/>
              <w:rPr/>
            </w:pPr>
            <w:r>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Law Department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Computershare Trust Company, National Association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150 Royall Street, Canton, MA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02021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(781) 575-2000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agent for service)</w:t>
      </w:r>
    </w:p>
    <w:p>
      <w:pPr>
        <w:pStyle w:val="TextBody"/>
        <w:bidi w:val="0"/>
        <w:spacing w:before="0" w:after="0"/>
        <w:ind w:left="108" w:right="0" w:hanging="0"/>
        <w:jc w:val="center"/>
        <w:rPr>
          <w:b/>
          <w:color w:val="000000"/>
        </w:rPr>
      </w:pPr>
      <w:r>
        <w:rPr>
          <w:b/>
          <w:color w:val="000000"/>
        </w:rPr>
      </w:r>
    </w:p>
    <w:p>
      <w:pPr>
        <w:pStyle w:val="HorizontalLine"/>
        <w:pBdr>
          <w:bottom w:val="single" w:sz="12" w:space="0" w:color="808080"/>
        </w:pBdr>
        <w:bidi w:val="0"/>
        <w:ind w:left="108" w:right="0" w:hanging="0"/>
        <w:jc w:val="center"/>
        <w:rPr/>
      </w:pPr>
      <w:r>
        <w:rPr/>
      </w:r>
    </w:p>
    <w:p>
      <w:pPr>
        <w:pStyle w:val="TextBody"/>
        <w:bidi w:val="0"/>
        <w:spacing w:before="0" w:after="0"/>
        <w:ind w:left="108" w:right="0" w:hanging="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PENN ENTERTAINMENT,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obligor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85b4a22b350f466fa8bc21c6aec4400e"/>
      <w:bookmarkStart w:id="81" w:name="z85b4a22b350f466fa8bc21c6aec4400e"/>
      <w:bookmarkEnd w:id="81"/>
    </w:p>
    <w:tbl>
      <w:tblPr>
        <w:tblW w:w="9550" w:type="dxa"/>
        <w:jc w:val="left"/>
        <w:tblInd w:w="0" w:type="dxa"/>
        <w:tblLayout w:type="fixed"/>
        <w:tblCellMar>
          <w:top w:w="0" w:type="dxa"/>
          <w:left w:w="0" w:type="dxa"/>
          <w:bottom w:w="0" w:type="dxa"/>
          <w:right w:w="0" w:type="dxa"/>
        </w:tblCellMar>
      </w:tblPr>
      <w:tblGrid>
        <w:gridCol w:w="5615"/>
        <w:gridCol w:w="60"/>
        <w:gridCol w:w="3875"/>
      </w:tblGrid>
      <w:tr>
        <w:trPr/>
        <w:tc>
          <w:tcPr>
            <w:tcW w:w="5615" w:type="dxa"/>
            <w:tcBorders/>
            <w:vAlign w:val="center"/>
          </w:tcPr>
          <w:p>
            <w:pPr>
              <w:pStyle w:val="TableContents"/>
              <w:bidi w:val="0"/>
              <w:spacing w:before="0" w:after="0"/>
              <w:jc w:val="center"/>
              <w:rPr>
                <w:b/>
              </w:rPr>
            </w:pPr>
            <w:r>
              <w:rPr>
                <w:b/>
              </w:rPr>
              <w:t>Pennsylvania</w:t>
            </w:r>
          </w:p>
          <w:p>
            <w:pPr>
              <w:pStyle w:val="TableContents"/>
              <w:bidi w:val="0"/>
              <w:spacing w:before="0" w:after="0"/>
              <w:jc w:val="center"/>
              <w:rPr/>
            </w:pPr>
            <w:r>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center"/>
              <w:rPr>
                <w:b/>
              </w:rPr>
            </w:pPr>
            <w:r>
              <w:rPr>
                <w:b/>
              </w:rPr>
              <w:t>23-2234473</w:t>
            </w:r>
          </w:p>
          <w:p>
            <w:pPr>
              <w:pStyle w:val="TableContents"/>
              <w:bidi w:val="0"/>
              <w:spacing w:before="0" w:after="0"/>
              <w:jc w:val="center"/>
              <w:rPr/>
            </w:pPr>
            <w:r>
              <w:rPr/>
              <w:t>(I.R.S. Employer Identification Number)</w:t>
            </w:r>
          </w:p>
        </w:tc>
      </w:tr>
      <w:tr>
        <w:trPr/>
        <w:tc>
          <w:tcPr>
            <w:tcW w:w="561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0"/>
              <w:jc w:val="center"/>
              <w:rPr>
                <w:b/>
              </w:rPr>
            </w:pPr>
            <w:r>
              <w:rPr>
                <w:b/>
              </w:rPr>
              <w:t>825 Berkshire Blvd., Suite 200</w:t>
            </w:r>
          </w:p>
          <w:p>
            <w:pPr>
              <w:pStyle w:val="TableContents"/>
              <w:bidi w:val="0"/>
              <w:spacing w:before="0" w:after="0"/>
              <w:jc w:val="center"/>
              <w:rPr>
                <w:b/>
              </w:rPr>
            </w:pPr>
            <w:r>
              <w:rPr>
                <w:b/>
              </w:rPr>
              <w:t>Wyomissing, Pennsylvania</w:t>
            </w:r>
          </w:p>
          <w:p>
            <w:pPr>
              <w:pStyle w:val="TableContents"/>
              <w:bidi w:val="0"/>
              <w:spacing w:before="0" w:after="0"/>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center"/>
              <w:rPr>
                <w:b/>
              </w:rPr>
            </w:pPr>
            <w:r>
              <w:rPr>
                <w:b/>
              </w:rPr>
              <w:t>19610</w:t>
            </w:r>
          </w:p>
          <w:p>
            <w:pPr>
              <w:pStyle w:val="TableContents"/>
              <w:bidi w:val="0"/>
              <w:spacing w:before="0" w:after="0"/>
              <w:jc w:val="center"/>
              <w:rPr/>
            </w:pPr>
            <w:r>
              <w:rPr/>
              <w:t>(Zip Code)</w:t>
            </w:r>
          </w:p>
        </w:tc>
      </w:tr>
    </w:tbl>
    <w:p>
      <w:pPr>
        <w:pStyle w:val="HorizontalLine"/>
        <w:pBdr>
          <w:bottom w:val="single" w:sz="12" w:space="0" w:color="808080"/>
        </w:pBdr>
        <w:bidi w:val="0"/>
        <w:jc w:val="left"/>
        <w:rPr/>
      </w:pPr>
      <w:r>
        <w:rPr/>
      </w:r>
    </w:p>
    <w:p>
      <w:pPr>
        <w:pStyle w:val="TextBody"/>
        <w:bidi w:val="0"/>
        <w:spacing w:before="0" w:after="0"/>
        <w:ind w:left="108" w:right="0" w:hanging="0"/>
        <w:jc w:val="center"/>
        <w:rPr>
          <w:b/>
        </w:rPr>
      </w:pPr>
      <w:r>
        <w:rPr>
          <w:b/>
        </w:rPr>
      </w:r>
    </w:p>
    <w:p>
      <w:pPr>
        <w:pStyle w:val="TextBody"/>
        <w:bidi w:val="0"/>
        <w:spacing w:before="0" w:after="0"/>
        <w:ind w:left="108" w:right="0" w:hanging="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spacing w:before="0" w:after="0"/>
        <w:ind w:left="108" w:right="0" w:hanging="0"/>
        <w:jc w:val="center"/>
        <w:rPr>
          <w:rFonts w:ascii="Times New Roman" w:hAnsi="Times New Roman"/>
          <w:color w:val="000000"/>
          <w:sz w:val="20"/>
        </w:rPr>
      </w:pPr>
      <w:r>
        <w:rPr>
          <w:rFonts w:ascii="Times New Roman" w:hAnsi="Times New Roman"/>
          <w:color w:val="000000"/>
          <w:sz w:val="20"/>
        </w:rPr>
        <w:t>(Title of the indenture securities)</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2" w:name="z965718c978764ff39f289b822c936433"/>
      <w:bookmarkStart w:id="83" w:name="z965718c978764ff39f289b822c936433"/>
      <w:bookmarkEnd w:id="83"/>
    </w:p>
    <w:tbl>
      <w:tblPr>
        <w:tblW w:w="6805" w:type="dxa"/>
        <w:jc w:val="left"/>
        <w:tblInd w:w="0" w:type="dxa"/>
        <w:tblLayout w:type="fixed"/>
        <w:tblCellMar>
          <w:top w:w="0" w:type="dxa"/>
          <w:left w:w="0" w:type="dxa"/>
          <w:bottom w:w="0" w:type="dxa"/>
          <w:right w:w="0" w:type="dxa"/>
        </w:tblCellMar>
      </w:tblPr>
      <w:tblGrid>
        <w:gridCol w:w="740"/>
        <w:gridCol w:w="6065"/>
      </w:tblGrid>
      <w:tr>
        <w:trPr/>
        <w:tc>
          <w:tcPr>
            <w:tcW w:w="740" w:type="dxa"/>
            <w:tcBorders/>
            <w:vAlign w:val="center"/>
          </w:tcPr>
          <w:p>
            <w:pPr>
              <w:pStyle w:val="TableContents"/>
              <w:bidi w:val="0"/>
              <w:spacing w:before="0" w:after="283"/>
              <w:jc w:val="left"/>
              <w:rPr>
                <w:b/>
              </w:rPr>
            </w:pPr>
            <w:r>
              <w:rPr>
                <w:b/>
              </w:rPr>
              <w:t>Item 1.</w:t>
            </w:r>
          </w:p>
        </w:tc>
        <w:tc>
          <w:tcPr>
            <w:tcW w:w="6065" w:type="dxa"/>
            <w:tcBorders/>
            <w:vAlign w:val="center"/>
          </w:tcPr>
          <w:p>
            <w:pPr>
              <w:pStyle w:val="TableContents"/>
              <w:bidi w:val="0"/>
              <w:spacing w:before="0" w:after="0"/>
              <w:jc w:val="left"/>
              <w:rPr>
                <w:sz w:val="24"/>
              </w:rPr>
            </w:pPr>
            <w:r>
              <w:rPr>
                <w:b/>
                <w:sz w:val="20"/>
              </w:rPr>
              <w:t xml:space="preserve">General Information.  </w:t>
            </w:r>
            <w:r>
              <w:rPr>
                <w:sz w:val="20"/>
              </w:rPr>
              <w:t>Furnish the following information as to the trustee: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f4306a8f01884c638d3bcf2fe2a01771"/>
      <w:bookmarkStart w:id="85" w:name="zf4306a8f01884c638d3bcf2fe2a01771"/>
      <w:bookmarkEnd w:id="85"/>
    </w:p>
    <w:tbl>
      <w:tblPr>
        <w:tblW w:w="8238" w:type="dxa"/>
        <w:jc w:val="left"/>
        <w:tblInd w:w="0" w:type="dxa"/>
        <w:tblLayout w:type="fixed"/>
        <w:tblCellMar>
          <w:top w:w="0" w:type="dxa"/>
          <w:left w:w="0" w:type="dxa"/>
          <w:bottom w:w="0" w:type="dxa"/>
          <w:right w:w="0" w:type="dxa"/>
        </w:tblCellMar>
      </w:tblPr>
      <w:tblGrid>
        <w:gridCol w:w="38"/>
        <w:gridCol w:w="275"/>
        <w:gridCol w:w="792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7925" w:type="dxa"/>
            <w:tcBorders/>
            <w:vAlign w:val="center"/>
          </w:tcPr>
          <w:p>
            <w:pPr>
              <w:pStyle w:val="TableContents"/>
              <w:bidi w:val="0"/>
              <w:spacing w:before="0" w:after="0"/>
              <w:jc w:val="left"/>
              <w:rPr/>
            </w:pPr>
            <w:r>
              <w:rPr/>
              <w:t>Name and address of each examining or supervising authority to which it is subject.</w:t>
            </w:r>
          </w:p>
        </w:tc>
      </w:tr>
    </w:tbl>
    <w:p>
      <w:pPr>
        <w:pStyle w:val="TextBody"/>
        <w:bidi w:val="0"/>
        <w:spacing w:before="0" w:after="0"/>
        <w:jc w:val="left"/>
        <w:rPr/>
      </w:pPr>
      <w:r>
        <w:rPr/>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Comptroller of the Currency</w:t>
      </w:r>
    </w:p>
    <w:p>
      <w:pPr>
        <w:pStyle w:val="TextBody"/>
        <w:bidi w:val="0"/>
        <w:spacing w:lineRule="auto" w:line="240" w:before="0" w:after="0"/>
        <w:ind w:left="1440" w:right="0" w:firstLine="720"/>
        <w:jc w:val="left"/>
        <w:rPr>
          <w:rFonts w:ascii="Times New Roman" w:hAnsi="Times New Roman"/>
          <w:color w:val="000000"/>
          <w:sz w:val="20"/>
        </w:rPr>
      </w:pPr>
      <w:r>
        <w:rPr>
          <w:rFonts w:ascii="Times New Roman" w:hAnsi="Times New Roman"/>
          <w:color w:val="000000"/>
          <w:sz w:val="20"/>
        </w:rPr>
        <w:t>340 Madison Avenue, 4th Floor</w:t>
      </w:r>
    </w:p>
    <w:p>
      <w:pPr>
        <w:pStyle w:val="TextBody"/>
        <w:bidi w:val="0"/>
        <w:spacing w:before="0" w:after="0"/>
        <w:ind w:left="1440" w:right="0" w:firstLine="720"/>
        <w:jc w:val="left"/>
        <w:rPr>
          <w:rFonts w:ascii="Times New Roman" w:hAnsi="Times New Roman"/>
          <w:color w:val="000000"/>
          <w:sz w:val="20"/>
        </w:rPr>
      </w:pPr>
      <w:r>
        <w:rPr>
          <w:rFonts w:ascii="Times New Roman" w:hAnsi="Times New Roman"/>
          <w:color w:val="000000"/>
          <w:sz w:val="20"/>
        </w:rPr>
        <w:t>New York, NY  10017-2613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48a4f411866b4531a34e134dac007694"/>
      <w:bookmarkStart w:id="87" w:name="z48a4f411866b4531a34e134dac007694"/>
      <w:bookmarkEnd w:id="87"/>
    </w:p>
    <w:tbl>
      <w:tblPr>
        <w:tblW w:w="5898" w:type="dxa"/>
        <w:jc w:val="left"/>
        <w:tblInd w:w="0" w:type="dxa"/>
        <w:tblLayout w:type="fixed"/>
        <w:tblCellMar>
          <w:top w:w="0" w:type="dxa"/>
          <w:left w:w="0" w:type="dxa"/>
          <w:bottom w:w="0" w:type="dxa"/>
          <w:right w:w="0" w:type="dxa"/>
        </w:tblCellMar>
      </w:tblPr>
      <w:tblGrid>
        <w:gridCol w:w="38"/>
        <w:gridCol w:w="290"/>
        <w:gridCol w:w="557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5570" w:type="dxa"/>
            <w:tcBorders/>
            <w:vAlign w:val="center"/>
          </w:tcPr>
          <w:p>
            <w:pPr>
              <w:pStyle w:val="TableContents"/>
              <w:bidi w:val="0"/>
              <w:spacing w:before="0" w:after="0"/>
              <w:jc w:val="left"/>
              <w:rPr/>
            </w:pPr>
            <w:r>
              <w:rPr/>
              <w:t>Whether it is authorized to exercise corporate trust powers.</w:t>
            </w:r>
          </w:p>
        </w:tc>
      </w:tr>
    </w:tbl>
    <w:p>
      <w:pPr>
        <w:pStyle w:val="TextBody"/>
        <w:bidi w:val="0"/>
        <w:spacing w:before="0" w:after="0"/>
        <w:jc w:val="left"/>
        <w:rPr/>
      </w:pPr>
      <w:r>
        <w:rPr/>
      </w:r>
    </w:p>
    <w:p>
      <w:pPr>
        <w:pStyle w:val="TextBody"/>
        <w:bidi w:val="0"/>
        <w:spacing w:before="0" w:after="0"/>
        <w:ind w:left="1464" w:right="0" w:firstLine="720"/>
        <w:jc w:val="left"/>
        <w:rPr>
          <w:rFonts w:ascii="Times New Roman" w:hAnsi="Times New Roman"/>
          <w:color w:val="000000"/>
          <w:sz w:val="20"/>
        </w:rPr>
      </w:pPr>
      <w:r>
        <w:rPr>
          <w:rFonts w:ascii="Times New Roman" w:hAnsi="Times New Roman"/>
          <w:color w:val="000000"/>
          <w:sz w:val="20"/>
        </w:rPr>
        <w:t>The trustee is authorized to exercise corporate trust powers.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29f66204c8ac453887fdfd2317526302"/>
      <w:bookmarkStart w:id="89" w:name="z29f66204c8ac453887fdfd2317526302"/>
      <w:bookmarkEnd w:id="89"/>
    </w:p>
    <w:tbl>
      <w:tblPr>
        <w:tblW w:w="8575" w:type="dxa"/>
        <w:jc w:val="left"/>
        <w:tblInd w:w="0" w:type="dxa"/>
        <w:tblLayout w:type="fixed"/>
        <w:tblCellMar>
          <w:top w:w="0" w:type="dxa"/>
          <w:left w:w="0" w:type="dxa"/>
          <w:bottom w:w="0" w:type="dxa"/>
          <w:right w:w="0" w:type="dxa"/>
        </w:tblCellMar>
      </w:tblPr>
      <w:tblGrid>
        <w:gridCol w:w="740"/>
        <w:gridCol w:w="7835"/>
      </w:tblGrid>
      <w:tr>
        <w:trPr/>
        <w:tc>
          <w:tcPr>
            <w:tcW w:w="740" w:type="dxa"/>
            <w:tcBorders/>
            <w:vAlign w:val="center"/>
          </w:tcPr>
          <w:p>
            <w:pPr>
              <w:pStyle w:val="TableContents"/>
              <w:bidi w:val="0"/>
              <w:spacing w:before="0" w:after="283"/>
              <w:jc w:val="left"/>
              <w:rPr>
                <w:b/>
              </w:rPr>
            </w:pPr>
            <w:r>
              <w:rPr>
                <w:b/>
              </w:rPr>
              <w:t>Item 2.</w:t>
            </w:r>
          </w:p>
        </w:tc>
        <w:tc>
          <w:tcPr>
            <w:tcW w:w="7835" w:type="dxa"/>
            <w:tcBorders/>
            <w:vAlign w:val="center"/>
          </w:tcPr>
          <w:p>
            <w:pPr>
              <w:pStyle w:val="TableContents"/>
              <w:bidi w:val="0"/>
              <w:spacing w:before="0" w:after="0"/>
              <w:jc w:val="left"/>
              <w:rPr>
                <w:sz w:val="24"/>
              </w:rPr>
            </w:pPr>
            <w:r>
              <w:rPr>
                <w:b/>
                <w:sz w:val="20"/>
              </w:rPr>
              <w:t xml:space="preserve">Affiliations with the obligor.  </w:t>
            </w:r>
            <w:r>
              <w:rPr>
                <w:sz w:val="20"/>
              </w:rPr>
              <w:t>If the obligor is an affiliate of the trustee, describe such affiliation.</w:t>
            </w:r>
          </w:p>
        </w:tc>
      </w:tr>
    </w:tbl>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068193df6eb04b1e92fc51181f8e39af"/>
      <w:bookmarkStart w:id="91" w:name="z068193df6eb04b1e92fc51181f8e39af"/>
      <w:bookmarkEnd w:id="91"/>
    </w:p>
    <w:tbl>
      <w:tblPr>
        <w:tblW w:w="10205" w:type="dxa"/>
        <w:jc w:val="left"/>
        <w:tblInd w:w="0" w:type="dxa"/>
        <w:tblLayout w:type="fixed"/>
        <w:tblCellMar>
          <w:top w:w="0" w:type="dxa"/>
          <w:left w:w="0" w:type="dxa"/>
          <w:bottom w:w="0" w:type="dxa"/>
          <w:right w:w="0" w:type="dxa"/>
        </w:tblCellMar>
      </w:tblPr>
      <w:tblGrid>
        <w:gridCol w:w="771"/>
        <w:gridCol w:w="9434"/>
      </w:tblGrid>
      <w:tr>
        <w:trPr/>
        <w:tc>
          <w:tcPr>
            <w:tcW w:w="771" w:type="dxa"/>
            <w:tcBorders/>
            <w:vAlign w:val="center"/>
          </w:tcPr>
          <w:p>
            <w:pPr>
              <w:pStyle w:val="TableContents"/>
              <w:bidi w:val="0"/>
              <w:spacing w:before="0" w:after="283"/>
              <w:jc w:val="left"/>
              <w:rPr/>
            </w:pPr>
            <w:r>
              <w:rPr>
                <w:b/>
              </w:rPr>
              <w:t>Items 3-15</w:t>
            </w:r>
            <w:r>
              <w:rPr/>
              <w:t>.</w:t>
            </w:r>
          </w:p>
        </w:tc>
        <w:tc>
          <w:tcPr>
            <w:tcW w:w="9434" w:type="dxa"/>
            <w:tcBorders/>
            <w:vAlign w:val="center"/>
          </w:tcPr>
          <w:p>
            <w:pPr>
              <w:pStyle w:val="TableContents"/>
              <w:bidi w:val="0"/>
              <w:spacing w:before="0" w:after="0"/>
              <w:jc w:val="left"/>
              <w:rPr/>
            </w:pPr>
            <w:r>
              <w:rPr/>
              <w:t>No responses are included for Items 3-15 of this Form T-1 because, to the best of the Trustee’s knowledge, neither the obligor nor any guarantor is in default under any Indenture for which the Trustee acts as Trustee and the Trustee is not a foreign trustee as provided under Item 15.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79b6d784f7c2498d976058d0be0f0fa0"/>
      <w:bookmarkStart w:id="93" w:name="z79b6d784f7c2498d976058d0be0f0fa0"/>
      <w:bookmarkEnd w:id="93"/>
    </w:p>
    <w:tbl>
      <w:tblPr>
        <w:tblW w:w="7720" w:type="dxa"/>
        <w:jc w:val="left"/>
        <w:tblInd w:w="0" w:type="dxa"/>
        <w:tblLayout w:type="fixed"/>
        <w:tblCellMar>
          <w:top w:w="0" w:type="dxa"/>
          <w:left w:w="0" w:type="dxa"/>
          <w:bottom w:w="0" w:type="dxa"/>
          <w:right w:w="0" w:type="dxa"/>
        </w:tblCellMar>
      </w:tblPr>
      <w:tblGrid>
        <w:gridCol w:w="860"/>
        <w:gridCol w:w="6860"/>
      </w:tblGrid>
      <w:tr>
        <w:trPr/>
        <w:tc>
          <w:tcPr>
            <w:tcW w:w="860" w:type="dxa"/>
            <w:tcBorders/>
            <w:vAlign w:val="center"/>
          </w:tcPr>
          <w:p>
            <w:pPr>
              <w:pStyle w:val="TableContents"/>
              <w:bidi w:val="0"/>
              <w:spacing w:before="0" w:after="283"/>
              <w:jc w:val="left"/>
              <w:rPr>
                <w:b/>
              </w:rPr>
            </w:pPr>
            <w:r>
              <w:rPr>
                <w:b/>
              </w:rPr>
              <w:t>Item 16.</w:t>
            </w:r>
          </w:p>
        </w:tc>
        <w:tc>
          <w:tcPr>
            <w:tcW w:w="6860" w:type="dxa"/>
            <w:tcBorders/>
            <w:vAlign w:val="center"/>
          </w:tcPr>
          <w:p>
            <w:pPr>
              <w:pStyle w:val="TableContents"/>
              <w:bidi w:val="0"/>
              <w:spacing w:before="0" w:after="0"/>
              <w:jc w:val="left"/>
              <w:rPr>
                <w:sz w:val="24"/>
              </w:rPr>
            </w:pPr>
            <w:r>
              <w:rPr>
                <w:b/>
                <w:sz w:val="20"/>
              </w:rPr>
              <w:t xml:space="preserve">List of exhibits.  </w:t>
            </w:r>
            <w:r>
              <w:rPr>
                <w:sz w:val="20"/>
              </w:rPr>
              <w:t>List below all exhibits filed as a part of this statement of eligibility.</w:t>
            </w:r>
          </w:p>
        </w:tc>
      </w:tr>
    </w:tbl>
    <w:p>
      <w:pPr>
        <w:pStyle w:val="TextBody"/>
        <w:bidi w:val="0"/>
        <w:spacing w:before="0" w:after="0"/>
        <w:jc w:val="left"/>
        <w:rPr/>
      </w:pPr>
      <w:r>
        <w:rPr/>
      </w:r>
    </w:p>
    <w:p>
      <w:pPr>
        <w:pStyle w:val="TextBody"/>
        <w:bidi w:val="0"/>
        <w:spacing w:before="0" w:after="0"/>
        <w:ind w:left="1464" w:right="0" w:hanging="0"/>
        <w:jc w:val="left"/>
        <w:rPr>
          <w:rFonts w:ascii="Times New Roman" w:hAnsi="Times New Roman"/>
          <w:color w:val="000000"/>
          <w:sz w:val="20"/>
        </w:rPr>
      </w:pPr>
      <w:r>
        <w:rPr>
          <w:rFonts w:ascii="Times New Roman" w:hAnsi="Times New Roman"/>
          <w:color w:val="000000"/>
          <w:sz w:val="20"/>
        </w:rPr>
        <w:t>1.           A copy of the articles of association of the trustee. (See Exhibit 1 to Form T-1 filed with Registration Statement No. 333-200089).</w:t>
      </w:r>
    </w:p>
    <w:p>
      <w:pPr>
        <w:pStyle w:val="TextBody"/>
        <w:bidi w:val="0"/>
        <w:spacing w:before="0" w:after="0"/>
        <w:jc w:val="left"/>
        <w:rPr/>
      </w:pPr>
      <w:r>
        <w:rPr/>
      </w:r>
    </w:p>
    <w:p>
      <w:pPr>
        <w:pStyle w:val="TextBody"/>
        <w:bidi w:val="0"/>
        <w:spacing w:before="0" w:after="0"/>
        <w:ind w:left="1464" w:right="0" w:hanging="0"/>
        <w:jc w:val="left"/>
        <w:rPr>
          <w:rFonts w:ascii="Times New Roman" w:hAnsi="Times New Roman"/>
          <w:color w:val="000000"/>
          <w:sz w:val="20"/>
        </w:rPr>
      </w:pPr>
      <w:r>
        <w:rPr>
          <w:rFonts w:ascii="Times New Roman" w:hAnsi="Times New Roman"/>
          <w:color w:val="000000"/>
          <w:sz w:val="20"/>
        </w:rPr>
        <w:t>2.           A copy of the certificate of authority of the trustee to commence business.</w:t>
      </w:r>
    </w:p>
    <w:p>
      <w:pPr>
        <w:pStyle w:val="TextBody"/>
        <w:bidi w:val="0"/>
        <w:spacing w:before="0" w:after="0"/>
        <w:jc w:val="left"/>
        <w:rPr/>
      </w:pPr>
      <w:r>
        <w:rPr/>
      </w:r>
    </w:p>
    <w:p>
      <w:pPr>
        <w:pStyle w:val="TextBody"/>
        <w:bidi w:val="0"/>
        <w:spacing w:before="0" w:after="0"/>
        <w:ind w:left="1464" w:right="0" w:hanging="0"/>
        <w:jc w:val="left"/>
        <w:rPr>
          <w:rFonts w:ascii="Times New Roman" w:hAnsi="Times New Roman"/>
          <w:color w:val="000000"/>
          <w:sz w:val="20"/>
        </w:rPr>
      </w:pPr>
      <w:r>
        <w:rPr>
          <w:rFonts w:ascii="Times New Roman" w:hAnsi="Times New Roman"/>
          <w:color w:val="000000"/>
          <w:sz w:val="20"/>
        </w:rPr>
        <w:t>3.           A copy of the Comptroller of the Currency Certification of Fiduciary Powers for Computershare Trust Company, National Association.</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4.           A copy of the existing bylaws of the trustee, as now in effect.  (See Exhibit 4 to Form T-1 filed with Registration Statement No. 333-200089).</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5.           Not applicable</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6.           The consent of the Trustee required by Section 321(b) of the Act.</w:t>
      </w:r>
    </w:p>
    <w:p>
      <w:pPr>
        <w:pStyle w:val="TextBody"/>
        <w:bidi w:val="0"/>
        <w:spacing w:before="0" w:after="0"/>
        <w:jc w:val="left"/>
        <w:rPr/>
      </w:pPr>
      <w:r>
        <w:rPr/>
      </w:r>
    </w:p>
    <w:p>
      <w:pPr>
        <w:pStyle w:val="TextBody"/>
        <w:bidi w:val="0"/>
        <w:spacing w:before="0" w:after="0"/>
        <w:ind w:left="1416" w:right="0" w:firstLine="24"/>
        <w:jc w:val="left"/>
        <w:rPr>
          <w:rFonts w:ascii="Times New Roman" w:hAnsi="Times New Roman"/>
          <w:color w:val="000000"/>
          <w:sz w:val="20"/>
        </w:rPr>
      </w:pPr>
      <w:r>
        <w:rPr>
          <w:rFonts w:ascii="Times New Roman" w:hAnsi="Times New Roman"/>
          <w:color w:val="000000"/>
          <w:sz w:val="20"/>
        </w:rPr>
        <w:t>7.           A copy of the latest report of condition of the trustee published pursuant to law or the requirements of its supervising or examining authority.</w:t>
      </w:r>
    </w:p>
    <w:p>
      <w:pPr>
        <w:pStyle w:val="TextBody"/>
        <w:bidi w:val="0"/>
        <w:spacing w:before="0" w:after="0"/>
        <w:jc w:val="left"/>
        <w:rPr/>
      </w:pPr>
      <w:r>
        <w:rPr/>
      </w:r>
    </w:p>
    <w:p>
      <w:pPr>
        <w:pStyle w:val="TextBody"/>
        <w:bidi w:val="0"/>
        <w:spacing w:before="0" w:after="0"/>
        <w:ind w:left="1416" w:right="0" w:firstLine="24"/>
        <w:jc w:val="left"/>
        <w:rPr>
          <w:rFonts w:ascii="Times New Roman" w:hAnsi="Times New Roman"/>
          <w:color w:val="000000"/>
          <w:sz w:val="20"/>
        </w:rPr>
      </w:pPr>
      <w:r>
        <w:rPr>
          <w:rFonts w:ascii="Times New Roman" w:hAnsi="Times New Roman"/>
          <w:color w:val="000000"/>
          <w:sz w:val="20"/>
        </w:rPr>
        <w:t>8.           Not applicable</w:t>
      </w:r>
    </w:p>
    <w:p>
      <w:pPr>
        <w:pStyle w:val="TextBody"/>
        <w:bidi w:val="0"/>
        <w:spacing w:before="0" w:after="0"/>
        <w:jc w:val="left"/>
        <w:rPr/>
      </w:pPr>
      <w:r>
        <w:rPr/>
      </w:r>
    </w:p>
    <w:p>
      <w:pPr>
        <w:pStyle w:val="TextBody"/>
        <w:bidi w:val="0"/>
        <w:spacing w:before="0" w:after="0"/>
        <w:ind w:left="1416" w:right="0" w:firstLine="24"/>
        <w:jc w:val="left"/>
        <w:rPr>
          <w:rFonts w:ascii="Times New Roman" w:hAnsi="Times New Roman"/>
          <w:color w:val="000000"/>
          <w:sz w:val="20"/>
        </w:rPr>
      </w:pPr>
      <w:r>
        <w:rPr>
          <w:rFonts w:ascii="Times New Roman" w:hAnsi="Times New Roman"/>
          <w:color w:val="000000"/>
          <w:sz w:val="20"/>
        </w:rPr>
        <w:t>9.           Not applicable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Pursuant to the requirements of the Trust Indenture Act of 1939, the trustee, Computershare Trust Company, National Association, a national banking association, organized and existing under the laws of the United States, has duly caused this statement of eligibility to be signed on its behalf by the undersigned, thereunto duly authorized, all in the City of St. Paul, and State of Minnesota, on the 24th day of April,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3fa2c8bcbcf64286bed7a8f4bcb5500e"/>
      <w:bookmarkStart w:id="95" w:name="z3fa2c8bcbcf64286bed7a8f4bcb5500e"/>
      <w:bookmarkEnd w:id="95"/>
    </w:p>
    <w:tbl>
      <w:tblPr>
        <w:tblW w:w="7759" w:type="dxa"/>
        <w:jc w:val="left"/>
        <w:tblInd w:w="0" w:type="dxa"/>
        <w:tblLayout w:type="fixed"/>
        <w:tblCellMar>
          <w:top w:w="0" w:type="dxa"/>
          <w:left w:w="0" w:type="dxa"/>
          <w:bottom w:w="0" w:type="dxa"/>
          <w:right w:w="0" w:type="dxa"/>
        </w:tblCellMar>
      </w:tblPr>
      <w:tblGrid>
        <w:gridCol w:w="60"/>
        <w:gridCol w:w="1151"/>
        <w:gridCol w:w="6548"/>
      </w:tblGrid>
      <w:tr>
        <w:trPr/>
        <w:tc>
          <w:tcPr>
            <w:tcW w:w="60" w:type="dxa"/>
            <w:tcBorders/>
            <w:vAlign w:val="center"/>
          </w:tcPr>
          <w:p>
            <w:pPr>
              <w:pStyle w:val="TableContents"/>
              <w:bidi w:val="0"/>
              <w:spacing w:before="0" w:after="283"/>
              <w:jc w:val="left"/>
              <w:rPr/>
            </w:pPr>
            <w:r>
              <w:rPr/>
              <w:t> </w:t>
            </w:r>
          </w:p>
        </w:tc>
        <w:tc>
          <w:tcPr>
            <w:tcW w:w="7699" w:type="dxa"/>
            <w:gridSpan w:val="2"/>
            <w:tcBorders/>
            <w:vAlign w:val="center"/>
          </w:tcPr>
          <w:p>
            <w:pPr>
              <w:pStyle w:val="TableContents"/>
              <w:bidi w:val="0"/>
              <w:spacing w:before="0" w:after="0"/>
              <w:jc w:val="left"/>
              <w:rPr>
                <w:b/>
              </w:rPr>
            </w:pPr>
            <w:r>
              <w:rPr>
                <w:b/>
              </w:rPr>
              <w:t>COMPUTERSHARE TRUST COMPANY, NATIONAL ASSOCIATION</w:t>
            </w:r>
          </w:p>
        </w:tc>
      </w:tr>
      <w:tr>
        <w:trPr/>
        <w:tc>
          <w:tcPr>
            <w:tcW w:w="6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654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0"/>
              <w:jc w:val="left"/>
              <w:rPr/>
            </w:pPr>
            <w:r>
              <w:rPr/>
              <w:t>By:</w:t>
            </w:r>
          </w:p>
        </w:tc>
        <w:tc>
          <w:tcPr>
            <w:tcW w:w="6548" w:type="dxa"/>
            <w:tcBorders>
              <w:bottom w:val="single" w:sz="12" w:space="0" w:color="000000"/>
            </w:tcBorders>
            <w:tcMar>
              <w:bottom w:w="28" w:type="dxa"/>
            </w:tcMar>
            <w:vAlign w:val="center"/>
          </w:tcPr>
          <w:p>
            <w:pPr>
              <w:pStyle w:val="TableContents"/>
              <w:bidi w:val="0"/>
              <w:spacing w:before="0" w:after="0"/>
              <w:jc w:val="left"/>
              <w:rPr/>
            </w:pPr>
            <w:r>
              <w:rPr/>
              <w:t>/s/ Jacob Sheets</w:t>
            </w:r>
          </w:p>
        </w:tc>
      </w:tr>
      <w:tr>
        <w:trPr/>
        <w:tc>
          <w:tcPr>
            <w:tcW w:w="6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6548" w:type="dxa"/>
            <w:tcBorders/>
            <w:vAlign w:val="center"/>
          </w:tcPr>
          <w:p>
            <w:pPr>
              <w:pStyle w:val="TableContents"/>
              <w:bidi w:val="0"/>
              <w:spacing w:before="0" w:after="0"/>
              <w:jc w:val="left"/>
              <w:rPr/>
            </w:pPr>
            <w:r>
              <w:rPr/>
              <w:t>Name: Jacob Sheets</w:t>
            </w:r>
          </w:p>
        </w:tc>
      </w:tr>
      <w:tr>
        <w:trPr/>
        <w:tc>
          <w:tcPr>
            <w:tcW w:w="60"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left"/>
              <w:rPr/>
            </w:pPr>
            <w:r>
              <w:rPr/>
              <w:t> </w:t>
            </w:r>
          </w:p>
        </w:tc>
        <w:tc>
          <w:tcPr>
            <w:tcW w:w="6548" w:type="dxa"/>
            <w:tcBorders/>
            <w:vAlign w:val="center"/>
          </w:tcPr>
          <w:p>
            <w:pPr>
              <w:pStyle w:val="TableContents"/>
              <w:bidi w:val="0"/>
              <w:spacing w:before="0" w:after="0"/>
              <w:jc w:val="left"/>
              <w:rPr/>
            </w:pPr>
            <w:r>
              <w:rPr/>
              <w:t>Title:   Vice President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EXHIBIT 2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copy of the Comptroller of the Currency Certificate of Corporate Existence for Computershare Trust Company, National Association, dated March 3, 2026.</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5419725" cy="6867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5419725" cy="6867525"/>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EXHIBIT 3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copy of the Comptroller of the Currency Certification of Fiduciary Powers for Computershare Trust Company, National Association, dated March 3, 2026.</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5762625" cy="6781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5762625" cy="6781800"/>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 xml:space="preserve">EXHIBIT 6 </w:t>
      </w:r>
    </w:p>
    <w:p>
      <w:pPr>
        <w:pStyle w:val="HorizontalLine"/>
        <w:pBdr>
          <w:bottom w:val="single" w:sz="12" w:space="0" w:color="808080"/>
        </w:pBdr>
        <w:bidi w:val="0"/>
        <w:jc w:val="both"/>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THE TRUSTEE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requirements of Section 321 (b) of the Trust Indenture Act of 1939, and in connection with the proposed issue of debt securities, Computershare Trust Company, National Association hereby consents that reports of examinations by Federal, State, Territorial or District authorities may be furnished by such authorities to the Securities and Exchange Commission upon request therefore.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826328f2552a4915891472c25c0805d1"/>
      <w:bookmarkStart w:id="97" w:name="z826328f2552a4915891472c25c0805d1"/>
      <w:bookmarkEnd w:id="97"/>
    </w:p>
    <w:tbl>
      <w:tblPr>
        <w:tblW w:w="7902" w:type="dxa"/>
        <w:jc w:val="left"/>
        <w:tblInd w:w="0" w:type="dxa"/>
        <w:tblLayout w:type="fixed"/>
        <w:tblCellMar>
          <w:top w:w="0" w:type="dxa"/>
          <w:left w:w="0" w:type="dxa"/>
          <w:bottom w:w="0" w:type="dxa"/>
          <w:right w:w="0" w:type="dxa"/>
        </w:tblCellMar>
      </w:tblPr>
      <w:tblGrid>
        <w:gridCol w:w="66"/>
        <w:gridCol w:w="1348"/>
        <w:gridCol w:w="6488"/>
      </w:tblGrid>
      <w:tr>
        <w:trPr/>
        <w:tc>
          <w:tcPr>
            <w:tcW w:w="66" w:type="dxa"/>
            <w:tcBorders/>
            <w:vAlign w:val="center"/>
          </w:tcPr>
          <w:p>
            <w:pPr>
              <w:pStyle w:val="TableContents"/>
              <w:bidi w:val="0"/>
              <w:spacing w:before="0" w:after="283"/>
              <w:jc w:val="left"/>
              <w:rPr/>
            </w:pPr>
            <w:r>
              <w:rPr/>
              <w:t> </w:t>
            </w:r>
          </w:p>
        </w:tc>
        <w:tc>
          <w:tcPr>
            <w:tcW w:w="7836" w:type="dxa"/>
            <w:gridSpan w:val="2"/>
            <w:tcBorders/>
            <w:vAlign w:val="center"/>
          </w:tcPr>
          <w:p>
            <w:pPr>
              <w:pStyle w:val="TableContents"/>
              <w:bidi w:val="0"/>
              <w:spacing w:before="0" w:after="0"/>
              <w:jc w:val="left"/>
              <w:rPr>
                <w:b/>
              </w:rPr>
            </w:pPr>
            <w:r>
              <w:rPr>
                <w:b/>
              </w:rPr>
              <w:t>COMPUTERSHARE TRUST COMPANY, NATIONAL ASSOCIATION</w:t>
            </w:r>
          </w:p>
        </w:tc>
      </w:tr>
      <w:tr>
        <w:trPr/>
        <w:tc>
          <w:tcPr>
            <w:tcW w:w="6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left"/>
              <w:rPr/>
            </w:pPr>
            <w:r>
              <w:rPr/>
              <w:t> </w:t>
            </w:r>
          </w:p>
        </w:tc>
        <w:tc>
          <w:tcPr>
            <w:tcW w:w="6488" w:type="dxa"/>
            <w:tcBorders/>
            <w:vAlign w:val="center"/>
          </w:tcPr>
          <w:p>
            <w:pPr>
              <w:pStyle w:val="TableContents"/>
              <w:bidi w:val="0"/>
              <w:spacing w:before="0" w:after="283"/>
              <w:jc w:val="left"/>
              <w:rPr/>
            </w:pPr>
            <w:r>
              <w:rPr/>
              <w:t> </w:t>
            </w:r>
          </w:p>
        </w:tc>
      </w:tr>
      <w:tr>
        <w:trPr/>
        <w:tc>
          <w:tcPr>
            <w:tcW w:w="6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0"/>
              <w:jc w:val="left"/>
              <w:rPr/>
            </w:pPr>
            <w:r>
              <w:rPr/>
              <w:t>By:</w:t>
            </w:r>
          </w:p>
        </w:tc>
        <w:tc>
          <w:tcPr>
            <w:tcW w:w="6488" w:type="dxa"/>
            <w:tcBorders>
              <w:bottom w:val="single" w:sz="12" w:space="0" w:color="000000"/>
            </w:tcBorders>
            <w:tcMar>
              <w:bottom w:w="28" w:type="dxa"/>
            </w:tcMar>
            <w:vAlign w:val="center"/>
          </w:tcPr>
          <w:p>
            <w:pPr>
              <w:pStyle w:val="TableContents"/>
              <w:bidi w:val="0"/>
              <w:spacing w:before="0" w:after="0"/>
              <w:jc w:val="left"/>
              <w:rPr/>
            </w:pPr>
            <w:r>
              <w:rPr/>
              <w:t>/s/ Jacob Sheets</w:t>
            </w:r>
          </w:p>
        </w:tc>
      </w:tr>
      <w:tr>
        <w:trPr/>
        <w:tc>
          <w:tcPr>
            <w:tcW w:w="6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left"/>
              <w:rPr/>
            </w:pPr>
            <w:r>
              <w:rPr/>
              <w:t> </w:t>
            </w:r>
          </w:p>
        </w:tc>
        <w:tc>
          <w:tcPr>
            <w:tcW w:w="6488" w:type="dxa"/>
            <w:tcBorders/>
            <w:vAlign w:val="center"/>
          </w:tcPr>
          <w:p>
            <w:pPr>
              <w:pStyle w:val="TableContents"/>
              <w:bidi w:val="0"/>
              <w:spacing w:before="0" w:after="0"/>
              <w:jc w:val="left"/>
              <w:rPr/>
            </w:pPr>
            <w:r>
              <w:rPr/>
              <w:t>Title: Vice President</w:t>
            </w:r>
          </w:p>
        </w:tc>
      </w:tr>
      <w:tr>
        <w:trPr/>
        <w:tc>
          <w:tcPr>
            <w:tcW w:w="6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left"/>
              <w:rPr/>
            </w:pPr>
            <w:r>
              <w:rPr/>
              <w:t> </w:t>
            </w:r>
          </w:p>
        </w:tc>
        <w:tc>
          <w:tcPr>
            <w:tcW w:w="6488" w:type="dxa"/>
            <w:tcBorders/>
            <w:vAlign w:val="center"/>
          </w:tcPr>
          <w:p>
            <w:pPr>
              <w:pStyle w:val="TableContents"/>
              <w:bidi w:val="0"/>
              <w:spacing w:before="0" w:after="283"/>
              <w:jc w:val="left"/>
              <w:rPr/>
            </w:pPr>
            <w:r>
              <w:rPr/>
              <w:t> </w:t>
            </w:r>
          </w:p>
        </w:tc>
      </w:tr>
      <w:tr>
        <w:trPr/>
        <w:tc>
          <w:tcPr>
            <w:tcW w:w="1414" w:type="dxa"/>
            <w:gridSpan w:val="2"/>
            <w:tcBorders/>
            <w:vAlign w:val="center"/>
          </w:tcPr>
          <w:p>
            <w:pPr>
              <w:pStyle w:val="TableContents"/>
              <w:bidi w:val="0"/>
              <w:spacing w:before="0" w:after="0"/>
              <w:jc w:val="left"/>
              <w:rPr/>
            </w:pPr>
            <w:r>
              <w:rPr/>
              <w:t>April 24, 2026</w:t>
            </w:r>
          </w:p>
        </w:tc>
        <w:tc>
          <w:tcPr>
            <w:tcW w:w="6488"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7</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Consolidated Report of Condition of</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COMPUTERSHARE TRUST COMPANY, NATIONAL ASSOCIATION</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150 Royall Street, Canton, MA 02021</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at the close of business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4d23daa30ef647d5ad07b32f9f591bc9"/>
      <w:bookmarkStart w:id="99" w:name="z4d23daa30ef647d5ad07b32f9f591bc9"/>
      <w:bookmarkEnd w:id="99"/>
    </w:p>
    <w:tbl>
      <w:tblPr>
        <w:tblW w:w="10205" w:type="dxa"/>
        <w:jc w:val="left"/>
        <w:tblInd w:w="0" w:type="dxa"/>
        <w:tblLayout w:type="fixed"/>
        <w:tblCellMar>
          <w:top w:w="0" w:type="dxa"/>
          <w:left w:w="0" w:type="dxa"/>
          <w:bottom w:w="0" w:type="dxa"/>
          <w:right w:w="0" w:type="dxa"/>
        </w:tblCellMar>
      </w:tblPr>
      <w:tblGrid>
        <w:gridCol w:w="7187"/>
        <w:gridCol w:w="60"/>
        <w:gridCol w:w="163"/>
        <w:gridCol w:w="2719"/>
        <w:gridCol w:w="76"/>
      </w:tblGrid>
      <w:tr>
        <w:trPr/>
        <w:tc>
          <w:tcPr>
            <w:tcW w:w="7187" w:type="dxa"/>
            <w:tcBorders/>
            <w:vAlign w:val="bottom"/>
          </w:tcPr>
          <w:p>
            <w:pPr>
              <w:pStyle w:val="TableContents"/>
              <w:bidi w:val="0"/>
              <w:spacing w:before="0" w:after="0"/>
              <w:jc w:val="left"/>
              <w:rPr>
                <w:b/>
              </w:rPr>
            </w:pPr>
            <w:r>
              <w:rPr>
                <w:b/>
              </w:rPr>
              <w:t>ASSETS</w:t>
            </w:r>
          </w:p>
        </w:tc>
        <w:tc>
          <w:tcPr>
            <w:tcW w:w="60" w:type="dxa"/>
            <w:tcBorders/>
            <w:vAlign w:val="bottom"/>
          </w:tcPr>
          <w:p>
            <w:pPr>
              <w:pStyle w:val="TableContents"/>
              <w:bidi w:val="0"/>
              <w:spacing w:before="0" w:after="283"/>
              <w:jc w:val="left"/>
              <w:rPr/>
            </w:pPr>
            <w:r>
              <w:rPr/>
              <w:t> </w:t>
            </w:r>
          </w:p>
        </w:tc>
        <w:tc>
          <w:tcPr>
            <w:tcW w:w="2882" w:type="dxa"/>
            <w:gridSpan w:val="2"/>
            <w:tcBorders/>
            <w:vAlign w:val="bottom"/>
          </w:tcPr>
          <w:p>
            <w:pPr>
              <w:pStyle w:val="TableContents"/>
              <w:bidi w:val="0"/>
              <w:spacing w:before="0" w:after="0"/>
              <w:jc w:val="center"/>
              <w:rPr/>
            </w:pPr>
            <w:r>
              <w:rPr/>
              <w:t>Dollar Amounts In Thousands</w:t>
            </w:r>
          </w:p>
        </w:tc>
        <w:tc>
          <w:tcPr>
            <w:tcW w:w="76" w:type="dxa"/>
            <w:tcBorders/>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2" w:type="dxa"/>
            <w:gridSpan w:val="2"/>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Cash and balances due from depository institutions:</w:t>
            </w:r>
          </w:p>
        </w:tc>
        <w:tc>
          <w:tcPr>
            <w:tcW w:w="60" w:type="dxa"/>
            <w:tcBorders/>
            <w:shd w:fill="CCEEFF" w:val="clear"/>
            <w:vAlign w:val="bottom"/>
          </w:tcPr>
          <w:p>
            <w:pPr>
              <w:pStyle w:val="TableContents"/>
              <w:bidi w:val="0"/>
              <w:spacing w:before="0" w:after="283"/>
              <w:jc w:val="left"/>
              <w:rPr/>
            </w:pPr>
            <w:r>
              <w:rPr/>
              <w:t> </w:t>
            </w:r>
          </w:p>
        </w:tc>
        <w:tc>
          <w:tcPr>
            <w:tcW w:w="2882" w:type="dxa"/>
            <w:gridSpan w:val="2"/>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Noninterest</w:t>
              <w:noBreakHyphen/>
              <w:t>bearing balances and currency and coin</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705</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Interest</w:t>
              <w:noBreakHyphen/>
              <w:t>bearing balances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429,716</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Securities: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Held-to-maturity securities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Available-for-sale securities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Federal funds sold and securities purchased under agreements to resell:</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Federal funds sold in domestic offices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Securities purchased under agreements to resell</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Loans and lease financing receivables: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Loans and leases held for sale</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Loans and leases, net of unearned income</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LESS: Allowance for loan and lease losses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Loans and leases, net of unearned income and allowance</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Trading assets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Premises and fixed assets (including capitalized leases)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6,375</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Other real estate owned</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Investments in unconsolidated subsidiaries and associated companies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Direct and indirect investments in real estate ventures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Intangible assets: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134,206</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Other intangible assets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387,223</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Other assets</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719" w:type="dxa"/>
            <w:tcBorders>
              <w:bottom w:val="single" w:sz="12" w:space="0" w:color="000000"/>
            </w:tcBorders>
            <w:shd w:fill="CCEEFF" w:val="clear"/>
            <w:tcMar>
              <w:bottom w:w="28" w:type="dxa"/>
            </w:tcMar>
            <w:vAlign w:val="bottom"/>
          </w:tcPr>
          <w:p>
            <w:pPr>
              <w:pStyle w:val="TableContents"/>
              <w:bidi w:val="0"/>
              <w:spacing w:before="0" w:after="0"/>
              <w:jc w:val="right"/>
              <w:rPr/>
            </w:pPr>
            <w:r>
              <w:rPr/>
              <w:t>137,153</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Total assets</w:t>
            </w:r>
          </w:p>
        </w:tc>
        <w:tc>
          <w:tcPr>
            <w:tcW w:w="60" w:type="dxa"/>
            <w:tcBorders/>
            <w:vAlign w:val="bottom"/>
          </w:tcPr>
          <w:p>
            <w:pPr>
              <w:pStyle w:val="TableContents"/>
              <w:bidi w:val="0"/>
              <w:spacing w:before="0" w:after="283"/>
              <w:jc w:val="left"/>
              <w:rPr/>
            </w:pPr>
            <w:r>
              <w:rPr/>
              <w:t> </w:t>
            </w:r>
          </w:p>
        </w:tc>
        <w:tc>
          <w:tcPr>
            <w:tcW w:w="163" w:type="dxa"/>
            <w:tcBorders>
              <w:bottom w:val="double" w:sz="8" w:space="0" w:color="000000"/>
            </w:tcBorders>
            <w:tcMar>
              <w:bottom w:w="28" w:type="dxa"/>
            </w:tcMar>
            <w:vAlign w:val="bottom"/>
          </w:tcPr>
          <w:p>
            <w:pPr>
              <w:pStyle w:val="TableContents"/>
              <w:bidi w:val="0"/>
              <w:spacing w:before="0" w:after="283"/>
              <w:jc w:val="left"/>
              <w:rPr/>
            </w:pPr>
            <w:r>
              <w:rPr/>
              <w:t> </w:t>
            </w:r>
          </w:p>
        </w:tc>
        <w:tc>
          <w:tcPr>
            <w:tcW w:w="2719" w:type="dxa"/>
            <w:tcBorders>
              <w:bottom w:val="double" w:sz="8" w:space="0" w:color="000000"/>
            </w:tcBorders>
            <w:tcMar>
              <w:bottom w:w="28" w:type="dxa"/>
            </w:tcMar>
            <w:vAlign w:val="bottom"/>
          </w:tcPr>
          <w:p>
            <w:pPr>
              <w:pStyle w:val="TableContents"/>
              <w:bidi w:val="0"/>
              <w:spacing w:before="0" w:after="0"/>
              <w:jc w:val="right"/>
              <w:rPr/>
            </w:pPr>
            <w:r>
              <w:rPr/>
              <w:t>1,095,378</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b/>
              </w:rPr>
            </w:pPr>
            <w:r>
              <w:rPr>
                <w:b/>
              </w:rPr>
              <w:t>LIABILITIES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Deposits: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In domestic offices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Noninterest</w:t>
              <w:noBreakHyphen/>
              <w:t>bearing</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Interest</w:t>
              <w:noBreakHyphen/>
              <w:t>bearing</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Federal funds purchased and securities sold under agreements to repurchase:</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Federal funds purchased in domestic offices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Securities sold under agreements to repurchase</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Trading liabilities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Other borrowed money:</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(includes mortgage indebtedness and obligations under capitalized leases)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Not applicable</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Not applicable</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Subordinated notes and debentures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Other liabilities</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2719" w:type="dxa"/>
            <w:tcBorders>
              <w:bottom w:val="single" w:sz="12" w:space="0" w:color="000000"/>
            </w:tcBorders>
            <w:tcMar>
              <w:bottom w:w="28" w:type="dxa"/>
            </w:tcMar>
            <w:vAlign w:val="bottom"/>
          </w:tcPr>
          <w:p>
            <w:pPr>
              <w:pStyle w:val="TableContents"/>
              <w:bidi w:val="0"/>
              <w:spacing w:before="0" w:after="0"/>
              <w:jc w:val="right"/>
              <w:rPr/>
            </w:pPr>
            <w:r>
              <w:rPr/>
              <w:t>156,885</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Total liabilities</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719" w:type="dxa"/>
            <w:tcBorders>
              <w:bottom w:val="double" w:sz="8" w:space="0" w:color="000000"/>
            </w:tcBorders>
            <w:shd w:fill="CCEEFF" w:val="clear"/>
            <w:tcMar>
              <w:bottom w:w="28" w:type="dxa"/>
            </w:tcMar>
            <w:vAlign w:val="bottom"/>
          </w:tcPr>
          <w:p>
            <w:pPr>
              <w:pStyle w:val="TableContents"/>
              <w:bidi w:val="0"/>
              <w:spacing w:before="0" w:after="0"/>
              <w:jc w:val="right"/>
              <w:rPr/>
            </w:pPr>
            <w:r>
              <w:rPr/>
              <w:t>156,885</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b/>
              </w:rPr>
            </w:pPr>
            <w:r>
              <w:rPr>
                <w:b/>
              </w:rPr>
              <w:t>EQUITY CAPITAL</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Perpetual preferred stock and related surplus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Common stock</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500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Surplus (exclude all surplus related to preferred stock)</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850,876</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Retained earnings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87,117</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Accumulated other comprehensive income</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-0-</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Other equity capital components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Total bank equity capital</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719" w:type="dxa"/>
            <w:tcBorders/>
            <w:shd w:fill="CCEEFF" w:val="clear"/>
            <w:vAlign w:val="bottom"/>
          </w:tcPr>
          <w:p>
            <w:pPr>
              <w:pStyle w:val="TableContents"/>
              <w:bidi w:val="0"/>
              <w:spacing w:before="0" w:after="0"/>
              <w:jc w:val="right"/>
              <w:rPr/>
            </w:pPr>
            <w:r>
              <w:rPr/>
              <w:t>938,493</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Noncontrolling (minority) interests in consolidated subsidiaries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719" w:type="dxa"/>
            <w:tcBorders/>
            <w:vAlign w:val="bottom"/>
          </w:tcPr>
          <w:p>
            <w:pPr>
              <w:pStyle w:val="TableContents"/>
              <w:bidi w:val="0"/>
              <w:spacing w:before="0" w:after="0"/>
              <w:jc w:val="right"/>
              <w:rPr/>
            </w:pPr>
            <w:r>
              <w:rPr/>
              <w:t>-0-</w:t>
            </w:r>
          </w:p>
        </w:tc>
        <w:tc>
          <w:tcPr>
            <w:tcW w:w="76" w:type="dxa"/>
            <w:tcBorders/>
            <w:vAlign w:val="bottom"/>
          </w:tcPr>
          <w:p>
            <w:pPr>
              <w:pStyle w:val="TableContents"/>
              <w:bidi w:val="0"/>
              <w:spacing w:before="0" w:after="283"/>
              <w:jc w:val="left"/>
              <w:rPr/>
            </w:pPr>
            <w:r>
              <w:rPr/>
              <w:t> </w:t>
            </w:r>
          </w:p>
        </w:tc>
      </w:tr>
      <w:tr>
        <w:trPr/>
        <w:tc>
          <w:tcPr>
            <w:tcW w:w="7187" w:type="dxa"/>
            <w:tcBorders/>
            <w:shd w:fill="CCEEFF" w:val="clear"/>
            <w:vAlign w:val="bottom"/>
          </w:tcPr>
          <w:p>
            <w:pPr>
              <w:pStyle w:val="TableContents"/>
              <w:bidi w:val="0"/>
              <w:spacing w:before="0" w:after="0"/>
              <w:jc w:val="left"/>
              <w:rPr/>
            </w:pPr>
            <w:r>
              <w:rPr/>
              <w:t>Total equity capital</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719" w:type="dxa"/>
            <w:tcBorders>
              <w:bottom w:val="single" w:sz="12" w:space="0" w:color="000000"/>
            </w:tcBorders>
            <w:shd w:fill="CCEEFF" w:val="clear"/>
            <w:tcMar>
              <w:bottom w:w="28" w:type="dxa"/>
            </w:tcMar>
            <w:vAlign w:val="bottom"/>
          </w:tcPr>
          <w:p>
            <w:pPr>
              <w:pStyle w:val="TableContents"/>
              <w:bidi w:val="0"/>
              <w:spacing w:before="0" w:after="0"/>
              <w:jc w:val="right"/>
              <w:rPr/>
            </w:pPr>
            <w:r>
              <w:rPr/>
              <w:t>938,493</w:t>
            </w:r>
          </w:p>
        </w:tc>
        <w:tc>
          <w:tcPr>
            <w:tcW w:w="76" w:type="dxa"/>
            <w:tcBorders/>
            <w:shd w:fill="CCEEFF" w:val="clear"/>
            <w:vAlign w:val="bottom"/>
          </w:tcPr>
          <w:p>
            <w:pPr>
              <w:pStyle w:val="TableContents"/>
              <w:bidi w:val="0"/>
              <w:spacing w:before="0" w:after="283"/>
              <w:jc w:val="left"/>
              <w:rPr/>
            </w:pPr>
            <w:r>
              <w:rPr/>
              <w:t> </w:t>
            </w:r>
          </w:p>
        </w:tc>
      </w:tr>
      <w:tr>
        <w:trPr/>
        <w:tc>
          <w:tcPr>
            <w:tcW w:w="7187" w:type="dxa"/>
            <w:tcBorders/>
            <w:vAlign w:val="bottom"/>
          </w:tcPr>
          <w:p>
            <w:pPr>
              <w:pStyle w:val="TableContents"/>
              <w:bidi w:val="0"/>
              <w:spacing w:before="0" w:after="0"/>
              <w:jc w:val="left"/>
              <w:rPr/>
            </w:pPr>
            <w:r>
              <w:rPr/>
              <w:t>Total liabilities and equity capital</w:t>
            </w:r>
          </w:p>
        </w:tc>
        <w:tc>
          <w:tcPr>
            <w:tcW w:w="60" w:type="dxa"/>
            <w:tcBorders/>
            <w:vAlign w:val="bottom"/>
          </w:tcPr>
          <w:p>
            <w:pPr>
              <w:pStyle w:val="TableContents"/>
              <w:bidi w:val="0"/>
              <w:spacing w:before="0" w:after="283"/>
              <w:jc w:val="left"/>
              <w:rPr/>
            </w:pPr>
            <w:r>
              <w:rPr/>
              <w:t> </w:t>
            </w:r>
          </w:p>
        </w:tc>
        <w:tc>
          <w:tcPr>
            <w:tcW w:w="163" w:type="dxa"/>
            <w:tcBorders>
              <w:bottom w:val="double" w:sz="8" w:space="0" w:color="000000"/>
            </w:tcBorders>
            <w:tcMar>
              <w:bottom w:w="28" w:type="dxa"/>
            </w:tcMar>
            <w:vAlign w:val="bottom"/>
          </w:tcPr>
          <w:p>
            <w:pPr>
              <w:pStyle w:val="TableContents"/>
              <w:bidi w:val="0"/>
              <w:spacing w:before="0" w:after="283"/>
              <w:jc w:val="left"/>
              <w:rPr/>
            </w:pPr>
            <w:r>
              <w:rPr/>
              <w:t> </w:t>
            </w:r>
          </w:p>
        </w:tc>
        <w:tc>
          <w:tcPr>
            <w:tcW w:w="2719" w:type="dxa"/>
            <w:tcBorders>
              <w:bottom w:val="double" w:sz="8" w:space="0" w:color="000000"/>
            </w:tcBorders>
            <w:tcMar>
              <w:bottom w:w="28" w:type="dxa"/>
            </w:tcMar>
            <w:vAlign w:val="bottom"/>
          </w:tcPr>
          <w:p>
            <w:pPr>
              <w:pStyle w:val="TableContents"/>
              <w:bidi w:val="0"/>
              <w:spacing w:before="0" w:after="0"/>
              <w:jc w:val="right"/>
              <w:rPr/>
            </w:pPr>
            <w:r>
              <w:rPr/>
              <w:t>1,095,378</w:t>
            </w:r>
          </w:p>
        </w:tc>
        <w:tc>
          <w:tcPr>
            <w:tcW w:w="76"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z w:val="24"/>
        </w:rPr>
      </w:pPr>
      <w:r>
        <w:rPr>
          <w:color w:val="000000"/>
          <w:sz w:val="24"/>
        </w:rPr>
      </w:r>
    </w:p>
    <w:p>
      <w:pPr>
        <w:pStyle w:val="HorizontalLine"/>
        <w:pBdr>
          <w:bottom w:val="single" w:sz="12" w:space="0" w:color="808080"/>
        </w:pBdr>
        <w:bidi w:val="0"/>
        <w:spacing w:before="200" w:after="200"/>
        <w:jc w:val="center"/>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 Greg Brandt, Assistant Controller of the above named bank do hereby declare that this Report of Condition is true and correct to the best of my knowledge and belief.</w:t>
      </w:r>
    </w:p>
    <w:p>
      <w:pPr>
        <w:pStyle w:val="TextBody"/>
        <w:bidi w:val="0"/>
        <w:spacing w:before="0" w:after="0"/>
        <w:jc w:val="center"/>
        <w:rPr>
          <w:color w:val="000000"/>
        </w:rPr>
      </w:pPr>
      <w:r>
        <w:rPr>
          <w:color w:val="000000"/>
        </w:rPr>
        <w:t>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 Greg Brandt</w:t>
      </w:r>
    </w:p>
    <w:p>
      <w:pPr>
        <w:pStyle w:val="TextBody"/>
        <w:bidi w:val="0"/>
        <w:spacing w:before="0" w:after="0"/>
        <w:ind w:left="0" w:right="646" w:hanging="0"/>
        <w:jc w:val="right"/>
        <w:rPr>
          <w:color w:val="000000"/>
        </w:rPr>
      </w:pPr>
      <w:r>
        <w:rPr>
          <w:color w:val="000000"/>
        </w:rPr>
        <w:t>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Greg Brandt</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Assistant Controller</w:t>
      </w:r>
    </w:p>
    <w:p>
      <w:pPr>
        <w:pStyle w:val="TextBody"/>
        <w:bidi w:val="0"/>
        <w:spacing w:before="0" w:after="0"/>
        <w:jc w:val="center"/>
        <w:rPr>
          <w:color w:val="000000"/>
        </w:rPr>
      </w:pPr>
      <w:r>
        <w:rPr>
          <w:color w:val="000000"/>
        </w:rPr>
        <w:t> </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2</w:t>
      </w:r>
      <w:r>
        <w:rPr>
          <w:rFonts w:ascii="Times New Roman" w:hAnsi="Times New Roman"/>
          <w:color w:val="000000"/>
          <w:sz w:val="20"/>
        </w:rPr>
        <w:t xml:space="preserve"> </w:t>
      </w:r>
    </w:p>
    <w:p>
      <w:pPr>
        <w:pStyle w:val="HorizontalLine"/>
        <w:pBdr>
          <w:bottom w:val="single" w:sz="12" w:space="0" w:color="808080"/>
        </w:pBdr>
        <w:bidi w:val="0"/>
        <w:jc w:val="center"/>
        <w:rPr/>
      </w:pPr>
      <w:r>
        <w:rPr/>
      </w:r>
    </w:p>
    <w:p>
      <w:pPr>
        <w:pStyle w:val="HorizontalLine"/>
        <w:bidi w:val="0"/>
        <w:jc w:val="left"/>
        <w:rPr/>
      </w:pPr>
      <w:r>
        <w:rPr/>
      </w:r>
      <w:bookmarkStart w:id="100" w:name="ny20070818x1_ex107.htm"/>
      <w:bookmarkStart w:id="101" w:name="ksny20070818x1_ex107"/>
      <w:bookmarkStart w:id="102" w:name="ny20070818x1_ex107.htm"/>
      <w:bookmarkStart w:id="103" w:name="ksny20070818x1_ex107"/>
      <w:bookmarkEnd w:id="102"/>
      <w:bookmarkEnd w:id="103"/>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S-3</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PENN ENTERTAINMENT, INC.</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and Carry Forward Securities</w:t>
      </w:r>
      <w:r>
        <w:rPr>
          <w:rFonts w:ascii="Times New Roman" w:hAnsi="Times New Roman"/>
          <w:sz w:val="24"/>
        </w:rPr>
        <w:t xml:space="preserve"> </w:t>
      </w:r>
    </w:p>
    <w:tbl>
      <w:tblPr>
        <w:tblW w:w="14308" w:type="dxa"/>
        <w:jc w:val="left"/>
        <w:tblInd w:w="0" w:type="dxa"/>
        <w:tblLayout w:type="fixed"/>
        <w:tblCellMar>
          <w:top w:w="28" w:type="dxa"/>
          <w:left w:w="28" w:type="dxa"/>
          <w:bottom w:w="28" w:type="dxa"/>
          <w:right w:w="28" w:type="dxa"/>
        </w:tblCellMar>
      </w:tblPr>
      <w:tblGrid>
        <w:gridCol w:w="1126"/>
        <w:gridCol w:w="946"/>
        <w:gridCol w:w="1141"/>
        <w:gridCol w:w="1276"/>
        <w:gridCol w:w="1186"/>
        <w:gridCol w:w="1156"/>
        <w:gridCol w:w="1156"/>
        <w:gridCol w:w="586"/>
        <w:gridCol w:w="1351"/>
        <w:gridCol w:w="1021"/>
        <w:gridCol w:w="1021"/>
        <w:gridCol w:w="1021"/>
        <w:gridCol w:w="1321"/>
      </w:tblGrid>
      <w:tr>
        <w:trPr/>
        <w:tc>
          <w:tcPr>
            <w:tcW w:w="11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14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or Carry Forward Rule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 Offering Price</w:t>
            </w:r>
            <w:r>
              <w:rPr/>
              <w:t xml:space="preserve"> </w:t>
            </w:r>
          </w:p>
        </w:tc>
        <w:tc>
          <w:tcPr>
            <w:tcW w:w="5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Form 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 xml:space="preserve">Carry Forward </w:t>
              <w:br/>
              <w:t>File 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Initial effective 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b/>
              </w:rPr>
              <w:t>Filing Fee Previously Paid In Connection with Unsold Securities to be Carried Forward</w:t>
            </w:r>
            <w:r>
              <w:rPr/>
              <w:t xml:space="preserve"> </w:t>
            </w:r>
          </w:p>
        </w:tc>
      </w:tr>
      <w:tr>
        <w:trPr/>
        <w:tc>
          <w:tcPr>
            <w:tcW w:w="14308" w:type="dxa"/>
            <w:gridSpan w:val="1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Newly Registered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14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$0.01 per share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457(r)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r>
              <w:rPr/>
              <w:t>(2)</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r>
              <w:rPr/>
              <w:t>(2)</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r>
              <w:rPr/>
              <w:t>(2)</w:t>
            </w:r>
          </w:p>
        </w:tc>
        <w:tc>
          <w:tcPr>
            <w:tcW w:w="5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r>
              <w:rPr/>
              <w:t>(1)</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r>
              <w:rPr/>
              <w:t>(1)</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Equity </w:t>
            </w:r>
          </w:p>
        </w:tc>
        <w:tc>
          <w:tcPr>
            <w:tcW w:w="114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Preferred Stock, par value $0.01 per share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Rule 457(r)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osition w:val="8"/>
                <w:sz w:val="19"/>
              </w:rPr>
            </w:pPr>
            <w:r>
              <w:rPr>
                <w:position w:val="8"/>
                <w:sz w:val="19"/>
              </w:rPr>
              <w:t>(2)</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osition w:val="8"/>
                <w:sz w:val="19"/>
              </w:rPr>
            </w:pPr>
            <w:r>
              <w:rPr>
                <w:spacing w:val="0"/>
                <w:position w:val="8"/>
                <w:sz w:val="19"/>
              </w:rPr>
              <w:t>(2)</w:t>
            </w:r>
            <w:r>
              <w:rPr>
                <w:position w:val="8"/>
                <w:sz w:val="19"/>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spacing w:val="0"/>
                <w:position w:val="8"/>
                <w:sz w:val="19"/>
              </w:rPr>
            </w:pPr>
            <w:r>
              <w:rPr>
                <w:spacing w:val="0"/>
                <w:position w:val="8"/>
                <w:sz w:val="19"/>
              </w:rPr>
              <w:t>(2)</w:t>
            </w:r>
          </w:p>
        </w:tc>
        <w:tc>
          <w:tcPr>
            <w:tcW w:w="5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osition w:val="8"/>
                <w:sz w:val="19"/>
              </w:rPr>
            </w:pPr>
            <w:r>
              <w:rPr>
                <w:spacing w:val="0"/>
                <w:position w:val="8"/>
                <w:sz w:val="19"/>
              </w:rPr>
              <w:t>(1)</w:t>
            </w:r>
            <w:r>
              <w:rPr>
                <w:position w:val="8"/>
                <w:sz w:val="19"/>
              </w:rPr>
              <w:t xml:space="preserve">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osition w:val="8"/>
                <w:sz w:val="19"/>
              </w:rPr>
            </w:pPr>
            <w:r>
              <w:rPr>
                <w:spacing w:val="0"/>
                <w:position w:val="8"/>
                <w:sz w:val="19"/>
              </w:rPr>
              <w:t>(1)</w:t>
            </w:r>
            <w:r>
              <w:rPr>
                <w:position w:val="8"/>
                <w:sz w:val="19"/>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14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Depositary Shares</w:t>
            </w:r>
            <w:r>
              <w:rPr>
                <w:position w:val="8"/>
                <w:sz w:val="19"/>
              </w:rPr>
              <w:t>(3)</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457(r)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osition w:val="8"/>
                <w:sz w:val="19"/>
              </w:rPr>
            </w:pPr>
            <w:r>
              <w:rPr>
                <w:position w:val="8"/>
                <w:sz w:val="19"/>
              </w:rPr>
              <w:t>(2)</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osition w:val="8"/>
                <w:sz w:val="19"/>
              </w:rPr>
            </w:pPr>
            <w:r>
              <w:rPr>
                <w:spacing w:val="0"/>
                <w:position w:val="8"/>
                <w:sz w:val="19"/>
              </w:rPr>
              <w:t>(2)</w:t>
            </w:r>
            <w:r>
              <w:rPr>
                <w:position w:val="8"/>
                <w:sz w:val="19"/>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0"/>
                <w:position w:val="8"/>
                <w:sz w:val="19"/>
              </w:rPr>
            </w:pPr>
            <w:r>
              <w:rPr>
                <w:spacing w:val="0"/>
                <w:position w:val="8"/>
                <w:sz w:val="19"/>
              </w:rPr>
              <w:t>(2)</w:t>
            </w:r>
          </w:p>
        </w:tc>
        <w:tc>
          <w:tcPr>
            <w:tcW w:w="5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osition w:val="8"/>
                <w:sz w:val="19"/>
              </w:rPr>
            </w:pPr>
            <w:r>
              <w:rPr>
                <w:spacing w:val="0"/>
                <w:position w:val="8"/>
                <w:sz w:val="19"/>
              </w:rPr>
              <w:t>(1)</w:t>
            </w:r>
            <w:r>
              <w:rPr>
                <w:position w:val="8"/>
                <w:sz w:val="19"/>
              </w:rPr>
              <w:t xml:space="preserve">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osition w:val="8"/>
                <w:sz w:val="19"/>
              </w:rPr>
            </w:pPr>
            <w:r>
              <w:rPr>
                <w:spacing w:val="0"/>
                <w:position w:val="8"/>
                <w:sz w:val="19"/>
              </w:rPr>
              <w:t>(1)</w:t>
            </w:r>
            <w:r>
              <w:rPr>
                <w:position w:val="8"/>
                <w:sz w:val="19"/>
              </w:rPr>
              <w:t xml:space="preserve">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Debt </w:t>
            </w:r>
          </w:p>
        </w:tc>
        <w:tc>
          <w:tcPr>
            <w:tcW w:w="114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Debt Securities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Rule 457(r)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osition w:val="8"/>
                <w:sz w:val="19"/>
              </w:rPr>
            </w:pPr>
            <w:r>
              <w:rPr>
                <w:position w:val="8"/>
                <w:sz w:val="19"/>
              </w:rPr>
              <w:t>(2)</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osition w:val="8"/>
                <w:sz w:val="19"/>
              </w:rPr>
            </w:pPr>
            <w:r>
              <w:rPr>
                <w:spacing w:val="0"/>
                <w:position w:val="8"/>
                <w:sz w:val="19"/>
              </w:rPr>
              <w:t>(2)</w:t>
            </w:r>
            <w:r>
              <w:rPr>
                <w:position w:val="8"/>
                <w:sz w:val="19"/>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spacing w:val="0"/>
                <w:position w:val="8"/>
                <w:sz w:val="19"/>
              </w:rPr>
            </w:pPr>
            <w:r>
              <w:rPr>
                <w:spacing w:val="0"/>
                <w:position w:val="8"/>
                <w:sz w:val="19"/>
              </w:rPr>
              <w:t>(2)</w:t>
            </w:r>
          </w:p>
        </w:tc>
        <w:tc>
          <w:tcPr>
            <w:tcW w:w="5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osition w:val="8"/>
                <w:sz w:val="19"/>
              </w:rPr>
            </w:pPr>
            <w:r>
              <w:rPr>
                <w:spacing w:val="0"/>
                <w:position w:val="8"/>
                <w:sz w:val="19"/>
              </w:rPr>
              <w:t>(1)</w:t>
            </w:r>
            <w:r>
              <w:rPr>
                <w:position w:val="8"/>
                <w:sz w:val="19"/>
              </w:rPr>
              <w:t xml:space="preserve">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osition w:val="8"/>
                <w:sz w:val="19"/>
              </w:rPr>
            </w:pPr>
            <w:r>
              <w:rPr>
                <w:spacing w:val="0"/>
                <w:position w:val="8"/>
                <w:sz w:val="19"/>
              </w:rPr>
              <w:t>(1)</w:t>
            </w:r>
            <w:r>
              <w:rPr>
                <w:position w:val="8"/>
                <w:sz w:val="19"/>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Previously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14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5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4308" w:type="dxa"/>
            <w:gridSpan w:val="13"/>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Carry Forward Securities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14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5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0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0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center"/>
              <w:rPr/>
            </w:pPr>
            <w:r>
              <w:rPr/>
              <w:t xml:space="preserve">N/A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54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54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5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54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N/A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54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5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N/A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right w:w="3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309"/>
        <w:gridCol w:w="9896"/>
      </w:tblGrid>
      <w:tr>
        <w:trPr/>
        <w:tc>
          <w:tcPr>
            <w:tcW w:w="309"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309"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9896" w:type="dxa"/>
            <w:tcBorders/>
            <w:tcMar>
              <w:top w:w="0" w:type="dxa"/>
              <w:left w:w="0" w:type="dxa"/>
              <w:bottom w:w="0" w:type="dxa"/>
              <w:right w:w="0" w:type="dxa"/>
            </w:tcMar>
            <w:vAlign w:val="center"/>
          </w:tcPr>
          <w:p>
            <w:pPr>
              <w:pStyle w:val="TableContents"/>
              <w:bidi w:val="0"/>
              <w:spacing w:before="0" w:after="80"/>
              <w:jc w:val="both"/>
              <w:rPr>
                <w:sz w:val="20"/>
              </w:rPr>
            </w:pPr>
            <w:r>
              <w:rPr>
                <w:sz w:val="20"/>
              </w:rPr>
              <w:t xml:space="preserve">The registrant is relying on Rule 456(b) and Rule 457(r) under the Securities Act of 1933, as amended,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w:t>
            </w:r>
          </w:p>
        </w:tc>
      </w:tr>
    </w:tbl>
    <w:tbl>
      <w:tblPr>
        <w:tblW w:w="10205" w:type="dxa"/>
        <w:jc w:val="left"/>
        <w:tblInd w:w="0" w:type="dxa"/>
        <w:tblLayout w:type="fixed"/>
        <w:tblCellMar>
          <w:top w:w="28" w:type="dxa"/>
          <w:left w:w="28" w:type="dxa"/>
          <w:bottom w:w="28" w:type="dxa"/>
          <w:right w:w="28" w:type="dxa"/>
        </w:tblCellMar>
      </w:tblPr>
      <w:tblGrid>
        <w:gridCol w:w="302"/>
        <w:gridCol w:w="9903"/>
      </w:tblGrid>
      <w:tr>
        <w:trPr/>
        <w:tc>
          <w:tcPr>
            <w:tcW w:w="302"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w:t>
            </w:r>
          </w:p>
        </w:tc>
      </w:tr>
      <w:tr>
        <w:trPr/>
        <w:tc>
          <w:tcPr>
            <w:tcW w:w="302"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(2) </w:t>
            </w:r>
          </w:p>
        </w:tc>
        <w:tc>
          <w:tcPr>
            <w:tcW w:w="9903" w:type="dxa"/>
            <w:tcBorders/>
            <w:tcMar>
              <w:top w:w="0" w:type="dxa"/>
              <w:left w:w="0" w:type="dxa"/>
              <w:bottom w:w="0" w:type="dxa"/>
              <w:right w:w="0" w:type="dxa"/>
            </w:tcMar>
            <w:vAlign w:val="center"/>
          </w:tcPr>
          <w:p>
            <w:pPr>
              <w:pStyle w:val="TableContents"/>
              <w:bidi w:val="0"/>
              <w:spacing w:before="0" w:after="80"/>
              <w:jc w:val="both"/>
              <w:rPr>
                <w:sz w:val="20"/>
              </w:rPr>
            </w:pPr>
            <w:r>
              <w:rPr>
                <w:sz w:val="20"/>
              </w:rPr>
              <w:t>An indeterminate aggregate initial offering price, or amount or number, as applicable, of the securities of each identified class is being registered as may from time to time be offered at indeterminate prices and as may be issued upon exercise, conversion or exchange of any securities registered hereunder, including under any applicable antidilution provisions. The proposed maximum aggregate offering price per security will be determined from time to time in connection with offers and sales of securities registered under this registration statement. Separate consideration may or may not be received for securities that are issuable on exercise, conversion or exchange of other securities.</w:t>
            </w:r>
          </w:p>
        </w:tc>
      </w:tr>
    </w:tbl>
    <w:tbl>
      <w:tblPr>
        <w:tblW w:w="10205" w:type="dxa"/>
        <w:jc w:val="left"/>
        <w:tblInd w:w="0" w:type="dxa"/>
        <w:tblLayout w:type="fixed"/>
        <w:tblCellMar>
          <w:top w:w="28" w:type="dxa"/>
          <w:left w:w="28" w:type="dxa"/>
          <w:bottom w:w="28" w:type="dxa"/>
          <w:right w:w="28" w:type="dxa"/>
        </w:tblCellMar>
      </w:tblPr>
      <w:tblGrid>
        <w:gridCol w:w="347"/>
        <w:gridCol w:w="9858"/>
      </w:tblGrid>
      <w:tr>
        <w:trPr/>
        <w:tc>
          <w:tcPr>
            <w:tcW w:w="347" w:type="dxa"/>
            <w:tcBorders/>
            <w:vAlign w:val="center"/>
          </w:tcPr>
          <w:p>
            <w:pPr>
              <w:pStyle w:val="TableContents"/>
              <w:bidi w:val="0"/>
              <w:spacing w:before="0" w:after="283"/>
              <w:jc w:val="left"/>
              <w:rPr/>
            </w:pPr>
            <w:r>
              <w:rPr/>
              <w:t> </w:t>
            </w:r>
          </w:p>
        </w:tc>
        <w:tc>
          <w:tcPr>
            <w:tcW w:w="9858" w:type="dxa"/>
            <w:tcBorders/>
            <w:vAlign w:val="center"/>
          </w:tcPr>
          <w:p>
            <w:pPr>
              <w:pStyle w:val="TableContents"/>
              <w:bidi w:val="0"/>
              <w:spacing w:before="0" w:after="283"/>
              <w:jc w:val="left"/>
              <w:rPr/>
            </w:pPr>
            <w:r>
              <w:rPr/>
              <w:t> </w:t>
            </w:r>
          </w:p>
        </w:tc>
      </w:tr>
      <w:tr>
        <w:trPr/>
        <w:tc>
          <w:tcPr>
            <w:tcW w:w="347"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(3) </w:t>
            </w:r>
          </w:p>
        </w:tc>
        <w:tc>
          <w:tcPr>
            <w:tcW w:w="9858" w:type="dxa"/>
            <w:tcBorders/>
            <w:tcMar>
              <w:top w:w="0" w:type="dxa"/>
              <w:left w:w="0" w:type="dxa"/>
              <w:bottom w:w="0" w:type="dxa"/>
              <w:right w:w="0" w:type="dxa"/>
            </w:tcMar>
            <w:vAlign w:val="center"/>
          </w:tcPr>
          <w:p>
            <w:pPr>
              <w:pStyle w:val="TableContents"/>
              <w:bidi w:val="0"/>
              <w:spacing w:before="0" w:after="80"/>
              <w:jc w:val="both"/>
              <w:rPr>
                <w:sz w:val="20"/>
              </w:rPr>
            </w:pPr>
            <w:r>
              <w:rPr>
                <w:sz w:val="20"/>
              </w:rPr>
              <w:t xml:space="preserve">The depositary shares registered hereunder will be evidenced by depositary receipts issued pursuant to a deposit agreement and will represent a fractional share or multiple shares of preferred stock.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921738/000092173826000008/penn-20251231.htm" TargetMode="External"/><Relationship Id="rId3" Type="http://schemas.openxmlformats.org/officeDocument/2006/relationships/hyperlink" Target="https://www.sec.gov/ix?doc=/Archives/edgar/data/921738/000114036125015822/ny20042107x2_def14a.htm" TargetMode="External"/><Relationship Id="rId4" Type="http://schemas.openxmlformats.org/officeDocument/2006/relationships/hyperlink" Target="https://www.sec.gov/ix?doc=/Archives/edgar/data/921738/000092173825000008/penn-20241231.htm" TargetMode="External"/><Relationship Id="rId5" Type="http://schemas.openxmlformats.org/officeDocument/2006/relationships/hyperlink" Target="https://www.sec.gov/ix?doc=/Archives/edgar/data/921738/000114036126000833/ef20062667_8k.htm" TargetMode="External"/><Relationship Id="rId6" Type="http://schemas.openxmlformats.org/officeDocument/2006/relationships/hyperlink" Target="https://www.sec.gov/ix?doc=/Archives/edgar/data/921738/000110465926018332/tm267014d1_8k.htm" TargetMode="External"/><Relationship Id="rId7" Type="http://schemas.openxmlformats.org/officeDocument/2006/relationships/hyperlink" Target="https://www.sec.gov/ix?doc=/Archives/edgar/data/921738/000110465926028502/tm2530634d5_8k.htm" TargetMode="External"/><Relationship Id="rId8" Type="http://schemas.openxmlformats.org/officeDocument/2006/relationships/hyperlink" Target="https://www.sec.gov/ix?doc=/Archives/edgar/data/921738/000110465926044358/tm2611966d1_8k.htm" TargetMode="External"/><Relationship Id="rId9" Type="http://schemas.openxmlformats.org/officeDocument/2006/relationships/hyperlink" Target="https://www.sec.gov/Archives/edgar/data/921738/000092173820000009/pennex44123119.htm" TargetMode="External"/><Relationship Id="rId10" Type="http://schemas.openxmlformats.org/officeDocument/2006/relationships/hyperlink" Target="https://www.sec.gov/Archives/edgar/data/921738/000092173821000034/articlesofincorporation-62.htm" TargetMode="External"/><Relationship Id="rId11" Type="http://schemas.openxmlformats.org/officeDocument/2006/relationships/hyperlink" Target="https://www.sec.gov/Archives/edgar/data/921738/000092173822000037/pennex3106302022.htm" TargetMode="External"/><Relationship Id="rId12" Type="http://schemas.openxmlformats.org/officeDocument/2006/relationships/hyperlink" Target="https://www.sec.gov/Archives/edgar/data/921738/000110465925119994/tm2533114d1_ex3-1.htm" TargetMode="External"/><Relationship Id="rId13" Type="http://schemas.openxmlformats.org/officeDocument/2006/relationships/hyperlink" Target="https://www.sec.gov/Archives/edgar/data/921738/000110465903018221/a03-1087_1ex3d6.htm" TargetMode="External"/><Relationship Id="rId14" Type="http://schemas.openxmlformats.org/officeDocument/2006/relationships/hyperlink" Target="https://www.sec.gov/Archives/edgar/data/921738/000110465920061586/tm2019206d9_ex4-1.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13249</Words>
  <Characters>72070</Characters>
  <CharactersWithSpaces>85824</CharactersWithSpaces>
  <Paragraphs>1490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