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ectPr>
          <w:pgSz w:w="11900" w:h="16838" w:orient="portrait"/>
          <w:cols w:equalWidth="0" w:num="1">
            <w:col w:w="10139"/>
          </w:cols>
          <w:pgMar w:left="320" w:top="222" w:right="1440" w:bottom="1440" w:gutter="0" w:footer="0" w:header="0"/>
        </w:sectPr>
      </w:pPr>
    </w:p>
    <w:p>
      <w:pPr>
        <w:spacing w:after="0" w:line="200" w:lineRule="exact"/>
        <w:rPr>
          <w:sz w:val="24"/>
          <w:szCs w:val="24"/>
          <w:color w:val="auto"/>
        </w:rPr>
      </w:pPr>
    </w:p>
    <w:p>
      <w:pPr>
        <w:spacing w:after="0" w:line="255" w:lineRule="exact"/>
        <w:rPr>
          <w:sz w:val="24"/>
          <w:szCs w:val="24"/>
          <w:color w:val="auto"/>
        </w:rPr>
      </w:pPr>
    </w:p>
    <w:tbl>
      <w:tblPr>
        <w:tblLayout w:type="fixed"/>
        <w:tblInd w:w="900" w:type="dxa"/>
        <w:tblCellMar>
          <w:top w:w="0" w:type="dxa"/>
          <w:left w:w="0" w:type="dxa"/>
          <w:bottom w:w="0" w:type="dxa"/>
          <w:right w:w="0" w:type="dxa"/>
        </w:tblCellMar>
      </w:tblPr>
      <w:tr>
        <w:trPr>
          <w:trHeight w:val="474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 and may be changed. This prospectus supplement is not an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sale is not permitted.</w:t>
            </w:r>
          </w:p>
        </w:tc>
      </w:tr>
      <w:tr>
        <w:trPr>
          <w:trHeight w:val="5501"/>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to an effective registration statement under the Securities Act of 1933, but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not soliciting an offer to buy these securities in any jurisdiction where the offer or</w:t>
            </w:r>
          </w:p>
        </w:tc>
      </w:tr>
      <w:tr>
        <w:trPr>
          <w:trHeight w:val="213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relates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to sell these securities and it is</w:t>
            </w:r>
          </w:p>
        </w:tc>
      </w:tr>
      <w:tr>
        <w:trPr>
          <w:trHeight w:val="335"/>
        </w:trPr>
        <w:tc>
          <w:tcPr>
            <w:tcW w:w="280" w:type="dxa"/>
            <w:vAlign w:val="bottom"/>
            <w:gridSpan w:val="2"/>
            <w:textDirection w:val="btLr"/>
          </w:tcPr>
          <w:p>
            <w:pPr>
              <w:ind w:left="165"/>
              <w:spacing w:after="0"/>
              <w:rPr>
                <w:sz w:val="20"/>
                <w:szCs w:val="20"/>
                <w:color w:val="auto"/>
              </w:rPr>
            </w:pPr>
            <w:r>
              <w:rPr>
                <w:rFonts w:ascii="Arial" w:cs="Arial" w:eastAsia="Arial" w:hAnsi="Arial"/>
                <w:sz w:val="10"/>
                <w:szCs w:val="10"/>
                <w:b w:val="1"/>
                <w:bCs w:val="1"/>
                <w:color w:val="FC0014"/>
                <w:w w:val="70"/>
              </w:rPr>
              <w:t>Thisoffer</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Registration No. 333-238149</w:t>
      </w:r>
    </w:p>
    <w:p>
      <w:pPr>
        <w:spacing w:after="0" w:line="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FC0014"/>
        </w:rPr>
        <w:t>SUBJECT TO COMPLETION, DATED SEPTEMBER 24, 2020</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May 11, 2020)</w:t>
      </w:r>
    </w:p>
    <w:p>
      <w:pPr>
        <w:spacing w:after="0" w:line="19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14,000,000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1187450</wp:posOffset>
            </wp:positionH>
            <wp:positionV relativeFrom="paragraph">
              <wp:posOffset>127000</wp:posOffset>
            </wp:positionV>
            <wp:extent cx="2846070" cy="831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31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PENN NATIONAL GAMING,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1993265</wp:posOffset>
            </wp:positionH>
            <wp:positionV relativeFrom="paragraph">
              <wp:posOffset>173355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right="479" w:firstLine="360"/>
        <w:spacing w:after="0" w:line="258" w:lineRule="auto"/>
        <w:rPr>
          <w:sz w:val="20"/>
          <w:szCs w:val="20"/>
          <w:color w:val="auto"/>
        </w:rPr>
      </w:pPr>
      <w:r>
        <w:rPr>
          <w:rFonts w:ascii="Times New Roman" w:cs="Times New Roman" w:eastAsia="Times New Roman" w:hAnsi="Times New Roman"/>
          <w:sz w:val="18"/>
          <w:szCs w:val="18"/>
          <w:color w:val="auto"/>
        </w:rPr>
        <w:t>We are offering 14,000,000 common shares, $0.01 par value per share (the “Offering”). Throughout this prospectus supplement, we refer to our common stock, $0.01 par value per share, as our “common stock” and shares of our common stock as our “common shares.” We have also granted the underwriters an option to purchase up to 2,100,000 additional common shares from us at the public offering price, less the underwriting discount, within 30 days from the date of this prospectus supplement.</w:t>
      </w:r>
    </w:p>
    <w:p>
      <w:pPr>
        <w:spacing w:after="0" w:line="116" w:lineRule="exact"/>
        <w:rPr>
          <w:sz w:val="24"/>
          <w:szCs w:val="24"/>
          <w:color w:val="auto"/>
        </w:rPr>
      </w:pPr>
    </w:p>
    <w:p>
      <w:pPr>
        <w:ind w:right="519" w:firstLine="360"/>
        <w:spacing w:after="0" w:line="261"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“PENN.” The common shares offered hereby will be listed on the NASDAQ Global Select Market. The last reported closing price of our common shares on the NASDAQ Global Select Market on September 23, 2020 was $69.00 per share.</w:t>
      </w:r>
    </w:p>
    <w:p>
      <w:pPr>
        <w:spacing w:after="0" w:line="99" w:lineRule="exact"/>
        <w:rPr>
          <w:sz w:val="24"/>
          <w:szCs w:val="24"/>
          <w:color w:val="auto"/>
        </w:rPr>
      </w:pPr>
    </w:p>
    <w:p>
      <w:pPr>
        <w:ind w:right="35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Offering for general corporate purposes, which may include, among other things, investments in long-term growth initiatives, our brick and mortar properties and our omni-channel strategy.</w:t>
      </w:r>
    </w:p>
    <w:p>
      <w:pPr>
        <w:spacing w:after="0" w:line="104" w:lineRule="exact"/>
        <w:rPr>
          <w:sz w:val="24"/>
          <w:szCs w:val="24"/>
          <w:color w:val="auto"/>
        </w:rPr>
      </w:pPr>
    </w:p>
    <w:p>
      <w:pPr>
        <w:ind w:right="5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any state securities commission, any state gaming commission or any other gaming authority or other regulatory agency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1993265</wp:posOffset>
            </wp:positionH>
            <wp:positionV relativeFrom="paragraph">
              <wp:posOffset>203200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7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6"/>
                <w:szCs w:val="26"/>
                <w:color w:val="auto"/>
                <w:vertAlign w:val="superscript"/>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0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-505460</wp:posOffset>
            </wp:positionV>
            <wp:extent cx="4834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145415</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See “Underwriting” for a description of the compensation payable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1993265</wp:posOffset>
            </wp:positionH>
            <wp:positionV relativeFrom="paragraph">
              <wp:posOffset>231775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519" w:firstLine="360"/>
        <w:spacing w:after="0" w:line="31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Investing in our common shares involves risks. Please carefully consider the “Risk Factors” beginning on page </w:t>
      </w:r>
      <w:hyperlink w:anchor="page11">
        <w:r>
          <w:rPr>
            <w:rFonts w:ascii="Times New Roman" w:cs="Times New Roman" w:eastAsia="Times New Roman" w:hAnsi="Times New Roman"/>
            <w:sz w:val="17"/>
            <w:szCs w:val="17"/>
            <w:b w:val="1"/>
            <w:bCs w:val="1"/>
            <w:u w:val="single" w:color="auto"/>
            <w:color w:val="0000EE"/>
          </w:rPr>
          <w:t>S-4</w:t>
        </w:r>
        <w:r>
          <w:rPr>
            <w:rFonts w:ascii="Times New Roman" w:cs="Times New Roman" w:eastAsia="Times New Roman" w:hAnsi="Times New Roman"/>
            <w:sz w:val="17"/>
            <w:szCs w:val="17"/>
            <w:b w:val="1"/>
            <w:bCs w:val="1"/>
            <w:u w:val="single" w:color="auto"/>
            <w:color w:val="auto"/>
          </w:rPr>
          <w:t xml:space="preserve"> </w:t>
        </w:r>
      </w:hyperlink>
      <w:r>
        <w:rPr>
          <w:rFonts w:ascii="Times New Roman" w:cs="Times New Roman" w:eastAsia="Times New Roman" w:hAnsi="Times New Roman"/>
          <w:sz w:val="17"/>
          <w:szCs w:val="17"/>
          <w:b w:val="1"/>
          <w:bCs w:val="1"/>
          <w:color w:val="auto"/>
        </w:rPr>
        <w:t>and the “Risk Factors” section contained in the documents incorporated by reference herein.</w:t>
      </w:r>
    </w:p>
    <w:p>
      <w:pPr>
        <w:spacing w:after="0" w:line="68" w:lineRule="exact"/>
        <w:rPr>
          <w:sz w:val="24"/>
          <w:szCs w:val="24"/>
          <w:color w:val="auto"/>
        </w:rPr>
      </w:pPr>
    </w:p>
    <w:tbl>
      <w:tblPr>
        <w:tblLayout w:type="fixed"/>
        <w:tblInd w:w="36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common shares on or about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1993265</wp:posOffset>
            </wp:positionH>
            <wp:positionV relativeFrom="paragraph">
              <wp:posOffset>214630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spacing w:after="0"/>
        <w:tabs>
          <w:tab w:leader="none" w:pos="3340" w:val="left"/>
          <w:tab w:leader="none" w:pos="7020" w:val="left"/>
        </w:tabs>
        <w:rPr>
          <w:sz w:val="20"/>
          <w:szCs w:val="20"/>
          <w:color w:val="auto"/>
        </w:rPr>
      </w:pPr>
      <w:r>
        <w:rPr>
          <w:rFonts w:ascii="Times New Roman" w:cs="Times New Roman" w:eastAsia="Times New Roman" w:hAnsi="Times New Roman"/>
          <w:sz w:val="23"/>
          <w:szCs w:val="23"/>
          <w:b w:val="1"/>
          <w:bCs w:val="1"/>
          <w:color w:val="auto"/>
        </w:rPr>
        <w:t>Goldman Sachs &amp; Co. LLC</w:t>
      </w:r>
      <w:r>
        <w:rPr>
          <w:sz w:val="20"/>
          <w:szCs w:val="20"/>
          <w:color w:val="auto"/>
        </w:rPr>
        <w:tab/>
      </w:r>
      <w:r>
        <w:rPr>
          <w:rFonts w:ascii="Times New Roman" w:cs="Times New Roman" w:eastAsia="Times New Roman" w:hAnsi="Times New Roman"/>
          <w:sz w:val="23"/>
          <w:szCs w:val="23"/>
          <w:b w:val="1"/>
          <w:bCs w:val="1"/>
          <w:color w:val="auto"/>
        </w:rPr>
        <w:t>BofA Securities</w:t>
      </w:r>
      <w:r>
        <w:rPr>
          <w:sz w:val="20"/>
          <w:szCs w:val="20"/>
          <w:color w:val="auto"/>
        </w:rPr>
        <w:tab/>
      </w:r>
      <w:r>
        <w:rPr>
          <w:rFonts w:ascii="Times New Roman" w:cs="Times New Roman" w:eastAsia="Times New Roman" w:hAnsi="Times New Roman"/>
          <w:sz w:val="21"/>
          <w:szCs w:val="21"/>
          <w:b w:val="1"/>
          <w:bCs w:val="1"/>
          <w:color w:val="auto"/>
        </w:rPr>
        <w:t>J.P. Morgan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1993265</wp:posOffset>
            </wp:positionH>
            <wp:positionV relativeFrom="paragraph">
              <wp:posOffset>172085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430" w:lineRule="exact"/>
        <w:rPr>
          <w:sz w:val="24"/>
          <w:szCs w:val="24"/>
          <w:color w:val="auto"/>
        </w:rPr>
      </w:pPr>
    </w:p>
    <w:p>
      <w:pPr>
        <w:sectPr>
          <w:pgSz w:w="11900" w:h="16838" w:orient="portrait"/>
          <w:cols w:equalWidth="0" w:num="2">
            <w:col w:w="1180" w:space="400"/>
            <w:col w:w="8559"/>
          </w:cols>
          <w:pgMar w:left="320" w:top="222" w:right="1440" w:bottom="1440" w:gutter="0" w:footer="0" w:header="0"/>
          <w:type w:val="continuous"/>
        </w:sectPr>
      </w:pPr>
    </w:p>
    <w:p>
      <w:pPr>
        <w:spacing w:after="0" w:line="210" w:lineRule="exact"/>
        <w:rPr>
          <w:sz w:val="24"/>
          <w:szCs w:val="24"/>
          <w:color w:val="auto"/>
        </w:rPr>
      </w:pPr>
    </w:p>
    <w:p>
      <w:pPr>
        <w:ind w:left="3500"/>
        <w:spacing w:after="0"/>
        <w:tabs>
          <w:tab w:leader="none" w:pos="7400" w:val="left"/>
        </w:tabs>
        <w:rPr>
          <w:sz w:val="20"/>
          <w:szCs w:val="20"/>
          <w:color w:val="auto"/>
        </w:rPr>
      </w:pPr>
      <w:r>
        <w:rPr>
          <w:rFonts w:ascii="Times New Roman" w:cs="Times New Roman" w:eastAsia="Times New Roman" w:hAnsi="Times New Roman"/>
          <w:sz w:val="18"/>
          <w:szCs w:val="18"/>
          <w:b w:val="1"/>
          <w:bCs w:val="1"/>
          <w:color w:val="auto"/>
        </w:rPr>
        <w:t>The date of this prospectus supplement is</w:t>
      </w:r>
      <w:r>
        <w:rPr>
          <w:sz w:val="20"/>
          <w:szCs w:val="20"/>
          <w:color w:val="auto"/>
        </w:rPr>
        <w:tab/>
      </w:r>
      <w:r>
        <w:rPr>
          <w:rFonts w:ascii="Times New Roman" w:cs="Times New Roman" w:eastAsia="Times New Roman" w:hAnsi="Times New Roman"/>
          <w:sz w:val="16"/>
          <w:szCs w:val="16"/>
          <w:b w:val="1"/>
          <w:bCs w:val="1"/>
          <w:color w:val="auto"/>
        </w:rPr>
        <w:t>,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22"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8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5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ABOUT THIS PROSPECTUS SUPPLEMENT</w:t>
              </w:r>
            </w:hyperlink>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S-ii</w:t>
              </w:r>
            </w:hyperlink>
          </w:p>
        </w:tc>
      </w:tr>
      <w:tr>
        <w:trPr>
          <w:trHeight w:val="23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TRADEMARKS</w:t>
              </w:r>
            </w:hyperlink>
          </w:p>
        </w:tc>
        <w:tc>
          <w:tcPr>
            <w:tcW w:w="40" w:type="dxa"/>
            <w:vAlign w:val="bottom"/>
          </w:tcPr>
          <w:p>
            <w:pPr>
              <w:spacing w:after="0"/>
              <w:rPr>
                <w:sz w:val="19"/>
                <w:szCs w:val="19"/>
                <w:color w:val="auto"/>
              </w:rPr>
            </w:pPr>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S-ii</w:t>
              </w:r>
            </w:hyperlink>
          </w:p>
        </w:tc>
      </w:tr>
      <w:tr>
        <w:trPr>
          <w:trHeight w:val="229"/>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NON-GAAP FINANCIAL MEASURES</w:t>
              </w:r>
            </w:hyperlink>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S-ii</w:t>
              </w:r>
            </w:hyperlink>
          </w:p>
        </w:tc>
      </w:tr>
      <w:tr>
        <w:trPr>
          <w:trHeight w:val="203"/>
        </w:trPr>
        <w:tc>
          <w:tcPr>
            <w:tcW w:w="7360" w:type="dxa"/>
            <w:vAlign w:val="bottom"/>
            <w:tcBorders>
              <w:bottom w:val="single" w:sz="8" w:color="0000EE"/>
            </w:tcBorders>
            <w:gridSpan w:val="5"/>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IMPORTANT INFORMATION AND CAUTIONARY STATEMENT REGARDING FORWARD-</w:t>
              </w:r>
            </w:hyperlink>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660" w:type="dxa"/>
            <w:vAlign w:val="bottom"/>
            <w:gridSpan w:val="5"/>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LOOKING STATEMENTS</w:t>
              </w:r>
            </w:hyperlink>
          </w:p>
        </w:tc>
        <w:tc>
          <w:tcPr>
            <w:tcW w:w="40" w:type="dxa"/>
            <w:vAlign w:val="bottom"/>
          </w:tcPr>
          <w:p>
            <w:pPr>
              <w:spacing w:after="0"/>
              <w:rPr>
                <w:sz w:val="17"/>
                <w:szCs w:val="17"/>
                <w:color w:val="auto"/>
              </w:rPr>
            </w:pPr>
          </w:p>
        </w:tc>
        <w:tc>
          <w:tcPr>
            <w:tcW w:w="340" w:type="dxa"/>
            <w:vAlign w:val="bottom"/>
          </w:tcPr>
          <w:p>
            <w:pPr>
              <w:jc w:val="center"/>
              <w:spacing w:after="0" w:line="196" w:lineRule="exact"/>
              <w:rPr>
                <w:rFonts w:ascii="Times New Roman" w:cs="Times New Roman" w:eastAsia="Times New Roman" w:hAnsi="Times New Roman"/>
                <w:sz w:val="18"/>
                <w:szCs w:val="18"/>
                <w:u w:val="single" w:color="auto"/>
                <w:color w:val="0000EE"/>
                <w:w w:val="99"/>
              </w:rPr>
            </w:pPr>
            <w:hyperlink w:anchor="page6">
              <w:r>
                <w:rPr>
                  <w:rFonts w:ascii="Times New Roman" w:cs="Times New Roman" w:eastAsia="Times New Roman" w:hAnsi="Times New Roman"/>
                  <w:sz w:val="18"/>
                  <w:szCs w:val="18"/>
                  <w:u w:val="single" w:color="auto"/>
                  <w:color w:val="0000EE"/>
                  <w:w w:val="99"/>
                </w:rPr>
                <w:t>S-vi</w:t>
              </w:r>
            </w:hyperlink>
          </w:p>
        </w:tc>
      </w:tr>
      <w:tr>
        <w:trPr>
          <w:trHeight w:val="21"/>
        </w:trPr>
        <w:tc>
          <w:tcPr>
            <w:tcW w:w="1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9"/>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SUMMARY</w:t>
              </w:r>
            </w:hyperlink>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S-1</w:t>
              </w:r>
            </w:hyperlink>
          </w:p>
        </w:tc>
      </w:tr>
      <w:tr>
        <w:trPr>
          <w:trHeight w:val="229"/>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THIS OFFERING</w:t>
              </w:r>
            </w:hyperlink>
          </w:p>
        </w:tc>
        <w:tc>
          <w:tcPr>
            <w:tcW w:w="40" w:type="dxa"/>
            <w:vAlign w:val="bottom"/>
          </w:tcPr>
          <w:p>
            <w:pPr>
              <w:spacing w:after="0"/>
              <w:rPr>
                <w:sz w:val="19"/>
                <w:szCs w:val="19"/>
                <w:color w:val="auto"/>
              </w:rPr>
            </w:pPr>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S-3</w:t>
              </w:r>
            </w:hyperlink>
          </w:p>
        </w:tc>
      </w:tr>
      <w:tr>
        <w:trPr>
          <w:trHeight w:val="23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RISK FACTORS</w:t>
              </w:r>
            </w:hyperlink>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S-4</w:t>
              </w:r>
            </w:hyperlink>
          </w:p>
        </w:tc>
      </w:tr>
      <w:tr>
        <w:trPr>
          <w:trHeight w:val="229"/>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USE OF PROCEEDS</w:t>
              </w:r>
            </w:hyperlink>
          </w:p>
        </w:tc>
        <w:tc>
          <w:tcPr>
            <w:tcW w:w="40" w:type="dxa"/>
            <w:vAlign w:val="bottom"/>
          </w:tcPr>
          <w:p>
            <w:pPr>
              <w:spacing w:after="0"/>
              <w:rPr>
                <w:sz w:val="19"/>
                <w:szCs w:val="19"/>
                <w:color w:val="auto"/>
              </w:rPr>
            </w:pPr>
          </w:p>
        </w:tc>
        <w:tc>
          <w:tcPr>
            <w:tcW w:w="340" w:type="dxa"/>
            <w:vAlign w:val="bottom"/>
          </w:tcPr>
          <w:p>
            <w:pPr>
              <w:jc w:val="right"/>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S-9</w:t>
              </w:r>
            </w:hyperlink>
          </w:p>
        </w:tc>
      </w:tr>
      <w:tr>
        <w:trPr>
          <w:trHeight w:val="23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DESCRIPTION OF COMMON STOCK</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17">
              <w:r>
                <w:rPr>
                  <w:rFonts w:ascii="Times New Roman" w:cs="Times New Roman" w:eastAsia="Times New Roman" w:hAnsi="Times New Roman"/>
                  <w:sz w:val="18"/>
                  <w:szCs w:val="18"/>
                  <w:u w:val="single" w:color="auto"/>
                  <w:color w:val="0000EE"/>
                  <w:w w:val="99"/>
                </w:rPr>
                <w:t>S-10</w:t>
              </w:r>
            </w:hyperlink>
          </w:p>
        </w:tc>
      </w:tr>
      <w:tr>
        <w:trPr>
          <w:trHeight w:val="229"/>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DIVIDEND POLICY</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99"/>
              </w:rPr>
            </w:pPr>
            <w:hyperlink w:anchor="page21">
              <w:r>
                <w:rPr>
                  <w:rFonts w:ascii="Times New Roman" w:cs="Times New Roman" w:eastAsia="Times New Roman" w:hAnsi="Times New Roman"/>
                  <w:sz w:val="18"/>
                  <w:szCs w:val="18"/>
                  <w:u w:val="single" w:color="auto"/>
                  <w:color w:val="0000EE"/>
                  <w:w w:val="99"/>
                </w:rPr>
                <w:t>S-14</w:t>
              </w:r>
            </w:hyperlink>
          </w:p>
        </w:tc>
      </w:tr>
      <w:tr>
        <w:trPr>
          <w:trHeight w:val="229"/>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CAPITALIZATION</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2">
              <w:r>
                <w:rPr>
                  <w:rFonts w:ascii="Times New Roman" w:cs="Times New Roman" w:eastAsia="Times New Roman" w:hAnsi="Times New Roman"/>
                  <w:sz w:val="18"/>
                  <w:szCs w:val="18"/>
                  <w:u w:val="single" w:color="auto"/>
                  <w:color w:val="0000EE"/>
                  <w:w w:val="99"/>
                </w:rPr>
                <w:t>S-15</w:t>
              </w:r>
            </w:hyperlink>
          </w:p>
        </w:tc>
      </w:tr>
      <w:tr>
        <w:trPr>
          <w:trHeight w:val="203"/>
        </w:trPr>
        <w:tc>
          <w:tcPr>
            <w:tcW w:w="7240" w:type="dxa"/>
            <w:vAlign w:val="bottom"/>
            <w:tcBorders>
              <w:bottom w:val="single" w:sz="8" w:color="0000EE"/>
            </w:tcBorders>
            <w:gridSpan w:val="4"/>
          </w:tcPr>
          <w:p>
            <w:pPr>
              <w:spacing w:after="0" w:line="202"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MATERIAL U.S. FEDERAL INCOME TAX CONSIDERATIONS FOR NON-U.S. HOLDERS</w:t>
              </w:r>
            </w:hyperlink>
          </w:p>
        </w:tc>
        <w:tc>
          <w:tcPr>
            <w:tcW w:w="6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660" w:type="dxa"/>
            <w:vAlign w:val="bottom"/>
            <w:gridSpan w:val="5"/>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OF COMMON STOCK</w:t>
              </w:r>
            </w:hyperlink>
          </w:p>
        </w:tc>
        <w:tc>
          <w:tcPr>
            <w:tcW w:w="380" w:type="dxa"/>
            <w:vAlign w:val="bottom"/>
            <w:gridSpan w:val="2"/>
          </w:tcPr>
          <w:p>
            <w:pPr>
              <w:jc w:val="center"/>
              <w:spacing w:after="0" w:line="196" w:lineRule="exact"/>
              <w:rPr>
                <w:rFonts w:ascii="Times New Roman" w:cs="Times New Roman" w:eastAsia="Times New Roman" w:hAnsi="Times New Roman"/>
                <w:sz w:val="18"/>
                <w:szCs w:val="18"/>
                <w:u w:val="single" w:color="auto"/>
                <w:color w:val="0000EE"/>
                <w:w w:val="99"/>
              </w:rPr>
            </w:pPr>
            <w:hyperlink w:anchor="page24">
              <w:r>
                <w:rPr>
                  <w:rFonts w:ascii="Times New Roman" w:cs="Times New Roman" w:eastAsia="Times New Roman" w:hAnsi="Times New Roman"/>
                  <w:sz w:val="18"/>
                  <w:szCs w:val="18"/>
                  <w:u w:val="single" w:color="auto"/>
                  <w:color w:val="0000EE"/>
                  <w:w w:val="99"/>
                </w:rPr>
                <w:t>S-17</w:t>
              </w:r>
            </w:hyperlink>
          </w:p>
        </w:tc>
      </w:tr>
      <w:tr>
        <w:trPr>
          <w:trHeight w:val="20"/>
        </w:trPr>
        <w:tc>
          <w:tcPr>
            <w:tcW w:w="180" w:type="dxa"/>
            <w:vAlign w:val="bottom"/>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9"/>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UNDERWRITING</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27">
              <w:r>
                <w:rPr>
                  <w:rFonts w:ascii="Times New Roman" w:cs="Times New Roman" w:eastAsia="Times New Roman" w:hAnsi="Times New Roman"/>
                  <w:sz w:val="18"/>
                  <w:szCs w:val="18"/>
                  <w:u w:val="single" w:color="auto"/>
                  <w:color w:val="0000EE"/>
                  <w:w w:val="99"/>
                </w:rPr>
                <w:t>S-20</w:t>
              </w:r>
            </w:hyperlink>
          </w:p>
        </w:tc>
      </w:tr>
      <w:tr>
        <w:trPr>
          <w:trHeight w:val="23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LEGAL MATTERS</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99"/>
              </w:rPr>
            </w:pPr>
            <w:hyperlink w:anchor="page33">
              <w:r>
                <w:rPr>
                  <w:rFonts w:ascii="Times New Roman" w:cs="Times New Roman" w:eastAsia="Times New Roman" w:hAnsi="Times New Roman"/>
                  <w:sz w:val="18"/>
                  <w:szCs w:val="18"/>
                  <w:u w:val="single" w:color="auto"/>
                  <w:color w:val="0000EE"/>
                  <w:w w:val="99"/>
                </w:rPr>
                <w:t>S-26</w:t>
              </w:r>
            </w:hyperlink>
          </w:p>
        </w:tc>
      </w:tr>
      <w:tr>
        <w:trPr>
          <w:trHeight w:val="229"/>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EXPERTS</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34">
              <w:r>
                <w:rPr>
                  <w:rFonts w:ascii="Times New Roman" w:cs="Times New Roman" w:eastAsia="Times New Roman" w:hAnsi="Times New Roman"/>
                  <w:sz w:val="18"/>
                  <w:szCs w:val="18"/>
                  <w:u w:val="single" w:color="auto"/>
                  <w:color w:val="0000EE"/>
                  <w:w w:val="99"/>
                </w:rPr>
                <w:t>S-27</w:t>
              </w:r>
            </w:hyperlink>
          </w:p>
        </w:tc>
      </w:tr>
      <w:tr>
        <w:trPr>
          <w:trHeight w:val="23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WHERE YOU CAN FIND ADDITIONAL INFORMATION</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99"/>
              </w:rPr>
            </w:pPr>
            <w:hyperlink w:anchor="page35">
              <w:r>
                <w:rPr>
                  <w:rFonts w:ascii="Times New Roman" w:cs="Times New Roman" w:eastAsia="Times New Roman" w:hAnsi="Times New Roman"/>
                  <w:sz w:val="18"/>
                  <w:szCs w:val="18"/>
                  <w:u w:val="single" w:color="auto"/>
                  <w:color w:val="0000EE"/>
                  <w:w w:val="99"/>
                </w:rPr>
                <w:t>S-28</w:t>
              </w:r>
            </w:hyperlink>
          </w:p>
        </w:tc>
      </w:tr>
      <w:tr>
        <w:trPr>
          <w:trHeight w:val="243"/>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INCORPORATION OF CERTAIN DOCUMENTS BY REFERENCE</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99"/>
              </w:rPr>
            </w:pPr>
            <w:hyperlink w:anchor="page36">
              <w:r>
                <w:rPr>
                  <w:rFonts w:ascii="Times New Roman" w:cs="Times New Roman" w:eastAsia="Times New Roman" w:hAnsi="Times New Roman"/>
                  <w:sz w:val="18"/>
                  <w:szCs w:val="18"/>
                  <w:u w:val="single" w:color="auto"/>
                  <w:color w:val="0000EE"/>
                  <w:w w:val="99"/>
                </w:rPr>
                <w:t>S-29</w:t>
              </w:r>
            </w:hyperlink>
          </w:p>
        </w:tc>
      </w:tr>
      <w:tr>
        <w:trPr>
          <w:trHeight w:val="400"/>
        </w:trPr>
        <w:tc>
          <w:tcPr>
            <w:tcW w:w="1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8"/>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About This Prospectus</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38">
              <w:r>
                <w:rPr>
                  <w:rFonts w:ascii="Times New Roman" w:cs="Times New Roman" w:eastAsia="Times New Roman" w:hAnsi="Times New Roman"/>
                  <w:sz w:val="18"/>
                  <w:szCs w:val="18"/>
                  <w:u w:val="single" w:color="auto"/>
                  <w:color w:val="0000EE"/>
                  <w:w w:val="88"/>
                </w:rPr>
                <w:t>1</w:t>
              </w:r>
            </w:hyperlink>
          </w:p>
        </w:tc>
      </w:tr>
      <w:tr>
        <w:trPr>
          <w:trHeight w:val="23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Where You Can Find More Information</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88"/>
              </w:rPr>
            </w:pPr>
            <w:hyperlink w:anchor="page39">
              <w:r>
                <w:rPr>
                  <w:rFonts w:ascii="Times New Roman" w:cs="Times New Roman" w:eastAsia="Times New Roman" w:hAnsi="Times New Roman"/>
                  <w:sz w:val="18"/>
                  <w:szCs w:val="18"/>
                  <w:u w:val="single" w:color="auto"/>
                  <w:color w:val="0000EE"/>
                  <w:w w:val="88"/>
                </w:rPr>
                <w:t>2</w:t>
              </w:r>
            </w:hyperlink>
          </w:p>
        </w:tc>
      </w:tr>
      <w:tr>
        <w:trPr>
          <w:trHeight w:val="23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Forward-Looking Statements</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0">
              <w:r>
                <w:rPr>
                  <w:rFonts w:ascii="Times New Roman" w:cs="Times New Roman" w:eastAsia="Times New Roman" w:hAnsi="Times New Roman"/>
                  <w:sz w:val="18"/>
                  <w:szCs w:val="18"/>
                  <w:u w:val="single" w:color="auto"/>
                  <w:color w:val="0000EE"/>
                  <w:w w:val="88"/>
                </w:rPr>
                <w:t>3</w:t>
              </w:r>
            </w:hyperlink>
          </w:p>
        </w:tc>
      </w:tr>
      <w:tr>
        <w:trPr>
          <w:trHeight w:val="23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The Company</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3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Industry and Market Data</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29"/>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Risk Factors</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3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Use of Proceeds</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30"/>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Description of Common Stock, Preferred Stock, Depositary Shares and Debt Securities</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30"/>
        </w:trPr>
        <w:tc>
          <w:tcPr>
            <w:tcW w:w="7840" w:type="dxa"/>
            <w:vAlign w:val="bottom"/>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Legal Matters</w:t>
              </w:r>
            </w:hyperlink>
          </w:p>
        </w:tc>
        <w:tc>
          <w:tcPr>
            <w:tcW w:w="380" w:type="dxa"/>
            <w:vAlign w:val="bottom"/>
            <w:gridSpan w:val="2"/>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3">
              <w:r>
                <w:rPr>
                  <w:rFonts w:ascii="Times New Roman" w:cs="Times New Roman" w:eastAsia="Times New Roman" w:hAnsi="Times New Roman"/>
                  <w:sz w:val="18"/>
                  <w:szCs w:val="18"/>
                  <w:u w:val="single" w:color="auto"/>
                  <w:color w:val="0000EE"/>
                  <w:w w:val="88"/>
                </w:rPr>
                <w:t>6</w:t>
              </w:r>
            </w:hyperlink>
          </w:p>
        </w:tc>
      </w:tr>
      <w:tr>
        <w:trPr>
          <w:trHeight w:val="257"/>
        </w:trPr>
        <w:tc>
          <w:tcPr>
            <w:tcW w:w="7840" w:type="dxa"/>
            <w:vAlign w:val="bottom"/>
            <w:gridSpan w:val="6"/>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Experts</w:t>
              </w:r>
            </w:hyperlink>
          </w:p>
        </w:tc>
        <w:tc>
          <w:tcPr>
            <w:tcW w:w="380" w:type="dxa"/>
            <w:vAlign w:val="bottom"/>
            <w:gridSpan w:val="2"/>
          </w:tcPr>
          <w:p>
            <w:pPr>
              <w:jc w:val="center"/>
              <w:spacing w:after="0"/>
              <w:rPr>
                <w:rFonts w:ascii="Times New Roman" w:cs="Times New Roman" w:eastAsia="Times New Roman" w:hAnsi="Times New Roman"/>
                <w:sz w:val="18"/>
                <w:szCs w:val="18"/>
                <w:u w:val="single" w:color="auto"/>
                <w:color w:val="0000EE"/>
                <w:w w:val="88"/>
              </w:rPr>
            </w:pPr>
            <w:hyperlink w:anchor="page43">
              <w:r>
                <w:rPr>
                  <w:rFonts w:ascii="Times New Roman" w:cs="Times New Roman" w:eastAsia="Times New Roman" w:hAnsi="Times New Roman"/>
                  <w:sz w:val="18"/>
                  <w:szCs w:val="18"/>
                  <w:u w:val="single" w:color="auto"/>
                  <w:color w:val="0000EE"/>
                  <w:w w:val="88"/>
                </w:rPr>
                <w:t>6</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-4525645</wp:posOffset>
            </wp:positionV>
            <wp:extent cx="4980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803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-1482725</wp:posOffset>
            </wp:positionV>
            <wp:extent cx="5006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79"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in this prospectus supplement or in any free writing prospectus prepared by or on behalf of us or to which we may have referred you. We do not take any responsibility for, and can provide no assurance as to the reliability of, any other information that others may give you. We have not authorized any other person to provide you with different or additional information, and we are not making an offer to sell or transfer the common shares in any jurisdiction where the offer or sale is not permitted. You should assume that the information appearing in this prospectus supplement is accurate only as of the date on the front cover of this prospectus supplement, regardless of the time of delivery of the prospectus supplement or any sale of the common shares. Our business, financial condition, results of operations and prospects may have changed since the date on the front cover of this prospectus supplement.</w:t>
      </w:r>
    </w:p>
    <w:p>
      <w:pPr>
        <w:spacing w:after="0" w:line="118" w:lineRule="exact"/>
        <w:rPr>
          <w:sz w:val="20"/>
          <w:szCs w:val="20"/>
          <w:color w:val="auto"/>
        </w:rPr>
      </w:pPr>
    </w:p>
    <w:p>
      <w:pPr>
        <w:ind w:left="1260" w:right="9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of the United States, we have not done anything that would permit this offering or possession or distribution of this prospectus supplement in any jurisdiction where action for that purpose is required, other than in the United States. You are required to inform yourselves about and to observe any restrictions relating to this offering and the distribution of this prospectus supplement outside of the United States.</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This document has two parts, a prospectus supplement and an accompanying prospectus. This prospectus supplement and the accompanying prospectus are part of a registration statement on Form S-3 (File no. 333-238149) that we filed with the Securities and Exchange Commission (the “SEC”) using the SEC’s “shelf” registration process. This prospectus supplement, which describes certain matters relating to us and the specific terms of the Offering, adds to and updates information contained in the accompanying prospectus. Generally, when we refer to this document, we are referring to both parts of this document combined. Both this prospectus supplement and the accompanying prospectus include important information about us, our common shares and other information you should know before investing in our common shares. The accompanying prospectus gives more general information, some of which may not apply to the common shares offered by this prospectus supplement and the accompanying prospectus. To the extent the information contained in this prospectus supplement differs or varies from the information contained in the accompanying prospectus, you should rely on the information contained in this prospectus supplement.</w:t>
      </w:r>
    </w:p>
    <w:p>
      <w:pPr>
        <w:spacing w:after="0" w:line="126"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Before purchasing any common shares, you should read carefully both this prospectus supplement and the accompanying prospectus, together with the documents incorporated or deemed incorporated by reference herein and therein (as described below under the heading “Incorporation of Certain Documents by Reference”), any related free writing prospectus and the additional information described below under the heading “Where You Can Find Additional Information.”</w:t>
      </w:r>
    </w:p>
    <w:p>
      <w:pPr>
        <w:spacing w:after="0" w:line="117" w:lineRule="exact"/>
        <w:rPr>
          <w:sz w:val="20"/>
          <w:szCs w:val="20"/>
          <w:color w:val="auto"/>
        </w:rPr>
      </w:pPr>
    </w:p>
    <w:p>
      <w:pPr>
        <w:ind w:left="1260" w:right="1119" w:firstLine="360"/>
        <w:spacing w:after="0" w:line="250" w:lineRule="auto"/>
        <w:rPr>
          <w:sz w:val="20"/>
          <w:szCs w:val="20"/>
          <w:color w:val="auto"/>
        </w:rPr>
      </w:pPr>
      <w:r>
        <w:rPr>
          <w:rFonts w:ascii="Times New Roman" w:cs="Times New Roman" w:eastAsia="Times New Roman" w:hAnsi="Times New Roman"/>
          <w:sz w:val="18"/>
          <w:szCs w:val="18"/>
          <w:color w:val="auto"/>
        </w:rPr>
        <w:t>Unless the context requires otherwise, references to “Penn National,” the “Company,” “we,” “us,” “our” or similar terms are to Penn National Gaming, Inc. and its subsidiaries. References to “$” and “dollars” are to United States dollars.</w:t>
      </w:r>
    </w:p>
    <w:p>
      <w:pPr>
        <w:spacing w:after="0" w:line="17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We have proprietary rights to trademarks used in the information incorporated by reference into this prospectus supplement, which are important to our business, many of which are registered under applicable intellectual property laws. Solely for convenience, trademarks and trade names referred to in the information incorporated by reference in this prospectus supplement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supplement is the property of its respective holder.</w:t>
      </w:r>
    </w:p>
    <w:p>
      <w:pPr>
        <w:spacing w:after="0" w:line="29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The Non-GAAP Financial Measures used in this prospectus supplement include Adjusted EBITDA, Adjusted EBITDAR, and Adjusted EBITDAR margin. These non-GAAP financial measures should not be considered a substitute for, nor superior to, financial results and measures determined or calculated in accordance with GAAP.</w:t>
      </w:r>
    </w:p>
    <w:p>
      <w:pPr>
        <w:spacing w:after="0" w:line="113" w:lineRule="exact"/>
        <w:rPr>
          <w:sz w:val="20"/>
          <w:szCs w:val="20"/>
          <w:color w:val="auto"/>
        </w:rPr>
      </w:pPr>
    </w:p>
    <w:p>
      <w:pPr>
        <w:ind w:left="1260" w:right="719" w:firstLine="360"/>
        <w:spacing w:after="0" w:line="237" w:lineRule="auto"/>
        <w:rPr>
          <w:sz w:val="20"/>
          <w:szCs w:val="20"/>
          <w:color w:val="auto"/>
        </w:rPr>
      </w:pPr>
      <w:r>
        <w:rPr>
          <w:rFonts w:ascii="Times New Roman" w:cs="Times New Roman" w:eastAsia="Times New Roman" w:hAnsi="Times New Roman"/>
          <w:sz w:val="18"/>
          <w:szCs w:val="18"/>
          <w:color w:val="auto"/>
        </w:rPr>
        <w:t>The Company defines Adjusted EBITDA as earnings before interest expense, net; income taxes; depreciation and amortization; stock-based compensation; debt extinguishment and financing charges; impairment losses; insurance recoveries and deductible charges; changes in the estimated fair value of the Company’s contingent purchase price obligations; gain or loss on disposal of assets, the difference between budget and actual expense for cash-settled stock-based awards; pre-opening and acquisition costs; and other income or expenses. Adjusted EBITDA is inclusive of income or loss from unconsolidated affiliates, with the Company’s share of non-operating items (such as interest expense, net; income taxes; depreciation and amortization; and stock-based compensation expense) added back for Barstool Sports and the Company’s Kansas Entertainment joint venture. Adjusted EBITDA is inclusive of rent expense associated with the Company’s triple net operating leases. Although Adjusted EBITDA includes rent expense associated with the Company’s triple net operating leases, the Company believes Adjusted EBITDA is useful as a supplemental measure in evaluating the performance of the Company’s consolidated results of operations. Adjusted EBITDA margin is Adjusted EBITDA divided by consolidated revenues.</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Adjusted EBITDA has economic substance because it is used by management as a performance measure to analyze the performance of the Company’s business, and is especially relevant in evaluating large, long-lived casino-hotel projects because it provides a perspective on the current effects of operating decisions separated from the substantial non-operational depreciation charges and financing costs of such projects. The Company presents Adjusted EBITDA because it is used by some investors and creditors as an indicator of the strength and performance of ongoing business operations, including the Company’s ability to service debt, and to fund capital expenditures, acquisitions and operations. These calculations are commonly used as a basis for investors, analysts and credit rating agencies to evaluate and compare operating performance and value companies within the industry in which the Company operates. In order to view the operations of their casinos on a more stand-alone basis, gaming companies, including us, have historically excluded from their Adjusted EBITDA calculations certain corporate expenses that do not relate to the management of specific casino properties. However, Adjusted EBITDA is not a measure of performance or liquidity calculated in accordance with GAAP. Adjusted EBITDA information is presented as a supplemental disclosure, as management believes that it is a commonly-used measure of performance in the gaming industry and that it is considered by many to be a key indicator of the Company’s operating results.</w:t>
      </w:r>
    </w:p>
    <w:p>
      <w:pPr>
        <w:spacing w:after="0" w:line="33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Company defines Adjusted EBITDAR as Adjusted EBITDA (as defined above) plus rent expense associated with triple net operating leases (which is a normal, recurring cash operating expense necessary to operate the Company’s business). Adjusted EBITDAR is presented on a consolidated basis outside the financial statements solely as a valuation metric. Management believes that Adjusted EBITDAR is an additional metric traditionally used by analysts in valuing gaming companies subject to triple net leases since it eliminates the effects of variability in leasing methods and capital structures. This metric is included as supplemental disclosure because (i) the Company believes Adjusted EBITDAR is traditionally used by gaming operator analysts and investors to determine the equity value of gaming operators and (ii) Adjusted EBITDAR is one of the metrics used by other financial analysts in valuing the Company’s business. The Company believes Adjusted EBITDAR is useful for equity valuation purposes because (i) its calculation isolates the effects of financing real estate; and (ii) using a multiple of Adjusted EBITDAR to calculate enterprise value allows for an adjustment to the balance sheet to recognize estimated liabilities arising from operating leases related to real estate. However, Adjusted EBITDAR when presented on a consolidated basis is not a financial measure in accordance with GAAP and should not be viewed as a measure of overall operating performance or considered in isolation or as an alternative to net income because it excludes the rent expense associated with the Company’s triple net operating leases and is provided for the limited purposes referenced herein.</w:t>
      </w:r>
    </w:p>
    <w:p>
      <w:pPr>
        <w:spacing w:after="0" w:line="343" w:lineRule="exact"/>
        <w:rPr>
          <w:sz w:val="20"/>
          <w:szCs w:val="20"/>
          <w:color w:val="auto"/>
        </w:rPr>
      </w:pPr>
    </w:p>
    <w:p>
      <w:pPr>
        <w:ind w:left="1260" w:right="1159" w:firstLine="360"/>
        <w:spacing w:after="0" w:line="266" w:lineRule="auto"/>
        <w:rPr>
          <w:sz w:val="20"/>
          <w:szCs w:val="20"/>
          <w:color w:val="auto"/>
        </w:rPr>
      </w:pPr>
      <w:r>
        <w:rPr>
          <w:rFonts w:ascii="Times New Roman" w:cs="Times New Roman" w:eastAsia="Times New Roman" w:hAnsi="Times New Roman"/>
          <w:sz w:val="18"/>
          <w:szCs w:val="18"/>
          <w:color w:val="auto"/>
        </w:rPr>
        <w:t>Adjusted EBITDAR margin is defined as Adjusted EBITDAR on a consolidated basis (as defined above) divided by revenues on a consolidated basis. Adjusted EBITDAR margin is presented on a consolidated basis outside the financial statements solely as a valuation metric.</w:t>
      </w:r>
    </w:p>
    <w:p>
      <w:pPr>
        <w:spacing w:after="0" w:line="10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Each of these non-GAAP financial measures is not calculated in the same manner by all companies</w:t>
      </w:r>
    </w:p>
    <w:p>
      <w:pPr>
        <w:spacing w:after="0" w:line="2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and, accordingly, may not be an appropriate measure of comparing performance among different companies.</w:t>
      </w:r>
    </w:p>
    <w:p>
      <w:pPr>
        <w:spacing w:after="0" w:line="126"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A reconciliation of Adjusted EBITDAR and Adjusted EBITDA to net income (loss) is set forth below. The Company does not provide reconciliations of Adjusted EBITDA and Adjusted EBITDAR to net income (loss) on a forward-looking basis because the Company is unable to forecast the amount or significance of certain items required to develop meaningful comparable GAAP financial measures without unreasonable efforts. These items include gains or losses on sale or consolidation transactions, accelerated depreciation, impairment charges, gains or losses on retirement of debt, income taxes, which are difficult to predict and estimate and are primarily dependent on future events, but which are excluded from the Company’s calculations of Adjusted EBITDA and Adjusted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includes a reconciliation of net income (loss), which is determined in accordance with GAAP, to Adjusted EBITDA and Adjusted EBITDAR, which are non-GAAP financial measures, as well as related margins: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59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199"/>
        </w:trPr>
        <w:tc>
          <w:tcPr>
            <w:tcW w:w="5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7"/>
                <w:szCs w:val="17"/>
                <w:color w:val="auto"/>
              </w:rPr>
            </w:pPr>
          </w:p>
        </w:tc>
        <w:tc>
          <w:tcPr>
            <w:tcW w:w="5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7"/>
                <w:szCs w:val="17"/>
                <w:color w:val="auto"/>
              </w:rPr>
            </w:pPr>
          </w:p>
        </w:tc>
      </w:tr>
      <w:tr>
        <w:trPr>
          <w:trHeight w:val="23"/>
        </w:trPr>
        <w:tc>
          <w:tcPr>
            <w:tcW w:w="5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$ 473.4</w:t>
            </w:r>
          </w:p>
        </w:tc>
        <w:tc>
          <w:tcPr>
            <w:tcW w:w="140" w:type="dxa"/>
            <w:vAlign w:val="bottom"/>
          </w:tcPr>
          <w:p>
            <w:pPr>
              <w:spacing w:after="0"/>
              <w:rPr>
                <w:sz w:val="21"/>
                <w:szCs w:val="21"/>
                <w:color w:val="auto"/>
              </w:rPr>
            </w:pPr>
          </w:p>
        </w:tc>
      </w:tr>
      <w:tr>
        <w:trPr>
          <w:trHeight w:val="257"/>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(498.5)</w:t>
            </w:r>
          </w:p>
        </w:tc>
      </w:tr>
      <w:tr>
        <w:trPr>
          <w:trHeight w:val="257"/>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2"/>
                <w:szCs w:val="22"/>
                <w:color w:val="auto"/>
              </w:rPr>
            </w:pPr>
          </w:p>
        </w:tc>
      </w:tr>
      <w:tr>
        <w:trPr>
          <w:trHeight w:val="257"/>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(income) from unconsolidated affiliates</w:t>
            </w:r>
          </w:p>
        </w:tc>
        <w:tc>
          <w:tcPr>
            <w:tcW w:w="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r>
      <w:tr>
        <w:trPr>
          <w:trHeight w:val="25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140" w:type="dxa"/>
            <w:vAlign w:val="bottom"/>
          </w:tcPr>
          <w:p>
            <w:pPr>
              <w:spacing w:after="0"/>
              <w:rPr>
                <w:sz w:val="22"/>
                <w:szCs w:val="22"/>
                <w:color w:val="auto"/>
              </w:rPr>
            </w:pPr>
          </w:p>
        </w:tc>
      </w:tr>
      <w:tr>
        <w:trPr>
          <w:trHeight w:val="263"/>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2"/>
                <w:szCs w:val="22"/>
                <w:color w:val="auto"/>
              </w:rPr>
            </w:pPr>
          </w:p>
        </w:tc>
      </w:tr>
      <w:tr>
        <w:trPr>
          <w:trHeight w:val="257"/>
        </w:trPr>
        <w:tc>
          <w:tcPr>
            <w:tcW w:w="59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2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40" w:type="dxa"/>
            <w:vAlign w:val="bottom"/>
          </w:tcPr>
          <w:p>
            <w:pPr>
              <w:spacing w:after="0"/>
              <w:rPr>
                <w:sz w:val="22"/>
                <w:szCs w:val="22"/>
                <w:color w:val="auto"/>
              </w:rPr>
            </w:pPr>
          </w:p>
        </w:tc>
      </w:tr>
      <w:tr>
        <w:trPr>
          <w:trHeight w:val="270"/>
        </w:trPr>
        <w:tc>
          <w:tcPr>
            <w:tcW w:w="592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3"/>
                <w:szCs w:val="23"/>
                <w:color w:val="auto"/>
              </w:rPr>
            </w:pPr>
          </w:p>
        </w:tc>
      </w:tr>
      <w:tr>
        <w:trPr>
          <w:trHeight w:val="270"/>
        </w:trPr>
        <w:tc>
          <w:tcPr>
            <w:tcW w:w="592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Cash-settled stock-based award variance</w:t>
            </w:r>
            <w:r>
              <w:rPr>
                <w:rFonts w:ascii="Times New Roman" w:cs="Times New Roman" w:eastAsia="Times New Roman" w:hAnsi="Times New Roman"/>
                <w:sz w:val="26"/>
                <w:szCs w:val="26"/>
                <w:color w:val="auto"/>
                <w:vertAlign w:val="superscript"/>
              </w:rPr>
              <w:t>(1)(2)</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23"/>
                <w:szCs w:val="23"/>
                <w:color w:val="auto"/>
              </w:rPr>
            </w:pPr>
          </w:p>
        </w:tc>
      </w:tr>
      <w:tr>
        <w:trPr>
          <w:trHeight w:val="270"/>
        </w:trPr>
        <w:tc>
          <w:tcPr>
            <w:tcW w:w="592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Loss (gain) on disposal of assets</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23"/>
                <w:szCs w:val="23"/>
                <w:color w:val="auto"/>
              </w:rPr>
            </w:pPr>
          </w:p>
        </w:tc>
      </w:tr>
      <w:tr>
        <w:trPr>
          <w:trHeight w:val="270"/>
        </w:trPr>
        <w:tc>
          <w:tcPr>
            <w:tcW w:w="592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Contingent purchase price</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r>
      <w:tr>
        <w:trPr>
          <w:trHeight w:val="270"/>
        </w:trPr>
        <w:tc>
          <w:tcPr>
            <w:tcW w:w="592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Pre-opening and acquisition costs</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3"/>
                <w:szCs w:val="23"/>
                <w:color w:val="auto"/>
              </w:rPr>
            </w:pPr>
          </w:p>
        </w:tc>
      </w:tr>
      <w:tr>
        <w:trPr>
          <w:trHeight w:val="257"/>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40" w:type="dxa"/>
            <w:vAlign w:val="bottom"/>
          </w:tcPr>
          <w:p>
            <w:pPr>
              <w:spacing w:after="0"/>
              <w:rPr>
                <w:sz w:val="22"/>
                <w:szCs w:val="22"/>
                <w:color w:val="auto"/>
              </w:rPr>
            </w:pPr>
          </w:p>
        </w:tc>
      </w:tr>
      <w:tr>
        <w:trPr>
          <w:trHeight w:val="257"/>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22"/>
                <w:szCs w:val="22"/>
                <w:color w:val="auto"/>
              </w:rPr>
            </w:pPr>
          </w:p>
        </w:tc>
      </w:tr>
      <w:tr>
        <w:trPr>
          <w:trHeight w:val="25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(recoveries on) loan loss and unfunded loan commitments</w:t>
            </w:r>
          </w:p>
        </w:tc>
        <w:tc>
          <w:tcPr>
            <w:tcW w:w="8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Pr>
          <w:p>
            <w:pPr>
              <w:spacing w:after="0"/>
              <w:rPr>
                <w:sz w:val="22"/>
                <w:szCs w:val="22"/>
                <w:color w:val="auto"/>
              </w:rPr>
            </w:pPr>
          </w:p>
        </w:tc>
      </w:tr>
      <w:tr>
        <w:trPr>
          <w:trHeight w:val="284"/>
        </w:trPr>
        <w:tc>
          <w:tcPr>
            <w:tcW w:w="5920" w:type="dxa"/>
            <w:vAlign w:val="bottom"/>
            <w:gridSpan w:val="3"/>
          </w:tcPr>
          <w:p>
            <w:pPr>
              <w:spacing w:after="0" w:line="283" w:lineRule="exact"/>
              <w:rPr>
                <w:sz w:val="20"/>
                <w:szCs w:val="20"/>
                <w:color w:val="auto"/>
              </w:rPr>
            </w:pPr>
            <w:r>
              <w:rPr>
                <w:rFonts w:ascii="Times New Roman" w:cs="Times New Roman" w:eastAsia="Times New Roman" w:hAnsi="Times New Roman"/>
                <w:sz w:val="18"/>
                <w:szCs w:val="18"/>
                <w:color w:val="auto"/>
              </w:rPr>
              <w:t>Insurance recoveries, net of deductible charges</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23"/>
                <w:szCs w:val="23"/>
                <w:color w:val="auto"/>
              </w:rPr>
            </w:pPr>
          </w:p>
        </w:tc>
      </w:tr>
      <w:tr>
        <w:trPr>
          <w:trHeight w:val="297"/>
        </w:trPr>
        <w:tc>
          <w:tcPr>
            <w:tcW w:w="5920" w:type="dxa"/>
            <w:vAlign w:val="bottom"/>
            <w:tcBorders>
              <w:bottom w:val="single" w:sz="8" w:color="CCEEFF"/>
            </w:tcBorders>
            <w:gridSpan w:val="3"/>
          </w:tcPr>
          <w:p>
            <w:pPr>
              <w:spacing w:after="0" w:line="297" w:lineRule="exact"/>
              <w:rPr>
                <w:sz w:val="20"/>
                <w:szCs w:val="20"/>
                <w:color w:val="auto"/>
              </w:rPr>
            </w:pPr>
            <w:r>
              <w:rPr>
                <w:rFonts w:ascii="Times New Roman" w:cs="Times New Roman" w:eastAsia="Times New Roman" w:hAnsi="Times New Roman"/>
                <w:sz w:val="18"/>
                <w:szCs w:val="18"/>
                <w:color w:val="auto"/>
              </w:rPr>
              <w:t>Non-operating items for Kansas JV</w:t>
            </w:r>
            <w:r>
              <w:rPr>
                <w:rFonts w:ascii="Times New Roman" w:cs="Times New Roman" w:eastAsia="Times New Roman" w:hAnsi="Times New Roman"/>
                <w:sz w:val="26"/>
                <w:szCs w:val="26"/>
                <w:color w:val="auto"/>
                <w:vertAlign w:val="superscript"/>
              </w:rPr>
              <w:t>(3)</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4"/>
                <w:szCs w:val="24"/>
                <w:color w:val="auto"/>
              </w:rPr>
            </w:pPr>
          </w:p>
        </w:tc>
      </w:tr>
      <w:tr>
        <w:trPr>
          <w:trHeight w:val="263"/>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1,238.8</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1,039.4</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40" w:type="dxa"/>
            <w:vAlign w:val="bottom"/>
          </w:tcPr>
          <w:p>
            <w:pPr>
              <w:spacing w:after="0"/>
              <w:rPr>
                <w:sz w:val="22"/>
                <w:szCs w:val="22"/>
                <w:color w:val="auto"/>
              </w:rPr>
            </w:pPr>
          </w:p>
        </w:tc>
      </w:tr>
      <w:tr>
        <w:trPr>
          <w:trHeight w:val="297"/>
        </w:trPr>
        <w:tc>
          <w:tcPr>
            <w:tcW w:w="5920" w:type="dxa"/>
            <w:vAlign w:val="bottom"/>
            <w:gridSpan w:val="3"/>
          </w:tcPr>
          <w:p>
            <w:pPr>
              <w:spacing w:after="0" w:line="297" w:lineRule="exact"/>
              <w:rPr>
                <w:sz w:val="20"/>
                <w:szCs w:val="20"/>
                <w:color w:val="auto"/>
              </w:rPr>
            </w:pPr>
            <w:r>
              <w:rPr>
                <w:rFonts w:ascii="Times New Roman" w:cs="Times New Roman" w:eastAsia="Times New Roman" w:hAnsi="Times New Roman"/>
                <w:sz w:val="18"/>
                <w:szCs w:val="18"/>
                <w:color w:val="auto"/>
              </w:rPr>
              <w:t>Rent expense associated with triple net operating leases</w:t>
            </w:r>
            <w:r>
              <w:rPr>
                <w:rFonts w:ascii="Times New Roman" w:cs="Times New Roman" w:eastAsia="Times New Roman" w:hAnsi="Times New Roman"/>
                <w:sz w:val="26"/>
                <w:szCs w:val="26"/>
                <w:color w:val="auto"/>
                <w:vertAlign w:val="superscript"/>
              </w:rPr>
              <w:t>(1)</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EBITDAR</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1,605.2</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1,043.2</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$ 879.1</w:t>
            </w:r>
          </w:p>
        </w:tc>
        <w:tc>
          <w:tcPr>
            <w:tcW w:w="140" w:type="dxa"/>
            <w:vAlign w:val="bottom"/>
          </w:tcPr>
          <w:p>
            <w:pPr>
              <w:spacing w:after="0"/>
              <w:rPr>
                <w:sz w:val="23"/>
                <w:szCs w:val="23"/>
                <w:color w:val="auto"/>
              </w:rPr>
            </w:pPr>
          </w:p>
        </w:tc>
      </w:tr>
      <w:tr>
        <w:trPr>
          <w:trHeight w:val="20"/>
        </w:trPr>
        <w:tc>
          <w:tcPr>
            <w:tcW w:w="5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4"/>
        </w:trPr>
        <w:tc>
          <w:tcPr>
            <w:tcW w:w="5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8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0"/>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80" w:type="dxa"/>
            <w:vAlign w:val="bottom"/>
          </w:tcPr>
          <w:p>
            <w:pPr>
              <w:spacing w:after="0"/>
              <w:rPr>
                <w:sz w:val="23"/>
                <w:szCs w:val="2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-2459990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-342265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-719455</wp:posOffset>
            </wp:positionV>
            <wp:extent cx="4852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-1088390</wp:posOffset>
            </wp:positionV>
            <wp:extent cx="4852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-3145790</wp:posOffset>
            </wp:positionV>
            <wp:extent cx="4852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-4139565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-4139565</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-4139565</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1439" w:hanging="358"/>
        <w:spacing w:after="0" w:line="282" w:lineRule="auto"/>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items are included in “General and administrative” within the Company’s Consolidated Statements of Income.</w:t>
      </w:r>
    </w:p>
    <w:p>
      <w:pPr>
        <w:spacing w:after="0" w:line="80" w:lineRule="exact"/>
        <w:rPr>
          <w:rFonts w:ascii="Times New Roman" w:cs="Times New Roman" w:eastAsia="Times New Roman" w:hAnsi="Times New Roman"/>
          <w:sz w:val="18"/>
          <w:szCs w:val="18"/>
          <w:color w:val="auto"/>
        </w:rPr>
      </w:pPr>
    </w:p>
    <w:p>
      <w:pPr>
        <w:ind w:left="1620" w:right="699" w:hanging="358"/>
        <w:spacing w:after="0" w:line="256" w:lineRule="auto"/>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 During the year ended December 31, 2019, the price of the Company’s common stock increased, which resulted in an unfavorable variance to budget. During the year ended December 31, 2018, the price of the Company’s common stock decreased, which resulted in a favorable variance to budget.</w:t>
      </w:r>
    </w:p>
    <w:p>
      <w:pPr>
        <w:spacing w:after="0" w:line="335" w:lineRule="exact"/>
        <w:rPr>
          <w:rFonts w:ascii="Times New Roman" w:cs="Times New Roman" w:eastAsia="Times New Roman" w:hAnsi="Times New Roman"/>
          <w:sz w:val="18"/>
          <w:szCs w:val="18"/>
          <w:color w:val="auto"/>
        </w:rPr>
      </w:pPr>
    </w:p>
    <w:p>
      <w:pPr>
        <w:ind w:left="1620" w:right="1099" w:hanging="358"/>
        <w:spacing w:after="0" w:line="282" w:lineRule="auto"/>
        <w:tabs>
          <w:tab w:leader="none" w:pos="1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principally of depreciation and amortization associated with the operations of Hollywood Casino at Kansas Speedway.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includes a reconciliation of net income (loss), which is determined in accordance with GAAP, to Adjusted EBITDA and Adjusted EBITDAR, which are non-GAAP financial measures, as well as related margins:</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For the six months</w:t>
            </w:r>
          </w:p>
        </w:tc>
      </w:tr>
      <w:tr>
        <w:trPr>
          <w:trHeight w:val="162"/>
        </w:trPr>
        <w:tc>
          <w:tcPr>
            <w:tcW w:w="6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ended June 30,</w:t>
            </w:r>
          </w:p>
        </w:tc>
      </w:tr>
      <w:tr>
        <w:trPr>
          <w:trHeight w:val="190"/>
        </w:trPr>
        <w:tc>
          <w:tcPr>
            <w:tcW w:w="6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gridSpan w:val="3"/>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00" w:type="dxa"/>
            <w:vAlign w:val="bottom"/>
          </w:tcPr>
          <w:p>
            <w:pPr>
              <w:spacing w:after="0"/>
              <w:rPr>
                <w:sz w:val="16"/>
                <w:szCs w:val="16"/>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$(823.0)</w:t>
            </w: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(157.9)</w:t>
            </w:r>
          </w:p>
        </w:tc>
      </w:tr>
      <w:tr>
        <w:trPr>
          <w:trHeight w:val="25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unconsolidated affiliates</w:t>
            </w:r>
          </w:p>
        </w:tc>
        <w:tc>
          <w:tcPr>
            <w:tcW w:w="13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300" w:type="dxa"/>
            <w:vAlign w:val="bottom"/>
            <w:shd w:val="clear" w:color="auto" w:fill="CCEEFF"/>
          </w:tcPr>
          <w:p>
            <w:pPr>
              <w:spacing w:after="0"/>
              <w:rPr>
                <w:sz w:val="22"/>
                <w:szCs w:val="22"/>
                <w:color w:val="auto"/>
              </w:rPr>
            </w:pPr>
          </w:p>
        </w:tc>
      </w:tr>
      <w:tr>
        <w:trPr>
          <w:trHeight w:val="26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500" w:type="dxa"/>
            <w:vAlign w:val="bottom"/>
            <w:gridSpan w:val="2"/>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r>
      <w:tr>
        <w:trPr>
          <w:trHeight w:val="20"/>
        </w:trPr>
        <w:tc>
          <w:tcPr>
            <w:tcW w:w="6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00" w:type="dxa"/>
            <w:vAlign w:val="bottom"/>
            <w:gridSpan w:val="2"/>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(726.0)</w:t>
            </w:r>
          </w:p>
        </w:tc>
      </w:tr>
      <w:tr>
        <w:trPr>
          <w:trHeight w:val="270"/>
        </w:trPr>
        <w:tc>
          <w:tcPr>
            <w:tcW w:w="6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6"/>
                <w:szCs w:val="26"/>
                <w:color w:val="auto"/>
                <w:vertAlign w:val="superscript"/>
              </w:rPr>
              <w:t>(1)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23"/>
                <w:szCs w:val="23"/>
                <w:color w:val="auto"/>
              </w:rPr>
            </w:pPr>
          </w:p>
        </w:tc>
      </w:tr>
      <w:tr>
        <w:trPr>
          <w:trHeight w:val="270"/>
        </w:trPr>
        <w:tc>
          <w:tcPr>
            <w:tcW w:w="6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Cash-settled stock-based award variance</w:t>
            </w:r>
            <w:r>
              <w:rPr>
                <w:rFonts w:ascii="Times New Roman" w:cs="Times New Roman" w:eastAsia="Times New Roman" w:hAnsi="Times New Roman"/>
                <w:sz w:val="26"/>
                <w:szCs w:val="26"/>
                <w:color w:val="auto"/>
                <w:vertAlign w:val="superscript"/>
              </w:rPr>
              <w:t>(1)(2)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CEEFF"/>
          </w:tcPr>
          <w:p>
            <w:pPr>
              <w:spacing w:after="0"/>
              <w:rPr>
                <w:sz w:val="23"/>
                <w:szCs w:val="23"/>
                <w:color w:val="auto"/>
              </w:rPr>
            </w:pPr>
          </w:p>
        </w:tc>
      </w:tr>
      <w:tr>
        <w:trPr>
          <w:trHeight w:val="270"/>
        </w:trPr>
        <w:tc>
          <w:tcPr>
            <w:tcW w:w="6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Loss (gain) on disposal of assets</w:t>
            </w:r>
            <w:r>
              <w:rPr>
                <w:rFonts w:ascii="Times New Roman" w:cs="Times New Roman" w:eastAsia="Times New Roman" w:hAnsi="Times New Roman"/>
                <w:sz w:val="26"/>
                <w:szCs w:val="26"/>
                <w:color w:val="auto"/>
                <w:vertAlign w:val="superscript"/>
              </w:rPr>
              <w:t>(1)</w:t>
            </w:r>
          </w:p>
        </w:tc>
        <w:tc>
          <w:tcPr>
            <w:tcW w:w="13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(27.9)</w:t>
            </w:r>
          </w:p>
        </w:tc>
      </w:tr>
      <w:tr>
        <w:trPr>
          <w:trHeight w:val="270"/>
        </w:trPr>
        <w:tc>
          <w:tcPr>
            <w:tcW w:w="6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Contingent purchase price</w:t>
            </w:r>
            <w:r>
              <w:rPr>
                <w:rFonts w:ascii="Times New Roman" w:cs="Times New Roman" w:eastAsia="Times New Roman" w:hAnsi="Times New Roman"/>
                <w:sz w:val="26"/>
                <w:szCs w:val="26"/>
                <w:color w:val="auto"/>
                <w:vertAlign w:val="superscript"/>
              </w:rPr>
              <w:t>(1)</w:t>
            </w:r>
          </w:p>
        </w:tc>
        <w:tc>
          <w:tcPr>
            <w:tcW w:w="13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6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Pre-opening and acquisition costs</w:t>
            </w:r>
            <w:r>
              <w:rPr>
                <w:rFonts w:ascii="Times New Roman" w:cs="Times New Roman" w:eastAsia="Times New Roman" w:hAnsi="Times New Roman"/>
                <w:sz w:val="26"/>
                <w:szCs w:val="26"/>
                <w:color w:val="auto"/>
                <w:vertAlign w:val="superscript"/>
              </w:rPr>
              <w:t>(1)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3"/>
                <w:szCs w:val="23"/>
                <w:color w:val="auto"/>
              </w:rPr>
            </w:pPr>
          </w:p>
        </w:tc>
      </w:tr>
      <w:tr>
        <w:trPr>
          <w:trHeight w:val="25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00" w:type="dxa"/>
            <w:vAlign w:val="bottom"/>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300" w:type="dxa"/>
            <w:vAlign w:val="bottom"/>
          </w:tcPr>
          <w:p>
            <w:pPr>
              <w:spacing w:after="0"/>
              <w:rPr>
                <w:sz w:val="22"/>
                <w:szCs w:val="22"/>
                <w:color w:val="auto"/>
              </w:rPr>
            </w:pPr>
          </w:p>
        </w:tc>
      </w:tr>
      <w:tr>
        <w:trPr>
          <w:trHeight w:val="270"/>
        </w:trPr>
        <w:tc>
          <w:tcPr>
            <w:tcW w:w="6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Insurance recoveries, net of deductible charges</w:t>
            </w:r>
            <w:r>
              <w:rPr>
                <w:rFonts w:ascii="Times New Roman" w:cs="Times New Roman" w:eastAsia="Times New Roman" w:hAnsi="Times New Roman"/>
                <w:sz w:val="26"/>
                <w:szCs w:val="26"/>
                <w:color w:val="auto"/>
                <w:vertAlign w:val="superscript"/>
              </w:rPr>
              <w:t>(1)</w:t>
            </w:r>
          </w:p>
        </w:tc>
        <w:tc>
          <w:tcPr>
            <w:tcW w:w="13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unconsolidated affiliates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2"/>
                <w:szCs w:val="22"/>
                <w:color w:val="auto"/>
              </w:rPr>
            </w:pPr>
          </w:p>
        </w:tc>
      </w:tr>
      <w:tr>
        <w:trPr>
          <w:trHeight w:val="297"/>
        </w:trPr>
        <w:tc>
          <w:tcPr>
            <w:tcW w:w="6860" w:type="dxa"/>
            <w:vAlign w:val="bottom"/>
            <w:tcBorders>
              <w:bottom w:val="single" w:sz="8" w:color="CCEEFF"/>
            </w:tcBorders>
            <w:shd w:val="clear" w:color="auto" w:fill="CCEEFF"/>
          </w:tcPr>
          <w:p>
            <w:pPr>
              <w:spacing w:after="0" w:line="297" w:lineRule="exact"/>
              <w:rPr>
                <w:sz w:val="20"/>
                <w:szCs w:val="20"/>
                <w:color w:val="auto"/>
              </w:rPr>
            </w:pPr>
            <w:r>
              <w:rPr>
                <w:rFonts w:ascii="Times New Roman" w:cs="Times New Roman" w:eastAsia="Times New Roman" w:hAnsi="Times New Roman"/>
                <w:sz w:val="18"/>
                <w:szCs w:val="18"/>
                <w:color w:val="auto"/>
              </w:rPr>
              <w:t>Non-operating items of equity method investments</w:t>
            </w:r>
            <w:r>
              <w:rPr>
                <w:rFonts w:ascii="Times New Roman" w:cs="Times New Roman" w:eastAsia="Times New Roman" w:hAnsi="Times New Roman"/>
                <w:sz w:val="26"/>
                <w:szCs w:val="26"/>
                <w:color w:val="auto"/>
                <w:vertAlign w:val="superscript"/>
              </w:rPr>
              <w:t>(3)</w:t>
            </w:r>
          </w:p>
        </w:tc>
        <w:tc>
          <w:tcPr>
            <w:tcW w:w="500" w:type="dxa"/>
            <w:vAlign w:val="bottom"/>
            <w:tcBorders>
              <w:bottom w:val="single" w:sz="8" w:color="CCEEFF"/>
            </w:tcBorders>
            <w:gridSpan w:val="2"/>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CEEFF"/>
            </w:tcBorders>
            <w:shd w:val="clear" w:color="auto" w:fill="CCEEFF"/>
          </w:tcPr>
          <w:p>
            <w:pPr>
              <w:spacing w:after="0"/>
              <w:rPr>
                <w:sz w:val="24"/>
                <w:szCs w:val="24"/>
                <w:color w:val="auto"/>
              </w:rPr>
            </w:pPr>
          </w:p>
        </w:tc>
      </w:tr>
      <w:tr>
        <w:trPr>
          <w:trHeight w:val="264"/>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300" w:type="dxa"/>
            <w:vAlign w:val="bottom"/>
          </w:tcPr>
          <w:p>
            <w:pPr>
              <w:spacing w:after="0"/>
              <w:rPr>
                <w:sz w:val="22"/>
                <w:szCs w:val="22"/>
                <w:color w:val="auto"/>
              </w:rPr>
            </w:pPr>
          </w:p>
        </w:tc>
      </w:tr>
      <w:tr>
        <w:trPr>
          <w:trHeight w:val="297"/>
        </w:trPr>
        <w:tc>
          <w:tcPr>
            <w:tcW w:w="6860" w:type="dxa"/>
            <w:vAlign w:val="bottom"/>
            <w:tcBorders>
              <w:bottom w:val="single" w:sz="8" w:color="CCEEFF"/>
            </w:tcBorders>
            <w:shd w:val="clear" w:color="auto" w:fill="CCEEFF"/>
          </w:tcPr>
          <w:p>
            <w:pPr>
              <w:spacing w:after="0" w:line="297" w:lineRule="exact"/>
              <w:rPr>
                <w:sz w:val="20"/>
                <w:szCs w:val="20"/>
                <w:color w:val="auto"/>
              </w:rPr>
            </w:pPr>
            <w:r>
              <w:rPr>
                <w:rFonts w:ascii="Times New Roman" w:cs="Times New Roman" w:eastAsia="Times New Roman" w:hAnsi="Times New Roman"/>
                <w:sz w:val="18"/>
                <w:szCs w:val="18"/>
                <w:color w:val="auto"/>
              </w:rPr>
              <w:t>Rent expense associated with triple net operating leases</w:t>
            </w:r>
            <w:r>
              <w:rPr>
                <w:rFonts w:ascii="Times New Roman" w:cs="Times New Roman" w:eastAsia="Times New Roman" w:hAnsi="Times New Roman"/>
                <w:sz w:val="26"/>
                <w:szCs w:val="26"/>
                <w:color w:val="auto"/>
                <w:vertAlign w:val="superscript"/>
              </w:rPr>
              <w:t>(1)</w:t>
            </w:r>
          </w:p>
        </w:tc>
        <w:tc>
          <w:tcPr>
            <w:tcW w:w="500" w:type="dxa"/>
            <w:vAlign w:val="bottom"/>
            <w:tcBorders>
              <w:bottom w:val="single" w:sz="8" w:color="CCEEFF"/>
            </w:tcBorders>
            <w:gridSpan w:val="2"/>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00" w:type="dxa"/>
            <w:vAlign w:val="bottom"/>
            <w:tcBorders>
              <w:bottom w:val="single" w:sz="8" w:color="CCEEFF"/>
            </w:tcBorders>
            <w:shd w:val="clear" w:color="auto" w:fill="CCEEFF"/>
          </w:tcPr>
          <w:p>
            <w:pPr>
              <w:spacing w:after="0"/>
              <w:rPr>
                <w:sz w:val="24"/>
                <w:szCs w:val="24"/>
                <w:color w:val="auto"/>
              </w:rPr>
            </w:pPr>
          </w:p>
        </w:tc>
      </w:tr>
      <w:tr>
        <w:trPr>
          <w:trHeight w:val="31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EBITDAR</w:t>
            </w:r>
          </w:p>
        </w:tc>
        <w:tc>
          <w:tcPr>
            <w:tcW w:w="500" w:type="dxa"/>
            <w:vAlign w:val="bottom"/>
            <w:tcBorders>
              <w:bottom w:val="single" w:sz="8" w:color="CCEEFF"/>
            </w:tcBorders>
            <w:gridSpan w:val="2"/>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$ 276.8</w:t>
            </w:r>
          </w:p>
        </w:tc>
        <w:tc>
          <w:tcPr>
            <w:tcW w:w="300" w:type="dxa"/>
            <w:vAlign w:val="bottom"/>
            <w:tcBorders>
              <w:bottom w:val="single" w:sz="8" w:color="CCEEFF"/>
            </w:tcBorders>
          </w:tcPr>
          <w:p>
            <w:pPr>
              <w:spacing w:after="0"/>
              <w:rPr>
                <w:sz w:val="24"/>
                <w:szCs w:val="24"/>
                <w:color w:val="auto"/>
              </w:rPr>
            </w:pPr>
          </w:p>
        </w:tc>
      </w:tr>
      <w:tr>
        <w:trPr>
          <w:trHeight w:val="243"/>
        </w:trPr>
        <w:tc>
          <w:tcPr>
            <w:tcW w:w="6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margin</w:t>
            </w:r>
          </w:p>
        </w:tc>
        <w:tc>
          <w:tcPr>
            <w:tcW w:w="13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-57.9%</w:t>
            </w:r>
          </w:p>
        </w:tc>
      </w:tr>
      <w:tr>
        <w:trPr>
          <w:trHeight w:val="27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EBITDAR margin</w:t>
            </w:r>
          </w:p>
        </w:tc>
        <w:tc>
          <w:tcPr>
            <w:tcW w:w="13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-2965450</wp:posOffset>
            </wp:positionV>
            <wp:extent cx="5212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-3959860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799" w:hanging="358"/>
        <w:spacing w:after="0" w:line="282" w:lineRule="auto"/>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items are included in “General and administrative” within the Company’s unaudited Condensed Consolidated Statements of Operations.</w:t>
      </w:r>
    </w:p>
    <w:p>
      <w:pPr>
        <w:spacing w:after="0" w:line="13" w:lineRule="exact"/>
        <w:rPr>
          <w:rFonts w:ascii="Times New Roman" w:cs="Times New Roman" w:eastAsia="Times New Roman" w:hAnsi="Times New Roman"/>
          <w:sz w:val="18"/>
          <w:szCs w:val="18"/>
          <w:color w:val="auto"/>
        </w:rPr>
      </w:pPr>
    </w:p>
    <w:p>
      <w:pPr>
        <w:ind w:left="1620" w:right="699" w:hanging="358"/>
        <w:spacing w:after="0" w:line="258" w:lineRule="auto"/>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 During six months ended June 30, 2020, the price of the Company’s common stock increased significantly, which resulted in unfavorable variances to budget.</w:t>
      </w:r>
    </w:p>
    <w:p>
      <w:pPr>
        <w:spacing w:after="0" w:line="34" w:lineRule="exact"/>
        <w:rPr>
          <w:rFonts w:ascii="Times New Roman" w:cs="Times New Roman" w:eastAsia="Times New Roman" w:hAnsi="Times New Roman"/>
          <w:sz w:val="18"/>
          <w:szCs w:val="18"/>
          <w:color w:val="auto"/>
        </w:rPr>
      </w:pPr>
    </w:p>
    <w:p>
      <w:pPr>
        <w:ind w:left="1620" w:right="899" w:hanging="358"/>
        <w:spacing w:after="0" w:line="275" w:lineRule="auto"/>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principally of interest expense, net; income taxes; depreciation and amortization; and stock-based compensation expense associated with Barstool Sports and our Kansas Entertainment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600" w:right="20"/>
        <w:spacing w:after="0" w:line="271" w:lineRule="auto"/>
        <w:rPr>
          <w:sz w:val="20"/>
          <w:szCs w:val="20"/>
          <w:color w:val="auto"/>
        </w:rPr>
      </w:pPr>
      <w:r>
        <w:rPr>
          <w:rFonts w:ascii="Times New Roman" w:cs="Times New Roman" w:eastAsia="Times New Roman" w:hAnsi="Times New Roman"/>
          <w:sz w:val="18"/>
          <w:szCs w:val="18"/>
          <w:b w:val="1"/>
          <w:bCs w:val="1"/>
          <w:color w:val="auto"/>
        </w:rPr>
        <w:t>IMPORTANT INFORMATION AND CAUTIONARY STATEMENT REGARDING FORWARD-LOOKING STATEMENTS</w:t>
      </w:r>
    </w:p>
    <w:p>
      <w:pPr>
        <w:spacing w:after="0" w:line="7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This prospectus supplement includes “forward-looking statements” within the meaning of Section 27A of the Securities Act of 1933, as amended (the “Securities Act”), and Section 21E of the Securities Exchange Act of 1934, as amended (the “Exchange Act”). These statements are included throughout the document, including within “Risk Factors,” and relate to our business strategy, our prospects and our financial position. These statements can be identified by the use of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 looking statements include, but are not limited to, statements regarding: COVID-19; the length of time the Company’s Zia Park gaming property will remain closed, expected opening dates, and the impact of this closure on the Company and its stakeholders; demand for gaming once this gaming property reopens as well as the impact of post- opening restrictions; continued demand for the gaming properties that have opened and the possibility that our gaming properties may be required to close again in the future due to COVID-19; the impact of COVID-19 on general economic conditions, capital markets, unemployment, and the Company’s liquidity, operations, supply chain and personnel; the potential benefits and expected timing of the Perryville transaction with Gaming and Leisure Properties, Inc., a real estate investment trust (“GLPI”); the Company’s estimated cash burn and future liquidity, future revenue and Adjusted EBITDAR, including from our iCasino business in Pennsylvania; the expected benefits and potential challenges of the investment in Barstool Sports, Inc. (“Barstool Sports”), including the anticipated benefits for the Company’s online and retail sports betting, iCasino and social casino products; the impact of shortened or cancelled sports seasons on our results; the expected financial returns from the transaction with Barstool Sports; the expected launch of the Barstool-branded mobile sports betting product and its future revenue and profit contributions; our expectations of future results of operations and financial condition, including margins; our expectations for our properties, our development projects or our iGaming initiatives; the timing, cost and expected impact of planned capital expenditures on our results of operations; our expectations with regard to the impact of competition; our expectations with regard to acquisitions, potential divestitures and development opportunities, as well as the integration of and synergies related to any companies we have acquired or may acquire; the outcome and financial impact of the litigation in which we are or will be periodically involved; the actions of regulatory, legislative, executive or judicial decisions at the federal, state or local level with regard to our business and the impact of any such actions; our ability to maintain regulatory approvals for our existing businesses and to receive regulatory approvals for our new business partners; our expectations with regard to the impact of competition in online sports betting, iGaming and retail/mobile sportsbooks as well as the potential impact of this business line on our existing businesses; the performance of our partners in online sports betting, iGaming and retail/mobile sportsbooks, including the risks associated with any new business, the actions of regulatory, legislative, executive or judicial decisions at the federal, state or local level with regard to online sports betting, iGaming and retail/mobile sportsbooks and the impact of any such actions; our expectations regarding economic and consumer conditions; the successful completion of the Offering; and our use of proceeds from the Offering. Such statements are all subject to risks, uncertainties and changes in circumstances that could significantly affect the Company’s future financial results and business.</w:t>
      </w:r>
    </w:p>
    <w:p>
      <w:pPr>
        <w:spacing w:after="0" w:line="18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Accordingly, the Company cautions that the forward-looking statements contained herein are qualified by important factors that could cause actual results to differ materially from those reflected by such statements. Such factors include, but are not limited to: (a) the magnitude and duration of the impact of COVID-19 on general economic conditions, capital markets, unemployment, and the Company’s liquidity, operations, supply chain, and personnel; (b) industry, market, economic, political, regulatory and health conditions; (c) disruptions in operations from data protection breaches, cyberattacks, extreme weather conditions, civil unrest, medical epidemics or pandemics such as COVID-19 (and any reoccurrences), and other natural or manmade disasters or catastrophic events; (d) the reopening of the Company’s Zia Park gaming property is subject to various conditions, including regulatory approvals, potential delays and operational restrictions; (e) our ability to access additional capital on favorable terms or at all; (f) our ability to remain in compliance with the financial covenants of our debt obligations; (g) the consummation of the Perryville transaction with GLPI is subject to various conditions, including third party agreements and approvals, and accordingly it may be delayed or may not occur at all; (h) actions to reduce costs and improve efficiencies to mitigate losses as a result of COVID-19 that could negatively impact guest loyalty and our ability to attract</w:t>
      </w:r>
    </w:p>
    <w:p>
      <w:pPr>
        <w:spacing w:after="0" w:line="200" w:lineRule="exact"/>
        <w:rPr>
          <w:sz w:val="20"/>
          <w:szCs w:val="20"/>
          <w:color w:val="auto"/>
        </w:rPr>
      </w:pPr>
    </w:p>
    <w:p>
      <w:pPr>
        <w:spacing w:after="0" w:line="3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1" w:lineRule="auto"/>
        <w:rPr>
          <w:sz w:val="20"/>
          <w:szCs w:val="20"/>
          <w:color w:val="auto"/>
        </w:rPr>
      </w:pPr>
      <w:r>
        <w:rPr>
          <w:rFonts w:ascii="Times New Roman" w:cs="Times New Roman" w:eastAsia="Times New Roman" w:hAnsi="Times New Roman"/>
          <w:sz w:val="18"/>
          <w:szCs w:val="18"/>
          <w:color w:val="auto"/>
        </w:rPr>
        <w:t>and retain employees; (i) the outcome of any legal proceedings that may be instituted against the Company or its directors, officers or employees; (j) the impact of new or changes in current laws, regulations, rules or other industry standards; (k) the ability of our operating teams to drive revenue and margins; (l) the impact of significant competition from other gaming and entertainment operations (including from Native American casinos, historic racing machines, state sponsored i-lottery products and video game terminals (“VGTs”) in or adjacent to states in which we operate); (m) our ability (and the ability of our business partners) to obtain timely regulatory approvals required to own, develop and/or operate our properties, or other delays, approvals or impediments to completing our planned acquisitions or projects, construction factors, including delays, and increased costs; (n) the passage of state, federal or local legislation (including referenda) that would expand, restrict, further tax, prevent or negatively impact operations in or adjacent to the jurisdictions in which we do or seek to do business (such as a smoking ban at any of our properties or the potential award of additional gaming licenses proximate to our properties, as recently occurred in Illinois, Nebraska and Pennsylvania); (o) the effects of local and national economic, credit, capital market, housing, and energy conditions on the economy in general and on the gaming and lodging industries in particular; (p) the activities of our current competitors (commercial and tribal) and the rapid emergence of additional significant potential competitors (traditional, tribal, internet, social, sweepstakes based and VGTs in bars and truck stops) in or adjacent to the jurisdictions in which we do or seek to do business;</w:t>
      </w:r>
    </w:p>
    <w:p>
      <w:pPr>
        <w:spacing w:after="0" w:line="10" w:lineRule="exact"/>
        <w:rPr>
          <w:sz w:val="20"/>
          <w:szCs w:val="20"/>
          <w:color w:val="auto"/>
        </w:rPr>
      </w:pPr>
    </w:p>
    <w:p>
      <w:pPr>
        <w:ind w:left="1260" w:right="679" w:firstLine="2"/>
        <w:spacing w:after="0" w:line="250" w:lineRule="auto"/>
        <w:tabs>
          <w:tab w:leader="none" w:pos="152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effective rate of taxation for any of our operations or at the corporate level; (r) our ability to identify attractive acquisition and development opportunities (especially in new business lines) and to agree to terms with, and maintain good relationships with partners and municipalities for such transactions; (s) the costs and risks involved in the pursuit of such opportunities and our ability to complete the acquisition or development of, and achieve the expected returns from, such opportunities; (t) the impact of weather, including flooding, hurricanes and tornadoes and the ability to recover associated insurance proceeds; (u) changes in accounting standards; (v) the risk of failing to maintain the integrity of our information technology infrastructure and safeguard our business, employee and customer data (particularly as our iGaming division grows); (w) with respect to our iGaming and sports betting endeavors, the impact of significant competition from other companies for online sports betting, iGaming and sportsbooks, our ability to achieve the expected financial returns related to our investment in Barstool Sports, our ability (and the ability of our business partners) to obtain timely regulatory approvals and iOS approval required to own, develop and/or operate sportsbooks may be delayed and there may be impediments and increased costs to launching the online betting, iGaming and sportsbooks, including delays, and increased costs, intellectual property and legal and regulatory challenges, as well as our ability to successfully develop innovative products that attract and retain a significant number of players in order to grow our revenues and earnings, our ability to establish key partnerships, our ability to generate meaningful returns and the risks inherent in any new business; (x) the impact of significant competition from other companies for online sports betting;</w:t>
      </w:r>
    </w:p>
    <w:p>
      <w:pPr>
        <w:spacing w:after="0" w:line="7" w:lineRule="exact"/>
        <w:rPr>
          <w:rFonts w:ascii="Times New Roman" w:cs="Times New Roman" w:eastAsia="Times New Roman" w:hAnsi="Times New Roman"/>
          <w:sz w:val="18"/>
          <w:szCs w:val="18"/>
          <w:color w:val="auto"/>
        </w:rPr>
      </w:pPr>
    </w:p>
    <w:p>
      <w:pPr>
        <w:ind w:left="1540" w:hanging="278"/>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the expected financial returns related to its Barstool Sportsbook app;</w:t>
      </w:r>
    </w:p>
    <w:p>
      <w:pPr>
        <w:spacing w:after="0" w:line="9" w:lineRule="exact"/>
        <w:rPr>
          <w:rFonts w:ascii="Times New Roman" w:cs="Times New Roman" w:eastAsia="Times New Roman" w:hAnsi="Times New Roman"/>
          <w:sz w:val="18"/>
          <w:szCs w:val="18"/>
          <w:color w:val="auto"/>
        </w:rPr>
      </w:pPr>
    </w:p>
    <w:p>
      <w:pPr>
        <w:ind w:left="1260" w:right="699" w:firstLine="2"/>
        <w:spacing w:after="0" w:line="250" w:lineRule="auto"/>
        <w:tabs>
          <w:tab w:leader="none" w:pos="15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failing to maintain the integrity of the Company’s information technology infrastructure and safeguard its business, employee and customer data in connection with the Company’s online sports betting;</w:t>
      </w:r>
    </w:p>
    <w:p>
      <w:pPr>
        <w:ind w:left="1260" w:right="699" w:firstLine="2"/>
        <w:spacing w:after="0" w:line="250" w:lineRule="auto"/>
        <w:tabs>
          <w:tab w:leader="none" w:pos="16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its business partners’ ability to obtain various regulatory approvals required to own, develop and/or operate the Barstool Sportsbook app may be delayed or may not occur; and (bb) other factors included in “Risk Factors,” of this prospectus supplement, the Company’s Annual Report on</w:t>
      </w:r>
    </w:p>
    <w:p>
      <w:pPr>
        <w:spacing w:after="0" w:line="1" w:lineRule="exact"/>
        <w:rPr>
          <w:rFonts w:ascii="Times New Roman" w:cs="Times New Roman" w:eastAsia="Times New Roman" w:hAnsi="Times New Roman"/>
          <w:sz w:val="18"/>
          <w:szCs w:val="18"/>
          <w:color w:val="auto"/>
        </w:rPr>
      </w:pPr>
    </w:p>
    <w:p>
      <w:pPr>
        <w:ind w:left="1260" w:right="7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10-K for the year ended December 31, 2019, the Company’s Quarterly Reports on Form 10-Q for the quarters ended March 31, 2020 and June 30, 2020, subsequent Quarterly Reports on Form 10-Q and Current Reports on Form 8-K, each as filed with the U.S. Securities and Exchange Commission.</w:t>
      </w:r>
    </w:p>
    <w:p>
      <w:pPr>
        <w:spacing w:after="0" w:line="105"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persons acting on our behalf are expressly qualified in their entirety by the cautionary statements included in this prospectus supplement. The Company does not intend to update any forward-looking statements, whether as a result of new information, future events or otherwise, except as required by law. In light of these risks, uncertainties and assumptions, the forward-looking events discussed in this prospectus supplement may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659" w:firstLine="360"/>
        <w:spacing w:after="0" w:line="238"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selected information about us and this offering appearing in this prospectus supplement, the accompanying prospectus and the documents incorporated or deemed incorporated by reference herein and therein. This summary may not contain all of the information that you should consider before making an investment decision. You should read carefully the more detailed information included or referred to under the headings “Risk Factors” and “Important Information and Cautionary Statement Regarding Forward-Looking Statements” of this prospectus supplement and the other information included in this prospectus supplement, the accompanying prospectus, the documents incorporated or deemed </w:t>
      </w:r>
      <w:hyperlink r:id="rId39">
        <w:r>
          <w:rPr>
            <w:rFonts w:ascii="Times New Roman" w:cs="Times New Roman" w:eastAsia="Times New Roman" w:hAnsi="Times New Roman"/>
            <w:sz w:val="18"/>
            <w:szCs w:val="18"/>
            <w:i w:val="1"/>
            <w:iCs w:val="1"/>
            <w:color w:val="auto"/>
          </w:rPr>
          <w:t xml:space="preserve">incorporated by reference herein and therein, including our </w:t>
        </w:r>
        <w:r>
          <w:rPr>
            <w:rFonts w:ascii="Times New Roman" w:cs="Times New Roman" w:eastAsia="Times New Roman" w:hAnsi="Times New Roman"/>
            <w:sz w:val="18"/>
            <w:szCs w:val="18"/>
            <w:i w:val="1"/>
            <w:iCs w:val="1"/>
            <w:u w:val="single" w:color="auto"/>
            <w:color w:val="0000EE"/>
          </w:rPr>
          <w:t>Annual Report on Form 10-K for the year ended</w:t>
        </w:r>
      </w:hyperlink>
      <w:r>
        <w:rPr>
          <w:rFonts w:ascii="Times New Roman" w:cs="Times New Roman" w:eastAsia="Times New Roman" w:hAnsi="Times New Roman"/>
          <w:sz w:val="18"/>
          <w:szCs w:val="18"/>
          <w:i w:val="1"/>
          <w:iCs w:val="1"/>
          <w:color w:val="auto"/>
        </w:rPr>
        <w:t xml:space="preserve"> </w:t>
      </w:r>
      <w:hyperlink r:id="rId39">
        <w:r>
          <w:rPr>
            <w:rFonts w:ascii="Times New Roman" w:cs="Times New Roman" w:eastAsia="Times New Roman" w:hAnsi="Times New Roman"/>
            <w:sz w:val="18"/>
            <w:szCs w:val="18"/>
            <w:i w:val="1"/>
            <w:iCs w:val="1"/>
            <w:u w:val="single" w:color="auto"/>
            <w:color w:val="0000EE"/>
          </w:rPr>
          <w:t>December 31, 2019,</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our Quarterly Reports on Form 10-Q for the quarters ended</w:t>
        </w:r>
        <w:r>
          <w:rPr>
            <w:rFonts w:ascii="Times New Roman" w:cs="Times New Roman" w:eastAsia="Times New Roman" w:hAnsi="Times New Roman"/>
            <w:sz w:val="18"/>
            <w:szCs w:val="18"/>
            <w:i w:val="1"/>
            <w:iCs w:val="1"/>
            <w:color w:val="0000EE"/>
          </w:rPr>
          <w:t xml:space="preserve"> </w:t>
        </w:r>
      </w:hyperlink>
      <w:hyperlink r:id="rId40">
        <w:r>
          <w:rPr>
            <w:rFonts w:ascii="Times New Roman" w:cs="Times New Roman" w:eastAsia="Times New Roman" w:hAnsi="Times New Roman"/>
            <w:sz w:val="18"/>
            <w:szCs w:val="18"/>
            <w:i w:val="1"/>
            <w:iCs w:val="1"/>
            <w:u w:val="single" w:color="auto"/>
            <w:color w:val="0000EE"/>
          </w:rPr>
          <w:t xml:space="preserve">March 31, 2020 </w:t>
        </w:r>
      </w:hyperlink>
      <w:hyperlink r:id="rId39">
        <w:r>
          <w:rPr>
            <w:rFonts w:ascii="Times New Roman" w:cs="Times New Roman" w:eastAsia="Times New Roman" w:hAnsi="Times New Roman"/>
            <w:sz w:val="18"/>
            <w:szCs w:val="18"/>
            <w:i w:val="1"/>
            <w:iCs w:val="1"/>
            <w:color w:val="000000"/>
          </w:rPr>
          <w:t>and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June 30, 2020, and any related free writing prospectus before deciding to invest in our common stock.</w:t>
      </w:r>
    </w:p>
    <w:p>
      <w:pPr>
        <w:spacing w:after="0" w:line="186" w:lineRule="exact"/>
        <w:rPr>
          <w:rFonts w:ascii="Times New Roman" w:cs="Times New Roman" w:eastAsia="Times New Roman" w:hAnsi="Times New Roman"/>
          <w:sz w:val="18"/>
          <w:szCs w:val="18"/>
          <w:i w:val="1"/>
          <w:iCs w:val="1"/>
          <w:color w:val="0000EE"/>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rFonts w:ascii="Times New Roman" w:cs="Times New Roman" w:eastAsia="Times New Roman" w:hAnsi="Times New Roman"/>
          <w:sz w:val="18"/>
          <w:szCs w:val="18"/>
          <w:i w:val="1"/>
          <w:iCs w:val="1"/>
          <w:color w:val="0000EE"/>
        </w:rPr>
      </w:pPr>
    </w:p>
    <w:p>
      <w:pPr>
        <w:ind w:left="1280" w:right="699" w:firstLine="360"/>
        <w:spacing w:after="0" w:line="228" w:lineRule="auto"/>
        <w:rPr>
          <w:sz w:val="20"/>
          <w:szCs w:val="20"/>
          <w:color w:val="auto"/>
        </w:rPr>
      </w:pPr>
      <w:r>
        <w:rPr>
          <w:rFonts w:ascii="Times New Roman" w:cs="Times New Roman" w:eastAsia="Times New Roman" w:hAnsi="Times New Roman"/>
          <w:sz w:val="18"/>
          <w:szCs w:val="18"/>
          <w:color w:val="auto"/>
        </w:rPr>
        <w:t>Penn National is a leading, diversified, multi-jurisdictional owner and manager of gaming and racing properties, sports betting operations, and video gaming terminal (“VGT”) operations. In addition, we hold a 36% equity interest in Barstool Sports, a leading digital sports, entertainment and media platform. We also operate an interactive gaming (“iGaming”) division through our subsidiary, Penn Interactive Ventures, LLC, which launched an online casino (“iCasino”) through our HollywoodCasino.com gaming platform in the third quarter of 2019 and an online sports betting app called Barstool Sportsbook in the third quarter of 2020. Our MYCHOICE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customer loyalty program currently provides our members with various benefits, including complimentary goods and/or services.</w:t>
      </w:r>
    </w:p>
    <w:p>
      <w:pPr>
        <w:spacing w:after="0" w:line="108" w:lineRule="exact"/>
        <w:rPr>
          <w:rFonts w:ascii="Times New Roman" w:cs="Times New Roman" w:eastAsia="Times New Roman" w:hAnsi="Times New Roman"/>
          <w:sz w:val="18"/>
          <w:szCs w:val="18"/>
          <w:i w:val="1"/>
          <w:iCs w:val="1"/>
          <w:color w:val="0000EE"/>
        </w:rPr>
      </w:pPr>
    </w:p>
    <w:p>
      <w:pPr>
        <w:ind w:left="1280" w:right="759" w:firstLine="360"/>
        <w:spacing w:after="0"/>
        <w:rPr>
          <w:sz w:val="20"/>
          <w:szCs w:val="20"/>
          <w:color w:val="auto"/>
        </w:rPr>
      </w:pPr>
      <w:r>
        <w:rPr>
          <w:rFonts w:ascii="Times New Roman" w:cs="Times New Roman" w:eastAsia="Times New Roman" w:hAnsi="Times New Roman"/>
          <w:sz w:val="18"/>
          <w:szCs w:val="18"/>
          <w:color w:val="auto"/>
        </w:rPr>
        <w:t>As of June 30, 2020, we owned, managed, or had ownership interests in 41 properties in 19 states and were licensed to offer live sports betting at our properties in Indiana, Iowa, Michigan, Mississippi, Nevada, Pennsylvania and West Virginia. The majority of the real estate assets (i.e., land and buildings) used in the Company’s operations are subject to triple net master leases with subsidiaries of GLPI, the most significant of which are the Master Lease between GLP Capital, L.P. and Penn Tenant, LLC dated November 1, 2013, as amended (the “Penn Master Lease”), and the Master Lease, dated April 28, 2016, by and between Gold Merger Sub, LLC and Pinnacle MLS, LLC, as amended (the “Pinnacle Master Lease”).</w:t>
      </w:r>
    </w:p>
    <w:p>
      <w:pPr>
        <w:spacing w:after="0" w:line="117" w:lineRule="exact"/>
        <w:rPr>
          <w:rFonts w:ascii="Times New Roman" w:cs="Times New Roman" w:eastAsia="Times New Roman" w:hAnsi="Times New Roman"/>
          <w:sz w:val="18"/>
          <w:szCs w:val="18"/>
          <w:i w:val="1"/>
          <w:iCs w:val="1"/>
          <w:color w:val="0000EE"/>
        </w:rPr>
      </w:pPr>
    </w:p>
    <w:p>
      <w:pPr>
        <w:ind w:left="1280" w:right="779" w:firstLine="360"/>
        <w:spacing w:after="0" w:line="246" w:lineRule="auto"/>
        <w:rPr>
          <w:sz w:val="20"/>
          <w:szCs w:val="20"/>
          <w:color w:val="auto"/>
        </w:rPr>
      </w:pPr>
      <w:r>
        <w:rPr>
          <w:rFonts w:ascii="Times New Roman" w:cs="Times New Roman" w:eastAsia="Times New Roman" w:hAnsi="Times New Roman"/>
          <w:sz w:val="18"/>
          <w:szCs w:val="18"/>
          <w:color w:val="auto"/>
        </w:rPr>
        <w:t>We are organized under the laws of the Commonwealth of Pennsylvania. The address and telephone number of our executive offices are 825 Berkshire Blvd., Suite 200, Wyomissing, Pennsylvania 19610, and</w:t>
      </w:r>
    </w:p>
    <w:p>
      <w:pPr>
        <w:spacing w:after="0" w:line="1" w:lineRule="exact"/>
        <w:rPr>
          <w:rFonts w:ascii="Times New Roman" w:cs="Times New Roman" w:eastAsia="Times New Roman" w:hAnsi="Times New Roman"/>
          <w:sz w:val="18"/>
          <w:szCs w:val="18"/>
          <w:i w:val="1"/>
          <w:iCs w:val="1"/>
          <w:color w:val="0000EE"/>
        </w:rPr>
      </w:pPr>
    </w:p>
    <w:p>
      <w:pPr>
        <w:ind w:left="1280" w:right="999"/>
        <w:spacing w:after="0" w:line="243" w:lineRule="auto"/>
        <w:tabs>
          <w:tab w:leader="none" w:pos="17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373-2400. Our common shares are listed on the NASDAQ Global Select Market under the symbol “PENN”.</w:t>
      </w:r>
    </w:p>
    <w:p>
      <w:pPr>
        <w:spacing w:after="0" w:line="178" w:lineRule="exact"/>
        <w:rPr>
          <w:rFonts w:ascii="Times New Roman" w:cs="Times New Roman" w:eastAsia="Times New Roman" w:hAnsi="Times New Roman"/>
          <w:sz w:val="18"/>
          <w:szCs w:val="18"/>
          <w:i w:val="1"/>
          <w:iCs w:val="1"/>
          <w:color w:val="0000EE"/>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rFonts w:ascii="Times New Roman" w:cs="Times New Roman" w:eastAsia="Times New Roman" w:hAnsi="Times New Roman"/>
          <w:sz w:val="18"/>
          <w:szCs w:val="18"/>
          <w:i w:val="1"/>
          <w:iCs w:val="1"/>
          <w:color w:val="0000EE"/>
        </w:rPr>
      </w:pPr>
    </w:p>
    <w:p>
      <w:pPr>
        <w:ind w:left="1280" w:right="699" w:firstLine="360"/>
        <w:spacing w:after="0" w:line="242" w:lineRule="auto"/>
        <w:rPr>
          <w:sz w:val="20"/>
          <w:szCs w:val="20"/>
          <w:color w:val="auto"/>
        </w:rPr>
      </w:pPr>
      <w:r>
        <w:rPr>
          <w:rFonts w:ascii="Times New Roman" w:cs="Times New Roman" w:eastAsia="Times New Roman" w:hAnsi="Times New Roman"/>
          <w:sz w:val="18"/>
          <w:szCs w:val="18"/>
          <w:color w:val="auto"/>
        </w:rPr>
        <w:t>The information set forth below is based on information available to the Company as of the date of this prospectus supplement and should be considered in the context of all other information included or incorporated by reference into this prospectus supplement, including, without limitation, the information set forth in “Non-GAAP Financial Measures,” “Important Information and Cautionary Statement Regarding Forward-Looking Statements” and “Risk Factors.”</w:t>
      </w:r>
    </w:p>
    <w:p>
      <w:pPr>
        <w:spacing w:after="0" w:line="183" w:lineRule="exact"/>
        <w:rPr>
          <w:rFonts w:ascii="Times New Roman" w:cs="Times New Roman" w:eastAsia="Times New Roman" w:hAnsi="Times New Roman"/>
          <w:sz w:val="18"/>
          <w:szCs w:val="18"/>
          <w:i w:val="1"/>
          <w:iCs w:val="1"/>
          <w:color w:val="0000EE"/>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Expected Operating Results for the Three Months ended September 30, 2020</w:t>
      </w:r>
    </w:p>
    <w:p>
      <w:pPr>
        <w:spacing w:after="0" w:line="146" w:lineRule="exact"/>
        <w:rPr>
          <w:rFonts w:ascii="Times New Roman" w:cs="Times New Roman" w:eastAsia="Times New Roman" w:hAnsi="Times New Roman"/>
          <w:sz w:val="18"/>
          <w:szCs w:val="18"/>
          <w:i w:val="1"/>
          <w:iCs w:val="1"/>
          <w:color w:val="0000EE"/>
        </w:rPr>
      </w:pPr>
    </w:p>
    <w:p>
      <w:pPr>
        <w:ind w:left="1280" w:right="819" w:firstLine="360"/>
        <w:spacing w:after="0" w:line="242" w:lineRule="auto"/>
        <w:rPr>
          <w:sz w:val="20"/>
          <w:szCs w:val="20"/>
          <w:color w:val="auto"/>
        </w:rPr>
      </w:pPr>
      <w:r>
        <w:rPr>
          <w:rFonts w:ascii="Times New Roman" w:cs="Times New Roman" w:eastAsia="Times New Roman" w:hAnsi="Times New Roman"/>
          <w:sz w:val="18"/>
          <w:szCs w:val="18"/>
          <w:color w:val="auto"/>
        </w:rPr>
        <w:t>Based on information available to the Company as of the date of this prospectus supplement, the Company currently expects that our consolidated revenues for the three months ended September 30, 2020 will range from $1,040 million to $1,145 million and our consolidated Adjusted EBITDAR for the</w:t>
      </w:r>
    </w:p>
    <w:p>
      <w:pPr>
        <w:spacing w:after="0" w:line="1" w:lineRule="exact"/>
        <w:rPr>
          <w:rFonts w:ascii="Times New Roman" w:cs="Times New Roman" w:eastAsia="Times New Roman" w:hAnsi="Times New Roman"/>
          <w:sz w:val="18"/>
          <w:szCs w:val="18"/>
          <w:i w:val="1"/>
          <w:iCs w:val="1"/>
          <w:color w:val="0000EE"/>
        </w:rPr>
      </w:pPr>
    </w:p>
    <w:p>
      <w:pPr>
        <w:ind w:left="1280" w:right="759"/>
        <w:spacing w:after="0" w:line="238" w:lineRule="auto"/>
        <w:rPr>
          <w:sz w:val="20"/>
          <w:szCs w:val="20"/>
          <w:color w:val="auto"/>
        </w:rPr>
      </w:pPr>
      <w:r>
        <w:rPr>
          <w:rFonts w:ascii="Times New Roman" w:cs="Times New Roman" w:eastAsia="Times New Roman" w:hAnsi="Times New Roman"/>
          <w:sz w:val="18"/>
          <w:szCs w:val="18"/>
          <w:color w:val="auto"/>
        </w:rPr>
        <w:t>three months ended September 30, 2020 will range from $410 million to $450 million. We are unable to reconcile Adjusted EBITDAR to anticipated net income (loss) due to potential quarter end adjustments that we are not able to estimate. See “Non-GAAP Financial Measures,” “Important Information and Cautionary Statement Regarding Forward-Looking Statements” and “Risk Factors.”</w:t>
      </w:r>
    </w:p>
    <w:p>
      <w:pPr>
        <w:spacing w:after="0" w:line="183" w:lineRule="exact"/>
        <w:rPr>
          <w:rFonts w:ascii="Times New Roman" w:cs="Times New Roman" w:eastAsia="Times New Roman" w:hAnsi="Times New Roman"/>
          <w:sz w:val="18"/>
          <w:szCs w:val="18"/>
          <w:i w:val="1"/>
          <w:iCs w:val="1"/>
          <w:color w:val="0000EE"/>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Select Data for Reopened Properties</w:t>
      </w:r>
    </w:p>
    <w:p>
      <w:pPr>
        <w:spacing w:after="0" w:line="160" w:lineRule="exact"/>
        <w:rPr>
          <w:rFonts w:ascii="Times New Roman" w:cs="Times New Roman" w:eastAsia="Times New Roman" w:hAnsi="Times New Roman"/>
          <w:sz w:val="18"/>
          <w:szCs w:val="18"/>
          <w:i w:val="1"/>
          <w:iCs w:val="1"/>
          <w:color w:val="0000EE"/>
        </w:rPr>
      </w:pPr>
    </w:p>
    <w:p>
      <w:pPr>
        <w:ind w:left="1280" w:right="859" w:firstLine="360"/>
        <w:spacing w:after="0" w:line="266" w:lineRule="auto"/>
        <w:rPr>
          <w:sz w:val="20"/>
          <w:szCs w:val="20"/>
          <w:color w:val="auto"/>
        </w:rPr>
      </w:pPr>
      <w:r>
        <w:rPr>
          <w:rFonts w:ascii="Times New Roman" w:cs="Times New Roman" w:eastAsia="Times New Roman" w:hAnsi="Times New Roman"/>
          <w:sz w:val="18"/>
          <w:szCs w:val="18"/>
          <w:color w:val="auto"/>
        </w:rPr>
        <w:t>Properties of the Company that have reopened following closures related to the COVID-19 pandemic have achieved the following results in the aggregate from their respective dates of re-opening in the third</w:t>
      </w:r>
    </w:p>
    <w:p>
      <w:pPr>
        <w:sectPr>
          <w:pgSz w:w="11900" w:h="16838" w:orient="portrait"/>
          <w:cols w:equalWidth="0" w:num="1">
            <w:col w:w="10139"/>
          </w:cols>
          <w:pgMar w:left="320" w:top="114" w:right="1440" w:bottom="1440" w:gutter="0" w:footer="0" w:header="0"/>
        </w:sectPr>
      </w:pPr>
    </w:p>
    <w:p>
      <w:pPr>
        <w:spacing w:after="0" w:line="200" w:lineRule="exact"/>
        <w:rPr>
          <w:rFonts w:ascii="Times New Roman" w:cs="Times New Roman" w:eastAsia="Times New Roman" w:hAnsi="Times New Roman"/>
          <w:sz w:val="18"/>
          <w:szCs w:val="18"/>
          <w:i w:val="1"/>
          <w:iCs w:val="1"/>
          <w:color w:val="0000EE"/>
        </w:rPr>
      </w:pPr>
    </w:p>
    <w:p>
      <w:pPr>
        <w:spacing w:after="0" w:line="200" w:lineRule="exact"/>
        <w:rPr>
          <w:rFonts w:ascii="Times New Roman" w:cs="Times New Roman" w:eastAsia="Times New Roman" w:hAnsi="Times New Roman"/>
          <w:sz w:val="18"/>
          <w:szCs w:val="18"/>
          <w:i w:val="1"/>
          <w:iCs w:val="1"/>
          <w:color w:val="0000EE"/>
        </w:rPr>
      </w:pPr>
    </w:p>
    <w:p>
      <w:pPr>
        <w:spacing w:after="0" w:line="262" w:lineRule="exact"/>
        <w:rPr>
          <w:rFonts w:ascii="Times New Roman" w:cs="Times New Roman" w:eastAsia="Times New Roman" w:hAnsi="Times New Roman"/>
          <w:sz w:val="18"/>
          <w:szCs w:val="18"/>
          <w:i w:val="1"/>
          <w:iCs w:val="1"/>
          <w:color w:val="0000EE"/>
        </w:rPr>
      </w:pPr>
    </w:p>
    <w:p>
      <w:pPr>
        <w:ind w:left="52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0000EE"/>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659"/>
        <w:spacing w:after="0" w:line="259" w:lineRule="auto"/>
        <w:rPr>
          <w:sz w:val="20"/>
          <w:szCs w:val="20"/>
          <w:color w:val="auto"/>
        </w:rPr>
      </w:pPr>
      <w:r>
        <w:rPr>
          <w:rFonts w:ascii="Times New Roman" w:cs="Times New Roman" w:eastAsia="Times New Roman" w:hAnsi="Times New Roman"/>
          <w:sz w:val="18"/>
          <w:szCs w:val="18"/>
          <w:color w:val="auto"/>
        </w:rPr>
        <w:t>quarter of 2020 through September 21, 2020, compared with the prior year period: (i) a decline in revenues of approximately 11%; (ii) an increase in Adjusted EBITDAR of approximately 18%; and (iii) an increase in Adjusted EBITDAR margins of more than 1,020 basis points. These results exclude the September 2020 results of the Company’s L’Auberge Casino Resort in Lake Charles, Louisiana due to the impact of Hurricane Laura.</w:t>
      </w:r>
    </w:p>
    <w:p>
      <w:pPr>
        <w:spacing w:after="0" w:line="200" w:lineRule="exact"/>
        <w:rPr>
          <w:sz w:val="20"/>
          <w:szCs w:val="20"/>
          <w:color w:val="auto"/>
        </w:rPr>
      </w:pPr>
    </w:p>
    <w:p>
      <w:pPr>
        <w:spacing w:after="0" w:line="20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Early Trends in Pennsylvania Sports Betting</w:t>
      </w:r>
    </w:p>
    <w:p>
      <w:pPr>
        <w:spacing w:after="0" w:line="146" w:lineRule="exact"/>
        <w:rPr>
          <w:sz w:val="20"/>
          <w:szCs w:val="20"/>
          <w:color w:val="auto"/>
        </w:rPr>
      </w:pPr>
    </w:p>
    <w:p>
      <w:pPr>
        <w:ind w:left="1280" w:right="719" w:firstLine="360"/>
        <w:spacing w:after="0" w:line="254" w:lineRule="auto"/>
        <w:rPr>
          <w:sz w:val="20"/>
          <w:szCs w:val="20"/>
          <w:color w:val="auto"/>
        </w:rPr>
      </w:pPr>
      <w:r>
        <w:rPr>
          <w:rFonts w:ascii="Times New Roman" w:cs="Times New Roman" w:eastAsia="Times New Roman" w:hAnsi="Times New Roman"/>
          <w:sz w:val="18"/>
          <w:szCs w:val="18"/>
          <w:color w:val="auto"/>
        </w:rPr>
        <w:t>The Company conducted a live, real money test period for its new Barstool Sportsbook mobile app in Pennsylvania from September 15, 2020 to September 17, 2020 and, following such test period, officially launched the Barstool Sportsbook app in Pennsylvania on Friday, September 18, 2020. From Friday, September 18, 2020 to Monday, September 21, 2020, the Barstool Sportsbook app received approximately 24,000 registrations in Pennsylvania, approximately 30,000 downloads in Pennsylvania (approximately 35,000 including downloads during the test period), approximately 180,000 downloads in the United States, approximately 12,000 first-time depositors in Pennsylvania with an average deposit size of approximately $243, approximately $11 million of total handle (i.e., amount wagered) and an average rating in the iTunes App Store of 4.9. During its launch weekend, the Barstool Sportsbook was the most downloaded of any sports-related app.</w:t>
      </w:r>
    </w:p>
    <w:p>
      <w:pPr>
        <w:spacing w:after="0" w:line="400"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80" w:right="799" w:firstLine="360"/>
        <w:spacing w:after="0" w:line="261" w:lineRule="auto"/>
        <w:rPr>
          <w:sz w:val="20"/>
          <w:szCs w:val="20"/>
          <w:color w:val="auto"/>
        </w:rPr>
      </w:pPr>
      <w:r>
        <w:rPr>
          <w:rFonts w:ascii="Times New Roman" w:cs="Times New Roman" w:eastAsia="Times New Roman" w:hAnsi="Times New Roman"/>
          <w:sz w:val="18"/>
          <w:szCs w:val="18"/>
          <w:color w:val="auto"/>
        </w:rPr>
        <w:t>Investing in the common shares involves substantial risk. You should carefully consider all of the information in this prospectus supplement, including the information incorporated by reference herein. In particular, for a discussion of some specific factors you should consider before buying the common shares, see “Risk Factors.”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93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8"/>
          <w:szCs w:val="18"/>
          <w:b w:val="1"/>
          <w:bCs w:val="1"/>
          <w:color w:val="auto"/>
        </w:rPr>
        <w:t>THIS OFFERING</w:t>
      </w:r>
    </w:p>
    <w:p>
      <w:pPr>
        <w:sectPr>
          <w:pgSz w:w="11900" w:h="16838" w:orient="portrait"/>
          <w:cols w:equalWidth="0" w:num="1">
            <w:col w:w="10139"/>
          </w:cols>
          <w:pgMar w:left="320" w:top="114" w:right="1440" w:bottom="1440" w:gutter="0" w:footer="0" w:header="0"/>
        </w:sectPr>
      </w:pP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Common Shares Offered by Us</w:t>
      </w:r>
    </w:p>
    <w:p>
      <w:pPr>
        <w:spacing w:after="0" w:line="117"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b w:val="1"/>
          <w:bCs w:val="1"/>
          <w:color w:val="auto"/>
        </w:rPr>
        <w:t>Common Shares to be Outstanding Immediately After the Offering</w:t>
      </w:r>
      <w:r>
        <w:rPr>
          <w:rFonts w:ascii="Times New Roman" w:cs="Times New Roman" w:eastAsia="Times New Roman" w:hAnsi="Times New Roman"/>
          <w:sz w:val="26"/>
          <w:szCs w:val="26"/>
          <w:b w:val="1"/>
          <w:bCs w:val="1"/>
          <w:color w:val="auto"/>
          <w:vertAlign w:val="superscript"/>
        </w:rPr>
        <w:t>(1)</w:t>
      </w:r>
    </w:p>
    <w:p>
      <w:pPr>
        <w:spacing w:after="0" w:line="200" w:lineRule="exact"/>
        <w:rPr>
          <w:sz w:val="20"/>
          <w:szCs w:val="20"/>
          <w:color w:val="auto"/>
        </w:rPr>
      </w:pPr>
    </w:p>
    <w:p>
      <w:pPr>
        <w:spacing w:after="0" w:line="2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Offering Price</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0" w:lineRule="exact"/>
        <w:rPr>
          <w:sz w:val="20"/>
          <w:szCs w:val="20"/>
          <w:color w:val="auto"/>
        </w:rPr>
      </w:pPr>
    </w:p>
    <w:p>
      <w:pPr>
        <w:spacing w:after="0" w:line="349" w:lineRule="exact"/>
        <w:rPr>
          <w:sz w:val="20"/>
          <w:szCs w:val="20"/>
          <w:color w:val="auto"/>
        </w:rPr>
      </w:pPr>
    </w:p>
    <w:p>
      <w:pPr>
        <w:ind w:left="1460" w:right="3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14,000,000 common shares.</w:t>
      </w:r>
    </w:p>
    <w:p>
      <w:pPr>
        <w:spacing w:after="0" w:line="200" w:lineRule="exact"/>
        <w:rPr>
          <w:sz w:val="20"/>
          <w:szCs w:val="20"/>
          <w:color w:val="auto"/>
        </w:rPr>
      </w:pPr>
    </w:p>
    <w:p>
      <w:pPr>
        <w:spacing w:after="0" w:line="363" w:lineRule="exact"/>
        <w:rPr>
          <w:sz w:val="20"/>
          <w:szCs w:val="20"/>
          <w:color w:val="auto"/>
        </w:rPr>
      </w:pPr>
    </w:p>
    <w:p>
      <w:pPr>
        <w:ind w:left="1400"/>
        <w:spacing w:after="0"/>
        <w:tabs>
          <w:tab w:leader="none" w:pos="3600" w:val="left"/>
        </w:tabs>
        <w:rPr>
          <w:sz w:val="20"/>
          <w:szCs w:val="20"/>
          <w:color w:val="auto"/>
        </w:rPr>
      </w:pPr>
      <w:r>
        <w:rPr>
          <w:rFonts w:ascii="Times New Roman" w:cs="Times New Roman" w:eastAsia="Times New Roman" w:hAnsi="Times New Roman"/>
          <w:sz w:val="18"/>
          <w:szCs w:val="18"/>
          <w:color w:val="auto"/>
        </w:rPr>
        <w:t>common shares (</w:t>
      </w:r>
      <w:r>
        <w:rPr>
          <w:sz w:val="20"/>
          <w:szCs w:val="20"/>
          <w:color w:val="auto"/>
        </w:rPr>
        <w:tab/>
      </w:r>
      <w:r>
        <w:rPr>
          <w:rFonts w:ascii="Times New Roman" w:cs="Times New Roman" w:eastAsia="Times New Roman" w:hAnsi="Times New Roman"/>
          <w:sz w:val="18"/>
          <w:szCs w:val="18"/>
          <w:color w:val="auto"/>
        </w:rPr>
        <w:t>common shares if</w:t>
      </w:r>
    </w:p>
    <w:p>
      <w:pPr>
        <w:spacing w:after="0" w:line="27" w:lineRule="exact"/>
        <w:rPr>
          <w:sz w:val="20"/>
          <w:szCs w:val="20"/>
          <w:color w:val="auto"/>
        </w:rPr>
      </w:pPr>
    </w:p>
    <w:p>
      <w:pPr>
        <w:ind w:right="1299"/>
        <w:spacing w:after="0" w:line="260" w:lineRule="auto"/>
        <w:rPr>
          <w:sz w:val="20"/>
          <w:szCs w:val="20"/>
          <w:color w:val="auto"/>
        </w:rPr>
      </w:pPr>
      <w:r>
        <w:rPr>
          <w:rFonts w:ascii="Times New Roman" w:cs="Times New Roman" w:eastAsia="Times New Roman" w:hAnsi="Times New Roman"/>
          <w:sz w:val="18"/>
          <w:szCs w:val="18"/>
          <w:color w:val="auto"/>
        </w:rPr>
        <w:t>the underwriters exercise their option to purchase additional common shares from us in full).</w:t>
      </w:r>
    </w:p>
    <w:p>
      <w:pPr>
        <w:spacing w:after="0" w:line="73" w:lineRule="exact"/>
        <w:rPr>
          <w:sz w:val="20"/>
          <w:szCs w:val="20"/>
          <w:color w:val="auto"/>
        </w:rPr>
      </w:pPr>
    </w:p>
    <w:p>
      <w:pPr>
        <w:ind w:left="660" w:hanging="65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common share.</w:t>
      </w:r>
    </w:p>
    <w:p>
      <w:pPr>
        <w:spacing w:after="0" w:line="117" w:lineRule="exact"/>
        <w:rPr>
          <w:sz w:val="20"/>
          <w:szCs w:val="20"/>
          <w:color w:val="auto"/>
        </w:rPr>
      </w:pPr>
    </w:p>
    <w:p>
      <w:pPr>
        <w:ind w:right="1039"/>
        <w:spacing w:after="0" w:line="266" w:lineRule="auto"/>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“PENN.” The common shares offered hereby will be listed on the NASDAQ Global Select Market.</w:t>
      </w:r>
    </w:p>
    <w:p>
      <w:pPr>
        <w:spacing w:after="0" w:line="284" w:lineRule="exact"/>
        <w:rPr>
          <w:sz w:val="20"/>
          <w:szCs w:val="20"/>
          <w:color w:val="auto"/>
        </w:rPr>
      </w:pPr>
    </w:p>
    <w:p>
      <w:pPr>
        <w:ind w:right="799"/>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the option to purchase up to 2,100,000 additional common shares from us at the public offering price, less the underwriting discount, within 30 days from the date of this prospectus supplement.</w:t>
      </w:r>
    </w:p>
    <w:p>
      <w:pPr>
        <w:spacing w:after="0" w:line="68" w:lineRule="exact"/>
        <w:rPr>
          <w:sz w:val="20"/>
          <w:szCs w:val="20"/>
          <w:color w:val="auto"/>
        </w:rPr>
      </w:pPr>
    </w:p>
    <w:p>
      <w:pPr>
        <w:sectPr>
          <w:pgSz w:w="11900" w:h="16838" w:orient="portrait"/>
          <w:cols w:equalWidth="0" w:num="2">
            <w:col w:w="3860" w:space="440"/>
            <w:col w:w="5839"/>
          </w:cols>
          <w:pgMar w:left="320" w:top="114"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We estimate that the proceeds from the Offering will be</w:t>
            </w:r>
          </w:p>
        </w:tc>
      </w:tr>
      <w:tr>
        <w:trPr>
          <w:trHeight w:val="216"/>
        </w:trPr>
        <w:tc>
          <w:tcPr>
            <w:tcW w:w="2080" w:type="dxa"/>
            <w:vAlign w:val="bottom"/>
          </w:tcPr>
          <w:p>
            <w:pPr>
              <w:spacing w:after="0"/>
              <w:rPr>
                <w:sz w:val="18"/>
                <w:szCs w:val="18"/>
                <w:color w:val="auto"/>
              </w:rPr>
            </w:pPr>
          </w:p>
        </w:tc>
        <w:tc>
          <w:tcPr>
            <w:tcW w:w="24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approximately $</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million (or $</w:t>
            </w:r>
          </w:p>
        </w:tc>
        <w:tc>
          <w:tcPr>
            <w:tcW w:w="1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if the</w:t>
            </w:r>
          </w:p>
        </w:tc>
      </w:tr>
      <w:tr>
        <w:trPr>
          <w:trHeight w:val="216"/>
        </w:trPr>
        <w:tc>
          <w:tcPr>
            <w:tcW w:w="2080" w:type="dxa"/>
            <w:vAlign w:val="bottom"/>
          </w:tcPr>
          <w:p>
            <w:pPr>
              <w:spacing w:after="0"/>
              <w:rPr>
                <w:sz w:val="18"/>
                <w:szCs w:val="18"/>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underwriters exercise their option to purchase additional common</w:t>
            </w:r>
          </w:p>
        </w:tc>
      </w:tr>
      <w:tr>
        <w:trPr>
          <w:trHeight w:val="216"/>
        </w:trPr>
        <w:tc>
          <w:tcPr>
            <w:tcW w:w="2080" w:type="dxa"/>
            <w:vAlign w:val="bottom"/>
          </w:tcPr>
          <w:p>
            <w:pPr>
              <w:spacing w:after="0"/>
              <w:rPr>
                <w:sz w:val="18"/>
                <w:szCs w:val="18"/>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shares in full), after deducting fees and estimated expenses. We</w:t>
            </w:r>
          </w:p>
        </w:tc>
      </w:tr>
      <w:tr>
        <w:trPr>
          <w:trHeight w:val="216"/>
        </w:trPr>
        <w:tc>
          <w:tcPr>
            <w:tcW w:w="2080" w:type="dxa"/>
            <w:vAlign w:val="bottom"/>
          </w:tcPr>
          <w:p>
            <w:pPr>
              <w:spacing w:after="0"/>
              <w:rPr>
                <w:sz w:val="18"/>
                <w:szCs w:val="18"/>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intend to use the net proceeds from the Offering for general</w:t>
            </w:r>
          </w:p>
        </w:tc>
      </w:tr>
      <w:tr>
        <w:trPr>
          <w:trHeight w:val="216"/>
        </w:trPr>
        <w:tc>
          <w:tcPr>
            <w:tcW w:w="2080" w:type="dxa"/>
            <w:vAlign w:val="bottom"/>
          </w:tcPr>
          <w:p>
            <w:pPr>
              <w:spacing w:after="0"/>
              <w:rPr>
                <w:sz w:val="18"/>
                <w:szCs w:val="18"/>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corporate purposes, which may include, among other things,</w:t>
            </w:r>
          </w:p>
        </w:tc>
      </w:tr>
      <w:tr>
        <w:trPr>
          <w:trHeight w:val="216"/>
        </w:trPr>
        <w:tc>
          <w:tcPr>
            <w:tcW w:w="2080" w:type="dxa"/>
            <w:vAlign w:val="bottom"/>
          </w:tcPr>
          <w:p>
            <w:pPr>
              <w:spacing w:after="0"/>
              <w:rPr>
                <w:sz w:val="18"/>
                <w:szCs w:val="18"/>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investments in long-term growth initiatives, our brick and mortar</w:t>
            </w:r>
          </w:p>
        </w:tc>
      </w:tr>
      <w:tr>
        <w:trPr>
          <w:trHeight w:val="234"/>
        </w:trPr>
        <w:tc>
          <w:tcPr>
            <w:tcW w:w="2080" w:type="dxa"/>
            <w:vAlign w:val="bottom"/>
          </w:tcPr>
          <w:p>
            <w:pPr>
              <w:spacing w:after="0"/>
              <w:rPr>
                <w:sz w:val="20"/>
                <w:szCs w:val="20"/>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properties and our omni-channel strategy. See “Use of Proceeds.”</w:t>
            </w:r>
          </w:p>
        </w:tc>
      </w:tr>
      <w:tr>
        <w:trPr>
          <w:trHeight w:val="30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See “Risk Factors” and other information included in this</w:t>
            </w:r>
          </w:p>
        </w:tc>
      </w:tr>
      <w:tr>
        <w:trPr>
          <w:trHeight w:val="216"/>
        </w:trPr>
        <w:tc>
          <w:tcPr>
            <w:tcW w:w="2080" w:type="dxa"/>
            <w:vAlign w:val="bottom"/>
          </w:tcPr>
          <w:p>
            <w:pPr>
              <w:spacing w:after="0"/>
              <w:rPr>
                <w:sz w:val="18"/>
                <w:szCs w:val="18"/>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prospectus supplement for a discussion of factors you should</w:t>
            </w:r>
          </w:p>
        </w:tc>
      </w:tr>
      <w:tr>
        <w:trPr>
          <w:trHeight w:val="234"/>
        </w:trPr>
        <w:tc>
          <w:tcPr>
            <w:tcW w:w="2080" w:type="dxa"/>
            <w:vAlign w:val="bottom"/>
          </w:tcPr>
          <w:p>
            <w:pPr>
              <w:spacing w:after="0"/>
              <w:rPr>
                <w:sz w:val="20"/>
                <w:szCs w:val="20"/>
                <w:color w:val="auto"/>
              </w:rPr>
            </w:pPr>
          </w:p>
        </w:tc>
        <w:tc>
          <w:tcPr>
            <w:tcW w:w="59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consider before deciding to invest in our common shares.</w:t>
            </w:r>
          </w:p>
        </w:tc>
      </w:tr>
    </w:tbl>
    <w:p>
      <w:pPr>
        <w:spacing w:after="0" w:line="333" w:lineRule="exact"/>
        <w:rPr>
          <w:sz w:val="20"/>
          <w:szCs w:val="20"/>
          <w:color w:val="auto"/>
        </w:rPr>
      </w:pPr>
    </w:p>
    <w:p>
      <w:pPr>
        <w:ind w:left="1640" w:right="799" w:hanging="360"/>
        <w:spacing w:after="0" w:line="282" w:lineRule="auto"/>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outstanding immediately after the Offering is based on 139,060,053 of our common shares outstanding as of August 31, 2020 and excludes, as of such date:</w:t>
      </w:r>
    </w:p>
    <w:p>
      <w:pPr>
        <w:spacing w:after="0" w:line="53" w:lineRule="exact"/>
        <w:rPr>
          <w:rFonts w:ascii="Times New Roman" w:cs="Times New Roman" w:eastAsia="Times New Roman" w:hAnsi="Times New Roman"/>
          <w:sz w:val="18"/>
          <w:szCs w:val="18"/>
          <w:color w:val="auto"/>
        </w:rPr>
      </w:pPr>
    </w:p>
    <w:p>
      <w:pPr>
        <w:ind w:left="1820" w:right="979" w:hanging="180"/>
        <w:spacing w:after="0" w:line="282" w:lineRule="auto"/>
        <w:tabs>
          <w:tab w:leader="none" w:pos="1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4,199,345 common shares issuable upon the exercise of outstanding stock options, at a weighted-average exercise price of $19.04 per share;</w:t>
      </w:r>
    </w:p>
    <w:p>
      <w:pPr>
        <w:spacing w:after="0" w:line="53" w:lineRule="exact"/>
        <w:rPr>
          <w:rFonts w:ascii="Times New Roman" w:cs="Times New Roman" w:eastAsia="Times New Roman" w:hAnsi="Times New Roman"/>
          <w:sz w:val="18"/>
          <w:szCs w:val="18"/>
          <w:color w:val="auto"/>
        </w:rPr>
      </w:pPr>
    </w:p>
    <w:p>
      <w:pPr>
        <w:ind w:left="1820" w:right="999" w:hanging="180"/>
        <w:spacing w:after="0" w:line="282" w:lineRule="auto"/>
        <w:tabs>
          <w:tab w:leader="none" w:pos="1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883,000 common shares issuable upon the conversion of all outstanding shares of our Series D Convertible Preferred Stock, $0.01 par value per share (“Series D Convertible Preferred Stock”);</w:t>
      </w:r>
    </w:p>
    <w:p>
      <w:pPr>
        <w:spacing w:after="0" w:line="53" w:lineRule="exact"/>
        <w:rPr>
          <w:rFonts w:ascii="Times New Roman" w:cs="Times New Roman" w:eastAsia="Times New Roman" w:hAnsi="Times New Roman"/>
          <w:sz w:val="18"/>
          <w:szCs w:val="18"/>
          <w:color w:val="auto"/>
        </w:rPr>
      </w:pPr>
    </w:p>
    <w:p>
      <w:pPr>
        <w:ind w:left="1820" w:right="819" w:hanging="180"/>
        <w:spacing w:after="0" w:line="282" w:lineRule="auto"/>
        <w:tabs>
          <w:tab w:leader="none" w:pos="1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617,394 common shares issuable upon the vesting of restricted stock, performance shares and other outstanding equity-awards (other than options);</w:t>
      </w:r>
    </w:p>
    <w:p>
      <w:pPr>
        <w:spacing w:after="0" w:line="53" w:lineRule="exact"/>
        <w:rPr>
          <w:rFonts w:ascii="Times New Roman" w:cs="Times New Roman" w:eastAsia="Times New Roman" w:hAnsi="Times New Roman"/>
          <w:sz w:val="18"/>
          <w:szCs w:val="18"/>
          <w:color w:val="auto"/>
        </w:rPr>
      </w:pPr>
    </w:p>
    <w:p>
      <w:pPr>
        <w:ind w:left="1820" w:right="1379" w:hanging="180"/>
        <w:spacing w:after="0" w:line="282" w:lineRule="auto"/>
        <w:tabs>
          <w:tab w:leader="none" w:pos="1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7,610,376 common shares reserved for future issuance under our 2018 Long Term Incentive Compensation Plan; and</w:t>
      </w:r>
    </w:p>
    <w:p>
      <w:pPr>
        <w:spacing w:after="0" w:line="53" w:lineRule="exact"/>
        <w:rPr>
          <w:rFonts w:ascii="Times New Roman" w:cs="Times New Roman" w:eastAsia="Times New Roman" w:hAnsi="Times New Roman"/>
          <w:sz w:val="18"/>
          <w:szCs w:val="18"/>
          <w:color w:val="auto"/>
        </w:rPr>
      </w:pPr>
    </w:p>
    <w:p>
      <w:pPr>
        <w:ind w:left="1820" w:right="699" w:hanging="180"/>
        <w:spacing w:after="0" w:line="282" w:lineRule="auto"/>
        <w:tabs>
          <w:tab w:leader="none" w:pos="1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14,123,703 common shares issuable upon the conversion of our 2.75% Convertible Senior Notes due 2026, which have an initial conversion price of approximately $23.40.</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1260" w:right="679" w:firstLine="360"/>
        <w:spacing w:after="0" w:line="252"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An investment in our common shares involves a high degree of risk. Before making an investment in our common shares, you should carefully consider the risks below and all of the information included or incorporated by reference into this prospectus supplement, including the risks described under the heading </w:t>
      </w:r>
      <w:hyperlink r:id="rId39">
        <w:r>
          <w:rPr>
            <w:rFonts w:ascii="Times New Roman" w:cs="Times New Roman" w:eastAsia="Times New Roman" w:hAnsi="Times New Roman"/>
            <w:sz w:val="18"/>
            <w:szCs w:val="18"/>
            <w:i w:val="1"/>
            <w:iCs w:val="1"/>
            <w:color w:val="auto"/>
          </w:rPr>
          <w:t xml:space="preserve">“Item 1A. Risk Factors” in our </w:t>
        </w:r>
        <w:r>
          <w:rPr>
            <w:rFonts w:ascii="Times New Roman" w:cs="Times New Roman" w:eastAsia="Times New Roman" w:hAnsi="Times New Roman"/>
            <w:sz w:val="18"/>
            <w:szCs w:val="18"/>
            <w:i w:val="1"/>
            <w:iCs w:val="1"/>
            <w:u w:val="single" w:color="auto"/>
            <w:color w:val="0000EE"/>
          </w:rPr>
          <w:t>Annual Report on Form 10-K for the year ended December 31, 2019, filed</w:t>
        </w:r>
      </w:hyperlink>
      <w:r>
        <w:rPr>
          <w:rFonts w:ascii="Times New Roman" w:cs="Times New Roman" w:eastAsia="Times New Roman" w:hAnsi="Times New Roman"/>
          <w:sz w:val="18"/>
          <w:szCs w:val="18"/>
          <w:i w:val="1"/>
          <w:iCs w:val="1"/>
          <w:color w:val="auto"/>
        </w:rPr>
        <w:t xml:space="preserve"> </w:t>
      </w:r>
      <w:hyperlink r:id="rId39">
        <w:r>
          <w:rPr>
            <w:rFonts w:ascii="Times New Roman" w:cs="Times New Roman" w:eastAsia="Times New Roman" w:hAnsi="Times New Roman"/>
            <w:sz w:val="18"/>
            <w:szCs w:val="18"/>
            <w:i w:val="1"/>
            <w:iCs w:val="1"/>
            <w:u w:val="single" w:color="auto"/>
            <w:color w:val="0000EE"/>
          </w:rPr>
          <w:t>with the SEC on February 27, 2020,</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and under the heading “Item 1A. Risk Factors” in our Quarterly</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 xml:space="preserve">Reports on Form 10-Q for the quarters ended March 31, 2020 and June 30, 2020, filed with the SEC on </w:t>
      </w:r>
      <w:hyperlink r:id="rId40">
        <w:r>
          <w:rPr>
            <w:rFonts w:ascii="Times New Roman" w:cs="Times New Roman" w:eastAsia="Times New Roman" w:hAnsi="Times New Roman"/>
            <w:sz w:val="18"/>
            <w:szCs w:val="18"/>
            <w:i w:val="1"/>
            <w:iCs w:val="1"/>
            <w:u w:val="single" w:color="auto"/>
            <w:color w:val="0000EE"/>
          </w:rPr>
          <w:t>May 8, 2020</w:t>
        </w:r>
        <w:r>
          <w:rPr>
            <w:rFonts w:ascii="Times New Roman" w:cs="Times New Roman" w:eastAsia="Times New Roman" w:hAnsi="Times New Roman"/>
            <w:sz w:val="18"/>
            <w:szCs w:val="18"/>
            <w:i w:val="1"/>
            <w:iCs w:val="1"/>
            <w:color w:val="0000EE"/>
          </w:rPr>
          <w:t xml:space="preserve"> </w:t>
        </w:r>
      </w:hyperlink>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i w:val="1"/>
          <w:iCs w:val="1"/>
          <w:color w:val="0000EE"/>
        </w:rPr>
        <w:t xml:space="preserve"> </w:t>
      </w:r>
      <w:hyperlink r:id="rId46">
        <w:r>
          <w:rPr>
            <w:rFonts w:ascii="Times New Roman" w:cs="Times New Roman" w:eastAsia="Times New Roman" w:hAnsi="Times New Roman"/>
            <w:sz w:val="18"/>
            <w:szCs w:val="18"/>
            <w:i w:val="1"/>
            <w:iCs w:val="1"/>
            <w:u w:val="single" w:color="auto"/>
            <w:color w:val="0000EE"/>
          </w:rPr>
          <w:t xml:space="preserve">August 6, 2020, </w:t>
        </w:r>
      </w:hyperlink>
      <w:r>
        <w:rPr>
          <w:rFonts w:ascii="Times New Roman" w:cs="Times New Roman" w:eastAsia="Times New Roman" w:hAnsi="Times New Roman"/>
          <w:sz w:val="18"/>
          <w:szCs w:val="18"/>
          <w:i w:val="1"/>
          <w:iCs w:val="1"/>
          <w:color w:val="000000"/>
        </w:rPr>
        <w:t>respectively</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(each of which is incorporated by reference herein), as</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updated by the other reports and documents we file with the SEC that are incorporated by reference herein. Please see the sections of this prospectus supplement entitled “Where You Can Find Additional Information” and “Incorporation of Certain Documents by Reference.” The occurrence of one or more of those risk factors could adversely impact our business, financial condition or results of operations. As a result, the market value of our common shares could decline and you could lose part or all of your investment. The order in which the risks are presented does not necessarily reflect the likelihood of their occurrence or the magnitude of their potential impact on our business, financial condition, results of operations and prospects or on the value of our common shares.</w:t>
      </w:r>
    </w:p>
    <w:p>
      <w:pPr>
        <w:spacing w:after="0" w:line="200" w:lineRule="exact"/>
        <w:rPr>
          <w:rFonts w:ascii="Times New Roman" w:cs="Times New Roman" w:eastAsia="Times New Roman" w:hAnsi="Times New Roman"/>
          <w:sz w:val="18"/>
          <w:szCs w:val="18"/>
          <w:i w:val="1"/>
          <w:iCs w:val="1"/>
          <w:color w:val="0000EE"/>
        </w:rPr>
      </w:pPr>
    </w:p>
    <w:p>
      <w:pPr>
        <w:spacing w:after="0" w:line="211" w:lineRule="exact"/>
        <w:rPr>
          <w:rFonts w:ascii="Times New Roman" w:cs="Times New Roman" w:eastAsia="Times New Roman" w:hAnsi="Times New Roman"/>
          <w:sz w:val="18"/>
          <w:szCs w:val="18"/>
          <w:i w:val="1"/>
          <w:iCs w:val="1"/>
          <w:color w:val="0000EE"/>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Factors Relating to Recent Events</w:t>
      </w:r>
    </w:p>
    <w:p>
      <w:pPr>
        <w:spacing w:after="0" w:line="225" w:lineRule="exact"/>
        <w:rPr>
          <w:rFonts w:ascii="Times New Roman" w:cs="Times New Roman" w:eastAsia="Times New Roman" w:hAnsi="Times New Roman"/>
          <w:sz w:val="18"/>
          <w:szCs w:val="18"/>
          <w:i w:val="1"/>
          <w:iCs w:val="1"/>
          <w:color w:val="0000EE"/>
        </w:rPr>
      </w:pPr>
    </w:p>
    <w:p>
      <w:pPr>
        <w:jc w:val="both"/>
        <w:ind w:left="1260" w:right="8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significantly impacted the global economy, including the gaming industry, and has had a material adverse effect on our business, financial condition, results of operations and cash flows, and may continue to do so.</w:t>
      </w:r>
    </w:p>
    <w:p>
      <w:pPr>
        <w:spacing w:after="0" w:line="107" w:lineRule="exact"/>
        <w:rPr>
          <w:rFonts w:ascii="Times New Roman" w:cs="Times New Roman" w:eastAsia="Times New Roman" w:hAnsi="Times New Roman"/>
          <w:sz w:val="18"/>
          <w:szCs w:val="18"/>
          <w:i w:val="1"/>
          <w:iCs w:val="1"/>
          <w:color w:val="0000EE"/>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COVID-19 outbreak to be a global pandemic. The COVID-19 pandemic has significantly impacted health and economic conditions throughout the United States. The global spread of the COVID-19 pandemic has been, and continues to be, complex and rapidly evolving, with governments, public institutions and other organizations imposing or recommending, and businesses and individuals implementing, restrictions on various activities or other actions to combat its spread, such as restrictions and bans on travel or transportation, stay-at-home directives, limitations on the size of gatherings, closures of work facilities, schools, public buildings and businesses, cancellation of events, including sporting events, concerts, conferences and meetings, and quarantines and lock-downs. The COVID-19 pandemic and its consequences have also dramatically reduced travel and demand for casino gaming and related amenities. Many jurisdictions where our properties are located required mandatory closures or imposed capacity limitations and other restrictions affecting our operations. The COVID-19 pandemic and these resulting developments have caused significant disruptions to our ability to generate revenues, profitability and cash flows and have had a material adverse impact on our financial condition, results of operations and cash flows as of and for the three and six months ended June 30, 2020 and which we expect to impact our results of operations and cash flows for the three months ended September 30, 2020. Such impact could worsen and last for an unknown period of time. In addition, these disruptions to us and the gaming industry in general as well as significant negative economic trends due to the COVID-19 pandemic have adversely affected and could continue to adversely affect our stock price.</w:t>
      </w:r>
    </w:p>
    <w:p>
      <w:pPr>
        <w:spacing w:after="0" w:line="340" w:lineRule="exact"/>
        <w:rPr>
          <w:rFonts w:ascii="Times New Roman" w:cs="Times New Roman" w:eastAsia="Times New Roman" w:hAnsi="Times New Roman"/>
          <w:sz w:val="18"/>
          <w:szCs w:val="18"/>
          <w:i w:val="1"/>
          <w:iCs w:val="1"/>
          <w:color w:val="0000EE"/>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During the first quarter of 2020, the Company took various actions to reduce its cost structure during the property closures to help mitigate the operating and financial impact of the COVID-19 pandemic, which included: (i) furloughing approximately 26,000 employees and operating with a minimum staffing of less than 850 employees company-wide during the closures; (ii) enacting meaningful compensation reductions to its remaining property and corporate leadership teams effective April 1, 2020 until such time as the Company determines that its properties have substantially returned to normal operations; and (iii) executing substantial reductions in operating expenses, capital expenditures, including temporarily suspending construction of its two planned Category 4 development projects in Pennsylvania, and overall costs. In addition, the Company’s Board of Directors elected to forgo their cash compensation effective April 1, 2020 until such time as the Company determines that its properties have substantially returned to normal operations. Such steps, and further changes we make in the future to reduce costs, may negatively impact our growth prospects, guest loyalty or our ability to attract and retain employees, and our business and reputation may suffer as a result. While we have engaged in cost reduction efforts in connection with the closures, we still have significant fixed and variable expenses.</w:t>
      </w:r>
    </w:p>
    <w:p>
      <w:pPr>
        <w:sectPr>
          <w:pgSz w:w="11900" w:h="16838" w:orient="portrait"/>
          <w:cols w:equalWidth="0" w:num="1">
            <w:col w:w="10139"/>
          </w:cols>
          <w:pgMar w:left="320" w:top="114" w:right="1440" w:bottom="1440" w:gutter="0" w:footer="0" w:header="0"/>
        </w:sectPr>
      </w:pPr>
    </w:p>
    <w:p>
      <w:pPr>
        <w:spacing w:after="0" w:line="200" w:lineRule="exact"/>
        <w:rPr>
          <w:rFonts w:ascii="Times New Roman" w:cs="Times New Roman" w:eastAsia="Times New Roman" w:hAnsi="Times New Roman"/>
          <w:sz w:val="18"/>
          <w:szCs w:val="18"/>
          <w:i w:val="1"/>
          <w:iCs w:val="1"/>
          <w:color w:val="0000EE"/>
        </w:rPr>
      </w:pPr>
    </w:p>
    <w:p>
      <w:pPr>
        <w:spacing w:after="0" w:line="390" w:lineRule="exact"/>
        <w:rPr>
          <w:rFonts w:ascii="Times New Roman" w:cs="Times New Roman" w:eastAsia="Times New Roman" w:hAnsi="Times New Roman"/>
          <w:sz w:val="18"/>
          <w:szCs w:val="18"/>
          <w:i w:val="1"/>
          <w:iCs w:val="1"/>
          <w:color w:val="0000EE"/>
        </w:rPr>
      </w:pPr>
    </w:p>
    <w:p>
      <w:pPr>
        <w:ind w:left="52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0000EE"/>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Though virtually all of our properties have reopened, we cannot predict the period of time required for the ramp-up of operations. We also may be required again to temporarily suspend operations at our properties if ordered by such governmental bodies. Our reopened properties face restrictions on our operations, including capacity limitations, cleaning requirements, restrictions on the number of seats per table game, slot machine spacing, temperature checks, mask protection and social distancing requirements which impact our future operations and ability to generate the same level of revenues and cash flows as before the COVID- 19 pandemic. The continued operation of our reopened properties, may be affected by our ability to retain our workforce still on furlough as well as management- level corporate employees due to reductions in compensation or other factors. For example, if our employees that remain on furlough do not return to work with us when the COVID-19 pandemic further subsides, including because they find new employment during the furlough, we may experience operational challenges that may impact our ability to resume operations in full.</w:t>
      </w:r>
    </w:p>
    <w:p>
      <w:pPr>
        <w:spacing w:after="0" w:line="140" w:lineRule="exact"/>
        <w:rPr>
          <w:sz w:val="20"/>
          <w:szCs w:val="20"/>
          <w:color w:val="auto"/>
        </w:rPr>
      </w:pPr>
    </w:p>
    <w:p>
      <w:pPr>
        <w:ind w:left="1260" w:right="759" w:firstLine="360"/>
        <w:spacing w:after="0" w:line="237" w:lineRule="auto"/>
        <w:rPr>
          <w:sz w:val="20"/>
          <w:szCs w:val="20"/>
          <w:color w:val="auto"/>
        </w:rPr>
      </w:pPr>
      <w:r>
        <w:rPr>
          <w:rFonts w:ascii="Times New Roman" w:cs="Times New Roman" w:eastAsia="Times New Roman" w:hAnsi="Times New Roman"/>
          <w:sz w:val="18"/>
          <w:szCs w:val="18"/>
          <w:color w:val="auto"/>
        </w:rPr>
        <w:t>Moreover, once restrictions are lifted, it is unclear how quickly customers will return to our properties in numbers comparable to before the COVID-19 pandemic, which may be a function of continued concerns over health and safety, ongoing social distancing measures, or changes in consumer spending behavior due to adverse economic conditions, including job losses. Our properties have large customer-facing footprints and high levels of customer traffic where customers can gather together for personal interaction. As such, some customers may choose for a period of time not to travel or visit our properties for health concerns or due to overall changes in consumer behavior resulting from social distancing. Upon reopening our properties, we saw weakened visitation, which may have been due to increased level of unemployment, continued travel restrictions or warnings, consumer fears, reduced consumer discretionary spending or general economic uncertainty. Our vendors and other suppliers could also experience potential adverse effects of the pandemic that could impact our ability to operate to the same level as prior to the closures. If COVID-19 continues to spread, governmental agencies or officials may order additional closures or impose further restrictions on the number of people allowed in our properties or in proximity to each other. Any of these events could result in significant further disruption to our operations and a drop in demand for our properties and could have a material adverse effect on us.</w:t>
      </w:r>
    </w:p>
    <w:p>
      <w:pPr>
        <w:spacing w:after="0" w:line="120" w:lineRule="exact"/>
        <w:rPr>
          <w:sz w:val="20"/>
          <w:szCs w:val="20"/>
          <w:color w:val="auto"/>
        </w:rPr>
      </w:pPr>
    </w:p>
    <w:p>
      <w:pPr>
        <w:jc w:val="both"/>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We could experience other potential adverse impacts as a result of the COVID-19 pandemic, including, but not limited to, further charges from adjustments to the carrying amount of goodwill and other intangible assets, long-lived asset impairment charges, or impairments of investments in joint ventures.</w:t>
      </w:r>
    </w:p>
    <w:p>
      <w:pPr>
        <w:spacing w:after="0" w:line="109"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ultimate impact of the COVID- 19 pandemic on our business, results of operations, financial condition and cash flows will depend on numerous evolving factors that we may not be able to accurately predict or assess, including the duration and scope of the pandemic (and whether there is a resurgence or multiple resurgences in the future); the duration and impact on overall customer demand; the possibility that governmental bodies may again order temporary suspension of operation at our properties; our ability to again generate revenue and profits capable of supporting our ongoing operations; new information which may emerge concerning the severity of COVID- 19; the negative impact it has on global and regional economies and economic activity; the ability of us and our business partners to successfully navigate the impacts of the pandemic; actions governments, businesses and individuals take in response to the pandemic, including limiting or banning travel and limiting or banning leisure, casino and entertainment (including concerts, sports and similar events) activities; and how quickly economies, travel activity, and demand for gaming, entertainment and leisure activities recovers after the pandemic subsides. The impact of the COVID -19 pandemic may also have the effect of exacerbating many of the other risks described in our Annual Report on Form 10 -K for the year ended December 31, 2019 and our Quarterly Reports on Form 10-Q for the quarterly periods ended March 31, 2020 and June 30, 2020. As a result of the foregoing, we cannot predict the ultimate scope, duration and impact the COVID-19 pandemic will have on our results of operations, but we expect that it will continue to have a material impact on our business, financial condition, liquidity, results of operations (including revenues and profitability) and stock price.</w:t>
      </w:r>
    </w:p>
    <w:p>
      <w:pPr>
        <w:spacing w:after="0" w:line="3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Factors Relating to the Offering and our Common Shares</w:t>
      </w:r>
    </w:p>
    <w:p>
      <w:pPr>
        <w:spacing w:after="0" w:line="225"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share price has fluctuated significantly, and if our share price fluctuates after this offering, you could lose your entire or a significant part of your investment.</w:t>
      </w:r>
    </w:p>
    <w:p>
      <w:pPr>
        <w:spacing w:after="0" w:line="77"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share price has fluctuated significantly, and may fluctuate significantly in the future. Consequently, you may not be able to sell our common shares at prices equal to or greater than the price paid by you in this</w:t>
      </w: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offering. In addition to the risks described above, the market price of our common shares may be influenced by many factors, some of which are beyond our control, including:</w:t>
      </w:r>
    </w:p>
    <w:p>
      <w:pPr>
        <w:spacing w:after="0" w:line="54" w:lineRule="exact"/>
        <w:rPr>
          <w:sz w:val="20"/>
          <w:szCs w:val="20"/>
          <w:color w:val="auto"/>
        </w:rPr>
      </w:pPr>
    </w:p>
    <w:p>
      <w:pPr>
        <w:ind w:left="1800" w:right="799" w:hanging="178"/>
        <w:spacing w:after="0" w:line="258"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implications of COVID-19 on our business and operations, which include, among other things, various operational restrictions to accommodate social distancing and health guidelines, the potential for temporary suspensions of operations at our properties if ordered by governmental bodies, our ability to implement growth plans, the ability to retain our workforce still on furlough, and our financial results and liquidity;</w:t>
      </w:r>
    </w:p>
    <w:p>
      <w:pPr>
        <w:spacing w:after="0" w:line="75"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interpretations thereof) relating to our services or assets;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agreements or acquisitions;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equity markets;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to our board of directors, management or key personnel;</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outcome of litigation;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 or earnings of our competitors;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or significant price reductions by us or our competitors;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competitors;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shares;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preferences of our guests;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our investments, the industries we participate in or individual scandals;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earnings or other announcements by us or other gaming companies;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or the credit ratings of our competitors;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legal and regulatory factors unrelated to our performance;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legal and regulatory factors;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indebtedness or issuances of capital stock;</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shares;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our prospects, and the industries in which we operate.</w:t>
      </w:r>
    </w:p>
    <w:p>
      <w:pPr>
        <w:spacing w:after="0" w:line="158"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has experienced substantial price and volume fluctuations that have often been unrelated or disproportionate to the operating performance of a particular company. These broad market and industry factors may materially harm the market price of our common shares, regardless of our operating performance. In the past, following periods of volatility in the market price of certain companies’ securities, securities class-action litigation has been instituted against these companies. Such litigation, if instituted against us, could adversely affect our financial condition or results of operations.</w:t>
      </w:r>
    </w:p>
    <w:p>
      <w:pPr>
        <w:spacing w:after="0" w:line="183"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not use them effectively.</w:t>
      </w:r>
    </w:p>
    <w:p>
      <w:pPr>
        <w:spacing w:after="0" w:line="91"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our shareholders will not have the opportunity as part of their investment decision to assess whether the net proceeds are being used appropriately. You may not agree with our decisions, and our use of the net proceeds may not yield any return on your investment. Our failure to apply the net proceeds of this offering effectively could compromise our business strategy, and we might not be able to yield a significant return, if any, on our investment of these net proceeds. You will not have the opportunity to influence our decisions on how to use our net proceeds from this offering.</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future issuance or sales of our common shares, or the perception that these sales may occur, could cause the market price of our common shares to decline.</w:t>
      </w:r>
    </w:p>
    <w:p>
      <w:pPr>
        <w:spacing w:after="0" w:line="77"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Sales of substantial amounts of our common shares in the public market, or the perception that these sales may occur, as well as the issuance, or the conversion of all or a portion, of common shares, convertible preferred stock or convertible or exchangeable debt securities, could cause the market price of our common shares to decline. This could also impair our ability to raise additional capital through the sale of our equity securities. We are authorized under our Articles of Incorporation (as amended, the “Articles”) to issue</w:t>
      </w:r>
    </w:p>
    <w:p>
      <w:pPr>
        <w:spacing w:after="0" w:line="2"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200,000,000 common shares, of which we estimate common shares will be outstanding following the Offering, assuming no exercise of the underwriters’ option to purchase additional shares. In addition, as of August 31, 2020, 4,199,345 common shares were issuable upon the exercise of outstanding stock options, at a weighted-average exercise price of $19.04 per share, 883,000 common shares were issuable upon the conversion of all outstanding shares of Series D Convertible Preferred Stock, 617,394 common shares were issuable upon the vesting of restricted stock, performance shares and other outstanding equity-awards (other than options); 7,610,376 common shares were reserved for future issuance under our 2018 Long Term Incentive Compensation Plan; and 14,123,703 common shares were issuable upon the conversion of our 2.75% Convertible Senior Notes due 2026, which have an initial conversion price of approximately $ 23.40. The market price of our common shares could decline as a result of future sales of common shares, convertible preferred shares or convertible or exchangeable notes by us or sales by directors, executive officers or shareholders after this offering. We cannot predict the size of future issuances of our common shares, convertible preferred shares or convertible notes or the effect, if any, that future sales and issuances of shares would have on the market price of our shares.</w:t>
      </w:r>
    </w:p>
    <w:p>
      <w:pPr>
        <w:spacing w:after="0" w:line="273"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Subject to certain exceptions described under the caption “Underwriting,” we, our directors and certain executive officers have agreed not to offer to sell, sell or agree to sell, directly or indirectly, any common shares without the permission of the representatives, for a period of 60 days from the date of this prospectus supplement. When the lock-up period expires, we, our directors and certain executive officers will be able to sell common shares or any securities convertible or exercisable or exchangeable for common shares in the public market. In addition, the representatives may release all or some portion of the shares subject to lock-up agreements prior to expiration of the lock -up period. Sales of a substantial number of such shares upon expiration, or early release of, or pursuant to an exception under, the lock-up period, or the perception that such sales may occur, could cause our share price to decline or make it more difficult for holders of our common shares to sell such common shares at a time and price they deem appropriate.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issuances.</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the future, we may sell additional common shares to raise capital or acquire interests in other companies by using common shares or a combination of cash and common shares. These events may dilute your ownership interest and have an adverse impact on the price of the common shares. In addition, substantial numbers of common shares are reserved for issuance upon the exercise of outstanding equity awards and upon conversion of shares of our outstanding Series D Convertible Preferred Stock and 2.75% Convertible Senior Notes due 2026. Furthermore, sales of a substantial amount of common shares or any securities convertible into or exercisable or exchangeable for common shares in the public market or the perception that these sales or conversions may occur, could reduce the market price of the common shares. This could also impair our ability to raise additional capital through the sale of our securities. No prediction can be made as to the effect, if any, that future sales or issuance of common shares or other equity or equity-linked securities will have on the trading price of common shares.</w:t>
      </w:r>
    </w:p>
    <w:p>
      <w:pPr>
        <w:spacing w:after="0" w:line="188" w:lineRule="exact"/>
        <w:rPr>
          <w:sz w:val="20"/>
          <w:szCs w:val="20"/>
          <w:color w:val="auto"/>
        </w:rPr>
      </w:pPr>
    </w:p>
    <w:p>
      <w:pPr>
        <w:ind w:left="1260" w:right="7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or other distributions on our common shares for the foreseeable future and, consequently, your only opportunity to achieve a return on your investment is if the price of our common shares appreciates.</w:t>
      </w:r>
    </w:p>
    <w:p>
      <w:pPr>
        <w:spacing w:after="0" w:line="94" w:lineRule="exact"/>
        <w:rPr>
          <w:sz w:val="20"/>
          <w:szCs w:val="20"/>
          <w:color w:val="auto"/>
        </w:rPr>
      </w:pPr>
    </w:p>
    <w:p>
      <w:pPr>
        <w:ind w:left="1260" w:right="779" w:firstLine="360"/>
        <w:spacing w:after="0" w:line="257" w:lineRule="auto"/>
        <w:rPr>
          <w:sz w:val="20"/>
          <w:szCs w:val="20"/>
          <w:color w:val="auto"/>
        </w:rPr>
      </w:pPr>
      <w:r>
        <w:rPr>
          <w:rFonts w:ascii="Times New Roman" w:cs="Times New Roman" w:eastAsia="Times New Roman" w:hAnsi="Times New Roman"/>
          <w:sz w:val="18"/>
          <w:szCs w:val="18"/>
          <w:color w:val="auto"/>
        </w:rPr>
        <w:t>We have historically not paid, and we do not anticipate that we will pay for the foreseeable future, any cash dividends or other cash distributions on our common shares. Any determination to pay dividends or other distributions in the future will be largely at the discretion of our Board of Directors and will depend upon results of operations, financial performance, contractual restrictions, restrictions imposed by applicable law, and other factors our Board of Directors deems relevant. Accordingly, if you purchase common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shares in this offering, realization of a gain on your investment will depend on the appreciation of the price of our common shares, which may never occur.</w:t>
      </w:r>
    </w:p>
    <w:p>
      <w:pPr>
        <w:spacing w:after="0" w:line="158"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Articles and the Pennsylvania Business Corporation Law may delay or prevent our acquisition by a third party.</w:t>
      </w:r>
    </w:p>
    <w:p>
      <w:pPr>
        <w:spacing w:after="0" w:line="78"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The Articles and the Pennsylvania Business Corporation Law of 1988 (as amended from time to time, the “PBCL”) contain several provisions that may make it more difficult or expensive for a third party to acquire control of us without the approval of our Board of Directors and, if required, our shareholders. These provisions also may delay, prevent or deter a merger, acquisition, tender offer, proxy contest or other transaction that might otherwise result in our shareholders receiving a premium over the market price for their common shares. For more information, see “Description of Common Stock.” The provisions of the Articles and the PBCL could discourage potential takeover attempts and reduce the price that investors might be willing to pay for our common shares in the future, which could reduce the market price of our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620"/>
        <w:spacing w:after="0"/>
        <w:tabs>
          <w:tab w:leader="none" w:pos="7640" w:val="left"/>
        </w:tabs>
        <w:rPr>
          <w:sz w:val="20"/>
          <w:szCs w:val="20"/>
          <w:color w:val="auto"/>
        </w:rPr>
      </w:pPr>
      <w:r>
        <w:rPr>
          <w:rFonts w:ascii="Times New Roman" w:cs="Times New Roman" w:eastAsia="Times New Roman" w:hAnsi="Times New Roman"/>
          <w:sz w:val="18"/>
          <w:szCs w:val="18"/>
          <w:color w:val="auto"/>
        </w:rPr>
        <w:t>We estimate that the proceeds from the Offering will be approximately $</w:t>
      </w:r>
      <w:r>
        <w:rPr>
          <w:sz w:val="20"/>
          <w:szCs w:val="20"/>
          <w:color w:val="auto"/>
        </w:rPr>
        <w:tab/>
      </w:r>
      <w:r>
        <w:rPr>
          <w:rFonts w:ascii="Times New Roman" w:cs="Times New Roman" w:eastAsia="Times New Roman" w:hAnsi="Times New Roman"/>
          <w:sz w:val="18"/>
          <w:szCs w:val="18"/>
          <w:color w:val="auto"/>
        </w:rPr>
        <w:t>million (or</w:t>
      </w:r>
    </w:p>
    <w:p>
      <w:pPr>
        <w:spacing w:after="0" w:line="27" w:lineRule="exact"/>
        <w:rPr>
          <w:sz w:val="20"/>
          <w:szCs w:val="20"/>
          <w:color w:val="auto"/>
        </w:rPr>
      </w:pPr>
    </w:p>
    <w:p>
      <w:pPr>
        <w:ind w:left="1260" w:right="679" w:firstLine="2"/>
        <w:spacing w:after="0" w:line="260" w:lineRule="auto"/>
        <w:tabs>
          <w:tab w:leader="none" w:pos="1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if the underwriters exercise their option to purchase additional common shares in full), after deducting fees and estimated expenses.</w:t>
      </w:r>
    </w:p>
    <w:p>
      <w:pPr>
        <w:spacing w:after="0" w:line="114"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Offering for general corporate purposes, which may include, among other things, investments in long-term growth initiatives, our brick and mortar properties and our omni-channel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46"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summary of the general terms and provisions of the Company’s common stock set forth below does not purport to be complete and is subject to and qualified by reference to the Articles and Fourth Amended and Restated Bylaws (the “Bylaws,” and together with the Articles, the “Charter Documents”), each of which is incorporated by reference as an exhibit to the registration statement of which this prospectus supplement is a part. For additional information, please read the Company’s Charter Documents and the applicable provisions of the PBCL.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60" w:lineRule="exact"/>
        <w:rPr>
          <w:sz w:val="20"/>
          <w:szCs w:val="20"/>
          <w:color w:val="auto"/>
        </w:rPr>
      </w:pPr>
    </w:p>
    <w:p>
      <w:pPr>
        <w:ind w:left="1260" w:right="7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Authorized Common Stock</w:t>
      </w:r>
      <w:r>
        <w:rPr>
          <w:rFonts w:ascii="Times New Roman" w:cs="Times New Roman" w:eastAsia="Times New Roman" w:hAnsi="Times New Roman"/>
          <w:sz w:val="18"/>
          <w:szCs w:val="18"/>
          <w:color w:val="auto"/>
        </w:rPr>
        <w:t>. The Company is authorized under the Articles to issue 200,000,000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common stock, par value $0.01 per share. The outstanding shares of the Company’s common stock are fully paid and nonassessable.</w:t>
      </w:r>
    </w:p>
    <w:p>
      <w:pPr>
        <w:spacing w:after="0" w:line="106"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provided in the Charter Documents or by law,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have the exclusive voting power, and every holder of common stock is entitled to one vote for every share of common stock standing in the name of the shareholder on the Company’s books. Except as otherwise provided in the PBCL or the Charter Documents, whenever any corporate action is to be taken by vote of the shareholders of the Company, it shall be authorized by a majority of the votes cast at a duly organized meeting of shareholders by the holders of shares entitled to vote thereon. The shareholders of the Company may act only at a duly organized meeting.</w:t>
      </w:r>
    </w:p>
    <w:p>
      <w:pPr>
        <w:spacing w:after="0" w:line="102" w:lineRule="exact"/>
        <w:rPr>
          <w:sz w:val="20"/>
          <w:szCs w:val="20"/>
          <w:color w:val="auto"/>
        </w:rPr>
      </w:pPr>
    </w:p>
    <w:p>
      <w:pPr>
        <w:ind w:left="1260" w:right="6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are entitled to receive ratably those dividends, if 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declared from time to time by our Board of Directors, in its discretion, out of funds legally available therefor, subject to any preferential dividend rights of outstanding preferred stock.</w:t>
      </w:r>
    </w:p>
    <w:p>
      <w:pPr>
        <w:spacing w:after="0" w:line="106" w:lineRule="exact"/>
        <w:rPr>
          <w:sz w:val="20"/>
          <w:szCs w:val="20"/>
          <w:color w:val="auto"/>
        </w:rPr>
      </w:pPr>
    </w:p>
    <w:p>
      <w:pPr>
        <w:ind w:left="1260" w:right="103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a liquidation, dissolution or winding up of the Company,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Company’s common stock are entitled to share ratably in all assets remaining after the payment of all of the Company’s liabilities and subject to the liquidation preferences of any outstanding preferred stock.</w:t>
      </w:r>
    </w:p>
    <w:p>
      <w:pPr>
        <w:spacing w:after="0" w:line="329"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Other Rights and Preferences</w:t>
      </w:r>
      <w:r>
        <w:rPr>
          <w:rFonts w:ascii="Times New Roman" w:cs="Times New Roman" w:eastAsia="Times New Roman" w:hAnsi="Times New Roman"/>
          <w:sz w:val="18"/>
          <w:szCs w:val="18"/>
          <w:color w:val="auto"/>
        </w:rPr>
        <w:t>. The Company’s common stock does not carry preemptive rights,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redeemable, does not have any conversion rights, is not subject to further calls and is not subject to any sinking fund provisions. The rights and preferences of holders of the Company’s common stock are subject to the rights of any series of preferred stock that the Company may issue.</w:t>
      </w:r>
    </w:p>
    <w:p>
      <w:pPr>
        <w:spacing w:after="0" w:line="99" w:lineRule="exact"/>
        <w:rPr>
          <w:sz w:val="20"/>
          <w:szCs w:val="20"/>
          <w:color w:val="auto"/>
        </w:rPr>
      </w:pPr>
    </w:p>
    <w:p>
      <w:pPr>
        <w:ind w:left="1260" w:right="10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Company’s common stock is listed on the NASDAQ Global Select Market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symbol “PENN”.</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160" w:lineRule="exact"/>
        <w:rPr>
          <w:sz w:val="20"/>
          <w:szCs w:val="20"/>
          <w:color w:val="auto"/>
        </w:rPr>
      </w:pPr>
    </w:p>
    <w:p>
      <w:pPr>
        <w:ind w:left="1260" w:right="7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Potential Issuances of the Company’s Preferred Stock</w:t>
      </w:r>
      <w:r>
        <w:rPr>
          <w:rFonts w:ascii="Times New Roman" w:cs="Times New Roman" w:eastAsia="Times New Roman" w:hAnsi="Times New Roman"/>
          <w:sz w:val="18"/>
          <w:szCs w:val="18"/>
          <w:color w:val="auto"/>
        </w:rPr>
        <w:t>. The Company is authorized under the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issue 1,000,000 shares of preferred stock, 5,000 of which are designated Series D Convertible Preferred Stock. Each 1/1,000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a share of non-voting Series D Convertible Preferred Stock is convertible into one share of common stock. The rights, preferences and privileges of holders of common stock are subject to, and may be adversely affected by, the rights of the holders of any additional series of preferred stock that the Company may designate and issue in the future. The Articles also authorize our Board of Directors to establish, from the authorized but unissued shares, one or more series of the shares of preferred stock and to determine, with respect to any such series of the Company’s preferred shares, the terms and rights of such series, including, for example, the designation, the number of shares, the dividend rate of the shares, the right, if any, of the Company to redeem shares, the voting power, if any, the obligation, if any, of the Company to retire shares, the terms and conditions, if any, upon which shares shall be convertible into or exchangeable for shares of stock of any other class or classes, and any other rights, preferences or limitations of the shares of such series.</w:t>
      </w:r>
    </w:p>
    <w:p>
      <w:pPr>
        <w:spacing w:after="0" w:line="353"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authorized shares of the Company, including shares of preferred stock and common stock, will be available for issuance without further action by the Company’s shareholders, unless such action is required</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539"/>
        <w:spacing w:after="0" w:line="282" w:lineRule="auto"/>
        <w:rPr>
          <w:sz w:val="20"/>
          <w:szCs w:val="20"/>
          <w:color w:val="auto"/>
        </w:rPr>
      </w:pPr>
      <w:r>
        <w:rPr>
          <w:rFonts w:ascii="Times New Roman" w:cs="Times New Roman" w:eastAsia="Times New Roman" w:hAnsi="Times New Roman"/>
          <w:sz w:val="18"/>
          <w:szCs w:val="18"/>
          <w:color w:val="auto"/>
        </w:rPr>
        <w:t>by applicable law or the rules of any stock exchange or automated quotation system on which the Company’s securities may be listed or traded.</w:t>
      </w:r>
    </w:p>
    <w:p>
      <w:pPr>
        <w:spacing w:after="0" w:line="79"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Advance Notice Provisions for Shareholder Nominations and Shareholder Proposals at Annual Meetings</w:t>
      </w:r>
      <w:r>
        <w:rPr>
          <w:rFonts w:ascii="Times New Roman" w:cs="Times New Roman" w:eastAsia="Times New Roman" w:hAnsi="Times New Roman"/>
          <w:sz w:val="18"/>
          <w:szCs w:val="18"/>
          <w:color w:val="auto"/>
        </w:rPr>
        <w:t>. The Bylaws establish an advance notice procedure for shareholders to nominate candidates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as directors or to bring other business before annual meetings of Penn National’s shareholders (the “Shareholder Notice Procedure”).</w:t>
      </w:r>
    </w:p>
    <w:p>
      <w:pPr>
        <w:spacing w:after="0" w:line="11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Nominations for election to our Board of Directors may be made at an annual meeting, or at a special meeting at which directors are to be elected, only by or at our Board of Directors’ direction or by a shareholder who has complied with the Shareholder Notice Procedure. The Bylaws require a written notice of a shareholder nomination which sets forth certain information with respect to each proposed nominee and the shareholder giving notice of a nomination.</w:t>
      </w:r>
    </w:p>
    <w:p>
      <w:pPr>
        <w:spacing w:after="0" w:line="116"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Shareholder Notice Procedure requires that written notice of nominations or proposals for substantive business must be received by Penn National not less than 120 days nor more than 150 days prior to the anniversary date of the immediately preceding annual meeting of shareholders; provided, that nothing in the Bylaws affects any rights of shareholders to request inclusion of proposals in Penn National’s proxy statement pursuant to Rule 14a-8 under the Exchange Act.</w:t>
      </w:r>
    </w:p>
    <w:p>
      <w:pPr>
        <w:spacing w:after="0" w:line="100"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Provisions Relating to the Election of the Company’s Board of Directors</w:t>
      </w:r>
      <w:r>
        <w:rPr>
          <w:rFonts w:ascii="Times New Roman" w:cs="Times New Roman" w:eastAsia="Times New Roman" w:hAnsi="Times New Roman"/>
          <w:sz w:val="18"/>
          <w:szCs w:val="18"/>
          <w:color w:val="auto"/>
        </w:rPr>
        <w:t>. Under the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are entitled to only one vote for each share held in all elections for directors. In addition, under the Bylaws, our Board of Directors is divided into three classes, the members of which are elected for staggered terms. Each year, the term of office of at least one class will expire. Directors are elected by a plurality of votes cast. In addition, each director must meet the suitability requirements set forth in the Bylaws.</w:t>
      </w:r>
    </w:p>
    <w:p>
      <w:pPr>
        <w:spacing w:after="0" w:line="336"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Removal of Company Directors</w:t>
      </w:r>
      <w:r>
        <w:rPr>
          <w:rFonts w:ascii="Times New Roman" w:cs="Times New Roman" w:eastAsia="Times New Roman" w:hAnsi="Times New Roman"/>
          <w:sz w:val="18"/>
          <w:szCs w:val="18"/>
          <w:color w:val="auto"/>
        </w:rPr>
        <w:t>. Under the Charter Documents, subject to the rights of any class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stock having preference over the common stock as to dividends, upon liquidation or to elect directors under specified circumstances, any director may be removed from office, with or without cause, by the affirmative vote of the holders of seventy-five percent (75%) of the voting power of all shares of the Company entitled to vote generally in the election of directors, voting together as a single class. Amendment of the director removal provision requires the affirmative vote of seventy-five percent (75%) of the voting power of all shares of the Company entitled to vote generally in the election of directors, voting together as a single class, pursuant to the Articles.</w:t>
      </w:r>
    </w:p>
    <w:p>
      <w:pPr>
        <w:spacing w:after="0" w:line="117"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Director Vacancies</w:t>
      </w:r>
      <w:r>
        <w:rPr>
          <w:rFonts w:ascii="Times New Roman" w:cs="Times New Roman" w:eastAsia="Times New Roman" w:hAnsi="Times New Roman"/>
          <w:sz w:val="18"/>
          <w:szCs w:val="18"/>
          <w:color w:val="auto"/>
        </w:rPr>
        <w:t>. Under the Bylaws, newly created directorships resulting from any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directors and any vacancies on our Board of Directors resulting from death, resignation, disqualification, removal or other case may be filled only by the affirmative vote of a majority of the remaining directors then in office, even though less than a quorum of our Board of Directors, and directors appointed in this manner will hold office for the remainder of the full term of the class of directors in which the new directorship was created or the vacancy occurred and until such director’s successor shall have been duly elected and qualified.</w:t>
      </w:r>
    </w:p>
    <w:p>
      <w:pPr>
        <w:spacing w:after="0" w:line="102"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to Articles. </w:t>
      </w:r>
      <w:r>
        <w:rPr>
          <w:rFonts w:ascii="Times New Roman" w:cs="Times New Roman" w:eastAsia="Times New Roman" w:hAnsi="Times New Roman"/>
          <w:sz w:val="18"/>
          <w:szCs w:val="18"/>
          <w:color w:val="auto"/>
        </w:rPr>
        <w:t>Any amendment to the Articles requires the affirmative vote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votes cast by all shareholders entitled to vote thereon and, if any class or series of shares is entitled to vote thereon as a class, the affirmative vote of a majority of the votes cast in each such class vote, except for amendments on matters specified in Section 1914(c) of the PBCL that do not require shareholder approval and except for amendment of the director removal provision, which requires the affirmative vote of 75% of the voting power of all shares of the corporation entitled to vote generally in the election of directors, voting together as a single class, pursuant to the Articles.</w:t>
      </w:r>
    </w:p>
    <w:p>
      <w:pPr>
        <w:spacing w:after="0" w:line="115"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to Bylaws. </w:t>
      </w:r>
      <w:r>
        <w:rPr>
          <w:rFonts w:ascii="Times New Roman" w:cs="Times New Roman" w:eastAsia="Times New Roman" w:hAnsi="Times New Roman"/>
          <w:sz w:val="18"/>
          <w:szCs w:val="18"/>
          <w:color w:val="auto"/>
        </w:rPr>
        <w:t>The Bylaws provide that the Bylaws may be amended or repealed, or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bylaws may be adopted, either: (1) upon receiving at least 75% of the votes cast at a duly organized meeting of shareholders by the holders of shares entitled to vote thereon; (2) in the event that the proposed Bylaw amendment, repeal or adoption has been proposed by a majority of the directors, upon receiving a majority of the votes cast at a duly organized meeting of shareholders by the holders of shares entitled to vote thereon; or (3) by our Board of Directors.</w:t>
      </w:r>
    </w:p>
    <w:p>
      <w:pPr>
        <w:sectPr>
          <w:pgSz w:w="11900" w:h="16838" w:orient="portrait"/>
          <w:cols w:equalWidth="0" w:num="1">
            <w:col w:w="10139"/>
          </w:cols>
          <w:pgMar w:left="320" w:top="114" w:right="1440" w:bottom="1440" w:gutter="0" w:footer="0" w:header="0"/>
        </w:sectPr>
      </w:pP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Forum for Adjudication of Disputes</w:t>
      </w:r>
      <w:r>
        <w:rPr>
          <w:rFonts w:ascii="Times New Roman" w:cs="Times New Roman" w:eastAsia="Times New Roman" w:hAnsi="Times New Roman"/>
          <w:sz w:val="18"/>
          <w:szCs w:val="18"/>
          <w:color w:val="auto"/>
        </w:rPr>
        <w:t>. The Bylaws designate the state and federal courts located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Berks County in the Commonwealth of Pennsylvania as the sole and exclusive forum for (i) any derivative action or proceeding brought on behalf of the Company, (ii) any action asserting a claim of breach of a fiduciary duty owed by any director, officer or other employee of the corporation to the Company or the Company’s shareholders, (iii) any action asserting a claim arising pursuant to any provision of the PBCL, or</w:t>
      </w:r>
    </w:p>
    <w:p>
      <w:pPr>
        <w:spacing w:after="0" w:line="4" w:lineRule="exact"/>
        <w:rPr>
          <w:sz w:val="20"/>
          <w:szCs w:val="20"/>
          <w:color w:val="auto"/>
        </w:rPr>
      </w:pPr>
    </w:p>
    <w:p>
      <w:pPr>
        <w:ind w:left="1260" w:right="739" w:firstLine="2"/>
        <w:spacing w:after="0" w:line="239" w:lineRule="auto"/>
        <w:tabs>
          <w:tab w:leader="none" w:pos="15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peculiar to the relationships among or between or among the Company and its officers, directors, and shareholders, unless the Company consents in writing to the selection of an alternative forum.</w:t>
      </w:r>
    </w:p>
    <w:p>
      <w:pPr>
        <w:spacing w:after="0" w:line="102" w:lineRule="exact"/>
        <w:rPr>
          <w:sz w:val="20"/>
          <w:szCs w:val="20"/>
          <w:color w:val="auto"/>
        </w:rPr>
      </w:pPr>
    </w:p>
    <w:p>
      <w:pPr>
        <w:ind w:left="1260" w:right="12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Special Meeting of Company Shareholders. </w:t>
      </w:r>
      <w:r>
        <w:rPr>
          <w:rFonts w:ascii="Times New Roman" w:cs="Times New Roman" w:eastAsia="Times New Roman" w:hAnsi="Times New Roman"/>
          <w:sz w:val="18"/>
          <w:szCs w:val="18"/>
          <w:color w:val="auto"/>
        </w:rPr>
        <w:t>The Charter Documents do not contain a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permitting shareholders to call a special meeting.</w:t>
      </w:r>
    </w:p>
    <w:p>
      <w:pPr>
        <w:spacing w:after="0" w:line="91" w:lineRule="exact"/>
        <w:rPr>
          <w:sz w:val="20"/>
          <w:szCs w:val="20"/>
          <w:color w:val="auto"/>
        </w:rPr>
      </w:pPr>
    </w:p>
    <w:p>
      <w:pPr>
        <w:ind w:left="1260" w:right="7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The Charter Documents do not contain a provision permitting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 of the shareholders.</w:t>
      </w:r>
    </w:p>
    <w:p>
      <w:pPr>
        <w:spacing w:after="0" w:line="9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i w:val="1"/>
          <w:iCs w:val="1"/>
          <w:color w:val="auto"/>
        </w:rPr>
        <w:t xml:space="preserve">Pennsylvania Anti-Takeover Statutes. </w:t>
      </w:r>
      <w:r>
        <w:rPr>
          <w:rFonts w:ascii="Times New Roman" w:cs="Times New Roman" w:eastAsia="Times New Roman" w:hAnsi="Times New Roman"/>
          <w:sz w:val="18"/>
          <w:szCs w:val="18"/>
          <w:color w:val="auto"/>
        </w:rPr>
        <w:t>Under Section 1715 of the PBCL, directors stand in a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Absent a breach of fiduciary duty, a lack of good faith or self-dealing, any act of our Board of Directors, a committee thereof or an individual director is presumed to be in the best interests of the corporation. The PBCL expressly provides that the fiduciary duty of directors does not require them to (i) redeem or otherwise render inapplicable outstanding rights issued under any shareholder rights plan; (ii) render inapplicable the anti-takeover statutes set forth in Chapter 25 of the PBCL (described below); or (iii) take any action solely because of the effect it may have on a proposed acquisition or the consideration to be received by shareholders in such a transaction.</w:t>
      </w:r>
    </w:p>
    <w:p>
      <w:pPr>
        <w:spacing w:after="0" w:line="281" w:lineRule="exact"/>
        <w:rPr>
          <w:sz w:val="20"/>
          <w:szCs w:val="20"/>
          <w:color w:val="auto"/>
        </w:rPr>
      </w:pPr>
    </w:p>
    <w:p>
      <w:pPr>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Chapter 25 of the PBCL contains several anti-takeover statutes applicable to publicly-traded corporations. Corporations may opt-out of such anti-takeover statutes under certain circumstances. The Company has not opted-out of any of such statutes.</w:t>
      </w:r>
    </w:p>
    <w:p>
      <w:pPr>
        <w:spacing w:after="0" w:line="109"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corporation.</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Subchapter 25E of the PBCL requires a person or group of persons acting in concert which acquires</w:t>
      </w:r>
    </w:p>
    <w:p>
      <w:pPr>
        <w:spacing w:after="0" w:line="16" w:lineRule="exact"/>
        <w:rPr>
          <w:sz w:val="20"/>
          <w:szCs w:val="20"/>
          <w:color w:val="auto"/>
        </w:rPr>
      </w:pPr>
    </w:p>
    <w:p>
      <w:pPr>
        <w:ind w:left="1260" w:right="699"/>
        <w:spacing w:after="0" w:line="237" w:lineRule="auto"/>
        <w:rPr>
          <w:sz w:val="20"/>
          <w:szCs w:val="20"/>
          <w:color w:val="auto"/>
        </w:rPr>
      </w:pPr>
      <w:r>
        <w:rPr>
          <w:rFonts w:ascii="Times New Roman" w:cs="Times New Roman" w:eastAsia="Times New Roman" w:hAnsi="Times New Roman"/>
          <w:sz w:val="18"/>
          <w:szCs w:val="18"/>
          <w:color w:val="auto"/>
        </w:rPr>
        <w:t>20% or more of the voting shares of the corporation to offer to purchase the shares of any other shareholder at “fair value.” “Fair value” means the value not less than the highest price paid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or to a one-step merger.</w:t>
      </w:r>
    </w:p>
    <w:p>
      <w:pPr>
        <w:spacing w:after="0" w:line="106"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Subchapter 25F of the PBCL generally establishes a 5-year moratorium on a “business combination” with an “interested shareholder.” “Interested shareholder” is defined generally to be any beneficial owner of 20% or more of the corporation’s voting stock. “Business combination” is defined broadly to include mergers, consolidations, asset sales and certain self-dealing transactions. Certain restrictions apply to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w:t>
      </w:r>
    </w:p>
    <w:p>
      <w:pPr>
        <w:spacing w:after="0" w:line="120" w:lineRule="exact"/>
        <w:rPr>
          <w:sz w:val="20"/>
          <w:szCs w:val="20"/>
          <w:color w:val="auto"/>
        </w:rPr>
      </w:pPr>
    </w:p>
    <w:p>
      <w:pPr>
        <w:ind w:left="1260" w:right="779" w:firstLine="360"/>
        <w:spacing w:after="0" w:line="242" w:lineRule="auto"/>
        <w:rPr>
          <w:sz w:val="20"/>
          <w:szCs w:val="20"/>
          <w:color w:val="auto"/>
        </w:rPr>
      </w:pPr>
      <w:r>
        <w:rPr>
          <w:rFonts w:ascii="Times New Roman" w:cs="Times New Roman" w:eastAsia="Times New Roman" w:hAnsi="Times New Roman"/>
          <w:sz w:val="18"/>
          <w:szCs w:val="18"/>
          <w:color w:val="auto"/>
        </w:rPr>
        <w:t>Subchapter 25G of the PBCL provides that “control shares” lose voting rights unless such rights are restored by the affirmative vote of a majority of (i) the disinterested shares (generally, shares held by persons other than the acquirer, executive officers of the corporation and certain employee stock plans) and</w:t>
      </w:r>
    </w:p>
    <w:p>
      <w:pPr>
        <w:spacing w:after="0" w:line="1" w:lineRule="exact"/>
        <w:rPr>
          <w:sz w:val="20"/>
          <w:szCs w:val="20"/>
          <w:color w:val="auto"/>
        </w:rPr>
      </w:pPr>
    </w:p>
    <w:p>
      <w:pPr>
        <w:ind w:left="1260" w:right="1039" w:firstLine="2"/>
        <w:spacing w:after="0" w:line="243" w:lineRule="auto"/>
        <w:tabs>
          <w:tab w:leader="none" w:pos="154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voting shares of the corporation. “Control shares” are defined as shares which, upon acquisition,</w:t>
      </w: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will result in a person or group acquiring for the first time voting control over (a) 20%, (b) 33 1/3% or</w:t>
      </w:r>
    </w:p>
    <w:p>
      <w:pPr>
        <w:spacing w:after="0" w:line="27" w:lineRule="exact"/>
        <w:rPr>
          <w:sz w:val="20"/>
          <w:szCs w:val="20"/>
          <w:color w:val="auto"/>
        </w:rPr>
      </w:pPr>
    </w:p>
    <w:p>
      <w:pPr>
        <w:ind w:left="1260" w:right="739" w:firstLine="2"/>
        <w:spacing w:after="0" w:line="253" w:lineRule="auto"/>
        <w:tabs>
          <w:tab w:leader="none" w:pos="15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w:t>
      </w:r>
    </w:p>
    <w:p>
      <w:pPr>
        <w:spacing w:after="0" w:line="106"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Subchapter 25H of the PBCL provides in certain circumstances for the recovery by the corporation of profits realized from the sale of its stock by a controlling person or group if the sale occurs within</w:t>
      </w:r>
    </w:p>
    <w:p>
      <w:pPr>
        <w:ind w:left="1260" w:right="699"/>
        <w:spacing w:after="0" w:line="252" w:lineRule="auto"/>
        <w:rPr>
          <w:sz w:val="20"/>
          <w:szCs w:val="20"/>
          <w:color w:val="auto"/>
        </w:rPr>
      </w:pPr>
      <w:r>
        <w:rPr>
          <w:rFonts w:ascii="Times New Roman" w:cs="Times New Roman" w:eastAsia="Times New Roman" w:hAnsi="Times New Roman"/>
          <w:sz w:val="18"/>
          <w:szCs w:val="18"/>
          <w:color w:val="auto"/>
        </w:rPr>
        <w:t>18 months after the controlling person or group became a controlling person or group, and the stock was acquired during such 18-month period or within 24 months before such period. A controlling person or group is a person or group that has acquired, offered to acquire, or publicly disclosed an intention to acquire 20% or more of the voting shares of the corporation. Among other exceptions, Subchapter 25H does not apply to transactions approved by both the board of directors and the shareholders prior to the acquisition or distribution, as appropriate.</w:t>
      </w:r>
    </w:p>
    <w:p>
      <w:pPr>
        <w:spacing w:after="0" w:line="12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Subchapter 25I of the PBCL mandates severance compensation for eligible employees who are terminated within 24 months after the approval of a control share acquisition. Eligible employees generally are all employees employed in Pennsylvania for at least two years prior to the control share approval. Severance equals the weekly compensation of the employee multiplied by the employee’s years of service (up to 26 years), less payments made due to the termination.</w:t>
      </w:r>
    </w:p>
    <w:p>
      <w:pPr>
        <w:spacing w:after="0" w:line="116"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Subchapter 25J of the PBCL requires the continuation of certain labor contracts relating to business operations owned at the time of a control share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for use in the operation of our business, and therefore we do not currently expect to pay any cash dividends on common shares. Any future determination to pay dividends to holders of our common shares will be at the discretion of our Board of Directors and will depend upon many factors, including our results of operations, financial condition, capital requirements, restrictions in debt agreements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at June 30, 2020 on an adjusted basis to give effect to the completion of the Offering (assuming no exercise of the underwriters’ option to purchase additional shares of common stock) assuming a public offering price of $69.00 per share of common stock, which is the last reported sale price per share of our common stock on the NASDAQ Global Select Market on September 23, 2020, after deducting the underwriting discounts and commissions and estimated aggregate offering expenses.</w:t>
      </w:r>
    </w:p>
    <w:p>
      <w:pPr>
        <w:spacing w:after="0" w:line="120"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The information in the table below is illustrative only, and our capitalization following the completion of the Offering, if it is completed, will depend on the final terms of this offering.</w:t>
      </w:r>
    </w:p>
    <w:p>
      <w:pPr>
        <w:spacing w:after="0" w:line="94" w:lineRule="exact"/>
        <w:rPr>
          <w:sz w:val="20"/>
          <w:szCs w:val="20"/>
          <w:color w:val="auto"/>
        </w:rPr>
      </w:pPr>
    </w:p>
    <w:p>
      <w:pPr>
        <w:jc w:val="both"/>
        <w:ind w:left="1260" w:right="1359" w:firstLine="360"/>
        <w:spacing w:after="0" w:line="266" w:lineRule="auto"/>
        <w:rPr>
          <w:sz w:val="20"/>
          <w:szCs w:val="20"/>
          <w:color w:val="auto"/>
        </w:rPr>
      </w:pPr>
      <w:r>
        <w:rPr>
          <w:rFonts w:ascii="Times New Roman" w:cs="Times New Roman" w:eastAsia="Times New Roman" w:hAnsi="Times New Roman"/>
          <w:sz w:val="18"/>
          <w:szCs w:val="18"/>
          <w:color w:val="auto"/>
        </w:rPr>
        <w:t>This should be read in conjunction with “Management’s Discussion and Analysis of Financial Condition and Results of Operations” and the financial statements, related notes and other financial information, which are incorporated by reference herein.</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0" w:type="dxa"/>
            <w:vAlign w:val="bottom"/>
          </w:tcPr>
          <w:p>
            <w:pPr>
              <w:spacing w:after="0"/>
              <w:rPr>
                <w:sz w:val="1"/>
                <w:szCs w:val="1"/>
                <w:color w:val="auto"/>
              </w:rPr>
            </w:pPr>
          </w:p>
        </w:tc>
      </w:tr>
      <w:tr>
        <w:trPr>
          <w:trHeight w:val="23"/>
        </w:trPr>
        <w:tc>
          <w:tcPr>
            <w:tcW w:w="66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0" w:type="dxa"/>
            <w:vAlign w:val="bottom"/>
          </w:tcPr>
          <w:p>
            <w:pPr>
              <w:spacing w:after="0"/>
              <w:rPr>
                <w:sz w:val="1"/>
                <w:szCs w:val="1"/>
                <w:color w:val="auto"/>
              </w:rPr>
            </w:pPr>
          </w:p>
        </w:tc>
      </w:tr>
      <w:tr>
        <w:trPr>
          <w:trHeight w:val="23"/>
        </w:trPr>
        <w:tc>
          <w:tcPr>
            <w:tcW w:w="6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$1,244.3</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$2,185.5</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line="270" w:lineRule="exact"/>
              <w:rPr>
                <w:sz w:val="20"/>
                <w:szCs w:val="20"/>
                <w:color w:val="auto"/>
              </w:rPr>
            </w:pPr>
            <w:r>
              <w:rPr>
                <w:rFonts w:ascii="Times New Roman" w:cs="Times New Roman" w:eastAsia="Times New Roman" w:hAnsi="Times New Roman"/>
                <w:sz w:val="18"/>
                <w:szCs w:val="18"/>
                <w:color w:val="auto"/>
              </w:rPr>
              <w:t>Total long term debt, net of debt discounts and debt issuance costs</w:t>
            </w:r>
            <w:r>
              <w:rPr>
                <w:rFonts w:ascii="Times New Roman" w:cs="Times New Roman" w:eastAsia="Times New Roman" w:hAnsi="Times New Roman"/>
                <w:sz w:val="26"/>
                <w:szCs w:val="26"/>
                <w:color w:val="auto"/>
                <w:vertAlign w:val="superscript"/>
              </w:rPr>
              <w:t>(1)</w:t>
            </w: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gridSpan w:val="3"/>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$3,116.9</w:t>
            </w: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Series B Preferred stock ($0.01 par value, 1,000,000 shares authorized, no shares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issued and outstanding), Actual and As Adjusted</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6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C Preferred stock ($0.01 par value, 18,500 shares authorized, no shares</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Actual and As Adjusted</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Series D Preferred stock ($0.01 par value, 5,000 shares authorized, 883 shares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issued and outstanding)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139,602,483 and</w:t>
            </w: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137,435,090 shares issued and shares outstanding, respectively), Actual; ($0.01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 value, 200,000,000 shares authorized, 153,602,483 and 151,435,090 shares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6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shares outstanding, respectively), As Adjusted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Treasury stock, at cost, (2,167,393 shares held)</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0"/>
        </w:trPr>
        <w:tc>
          <w:tcPr>
            <w:tcW w:w="6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3,111.5</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Penn National stockholders’ equity</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2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2,447.4</w:t>
            </w: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7"/>
        </w:trPr>
        <w:tc>
          <w:tcPr>
            <w:tcW w:w="66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$1,504.9</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$2,446.1</w:t>
            </w: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$4,621.8</w:t>
            </w:r>
          </w:p>
        </w:tc>
        <w:tc>
          <w:tcPr>
            <w:tcW w:w="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$5,563.0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-376555</wp:posOffset>
            </wp:positionV>
            <wp:extent cx="5212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-736600</wp:posOffset>
            </wp:positionV>
            <wp:extent cx="52120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-3256915</wp:posOffset>
            </wp:positionV>
            <wp:extent cx="1289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-3256915</wp:posOffset>
            </wp:positionV>
            <wp:extent cx="120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154305</wp:posOffset>
            </wp:positionV>
            <wp:extent cx="123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719" w:hanging="358"/>
        <w:spacing w:after="0" w:line="261"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pay-down the entirety of its Revolving Credit Facility due 2023 (“Revolving Credit Facility”) in September 2020 utilizing existing cash on hand before the Offering. The Revolving Credit Facility balance at June 30, 2020 and September 24, 2020 is $670.0 million. As such, the As Adjusted column does not reflect the pay-down of the Revolving Credit Facility.</w:t>
      </w:r>
    </w:p>
    <w:p>
      <w:pPr>
        <w:spacing w:after="0" w:line="98"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in the table above excludes the following as of June 30, 2020:</w:t>
      </w:r>
    </w:p>
    <w:p>
      <w:pPr>
        <w:spacing w:after="0" w:line="117" w:lineRule="exact"/>
        <w:rPr>
          <w:rFonts w:ascii="Times New Roman" w:cs="Times New Roman" w:eastAsia="Times New Roman" w:hAnsi="Times New Roman"/>
          <w:sz w:val="18"/>
          <w:szCs w:val="18"/>
          <w:color w:val="auto"/>
        </w:rPr>
      </w:pPr>
    </w:p>
    <w:p>
      <w:pPr>
        <w:ind w:left="1800" w:right="999" w:hanging="178"/>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5,872,455 common shares issuable upon the exercise of outstanding stock options, at a weighted-average exercise price of $18.33 per share;</w:t>
      </w:r>
    </w:p>
    <w:p>
      <w:pPr>
        <w:spacing w:after="0" w:line="53" w:lineRule="exact"/>
        <w:rPr>
          <w:rFonts w:ascii="Times New Roman" w:cs="Times New Roman" w:eastAsia="Times New Roman" w:hAnsi="Times New Roman"/>
          <w:sz w:val="18"/>
          <w:szCs w:val="18"/>
          <w:color w:val="auto"/>
        </w:rPr>
      </w:pPr>
    </w:p>
    <w:p>
      <w:pPr>
        <w:ind w:left="1800" w:right="1019" w:hanging="178"/>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883,000 common shares issuable upon the conversion of all outstanding shares of our Series D Convertible Preferred Stock, $0.01 par value per share (“Series D Convertible Preferred Stock”);</w:t>
      </w:r>
    </w:p>
    <w:p>
      <w:pPr>
        <w:spacing w:after="0" w:line="53" w:lineRule="exact"/>
        <w:rPr>
          <w:rFonts w:ascii="Times New Roman" w:cs="Times New Roman" w:eastAsia="Times New Roman" w:hAnsi="Times New Roman"/>
          <w:sz w:val="18"/>
          <w:szCs w:val="18"/>
          <w:color w:val="auto"/>
        </w:rPr>
      </w:pPr>
    </w:p>
    <w:p>
      <w:pPr>
        <w:ind w:left="1800" w:right="839" w:hanging="178"/>
        <w:spacing w:after="0" w:line="282" w:lineRule="auto"/>
        <w:tabs>
          <w:tab w:leader="none" w:pos="18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722,571 common shares issuable upon the vesting of restricted stock, performance shares and other outstanding equity-awards (other than options);</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1399" w:hanging="178"/>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7,532,384 common shares reserved for future issuance under our 2018 Long Term Incentive Compensation Plan;</w:t>
      </w:r>
    </w:p>
    <w:p>
      <w:pPr>
        <w:spacing w:after="0" w:line="53"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14,123,703 common shares issuable upon the conversion of our 2.75% Convertible Senior Notes due 2026, which have an initial conversion price of approximately $23.40; and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 million in stock options exercised between July 1, 2020 and September 22,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w:t>
      </w:r>
    </w:p>
    <w:p>
      <w:pPr>
        <w:spacing w:after="0" w:line="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6"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material U.S. federal income tax considerations with respect to the ownership and disposition of shares of our common stock applicable to Non-U.S. Holders (defined below) who acquire such shares in this offering. This discussion is based upon current provisions of the Internal Revenue Code of 1986, as amended (the “Code”), U.S. Treasury regulations promulgated thereunder, administrative rulings of the U.S. Internal Revenue Service (the “IRS”) and judicial decisions, each as in effect on the date hereof.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24"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shares of our common stock that is not, for U.S. federal income tax purposes, (i) a partnership, (ii) an individual who is a citizen or resident of the United States; (iii) a corporation created or organized in the United States or under the laws of the United States, any state thereof or the District of Columbia; (iv) an estate, the income of which is includible in gross income for U.S. federal income purposes regardless of its source; or (v) a trust if (A) a court within the United States is able to exercise primary supervision over the administration of the trust and one or more “United States persons” (as defined in the Code) have the authority to control all substantial decisions of such trust, or (B) the trust has a valid election in effect under applicable U.S. Treasury regulations to be treated as a United States person for U.S. federal income tax purposes.</w:t>
      </w:r>
    </w:p>
    <w:p>
      <w:pPr>
        <w:spacing w:after="0" w:line="121"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without limitation:</w:t>
      </w:r>
    </w:p>
    <w:p>
      <w:pPr>
        <w:spacing w:after="0" w:line="79" w:lineRule="exact"/>
        <w:rPr>
          <w:sz w:val="20"/>
          <w:szCs w:val="20"/>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17"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for U.S. federal income tax purposes or other “flow-through” entities and investors therein;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mark-to-market treatment;</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 or</w:t>
      </w:r>
    </w:p>
    <w:p>
      <w:pPr>
        <w:spacing w:after="0" w:line="117" w:lineRule="exact"/>
        <w:rPr>
          <w:rFonts w:ascii="Times New Roman" w:cs="Times New Roman" w:eastAsia="Times New Roman" w:hAnsi="Times New Roman"/>
          <w:sz w:val="18"/>
          <w:szCs w:val="18"/>
          <w:color w:val="auto"/>
        </w:rPr>
      </w:pPr>
    </w:p>
    <w:p>
      <w:pPr>
        <w:ind w:left="1800" w:right="699" w:hanging="178"/>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hold our common stock as part of a straddle, hedge, conversion transaction, constructive sale, or other integrated security transaction.</w:t>
      </w:r>
    </w:p>
    <w:p>
      <w:pPr>
        <w:spacing w:after="0" w:line="81"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U.S. federal tax laws other than those pertaining to the U.S. federal income tax, nor does it address any aspects of the unearned income Medicare contribution tax pursuant to the Health Care and Education Reconciliation Act of 2010, any considerations in respect of the Foreign Account Tax Compliance Act of 2010 (including the U.S. Treasury regulations promulgated thereunder and intergovernmental agreements entered into pursuant thereto) or U.S. state, local or non-U.S. taxes. Prospective investors should consult their tax advisors regarding the U.S. federal, state, local, non-U.S. income and other tax considerations with respect to acquiring, holding and disposing of share of our common stock.</w:t>
      </w:r>
    </w:p>
    <w:p>
      <w:pPr>
        <w:spacing w:after="0" w:line="337"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person treated as a partner in such partnership generally will depend</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39"/>
        <w:spacing w:after="0" w:line="282" w:lineRule="auto"/>
        <w:rPr>
          <w:sz w:val="20"/>
          <w:szCs w:val="20"/>
          <w:color w:val="auto"/>
        </w:rPr>
      </w:pPr>
      <w:r>
        <w:rPr>
          <w:rFonts w:ascii="Times New Roman" w:cs="Times New Roman" w:eastAsia="Times New Roman" w:hAnsi="Times New Roman"/>
          <w:sz w:val="18"/>
          <w:szCs w:val="18"/>
          <w:color w:val="auto"/>
        </w:rPr>
        <w:t>on the status of the partner and the activities of the partnership. Persons that for U.S. federal income tax purposes are treated as partnerships and partners in such partnerships should consult their tax advisors.</w:t>
      </w:r>
    </w:p>
    <w:p>
      <w:pPr>
        <w:spacing w:after="0" w:line="81"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FOR GENERAL INFORMATION ONLY AND IS NOT INTENDED TO CONSTITUTE A COMPLETE DESCRIPTION OF ALL TAX CONSEQUENCES RELATING TO THE ACQUISITION, OWNERSHIP AND DISPOSITION OF OUR COMMON STOCK. PROSPECTIVE HOLDERS OF OUR COMMON STOCK SHOULD CONSULT WITH THEIR TAX ADVISORS REGARDING THE TAX CONSEQUENCES TO THEM OF THE ACQUISITION, OWNERSHIP, AND DISPOSITION OF OUR COMMON STOCK, INCLUDING THE APPLICATION AND EFFECT OF ANY U.S. FEDERAL, STATE, LOCAL, NON-U.S. INCOME AND OTHER TAX LAWS.</w:t>
      </w:r>
    </w:p>
    <w:p>
      <w:pPr>
        <w:spacing w:after="0" w:line="18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general, subject to the discussion below regarding “effectively connected” dividends, the gross amount of any distribution we make to a Non-U.S. Holder with respect to its shares of our common stock will be subject to U.S. federal withholding tax at a rate of 30% to the extent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tax basis in the Non-U.S. Holder’s shares of our common stock and then, to the extent it exceeds the Non-U.S. Holder’s adjusted tax basis in its shares of our common stock, as gain from the sale or exchange of such stock. Any such gain will be subject to the tax treatment described below under “Gain on Sale or Other Taxable Disposition of Common Stock.”</w:t>
      </w:r>
    </w:p>
    <w:p>
      <w:pPr>
        <w:spacing w:after="0" w:line="33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Dividends we pay with respect to our common stock to a Non-U.S. Holder that are effectively connected with the conduct by such Non-U.S. Holder of a trade or business within the United States (and, if required by an applicable income tax treaty, are attributable to a permanent establishment or a fixed base of such Non-U.S. Holder in the United States) generally will not be subject to U.S. federal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a trade or business within the United States may be subject to an additional “branch profits tax” at a rate of 30% (or such lower rate as may be specified by an applicable income tax treaty).</w:t>
      </w:r>
    </w:p>
    <w:p>
      <w:pPr>
        <w:spacing w:after="0" w:line="19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Gain on Sale or Other Taxable Disposition of Common Stock</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Subject to the discussion below under “— Information Reporting and Backup Withholding,” in general, a Non-U.S. Holder will not be subject to U.S. federal income tax on any gain realized upon the sale or other disposition of the Non-U.S. Holder’s shares of our common stock unless (i) the gain is effectively connected with a trade or business carried on by the Non-U.S. Holder within the United States (and, if required by an applicable income tax treaty, is attributable to a permanent establishment or a fixed base of such Non-U.S. Holder in the United States), (ii) the Non-U.S. Holder is an individual who is present in the United States for a period or periods aggregating 183 or more days in the taxable year of the disposition and certain other conditions are met, or (iii) we are or have been a “United States real property holding corporation” within the meaning of Section 897(c)(2) of the Code (a “USRPHC”) for U.S. federal income tax purposes at any time during the shorter of the five-year period ending on the date of such disposition or such Non-U.S. Holder’s holding period of such shares of our common stock.</w:t>
      </w:r>
    </w:p>
    <w:p>
      <w:pPr>
        <w:spacing w:after="0" w:line="124"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Gain described in (i) above generally will be subject to U.S. federal income tax on a net income tax basis at the U.S. federal income tax rates applicable to U.S. citizens, nonresident aliens or domestic corporations, as applicable. A Non- U.S. Holder that is a corporation and that recognizes gain described in</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2"/>
        <w:spacing w:after="0" w:line="275" w:lineRule="auto"/>
        <w:tabs>
          <w:tab w:leader="none" w:pos="14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may also be subject to the branch profits tax at a rate of 30% (or such lower rate as may be specified by an applicable income tax treaty) with respect to such effectively connected gain, as adjusted for certain items.</w:t>
      </w:r>
    </w:p>
    <w:p>
      <w:pPr>
        <w:spacing w:after="0" w:line="309"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An individual Non-U.S. Holder described in (ii) above will be subject to a flat 30% tax (unless the Non-U.S. Holder is eligible for a lower rate under an applicable income tax treaty) on the gain from such sale or other disposition, which may be offset by U.S.-source capital losses, if any, of the Non-U.S. Holder, provided the Non-U.S. Holder has timely filed U.S. federal income tax returns with respect to such losses.</w:t>
      </w:r>
    </w:p>
    <w:p>
      <w:pPr>
        <w:spacing w:after="0" w:line="11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185"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distributions paid to such Non-U.S. Holder and the tax withheld with respect to such distributions. These reporting requirements apply regardless of whether withholding was reduced or eliminated by an applicable tax treaty.</w:t>
      </w:r>
    </w:p>
    <w:p>
      <w:pPr>
        <w:spacing w:after="0" w:line="9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United States person (as defined in the Code)) or otherwise establishes an exemption.</w:t>
      </w:r>
    </w:p>
    <w:p>
      <w:pPr>
        <w:spacing w:after="0" w:line="116"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United States person (as defined in the Code)) or otherwise establishes an exemption. Information reporting will also apply if a Non-U.S. Holder sells its shares of our common stock through a foreign broker with certain specified connections to the United States, unless such broker has documentary evidence in its records that such Non-U.S. Holder is not a United States person and certain other conditions are met, or such Non-U.S. Holder otherwise establishes an exemption (and the payor does not have actual knowledge, or reason to know, that such holder is a United States person (as defined in the Code)).</w:t>
      </w:r>
    </w:p>
    <w:p>
      <w:pPr>
        <w:spacing w:after="0" w:line="130"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Copies of any information returns may also be made available to the tax authorities in the country in which the Non-U.S. Holder resides or is established under the provisions of an applicable income tax treaty or agreement.</w:t>
      </w:r>
    </w:p>
    <w:p>
      <w:pPr>
        <w:spacing w:after="0" w:line="95"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may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Goldman Sachs &amp; Co. LLC, BofA Securities, Inc. and J.P. Morgan Securities LLC are acting as the representatives of the underwriters named below in this offering. Subject to certain conditions, we have agreed to sell to the underwriters, and the underwriters have agreed to purchase, the aggregate dollar amount of shares of common stock set forth opposite its name in the table below:</w:t>
      </w:r>
    </w:p>
    <w:p>
      <w:pPr>
        <w:spacing w:after="0" w:line="14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Number of initial</w:t>
            </w:r>
          </w:p>
        </w:tc>
      </w:tr>
      <w:tr>
        <w:trPr>
          <w:trHeight w:val="190"/>
        </w:trPr>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common shares</w:t>
            </w:r>
          </w:p>
        </w:tc>
      </w:tr>
      <w:tr>
        <w:trPr>
          <w:trHeight w:val="23"/>
        </w:trPr>
        <w:tc>
          <w:tcPr>
            <w:tcW w:w="6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57"/>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57"/>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63"/>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tcPr>
          <w:p>
            <w:pPr>
              <w:jc w:val="center"/>
              <w:ind w:left="42"/>
              <w:spacing w:after="0"/>
              <w:rPr>
                <w:sz w:val="20"/>
                <w:szCs w:val="20"/>
                <w:color w:val="auto"/>
              </w:rPr>
            </w:pPr>
            <w:r>
              <w:rPr>
                <w:rFonts w:ascii="Times New Roman" w:cs="Times New Roman" w:eastAsia="Times New Roman" w:hAnsi="Times New Roman"/>
                <w:sz w:val="18"/>
                <w:szCs w:val="18"/>
                <w:color w:val="auto"/>
                <w:w w:val="98"/>
              </w:rPr>
              <w:t>14,000,000</w:t>
            </w:r>
          </w:p>
        </w:tc>
        <w:tc>
          <w:tcPr>
            <w:tcW w:w="140" w:type="dxa"/>
            <w:vAlign w:val="bottom"/>
          </w:tcPr>
          <w:p>
            <w:pPr>
              <w:spacing w:after="0"/>
              <w:rPr>
                <w:sz w:val="22"/>
                <w:szCs w:val="22"/>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-693420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shares of common stock offered hereby are subject to certain conditions and that the underwriters are obligated to purchase all of the shares of common stock in the offering if any are purchased (other than the shares covered by the option below unless and until this option is exercised). The offering of the shares of the common stock by the underwriters is subject to receipt and acceptance of the shares and subject to the underwriters’ right to reject any order in whole or in part.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underwriters have an option to purchase up to an additional 2,100,000 common shares from us.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underwriters may exercise that option for 30 days.</w:t>
      </w:r>
    </w:p>
    <w:p>
      <w:pPr>
        <w:spacing w:after="0" w:line="20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Underwriting Discounts and Expenses</w:t>
      </w:r>
    </w:p>
    <w:p>
      <w:pPr>
        <w:spacing w:after="0" w:line="148"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common shares.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8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90"/>
        </w:trPr>
        <w:tc>
          <w:tcPr>
            <w:tcW w:w="54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Without Option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3"/>
        </w:trPr>
        <w:tc>
          <w:tcPr>
            <w:tcW w:w="54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6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980" w:type="dxa"/>
            <w:vAlign w:val="bottom"/>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800" w:type="dxa"/>
            <w:vAlign w:val="bottom"/>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-496570</wp:posOffset>
            </wp:positionV>
            <wp:extent cx="47148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714875" cy="8890"/>
                    </a:xfrm>
                    <a:prstGeom prst="rect">
                      <a:avLst/>
                    </a:prstGeom>
                    <a:noFill/>
                  </pic:spPr>
                </pic:pic>
              </a:graphicData>
            </a:graphic>
          </wp:anchor>
        </w:drawing>
      </w:r>
    </w:p>
    <w:p>
      <w:pPr>
        <w:spacing w:after="0" w:line="97"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Shares of our common stock sold by the underwriters to the public will initially be offered at the initial public offering price set forth on the cover of this prospectus. Any shares of our common stock sold by the underwriters to securities dealers may be sold at a discount of up to $ per share from the initial public offering price.</w:t>
      </w:r>
    </w:p>
    <w:p>
      <w:pPr>
        <w:spacing w:after="0" w:line="112"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After the initial offering of the shares of common stock, the representatives may change the offering price and the other selling terms.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estimate that our share of the total expenses of this offering, excluding underwriting discounts, will</w:t>
      </w:r>
    </w:p>
    <w:p>
      <w:pPr>
        <w:spacing w:after="0" w:line="27" w:lineRule="exact"/>
        <w:rPr>
          <w:sz w:val="20"/>
          <w:szCs w:val="20"/>
          <w:color w:val="auto"/>
        </w:rPr>
      </w:pPr>
    </w:p>
    <w:p>
      <w:pPr>
        <w:ind w:left="1260" w:right="959"/>
        <w:spacing w:after="0" w:line="250" w:lineRule="auto"/>
        <w:rPr>
          <w:sz w:val="20"/>
          <w:szCs w:val="20"/>
          <w:color w:val="auto"/>
        </w:rPr>
      </w:pPr>
      <w:r>
        <w:rPr>
          <w:rFonts w:ascii="Times New Roman" w:cs="Times New Roman" w:eastAsia="Times New Roman" w:hAnsi="Times New Roman"/>
          <w:sz w:val="18"/>
          <w:szCs w:val="18"/>
          <w:color w:val="auto"/>
        </w:rPr>
        <w:t>be approximately $ million. We have also agreed to reimburse the underwriters for certain of their expenses.</w:t>
      </w:r>
    </w:p>
    <w:p>
      <w:pPr>
        <w:spacing w:after="0" w:line="200" w:lineRule="exact"/>
        <w:rPr>
          <w:sz w:val="20"/>
          <w:szCs w:val="20"/>
          <w:color w:val="auto"/>
        </w:rPr>
      </w:pPr>
    </w:p>
    <w:p>
      <w:pPr>
        <w:spacing w:after="0" w:line="21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We, our directors and certain of our executive officers have agreed with the underwriters, subject to certain exceptions, including an exception for sales pursuant to pre-existing written trading plans pursuant to Rule 10b5-1 under the Exchange Act, not to dispose of or hedge any of common stock or securities convertible into or exchangeable for shares of common stock during the period from the date of this prospectus supplement continuing through the date 60 days after the date of this prospectus supplement, except with the prior written consent of the representatives. In the case of the Company, this agreement does not apply to any existing employee benefit plans.</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contribute to payments the underwriters may be required to make in respect of those liabilities.</w:t>
      </w:r>
    </w:p>
    <w:p>
      <w:pPr>
        <w:spacing w:after="0" w:line="17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162"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it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34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08" w:lineRule="exact"/>
        <w:rPr>
          <w:sz w:val="20"/>
          <w:szCs w:val="20"/>
          <w:color w:val="auto"/>
        </w:rPr>
      </w:pPr>
    </w:p>
    <w:p>
      <w:pPr>
        <w:ind w:left="1260" w:right="899" w:firstLine="360"/>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9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Notices to Prospective Investors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 and the United Kingdom</w:t>
      </w:r>
    </w:p>
    <w:p>
      <w:pPr>
        <w:spacing w:after="0" w:line="162"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common stock may be made to the public in that Relevant State at any time under the following exemptions under the Prospectus Regulation:</w:t>
      </w:r>
    </w:p>
    <w:p>
      <w:pPr>
        <w:spacing w:after="0" w:line="337" w:lineRule="exact"/>
        <w:rPr>
          <w:sz w:val="20"/>
          <w:szCs w:val="20"/>
          <w:color w:val="auto"/>
        </w:rPr>
      </w:pPr>
    </w:p>
    <w:p>
      <w:pPr>
        <w:ind w:left="2240" w:hanging="258"/>
        <w:spacing w:after="0"/>
        <w:tabs>
          <w:tab w:leader="none" w:pos="2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44" w:lineRule="exact"/>
        <w:rPr>
          <w:rFonts w:ascii="Times New Roman" w:cs="Times New Roman" w:eastAsia="Times New Roman" w:hAnsi="Times New Roman"/>
          <w:sz w:val="18"/>
          <w:szCs w:val="18"/>
          <w:color w:val="auto"/>
        </w:rPr>
      </w:pPr>
    </w:p>
    <w:p>
      <w:pPr>
        <w:ind w:left="1620" w:right="719" w:firstLine="362"/>
        <w:spacing w:after="0" w:line="282" w:lineRule="auto"/>
        <w:tabs>
          <w:tab w:leader="none" w:pos="2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94" w:lineRule="exact"/>
        <w:rPr>
          <w:rFonts w:ascii="Times New Roman" w:cs="Times New Roman" w:eastAsia="Times New Roman" w:hAnsi="Times New Roman"/>
          <w:sz w:val="18"/>
          <w:szCs w:val="18"/>
          <w:color w:val="auto"/>
        </w:rPr>
      </w:pPr>
    </w:p>
    <w:p>
      <w:pPr>
        <w:ind w:left="2240" w:hanging="258"/>
        <w:spacing w:after="0"/>
        <w:tabs>
          <w:tab w:leader="none" w:pos="2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the company or the underwriters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the underwriter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 -discretionary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 has been obtained to each such proposed offer or resale.</w:t>
      </w:r>
    </w:p>
    <w:p>
      <w:pPr>
        <w:spacing w:after="0" w:line="112"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underwriters have represented and agreed that:</w:t>
      </w:r>
    </w:p>
    <w:p>
      <w:pPr>
        <w:spacing w:after="0" w:line="158" w:lineRule="exact"/>
        <w:rPr>
          <w:sz w:val="20"/>
          <w:szCs w:val="20"/>
          <w:color w:val="auto"/>
        </w:rPr>
      </w:pPr>
    </w:p>
    <w:p>
      <w:pPr>
        <w:jc w:val="both"/>
        <w:ind w:left="1620" w:right="839" w:firstLine="362"/>
        <w:spacing w:after="0" w:line="242" w:lineRule="auto"/>
        <w:tabs>
          <w:tab w:leader="none" w:pos="22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common stock in circumstances in which Section 21(1) of the FSMA does not apply to the company; and</w:t>
      </w:r>
    </w:p>
    <w:p>
      <w:pPr>
        <w:spacing w:after="0" w:line="103" w:lineRule="exact"/>
        <w:rPr>
          <w:rFonts w:ascii="Times New Roman" w:cs="Times New Roman" w:eastAsia="Times New Roman" w:hAnsi="Times New Roman"/>
          <w:sz w:val="18"/>
          <w:szCs w:val="18"/>
          <w:color w:val="auto"/>
        </w:rPr>
      </w:pPr>
    </w:p>
    <w:p>
      <w:pPr>
        <w:ind w:left="1620" w:right="979" w:firstLine="362"/>
        <w:spacing w:after="0" w:line="250" w:lineRule="auto"/>
        <w:tabs>
          <w:tab w:leader="none" w:pos="2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common stock in, from or otherwise involving the United Kingdom.</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62" w:lineRule="exact"/>
        <w:rPr>
          <w:sz w:val="20"/>
          <w:szCs w:val="20"/>
          <w:color w:val="auto"/>
        </w:rPr>
      </w:pPr>
    </w:p>
    <w:p>
      <w:pPr>
        <w:ind w:left="1260" w:right="8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The shares of common stock may be sold in Canada only to purchasers purchasing, or deemed to be purchasing, as principal that are accredited investors, as defined in National Instrument 45- 106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Exemptions </w:t>
      </w:r>
      <w:r>
        <w:rPr>
          <w:rFonts w:ascii="Times New Roman" w:cs="Times New Roman" w:eastAsia="Times New Roman" w:hAnsi="Times New Roman"/>
          <w:sz w:val="18"/>
          <w:szCs w:val="18"/>
          <w:color w:val="auto"/>
        </w:rPr>
        <w:t>or subsection 73.3(1) of the Securities Act (Ontario), and are permitted clients,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common stock must be made in accordance with an exemption from, or in a transaction not subject to, the prospectus requirements of applicable securities laws.</w:t>
      </w:r>
    </w:p>
    <w:p>
      <w:pPr>
        <w:spacing w:after="0" w:line="116" w:lineRule="exact"/>
        <w:rPr>
          <w:sz w:val="20"/>
          <w:szCs w:val="20"/>
          <w:color w:val="auto"/>
        </w:rPr>
      </w:pPr>
    </w:p>
    <w:p>
      <w:pPr>
        <w:ind w:left="1260" w:right="1099" w:firstLine="360"/>
        <w:spacing w:after="0" w:line="24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1260" w:right="1239" w:firstLine="360"/>
        <w:spacing w:after="0" w:line="250"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shares of common stock may not be offered or sold in Hong Kong by means of any document other</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than (i) in circumstances which do not constitute an offer to the public within the meaning of the Companies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(Winding Up and Miscellaneous Provisions) Ordinance (Cap. 32 of the Laws of Hong Kong) (“Companies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(Winding Up and Miscellaneous Provisions) Ordinance”) or which do not constitute an</w:t>
      </w: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38" w:lineRule="auto"/>
        <w:rPr>
          <w:sz w:val="20"/>
          <w:szCs w:val="20"/>
          <w:color w:val="auto"/>
        </w:rPr>
      </w:pPr>
      <w:r>
        <w:rPr>
          <w:rFonts w:ascii="Times New Roman" w:cs="Times New Roman" w:eastAsia="Times New Roman" w:hAnsi="Times New Roman"/>
          <w:sz w:val="18"/>
          <w:szCs w:val="18"/>
          <w:color w:val="auto"/>
        </w:rPr>
        <w:t>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common stock which are or are intended to be disposed of only to persons outside Hong Kong or only to “professional investors” in Hong Kong as defined in the Securities and Futures Ordinance and any rules made thereunder.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48"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306"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of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1" w:lineRule="exact"/>
        <w:rPr>
          <w:sz w:val="20"/>
          <w:szCs w:val="20"/>
          <w:color w:val="auto"/>
        </w:rPr>
      </w:pPr>
    </w:p>
    <w:p>
      <w:pPr>
        <w:ind w:left="1540" w:hanging="278"/>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w:t>
      </w:r>
    </w:p>
    <w:p>
      <w:pPr>
        <w:spacing w:after="0" w:line="9" w:lineRule="exact"/>
        <w:rPr>
          <w:rFonts w:ascii="Times New Roman" w:cs="Times New Roman" w:eastAsia="Times New Roman" w:hAnsi="Times New Roman"/>
          <w:sz w:val="18"/>
          <w:szCs w:val="18"/>
          <w:color w:val="auto"/>
        </w:rPr>
      </w:pPr>
    </w:p>
    <w:p>
      <w:pPr>
        <w:ind w:left="1260" w:right="759" w:firstLine="2"/>
        <w:spacing w:after="0" w:line="260" w:lineRule="auto"/>
        <w:tabs>
          <w:tab w:leader="none" w:pos="152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 (6) as specified in Regulation 32 of the Securities and Futures (Offers of Investments) (Shares and Debentures) Regulations 2005 of Singapore (“Regulation 32”).</w:t>
      </w:r>
    </w:p>
    <w:p>
      <w:pPr>
        <w:spacing w:after="0" w:line="100"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common stock under Section 275 of the SFA except:</w:t>
      </w:r>
    </w:p>
    <w:p>
      <w:pPr>
        <w:spacing w:after="0" w:line="3" w:lineRule="exact"/>
        <w:rPr>
          <w:sz w:val="20"/>
          <w:szCs w:val="20"/>
          <w:color w:val="auto"/>
        </w:rPr>
      </w:pPr>
    </w:p>
    <w:p>
      <w:pPr>
        <w:ind w:left="1260" w:right="719" w:firstLine="2"/>
        <w:spacing w:after="0" w:line="253" w:lineRule="auto"/>
        <w:tabs>
          <w:tab w:leader="none" w:pos="15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other assets), (3) where no consideration is or will be given for the transfer, (4) where the transfer is by operation of law, (5) as specified in Section 276(7) of the SFA, or (6) as specified in Regulation 32.</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337"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(“FINMA”), and the offer of shares of common stock has not been and will not be authorized under the Swiss Federal Act on Collective Investment Schemes (“CISA”). The investor protection afforded to acquirers of interests in collective investment schemes under the CISA does not extend to acquirers of shares of common stock.</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6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common stock offered should conduct their own due diligence on the shares of common stock. If you do not understand the contents of this prospectus you should consult an authorized financial advisor.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48" w:lineRule="exact"/>
        <w:rPr>
          <w:sz w:val="20"/>
          <w:szCs w:val="20"/>
          <w:color w:val="auto"/>
        </w:rPr>
      </w:pPr>
    </w:p>
    <w:p>
      <w:pPr>
        <w:ind w:left="1260" w:right="799" w:firstLine="360"/>
        <w:spacing w:after="0" w:line="25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36"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of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common stock without disclosure to investors under Chapter 6D of the Corporations Act.</w:t>
      </w:r>
    </w:p>
    <w:p>
      <w:pPr>
        <w:spacing w:after="0" w:line="116"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shares of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common stock must observe such Australian on-sale restrictions.</w:t>
      </w: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affiliates have provided, from time to time, and may continue to provide to us and to persons and entities that have relationships with us, investment banking, commercial banking, financial and other services, including letters of credit, share repurchase, depository and account processing services, for which we have paid and intend to pay customary fees.</w:t>
      </w:r>
    </w:p>
    <w:p>
      <w:pPr>
        <w:spacing w:after="0" w:line="337"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officers, directors and employees may purchase, sell or hold a broad array of investments and actively trade securities, derivatives, loans, commodities, currencies, credit default and other financial instruments (including bank loans) for their own account and for the accounts of their customers. Such investments and securities activities may involve or relate to assets, securities and/or instruments of ours or our affiliates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7"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affiliates that have a lending relationship with us routinely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including potentially the shares of common stock offered hereby. Any such credit default swaps or short positions could adversely affect future trading prices of the shares of common stock offered hereby.</w:t>
      </w:r>
    </w:p>
    <w:p>
      <w:pPr>
        <w:spacing w:after="0" w:line="106"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Affiliates of the underwriters are lenders under our Amended Credit Agreement and an affiliate of one of the underwriters is the collateral agent under our Amended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common shares offered by this prospectus supplement will be passed upon for us by Ballard Spahr LLP. Latham &amp; Watkins LLP will pass upon certain legal matters relating to this offering for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ind w:left="1260" w:right="73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incorporated in this prospectus by reference from Penn National Gaming’s </w:t>
      </w:r>
      <w:hyperlink r:id="rId39">
        <w:r>
          <w:rPr>
            <w:rFonts w:ascii="Times New Roman" w:cs="Times New Roman" w:eastAsia="Times New Roman" w:hAnsi="Times New Roman"/>
            <w:sz w:val="18"/>
            <w:szCs w:val="18"/>
            <w:u w:val="single" w:color="auto"/>
            <w:color w:val="0000EE"/>
          </w:rPr>
          <w:t>Annual Report on Form 10-K for the year ended December 31,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the effectiveness of Penn National Gaming’s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an explanatory paragraph referring to the adoption of new accounting standards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Information about us, including our SEC filings, is also available at our Internet site at </w:t>
      </w:r>
      <w:r>
        <w:rPr>
          <w:rFonts w:ascii="Times New Roman" w:cs="Times New Roman" w:eastAsia="Times New Roman" w:hAnsi="Times New Roman"/>
          <w:sz w:val="18"/>
          <w:szCs w:val="18"/>
          <w:i w:val="1"/>
          <w:iCs w:val="1"/>
          <w:color w:val="auto"/>
        </w:rPr>
        <w:t>https://www.pngaming.com</w:t>
      </w:r>
      <w:r>
        <w:rPr>
          <w:rFonts w:ascii="Times New Roman" w:cs="Times New Roman" w:eastAsia="Times New Roman" w:hAnsi="Times New Roman"/>
          <w:sz w:val="18"/>
          <w:szCs w:val="18"/>
          <w:color w:val="auto"/>
        </w:rPr>
        <w:t>. We have included our website address for the information of prospective investors and do not intend it to be an active link to our website. Information contained on our website is not part of this prospectus supplement or the accompanying prospectus (or any document incorporated by reference herein or therein), and you should not rely on that information in making your investment decision unless that information is also in this prospectus supplement or the accompanying prospectus or has been expressly incorporated by reference into this prospectus supplement or the accompanying prospectus.</w:t>
      </w:r>
    </w:p>
    <w:p>
      <w:pPr>
        <w:spacing w:after="0" w:line="127"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constitutes part of a registration statement on Form S-3 that we filed with the SEC under the Securities Act. As permitted by the rules and regulations of the SEC, this prospectus supplement omits some of the information, exhibits and undertakings included in the registration statement. You may read and copy the information omitted from this prospectus supplement but contained in the registration statement, as well as the periodic reports and other information we file with the SEC, at the addresses and websites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a part of this prospectus supplement and the accompanying prospectus, and later information that we file with the SEC will automatically update and, to the extent inconsistent, supersede this information. SEC rules and regulations also permit us to “furnish” rather than “file” certain reports and information with the SEC. Any such reports or information which we “furnish” or have “furnished” shall not be deemed to be incorporated by reference into or otherwise become a part of this prospectus supplement and the accompanying prospectus, regardless of when furnished to the SEC. We incorporate by reference the following documents listed below and any future filings made with the SEC under Section 13(a), 13(c), 14 or 15(d) of the Exchange Act (other than, in each case, information deemed to have been furnished and not filed in accordance with SEC rules), on or after the date of this prospectus supplement until we have terminated the offerings of all of the securities to which this prospectus supplement relates:</w:t>
      </w:r>
    </w:p>
    <w:p>
      <w:pPr>
        <w:spacing w:after="0" w:line="298" w:lineRule="exact"/>
        <w:rPr>
          <w:sz w:val="20"/>
          <w:szCs w:val="20"/>
          <w:color w:val="auto"/>
        </w:rPr>
      </w:pPr>
    </w:p>
    <w:p>
      <w:pPr>
        <w:ind w:left="1800" w:hanging="178"/>
        <w:spacing w:after="0"/>
        <w:tabs>
          <w:tab w:leader="none" w:pos="1800" w:val="left"/>
        </w:tabs>
        <w:numPr>
          <w:ilvl w:val="0"/>
          <w:numId w:val="22"/>
        </w:numPr>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our Annual Report on Form 10-K for the year ended December 31, 2019;</w:t>
        </w:r>
      </w:hyperlink>
    </w:p>
    <w:p>
      <w:pPr>
        <w:spacing w:after="0" w:line="117" w:lineRule="exact"/>
        <w:rPr>
          <w:rFonts w:ascii="Times New Roman" w:cs="Times New Roman" w:eastAsia="Times New Roman" w:hAnsi="Times New Roman"/>
          <w:sz w:val="18"/>
          <w:szCs w:val="18"/>
          <w:u w:val="single" w:color="auto"/>
          <w:color w:val="0000EE"/>
        </w:rPr>
      </w:pPr>
    </w:p>
    <w:p>
      <w:pPr>
        <w:ind w:left="1800" w:hanging="178"/>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40">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6">
        <w:r>
          <w:rPr>
            <w:rFonts w:ascii="Times New Roman" w:cs="Times New Roman" w:eastAsia="Times New Roman" w:hAnsi="Times New Roman"/>
            <w:sz w:val="18"/>
            <w:szCs w:val="18"/>
            <w:u w:val="single" w:color="auto"/>
            <w:color w:val="0000EE"/>
          </w:rPr>
          <w:t>June 30, 2020;</w:t>
        </w:r>
      </w:hyperlink>
    </w:p>
    <w:p>
      <w:pPr>
        <w:spacing w:after="0" w:line="117"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our Definitive Proxy Statement on Schedule 14A for our Annual Meeting of </w:t>
      </w:r>
      <w:hyperlink r:id="rId39">
        <w:r>
          <w:rPr>
            <w:rFonts w:ascii="Times New Roman" w:cs="Times New Roman" w:eastAsia="Times New Roman" w:hAnsi="Times New Roman"/>
            <w:sz w:val="18"/>
            <w:szCs w:val="18"/>
            <w:color w:val="auto"/>
          </w:rPr>
          <w:t xml:space="preserve">Shareholders that is incorporated by reference in our </w:t>
        </w:r>
        <w:r>
          <w:rPr>
            <w:rFonts w:ascii="Times New Roman" w:cs="Times New Roman" w:eastAsia="Times New Roman" w:hAnsi="Times New Roman"/>
            <w:sz w:val="18"/>
            <w:szCs w:val="18"/>
            <w:u w:val="single" w:color="auto"/>
            <w:color w:val="0000EE"/>
          </w:rPr>
          <w:t>Annual Report on Form 10-K for the fiscal year</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ended December 31, 2019;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hyperlink>
    </w:p>
    <w:p>
      <w:pPr>
        <w:spacing w:after="0" w:line="67" w:lineRule="exact"/>
        <w:rPr>
          <w:rFonts w:ascii="Times New Roman" w:cs="Times New Roman" w:eastAsia="Times New Roman" w:hAnsi="Times New Roman"/>
          <w:sz w:val="18"/>
          <w:szCs w:val="18"/>
          <w:color w:val="0000EE"/>
        </w:rPr>
      </w:pPr>
    </w:p>
    <w:p>
      <w:pPr>
        <w:ind w:left="1800" w:right="679" w:hanging="178"/>
        <w:spacing w:after="0" w:line="261" w:lineRule="auto"/>
        <w:tabs>
          <w:tab w:leader="none" w:pos="180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79">
        <w:r>
          <w:rPr>
            <w:rFonts w:ascii="Times New Roman" w:cs="Times New Roman" w:eastAsia="Times New Roman" w:hAnsi="Times New Roman"/>
            <w:sz w:val="18"/>
            <w:szCs w:val="18"/>
            <w:u w:val="single" w:color="auto"/>
            <w:color w:val="0000EE"/>
          </w:rPr>
          <w:t>January 24, 2020</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January 29, 2020</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February 20, 2020</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February 28,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3">
        <w:r>
          <w:rPr>
            <w:rFonts w:ascii="Times New Roman" w:cs="Times New Roman" w:eastAsia="Times New Roman" w:hAnsi="Times New Roman"/>
            <w:sz w:val="18"/>
            <w:szCs w:val="18"/>
            <w:u w:val="single" w:color="auto"/>
            <w:color w:val="0000EE"/>
          </w:rPr>
          <w:t>March 16,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4">
        <w:r>
          <w:rPr>
            <w:rFonts w:ascii="Times New Roman" w:cs="Times New Roman" w:eastAsia="Times New Roman" w:hAnsi="Times New Roman"/>
            <w:sz w:val="18"/>
            <w:szCs w:val="18"/>
            <w:u w:val="single" w:color="auto"/>
            <w:color w:val="0000EE"/>
          </w:rPr>
          <w:t>March 20,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March 30,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April 20,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May 14,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May 19,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9">
        <w:r>
          <w:rPr>
            <w:rFonts w:ascii="Times New Roman" w:cs="Times New Roman" w:eastAsia="Times New Roman" w:hAnsi="Times New Roman"/>
            <w:sz w:val="18"/>
            <w:szCs w:val="18"/>
            <w:u w:val="single" w:color="auto"/>
            <w:color w:val="0000EE"/>
          </w:rPr>
          <w:t xml:space="preserve">June 12, 2020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the portions of those documents furnished and not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deemed to be filed).</w:t>
      </w:r>
    </w:p>
    <w:p>
      <w:pPr>
        <w:spacing w:after="0" w:line="112" w:lineRule="exact"/>
        <w:rPr>
          <w:rFonts w:ascii="Times New Roman" w:cs="Times New Roman" w:eastAsia="Times New Roman" w:hAnsi="Times New Roman"/>
          <w:sz w:val="18"/>
          <w:szCs w:val="18"/>
          <w:color w:val="0000EE"/>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Information that becomes a part of this prospectus supplement after the date of this prospectus supplement will automatically update and, to the extent inconsistent, replace information in this prospectus supplement and information previously filed with the SEC.</w:t>
      </w:r>
    </w:p>
    <w:p>
      <w:pPr>
        <w:spacing w:after="0" w:line="108" w:lineRule="exact"/>
        <w:rPr>
          <w:rFonts w:ascii="Times New Roman" w:cs="Times New Roman" w:eastAsia="Times New Roman" w:hAnsi="Times New Roman"/>
          <w:sz w:val="18"/>
          <w:szCs w:val="18"/>
          <w:color w:val="0000EE"/>
        </w:rPr>
      </w:pPr>
    </w:p>
    <w:p>
      <w:pPr>
        <w:ind w:left="1260" w:right="899" w:firstLine="360"/>
        <w:spacing w:after="0" w:line="275"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or calling us at the following address:</w:t>
      </w:r>
    </w:p>
    <w:p>
      <w:pPr>
        <w:spacing w:after="0" w:line="309" w:lineRule="exact"/>
        <w:rPr>
          <w:rFonts w:ascii="Times New Roman" w:cs="Times New Roman" w:eastAsia="Times New Roman" w:hAnsi="Times New Roman"/>
          <w:sz w:val="18"/>
          <w:szCs w:val="18"/>
          <w:color w:val="0000EE"/>
        </w:rPr>
      </w:pPr>
    </w:p>
    <w:p>
      <w:pPr>
        <w:ind w:left="4280"/>
        <w:spacing w:after="0"/>
        <w:rPr>
          <w:sz w:val="20"/>
          <w:szCs w:val="20"/>
          <w:color w:val="auto"/>
        </w:rPr>
      </w:pPr>
      <w:r>
        <w:rPr>
          <w:rFonts w:ascii="Times New Roman" w:cs="Times New Roman" w:eastAsia="Times New Roman" w:hAnsi="Times New Roman"/>
          <w:sz w:val="18"/>
          <w:szCs w:val="18"/>
          <w:color w:val="auto"/>
        </w:rPr>
        <w:t>Penn National Gaming, Inc.</w:t>
      </w:r>
    </w:p>
    <w:p>
      <w:pPr>
        <w:spacing w:after="0" w:line="27" w:lineRule="exact"/>
        <w:rPr>
          <w:rFonts w:ascii="Times New Roman" w:cs="Times New Roman" w:eastAsia="Times New Roman" w:hAnsi="Times New Roman"/>
          <w:sz w:val="18"/>
          <w:szCs w:val="18"/>
          <w:color w:val="0000EE"/>
        </w:rPr>
      </w:pPr>
    </w:p>
    <w:p>
      <w:pPr>
        <w:ind w:left="4000"/>
        <w:spacing w:after="0"/>
        <w:rPr>
          <w:sz w:val="20"/>
          <w:szCs w:val="20"/>
          <w:color w:val="auto"/>
        </w:rPr>
      </w:pPr>
      <w:r>
        <w:rPr>
          <w:rFonts w:ascii="Times New Roman" w:cs="Times New Roman" w:eastAsia="Times New Roman" w:hAnsi="Times New Roman"/>
          <w:sz w:val="18"/>
          <w:szCs w:val="18"/>
          <w:color w:val="auto"/>
        </w:rPr>
        <w:t>825 Berkshire Boulevard, Suite 200</w:t>
      </w:r>
    </w:p>
    <w:p>
      <w:pPr>
        <w:spacing w:after="0" w:line="9" w:lineRule="exact"/>
        <w:rPr>
          <w:rFonts w:ascii="Times New Roman" w:cs="Times New Roman" w:eastAsia="Times New Roman" w:hAnsi="Times New Roman"/>
          <w:sz w:val="18"/>
          <w:szCs w:val="18"/>
          <w:color w:val="0000EE"/>
        </w:rPr>
      </w:pPr>
    </w:p>
    <w:p>
      <w:pPr>
        <w:ind w:left="4060"/>
        <w:spacing w:after="0"/>
        <w:rPr>
          <w:sz w:val="20"/>
          <w:szCs w:val="20"/>
          <w:color w:val="auto"/>
        </w:rPr>
      </w:pPr>
      <w:r>
        <w:rPr>
          <w:rFonts w:ascii="Times New Roman" w:cs="Times New Roman" w:eastAsia="Times New Roman" w:hAnsi="Times New Roman"/>
          <w:sz w:val="18"/>
          <w:szCs w:val="18"/>
          <w:color w:val="auto"/>
        </w:rPr>
        <w:t>Wyomissing, Pennsylvania 19610</w:t>
      </w:r>
    </w:p>
    <w:p>
      <w:pPr>
        <w:spacing w:after="0" w:line="9" w:lineRule="exact"/>
        <w:rPr>
          <w:rFonts w:ascii="Times New Roman" w:cs="Times New Roman" w:eastAsia="Times New Roman" w:hAnsi="Times New Roman"/>
          <w:sz w:val="18"/>
          <w:szCs w:val="18"/>
          <w:color w:val="0000EE"/>
        </w:rPr>
      </w:pPr>
    </w:p>
    <w:p>
      <w:pPr>
        <w:ind w:left="458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rFonts w:ascii="Times New Roman" w:cs="Times New Roman" w:eastAsia="Times New Roman" w:hAnsi="Times New Roman"/>
          <w:sz w:val="18"/>
          <w:szCs w:val="18"/>
          <w:color w:val="0000EE"/>
        </w:rPr>
      </w:pPr>
    </w:p>
    <w:p>
      <w:pPr>
        <w:ind w:left="4780"/>
        <w:spacing w:after="0"/>
        <w:rPr>
          <w:sz w:val="20"/>
          <w:szCs w:val="20"/>
          <w:color w:val="auto"/>
        </w:rPr>
      </w:pPr>
      <w:r>
        <w:rPr>
          <w:rFonts w:ascii="Times New Roman" w:cs="Times New Roman" w:eastAsia="Times New Roman" w:hAnsi="Times New Roman"/>
          <w:sz w:val="18"/>
          <w:szCs w:val="18"/>
          <w:color w:val="auto"/>
        </w:rPr>
        <w:t>(610) 373-2400</w:t>
      </w:r>
    </w:p>
    <w:p>
      <w:pPr>
        <w:spacing w:after="0" w:line="139" w:lineRule="exact"/>
        <w:rPr>
          <w:rFonts w:ascii="Times New Roman" w:cs="Times New Roman" w:eastAsia="Times New Roman" w:hAnsi="Times New Roman"/>
          <w:sz w:val="18"/>
          <w:szCs w:val="18"/>
          <w:color w:val="0000EE"/>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Certain of our SEC filings, including our annual reports on Form 10-K and our quarterly reports on Form 10-Q, can be viewed and printed from the investor relations section of our website at </w:t>
      </w:r>
      <w:r>
        <w:rPr>
          <w:rFonts w:ascii="Times New Roman" w:cs="Times New Roman" w:eastAsia="Times New Roman" w:hAnsi="Times New Roman"/>
          <w:sz w:val="18"/>
          <w:szCs w:val="18"/>
          <w:i w:val="1"/>
          <w:iCs w:val="1"/>
          <w:color w:val="auto"/>
        </w:rPr>
        <w:t xml:space="preserve">https://www.pngaming.com </w:t>
      </w:r>
      <w:r>
        <w:rPr>
          <w:rFonts w:ascii="Times New Roman" w:cs="Times New Roman" w:eastAsia="Times New Roman" w:hAnsi="Times New Roman"/>
          <w:sz w:val="18"/>
          <w:szCs w:val="18"/>
          <w:color w:val="auto"/>
        </w:rPr>
        <w:t>free of charge. We have included our website address for the information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prospective investors and do not intend it to be an active link to our website. Information contained on our website is not part of this prospectus supplement or the accompanying prospectus (or any document incorporated by reference herein or therein), and you should not rely on that information in making your investment decision unless that information is also in this prospectus supplement or the accompanying prospectus or has been expressly incorporated by reference into this prospectus supplement or the accompanying prospectus.</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63" w:lineRule="exact"/>
        <w:rPr>
          <w:rFonts w:ascii="Times New Roman" w:cs="Times New Roman" w:eastAsia="Times New Roman" w:hAnsi="Times New Roman"/>
          <w:sz w:val="18"/>
          <w:szCs w:val="18"/>
          <w:color w:val="0000EE"/>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1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32"/>
          <w:szCs w:val="32"/>
          <w:b w:val="1"/>
          <w:bCs w:val="1"/>
          <w:color w:val="auto"/>
        </w:rPr>
        <w:t>PENN NATIONAL GAMING,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430530</wp:posOffset>
            </wp:positionV>
            <wp:extent cx="1234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400"/>
        <w:spacing w:after="0" w:line="236" w:lineRule="auto"/>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89"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The securities listed above may be offered and sold by us or may be offered and sold, from time to time, by one or more selling securityholders to be identified in the future. We will provide the specific terms of these securities in supplements to this prospectus. You should read this prospectus and the applicable prospectus supplement, as well as the documents incorporated and deemed to be incorporated by reference in this prospectus and the applicable prospectus supplement, carefully before you invest in the securities described in the applicable prospectus supplement.</w:t>
      </w:r>
    </w:p>
    <w:p>
      <w:pPr>
        <w:spacing w:after="0" w:line="187"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This prospectus may not be used to sell securities unless accompanied by the applicable prospectus supplement.</w:t>
      </w:r>
    </w:p>
    <w:p>
      <w:pPr>
        <w:spacing w:after="0" w:line="158" w:lineRule="exact"/>
        <w:rPr>
          <w:sz w:val="20"/>
          <w:szCs w:val="20"/>
          <w:color w:val="auto"/>
        </w:rPr>
      </w:pPr>
    </w:p>
    <w:p>
      <w:pPr>
        <w:ind w:left="1260" w:right="9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You should carefully consider the risk factors referred to on page 5 of this prospectus, in any applicable prospectus supplement and in the documents incorporated by reference or deemed incorporated by reference in this prospectus and any applicable prospectus supplement before you invest in our securities.</w:t>
      </w:r>
    </w:p>
    <w:p>
      <w:pPr>
        <w:spacing w:after="0" w:line="176" w:lineRule="exact"/>
        <w:rPr>
          <w:sz w:val="20"/>
          <w:szCs w:val="20"/>
          <w:color w:val="auto"/>
        </w:rPr>
      </w:pPr>
    </w:p>
    <w:p>
      <w:pPr>
        <w:ind w:left="1260" w:right="8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any state securities commission, any state gaming commission or any other gaming authority or other regulatory agency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246380</wp:posOffset>
            </wp:positionV>
            <wp:extent cx="1234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2660015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788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r>
      <w:tr>
        <w:trPr>
          <w:trHeight w:val="328"/>
        </w:trPr>
        <w:tc>
          <w:tcPr>
            <w:tcW w:w="788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About This Prospectus</w:t>
              </w:r>
            </w:hyperlink>
          </w:p>
        </w:tc>
        <w:tc>
          <w:tcPr>
            <w:tcW w:w="3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38">
              <w:r>
                <w:rPr>
                  <w:rFonts w:ascii="Times New Roman" w:cs="Times New Roman" w:eastAsia="Times New Roman" w:hAnsi="Times New Roman"/>
                  <w:sz w:val="18"/>
                  <w:szCs w:val="18"/>
                  <w:u w:val="single" w:color="auto"/>
                  <w:color w:val="0000EE"/>
                  <w:w w:val="88"/>
                </w:rPr>
                <w:t>1</w:t>
              </w:r>
            </w:hyperlink>
          </w:p>
        </w:tc>
      </w:tr>
      <w:tr>
        <w:trPr>
          <w:trHeight w:val="257"/>
        </w:trPr>
        <w:tc>
          <w:tcPr>
            <w:tcW w:w="788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39">
              <w:r>
                <w:rPr>
                  <w:rFonts w:ascii="Times New Roman" w:cs="Times New Roman" w:eastAsia="Times New Roman" w:hAnsi="Times New Roman"/>
                  <w:sz w:val="18"/>
                  <w:szCs w:val="18"/>
                  <w:u w:val="single" w:color="auto"/>
                  <w:color w:val="0000EE"/>
                  <w:w w:val="88"/>
                </w:rPr>
                <w:t>2</w:t>
              </w:r>
            </w:hyperlink>
          </w:p>
        </w:tc>
      </w:tr>
      <w:tr>
        <w:trPr>
          <w:trHeight w:val="257"/>
        </w:trPr>
        <w:tc>
          <w:tcPr>
            <w:tcW w:w="78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Forward-Looking Statements</w:t>
              </w:r>
            </w:hyperlink>
          </w:p>
        </w:tc>
        <w:tc>
          <w:tcPr>
            <w:tcW w:w="3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0">
              <w:r>
                <w:rPr>
                  <w:rFonts w:ascii="Times New Roman" w:cs="Times New Roman" w:eastAsia="Times New Roman" w:hAnsi="Times New Roman"/>
                  <w:sz w:val="18"/>
                  <w:szCs w:val="18"/>
                  <w:u w:val="single" w:color="auto"/>
                  <w:color w:val="0000EE"/>
                  <w:w w:val="88"/>
                </w:rPr>
                <w:t>3</w:t>
              </w:r>
            </w:hyperlink>
          </w:p>
        </w:tc>
      </w:tr>
      <w:tr>
        <w:trPr>
          <w:trHeight w:val="270"/>
        </w:trPr>
        <w:tc>
          <w:tcPr>
            <w:tcW w:w="788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The Company</w:t>
              </w:r>
            </w:hyperlink>
          </w:p>
        </w:tc>
        <w:tc>
          <w:tcPr>
            <w:tcW w:w="34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70"/>
        </w:trPr>
        <w:tc>
          <w:tcPr>
            <w:tcW w:w="78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Industry and Market Data</w:t>
              </w:r>
            </w:hyperlink>
          </w:p>
        </w:tc>
        <w:tc>
          <w:tcPr>
            <w:tcW w:w="3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70"/>
        </w:trPr>
        <w:tc>
          <w:tcPr>
            <w:tcW w:w="788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Risk Factors</w:t>
              </w:r>
            </w:hyperlink>
          </w:p>
        </w:tc>
        <w:tc>
          <w:tcPr>
            <w:tcW w:w="34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70"/>
        </w:trPr>
        <w:tc>
          <w:tcPr>
            <w:tcW w:w="78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Use of Proceeds</w:t>
              </w:r>
            </w:hyperlink>
          </w:p>
        </w:tc>
        <w:tc>
          <w:tcPr>
            <w:tcW w:w="3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70"/>
        </w:trPr>
        <w:tc>
          <w:tcPr>
            <w:tcW w:w="7880" w:type="dxa"/>
            <w:vAlign w:val="bottom"/>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Description of Common Stock, Preferred Stock, Depositary Shares and Debt Securities</w:t>
              </w:r>
            </w:hyperlink>
          </w:p>
        </w:tc>
        <w:tc>
          <w:tcPr>
            <w:tcW w:w="34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42">
              <w:r>
                <w:rPr>
                  <w:rFonts w:ascii="Times New Roman" w:cs="Times New Roman" w:eastAsia="Times New Roman" w:hAnsi="Times New Roman"/>
                  <w:sz w:val="18"/>
                  <w:szCs w:val="18"/>
                  <w:u w:val="single" w:color="auto"/>
                  <w:color w:val="0000EE"/>
                  <w:w w:val="88"/>
                </w:rPr>
                <w:t>5</w:t>
              </w:r>
            </w:hyperlink>
          </w:p>
        </w:tc>
      </w:tr>
      <w:tr>
        <w:trPr>
          <w:trHeight w:val="270"/>
        </w:trPr>
        <w:tc>
          <w:tcPr>
            <w:tcW w:w="78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Legal Matters</w:t>
              </w:r>
            </w:hyperlink>
          </w:p>
        </w:tc>
        <w:tc>
          <w:tcPr>
            <w:tcW w:w="3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w w:val="88"/>
              </w:rPr>
            </w:pPr>
            <w:hyperlink w:anchor="page43">
              <w:r>
                <w:rPr>
                  <w:rFonts w:ascii="Times New Roman" w:cs="Times New Roman" w:eastAsia="Times New Roman" w:hAnsi="Times New Roman"/>
                  <w:sz w:val="18"/>
                  <w:szCs w:val="18"/>
                  <w:u w:val="single" w:color="auto"/>
                  <w:color w:val="0000EE"/>
                  <w:w w:val="88"/>
                </w:rPr>
                <w:t>6</w:t>
              </w:r>
            </w:hyperlink>
          </w:p>
        </w:tc>
      </w:tr>
      <w:tr>
        <w:trPr>
          <w:trHeight w:val="270"/>
        </w:trPr>
        <w:tc>
          <w:tcPr>
            <w:tcW w:w="7880" w:type="dxa"/>
            <w:vAlign w:val="bottom"/>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Experts</w:t>
              </w:r>
            </w:hyperlink>
          </w:p>
        </w:tc>
        <w:tc>
          <w:tcPr>
            <w:tcW w:w="340" w:type="dxa"/>
            <w:vAlign w:val="bottom"/>
          </w:tcPr>
          <w:p>
            <w:pPr>
              <w:jc w:val="center"/>
              <w:spacing w:after="0"/>
              <w:rPr>
                <w:rFonts w:ascii="Times New Roman" w:cs="Times New Roman" w:eastAsia="Times New Roman" w:hAnsi="Times New Roman"/>
                <w:sz w:val="18"/>
                <w:szCs w:val="18"/>
                <w:u w:val="single" w:color="auto"/>
                <w:color w:val="0000EE"/>
                <w:w w:val="88"/>
              </w:rPr>
            </w:pPr>
            <w:hyperlink w:anchor="page43">
              <w:r>
                <w:rPr>
                  <w:rFonts w:ascii="Times New Roman" w:cs="Times New Roman" w:eastAsia="Times New Roman" w:hAnsi="Times New Roman"/>
                  <w:sz w:val="18"/>
                  <w:szCs w:val="18"/>
                  <w:u w:val="single" w:color="auto"/>
                  <w:color w:val="0000EE"/>
                  <w:w w:val="88"/>
                </w:rPr>
                <w:t>6</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-1696720</wp:posOffset>
            </wp:positionV>
            <wp:extent cx="50063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24"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references to “Penn National,” the “Company,” “we,” “us,” “our” or similar terms are to Penn National Gaming, Inc. and its subsidiaries. References to “$” and “dollars” are to United States dollars.</w:t>
      </w:r>
    </w:p>
    <w:p>
      <w:pPr>
        <w:spacing w:after="0" w:line="108"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color w:val="auto"/>
        </w:rPr>
        <w:t>This prospectus, any applicable prospectus supplement and any free writing prospectus filed by us do not constitute an offer to sell or the solicitation of an offer to buy any securities other than the registered securities to which they relate, nor do they constitute an offer to sell or the solicitation of an offer to buy securities in any jurisdiction to any person to whom it is unlawful to make such offer or solicitation in such jurisdiction.</w:t>
      </w:r>
    </w:p>
    <w:p>
      <w:pPr>
        <w:spacing w:after="0" w:line="335"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For investors outside of the United States, neither we nor any selling securityholders have done anything that would permit the offering, possession or distribution of this prospectus in any jurisdiction where action for that purpose is required, other than in the United States. You are required to inform yourselves about and to observe any restrictions relating to the offering, possession or distribution of this prospectus outside of the United States.</w:t>
      </w:r>
    </w:p>
    <w:p>
      <w:pPr>
        <w:spacing w:after="0" w:line="17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on Form S-3 with the Securities and Exchange Commission (the “SEC”) under a “shelf” registration process. Under this shelf registration process, we may, from time to time, offer and sell, either separately or together, common stock, preferred stock, depositary shares or debt securities in one or more offerings.</w:t>
      </w:r>
    </w:p>
    <w:p>
      <w:pPr>
        <w:spacing w:after="0" w:line="112"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Each time we offer and sell securities, we will provide a prospectus supplement or other type of offering document or supplement (together referred to herein as a “prospectus supplement”) that will contain specific information about the terms of that offering. Any applicable prospectus supplement or free writing prospectus may also add, update or change information contained in this prospectus, and accordingly, to the extent inconsistent, information in this prospectus is superseded by the information in such applicable prospectus supplement or free writing prospectus. You should read this prospectus and any applicable prospectus supplement together with the additional information described under the heading “Where You Can Find More Information.”</w:t>
      </w:r>
    </w:p>
    <w:p>
      <w:pPr>
        <w:spacing w:after="0" w:line="124"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key documents described in this prospectus. All of the summaries are qualified in their entirety by the actual documents, which you should review before making your investment decision.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739"/>
        <w:spacing w:after="0" w:line="23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or deemed incorporated by reference in this prospectus, in any applicable prospectus supplement or in any free writing prospectus filed by us with the SEC. We have not authorized anyone to provide any information other than that contained in this prospectus or in any prospectus supplement or free writing prospectus prepared by or on behalf of us or to which we may have referred you. We do not take any responsibility for, and can provide no assurance as to the reliability of, any other information that others may give you. We have not authorized any other person to provide you with different or additional information, and we are not making an offer to sell securities in any jurisdiction where the offer or sale is not permitted. You should assume that the information appearing in this prospectus is accurate only as of the date hereof or, in the case of information incorporated or deemed incorporated by reference herein, as of the date thereof, regardless of the time of delivery of the prospectus or any sale of securities. Our business, financial condition, results of operations and prospects may have changed since the date of such information.</w:t>
      </w:r>
    </w:p>
    <w:p>
      <w:pPr>
        <w:spacing w:after="0" w:line="18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SEC filings are available to the public from the SEC website at http://www.sec.gov.</w:t>
      </w:r>
    </w:p>
    <w:p>
      <w:pPr>
        <w:spacing w:after="0" w:line="124" w:lineRule="exact"/>
        <w:rPr>
          <w:sz w:val="20"/>
          <w:szCs w:val="20"/>
          <w:color w:val="auto"/>
        </w:rPr>
      </w:pPr>
    </w:p>
    <w:p>
      <w:pPr>
        <w:ind w:left="1260" w:right="719" w:firstLine="360"/>
        <w:spacing w:after="0" w:line="237"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a part of this prospectus, and later information that we file with the SEC will automatically update and, to the extent inconsistent, supersede this information. SEC rules and regulations also permit us to “furnish” rather than “file” certain reports and information with the SEC. Any such reports or information which we “furnish” or have “furnished” shall not be deemed to be incorporated by reference into or otherwise become a part of this prospectus, regardless of when furnished to the SEC. We incorporate by reference the following documents listed below and any future filings made with the SEC under Section 13(a), 13(c), 14 or 15(d) of the Securities Exchange Act of 1934, as amended (the “Exchange Act”) (other than, in each case, information deemed to have been furnished and not filed in accordance with SEC rules), on or after the date of this prospectus until we have terminated the offerings of all of the securities to which this prospectus relates:</w:t>
      </w:r>
    </w:p>
    <w:p>
      <w:pPr>
        <w:spacing w:after="0" w:line="85" w:lineRule="exact"/>
        <w:rPr>
          <w:sz w:val="20"/>
          <w:szCs w:val="20"/>
          <w:color w:val="auto"/>
        </w:rPr>
      </w:pPr>
    </w:p>
    <w:p>
      <w:pPr>
        <w:ind w:left="1800" w:hanging="178"/>
        <w:spacing w:after="0"/>
        <w:tabs>
          <w:tab w:leader="none" w:pos="1800" w:val="left"/>
        </w:tabs>
        <w:numPr>
          <w:ilvl w:val="0"/>
          <w:numId w:val="23"/>
        </w:numPr>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our Annual Report on Form 10-K for the fiscal year ended December 31, 2019;</w:t>
        </w:r>
      </w:hyperlink>
    </w:p>
    <w:p>
      <w:pPr>
        <w:spacing w:after="0" w:line="117" w:lineRule="exact"/>
        <w:rPr>
          <w:rFonts w:ascii="Times New Roman" w:cs="Times New Roman" w:eastAsia="Times New Roman" w:hAnsi="Times New Roman"/>
          <w:sz w:val="18"/>
          <w:szCs w:val="18"/>
          <w:u w:val="single" w:color="auto"/>
          <w:color w:val="0000EE"/>
        </w:rPr>
      </w:pPr>
    </w:p>
    <w:p>
      <w:pPr>
        <w:ind w:left="1800" w:hanging="178"/>
        <w:spacing w:after="0"/>
        <w:tabs>
          <w:tab w:leader="none" w:pos="1800" w:val="left"/>
        </w:tabs>
        <w:numPr>
          <w:ilvl w:val="0"/>
          <w:numId w:val="23"/>
        </w:numPr>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our Quarterly Report on Form 10-Q for the fiscal quarter ended March 31, 2020;</w:t>
        </w:r>
      </w:hyperlink>
    </w:p>
    <w:p>
      <w:pPr>
        <w:spacing w:after="0" w:line="117" w:lineRule="exact"/>
        <w:rPr>
          <w:rFonts w:ascii="Times New Roman" w:cs="Times New Roman" w:eastAsia="Times New Roman" w:hAnsi="Times New Roman"/>
          <w:sz w:val="18"/>
          <w:szCs w:val="18"/>
          <w:u w:val="single" w:color="auto"/>
          <w:color w:val="0000EE"/>
        </w:rPr>
      </w:pPr>
    </w:p>
    <w:p>
      <w:pPr>
        <w:ind w:left="1800" w:right="699" w:hanging="178"/>
        <w:spacing w:after="0" w:line="266" w:lineRule="auto"/>
        <w:tabs>
          <w:tab w:leader="none" w:pos="1800" w:val="left"/>
        </w:tabs>
        <w:numPr>
          <w:ilvl w:val="0"/>
          <w:numId w:val="2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information in our Definitive Proxy Statement on Schedule 14A for our Annual Meeting of </w:t>
      </w:r>
      <w:hyperlink r:id="rId39">
        <w:r>
          <w:rPr>
            <w:rFonts w:ascii="Times New Roman" w:cs="Times New Roman" w:eastAsia="Times New Roman" w:hAnsi="Times New Roman"/>
            <w:sz w:val="18"/>
            <w:szCs w:val="18"/>
            <w:color w:val="auto"/>
          </w:rPr>
          <w:t xml:space="preserve">Shareholders that is incorporated by reference in our </w:t>
        </w:r>
        <w:r>
          <w:rPr>
            <w:rFonts w:ascii="Times New Roman" w:cs="Times New Roman" w:eastAsia="Times New Roman" w:hAnsi="Times New Roman"/>
            <w:sz w:val="18"/>
            <w:szCs w:val="18"/>
            <w:u w:val="single" w:color="auto"/>
            <w:color w:val="0000EE"/>
          </w:rPr>
          <w:t>Annual Report on Form 10-K for the fiscal year</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ended December 31, 2019; and</w:t>
        </w:r>
      </w:hyperlink>
    </w:p>
    <w:p>
      <w:pPr>
        <w:spacing w:after="0" w:line="54" w:lineRule="exact"/>
        <w:rPr>
          <w:rFonts w:ascii="Times New Roman" w:cs="Times New Roman" w:eastAsia="Times New Roman" w:hAnsi="Times New Roman"/>
          <w:sz w:val="18"/>
          <w:szCs w:val="18"/>
          <w:u w:val="single" w:color="auto"/>
          <w:color w:val="0000EE"/>
        </w:rPr>
      </w:pPr>
    </w:p>
    <w:p>
      <w:pPr>
        <w:ind w:left="1800" w:right="739" w:hanging="178"/>
        <w:spacing w:after="0" w:line="266" w:lineRule="auto"/>
        <w:tabs>
          <w:tab w:leader="none" w:pos="1800" w:val="left"/>
        </w:tabs>
        <w:numPr>
          <w:ilvl w:val="0"/>
          <w:numId w:val="2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79">
        <w:r>
          <w:rPr>
            <w:rFonts w:ascii="Times New Roman" w:cs="Times New Roman" w:eastAsia="Times New Roman" w:hAnsi="Times New Roman"/>
            <w:sz w:val="18"/>
            <w:szCs w:val="18"/>
            <w:u w:val="single" w:color="auto"/>
            <w:color w:val="0000EE"/>
          </w:rPr>
          <w:t>January 24, 2020</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January 29, 2020</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February 20, 2020</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February 28,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3">
        <w:r>
          <w:rPr>
            <w:rFonts w:ascii="Times New Roman" w:cs="Times New Roman" w:eastAsia="Times New Roman" w:hAnsi="Times New Roman"/>
            <w:sz w:val="18"/>
            <w:szCs w:val="18"/>
            <w:u w:val="single" w:color="auto"/>
            <w:color w:val="0000EE"/>
          </w:rPr>
          <w:t>March 16,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4">
        <w:r>
          <w:rPr>
            <w:rFonts w:ascii="Times New Roman" w:cs="Times New Roman" w:eastAsia="Times New Roman" w:hAnsi="Times New Roman"/>
            <w:sz w:val="18"/>
            <w:szCs w:val="18"/>
            <w:u w:val="single" w:color="auto"/>
            <w:color w:val="0000EE"/>
          </w:rPr>
          <w:t>March 20,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5">
        <w:r>
          <w:rPr>
            <w:rFonts w:ascii="Times New Roman" w:cs="Times New Roman" w:eastAsia="Times New Roman" w:hAnsi="Times New Roman"/>
            <w:sz w:val="18"/>
            <w:szCs w:val="18"/>
            <w:u w:val="single" w:color="auto"/>
            <w:color w:val="0000EE"/>
          </w:rPr>
          <w:t xml:space="preserve">March 30, 2020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6">
        <w:r>
          <w:rPr>
            <w:rFonts w:ascii="Times New Roman" w:cs="Times New Roman" w:eastAsia="Times New Roman" w:hAnsi="Times New Roman"/>
            <w:sz w:val="18"/>
            <w:szCs w:val="18"/>
            <w:u w:val="single" w:color="auto"/>
            <w:color w:val="0000EE"/>
          </w:rPr>
          <w:t xml:space="preserve">April 20, 2020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portions of those documents furnished and not deemed to be filed).</w:t>
      </w:r>
    </w:p>
    <w:p>
      <w:pPr>
        <w:spacing w:after="0" w:line="108" w:lineRule="exact"/>
        <w:rPr>
          <w:rFonts w:ascii="Times New Roman" w:cs="Times New Roman" w:eastAsia="Times New Roman" w:hAnsi="Times New Roman"/>
          <w:sz w:val="18"/>
          <w:szCs w:val="18"/>
          <w:color w:val="0000EE"/>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Information that becomes a part of this prospectus after the date of this prospectus will automatically update and, to the extent inconsistent, replace information in this prospectus and information previously filed with the SEC.</w:t>
      </w:r>
    </w:p>
    <w:p>
      <w:pPr>
        <w:spacing w:after="0" w:line="109" w:lineRule="exact"/>
        <w:rPr>
          <w:rFonts w:ascii="Times New Roman" w:cs="Times New Roman" w:eastAsia="Times New Roman" w:hAnsi="Times New Roman"/>
          <w:sz w:val="18"/>
          <w:szCs w:val="18"/>
          <w:color w:val="0000EE"/>
        </w:rPr>
      </w:pPr>
    </w:p>
    <w:p>
      <w:pPr>
        <w:ind w:left="1260" w:right="899" w:firstLine="360"/>
        <w:spacing w:after="0" w:line="254" w:lineRule="auto"/>
        <w:rPr>
          <w:sz w:val="20"/>
          <w:szCs w:val="20"/>
          <w:color w:val="auto"/>
        </w:rPr>
      </w:pPr>
      <w:r>
        <w:rPr>
          <w:rFonts w:ascii="Times New Roman" w:cs="Times New Roman" w:eastAsia="Times New Roman" w:hAnsi="Times New Roman"/>
          <w:sz w:val="18"/>
          <w:szCs w:val="18"/>
          <w:color w:val="auto"/>
        </w:rPr>
        <w:t>You may request a copy of these filings (other than an exhibit to a filing unless that exhibit is specifically incorporated by reference into that filing), at no cost, by writing or calling us at the following address:</w:t>
      </w:r>
    </w:p>
    <w:p>
      <w:pPr>
        <w:spacing w:after="0" w:line="304" w:lineRule="exact"/>
        <w:rPr>
          <w:rFonts w:ascii="Times New Roman" w:cs="Times New Roman" w:eastAsia="Times New Roman" w:hAnsi="Times New Roman"/>
          <w:sz w:val="18"/>
          <w:szCs w:val="18"/>
          <w:color w:val="0000EE"/>
        </w:rPr>
      </w:pPr>
    </w:p>
    <w:p>
      <w:pPr>
        <w:ind w:left="4280"/>
        <w:spacing w:after="0"/>
        <w:rPr>
          <w:sz w:val="20"/>
          <w:szCs w:val="20"/>
          <w:color w:val="auto"/>
        </w:rPr>
      </w:pPr>
      <w:r>
        <w:rPr>
          <w:rFonts w:ascii="Times New Roman" w:cs="Times New Roman" w:eastAsia="Times New Roman" w:hAnsi="Times New Roman"/>
          <w:sz w:val="18"/>
          <w:szCs w:val="18"/>
          <w:color w:val="auto"/>
        </w:rPr>
        <w:t>Penn National Gaming, Inc.</w:t>
      </w:r>
    </w:p>
    <w:p>
      <w:pPr>
        <w:spacing w:after="0" w:line="11" w:lineRule="exact"/>
        <w:rPr>
          <w:rFonts w:ascii="Times New Roman" w:cs="Times New Roman" w:eastAsia="Times New Roman" w:hAnsi="Times New Roman"/>
          <w:sz w:val="18"/>
          <w:szCs w:val="18"/>
          <w:color w:val="0000EE"/>
        </w:rPr>
      </w:pPr>
    </w:p>
    <w:p>
      <w:pPr>
        <w:ind w:left="4000"/>
        <w:spacing w:after="0"/>
        <w:rPr>
          <w:sz w:val="20"/>
          <w:szCs w:val="20"/>
          <w:color w:val="auto"/>
        </w:rPr>
      </w:pPr>
      <w:r>
        <w:rPr>
          <w:rFonts w:ascii="Times New Roman" w:cs="Times New Roman" w:eastAsia="Times New Roman" w:hAnsi="Times New Roman"/>
          <w:sz w:val="18"/>
          <w:szCs w:val="18"/>
          <w:color w:val="auto"/>
        </w:rPr>
        <w:t>825 Berkshire Boulevard, Suite 200</w:t>
      </w:r>
    </w:p>
    <w:p>
      <w:pPr>
        <w:ind w:left="4060"/>
        <w:spacing w:after="0" w:line="234" w:lineRule="auto"/>
        <w:rPr>
          <w:sz w:val="20"/>
          <w:szCs w:val="20"/>
          <w:color w:val="auto"/>
        </w:rPr>
      </w:pPr>
      <w:r>
        <w:rPr>
          <w:rFonts w:ascii="Times New Roman" w:cs="Times New Roman" w:eastAsia="Times New Roman" w:hAnsi="Times New Roman"/>
          <w:sz w:val="18"/>
          <w:szCs w:val="18"/>
          <w:color w:val="auto"/>
        </w:rPr>
        <w:t>Wyomissing, Pennsylvania 19610</w:t>
      </w:r>
    </w:p>
    <w:p>
      <w:pPr>
        <w:ind w:left="4580"/>
        <w:spacing w:after="0" w:line="235" w:lineRule="auto"/>
        <w:rPr>
          <w:sz w:val="20"/>
          <w:szCs w:val="20"/>
          <w:color w:val="auto"/>
        </w:rPr>
      </w:pPr>
      <w:r>
        <w:rPr>
          <w:rFonts w:ascii="Times New Roman" w:cs="Times New Roman" w:eastAsia="Times New Roman" w:hAnsi="Times New Roman"/>
          <w:sz w:val="18"/>
          <w:szCs w:val="18"/>
          <w:color w:val="auto"/>
        </w:rPr>
        <w:t>Attention: Secretary</w:t>
      </w:r>
    </w:p>
    <w:p>
      <w:pPr>
        <w:spacing w:after="0" w:line="1" w:lineRule="exact"/>
        <w:rPr>
          <w:rFonts w:ascii="Times New Roman" w:cs="Times New Roman" w:eastAsia="Times New Roman" w:hAnsi="Times New Roman"/>
          <w:sz w:val="18"/>
          <w:szCs w:val="18"/>
          <w:color w:val="0000EE"/>
        </w:rPr>
      </w:pPr>
    </w:p>
    <w:p>
      <w:pPr>
        <w:ind w:left="4780"/>
        <w:spacing w:after="0"/>
        <w:rPr>
          <w:sz w:val="20"/>
          <w:szCs w:val="20"/>
          <w:color w:val="auto"/>
        </w:rPr>
      </w:pPr>
      <w:r>
        <w:rPr>
          <w:rFonts w:ascii="Times New Roman" w:cs="Times New Roman" w:eastAsia="Times New Roman" w:hAnsi="Times New Roman"/>
          <w:sz w:val="18"/>
          <w:szCs w:val="18"/>
          <w:color w:val="auto"/>
        </w:rPr>
        <w:t>(610) 373-2400</w:t>
      </w:r>
    </w:p>
    <w:p>
      <w:pPr>
        <w:spacing w:after="0" w:line="124" w:lineRule="exact"/>
        <w:rPr>
          <w:rFonts w:ascii="Times New Roman" w:cs="Times New Roman" w:eastAsia="Times New Roman" w:hAnsi="Times New Roman"/>
          <w:sz w:val="18"/>
          <w:szCs w:val="18"/>
          <w:color w:val="0000EE"/>
        </w:rPr>
      </w:pPr>
    </w:p>
    <w:p>
      <w:pPr>
        <w:ind w:left="1260" w:right="839" w:firstLine="360"/>
        <w:spacing w:after="0" w:line="241" w:lineRule="auto"/>
        <w:rPr>
          <w:sz w:val="20"/>
          <w:szCs w:val="20"/>
          <w:color w:val="auto"/>
        </w:rPr>
      </w:pPr>
      <w:r>
        <w:rPr>
          <w:rFonts w:ascii="Times New Roman" w:cs="Times New Roman" w:eastAsia="Times New Roman" w:hAnsi="Times New Roman"/>
          <w:sz w:val="18"/>
          <w:szCs w:val="18"/>
          <w:color w:val="auto"/>
        </w:rPr>
        <w:t>Certain of our SEC filings, including our annual reports on Form 10- K and our quarterly reports on Form 10-Q, can be viewed and printed from the investor relations section of our website at www.pngaming.com free of charge. We have included our website address for the information of prospective investors and do not intend it to be an active link to our website. Information contained on our website is not part of this prospectus or any accompanying prospectus supplement (or any document incorporated by</w:t>
      </w:r>
    </w:p>
    <w:p>
      <w:pPr>
        <w:sectPr>
          <w:pgSz w:w="11900" w:h="16838" w:orient="portrait"/>
          <w:cols w:equalWidth="0" w:num="1">
            <w:col w:w="10139"/>
          </w:cols>
          <w:pgMar w:left="320" w:top="114" w:right="1440" w:bottom="1440" w:gutter="0" w:footer="0" w:header="0"/>
        </w:sectPr>
      </w:pPr>
    </w:p>
    <w:p>
      <w:pPr>
        <w:spacing w:after="0" w:line="200" w:lineRule="exact"/>
        <w:rPr>
          <w:rFonts w:ascii="Times New Roman" w:cs="Times New Roman" w:eastAsia="Times New Roman" w:hAnsi="Times New Roman"/>
          <w:sz w:val="18"/>
          <w:szCs w:val="18"/>
          <w:color w:val="0000EE"/>
        </w:rPr>
      </w:pPr>
    </w:p>
    <w:p>
      <w:pPr>
        <w:spacing w:after="0" w:line="367" w:lineRule="exact"/>
        <w:rPr>
          <w:rFonts w:ascii="Times New Roman" w:cs="Times New Roman" w:eastAsia="Times New Roman" w:hAnsi="Times New Roman"/>
          <w:sz w:val="18"/>
          <w:szCs w:val="18"/>
          <w:color w:val="0000EE"/>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41" w:lineRule="auto"/>
        <w:rPr>
          <w:sz w:val="20"/>
          <w:szCs w:val="20"/>
          <w:color w:val="auto"/>
        </w:rPr>
      </w:pPr>
      <w:r>
        <w:rPr>
          <w:rFonts w:ascii="Times New Roman" w:cs="Times New Roman" w:eastAsia="Times New Roman" w:hAnsi="Times New Roman"/>
          <w:sz w:val="18"/>
          <w:szCs w:val="18"/>
          <w:color w:val="auto"/>
        </w:rPr>
        <w:t>reference herein or therein), and you should not rely on that information in making your investment decision unless that information is also in this prospectus or any accompanying prospectus supplement or has been expressly incorporated by reference into this prospectus or any accompanying prospectus supplement. Our common stock is listed on the NASDAQ Global Select Market under the symbol “PENN”. You may inspect reports, proxy statements and other information about us at the office of NASDAQ, One Liberty Plaza, 165 Broadway, New York, New York 10006.</w:t>
      </w:r>
    </w:p>
    <w:p>
      <w:pPr>
        <w:spacing w:after="0" w:line="18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This prospectus includes “forward-looking statements” within the meaning of Section 27A of the Securities Act of 1933, as amended, and Section 21E of the Exchange Act. These statements are included throughout the document, including within “Risk Factors,” and relate to our business strategy, our prospects and our financial position. These statements can be identified by the use of forward-looking terminology such as “expects,” “believes,” “estimates,” “projects,” “intends,” “plans,” “seeks,” “may,” “will,” “should,” or “anticipates” or the negative or other variations of these or similar words, or by discussions of future events, strategies or risks and uncertainties. Specifically, forward looking statements include, but are not limited to, statements regarding: the reopening of the U.S. economy, the COVID-19 pandemic and potential new treatments and vaccines; the length of time the Company’s gaming properties will be required to remain closed and the impact of these continued closures on the Company and its stakeholders; the demand for gaming once the properties reopen as well as the impact of post opening restrictions; the impact of COVID-19 on general economic conditions, capital markets, unemployment, consumer spending and the Company’s liquidity, financial condition, operations, supply chain and personnel; the potential benefits and expected timing of the Morgantown and Perryville transactions with Gaming and Leisure Properties, Inc., a real estate investment trust (“GLPI”); the Company’s estimated cash burn, future liquidity, future revenue and Adjusted EBITDAR; availability of potential benefits to us under the CARES Act or other legislation that may be enacted in response to the COVID-19 pandemic; our future financial performance; the expected benefits and potential challenges of the investment in Barstool Sports, Inc. (“Barstool Sports”), including the benefits for the Company’s online and retail sports betting and iCasino products; the expected financial returns from the transaction with Barstool Sports; the expected launch of the Barstool-branded mobile sports betting product and its future revenue and profit contributions; property level operating margins; growth opportunities and potential synergies related to the acquisition of Pinnacle Entertainment, Inc. and the ability of the Company to obtain third-party approvals, including regulatory approvals; our expectations of future results of operations and financial condition; our expectations for our properties, our development projects or our iGaming initiatives; the timing, cost and expected impact of planned capital expenditures on our results of operations; our expectations with regard to the impact of competition; our expectations with regard to acquisitions, potential divestitures and development opportunities, as well as the integration of and synergies related to any companies we have acquired or may acquire; the outcome and financial impact of the litigation in which we are or will be periodically involved; the actions of regulatory, legislative, executive or judicial decisions at the federal, state or local level with regard to our business and the impact of any such actions; our ability to maintain regulatory approvals for our existing businesses and to receive regulatory approvals for our new business partners; our expectations with regard to the impact of competition in online sports betting, iGaming and retail/mobile sportsbooks as well as the potential impact of this business line on our existing businesses; the performance of our partners in online sports betting, iGaming and retail/mobile sportsbooks, including the risks associated with any new business, the actions of regulatory, legislative, executive or judicial decisions at the federal, state or local level with regard to online sports betting, iGaming and retail/mobile sportsbooks and the impact of any such actions; and our expectations regarding economic and consumer conditions. Such statements are all subject to risks, uncertainties and changes in circumstances that could significantly affect the Company’s future financial results and business.</w:t>
      </w:r>
    </w:p>
    <w:p>
      <w:pPr>
        <w:spacing w:after="0" w:line="383" w:lineRule="exact"/>
        <w:rPr>
          <w:sz w:val="20"/>
          <w:szCs w:val="20"/>
          <w:color w:val="auto"/>
        </w:rPr>
      </w:pPr>
    </w:p>
    <w:p>
      <w:pPr>
        <w:ind w:left="1260" w:right="739" w:firstLine="360"/>
        <w:spacing w:after="0" w:line="238" w:lineRule="auto"/>
        <w:rPr>
          <w:sz w:val="20"/>
          <w:szCs w:val="20"/>
          <w:color w:val="auto"/>
        </w:rPr>
      </w:pPr>
      <w:r>
        <w:rPr>
          <w:rFonts w:ascii="Times New Roman" w:cs="Times New Roman" w:eastAsia="Times New Roman" w:hAnsi="Times New Roman"/>
          <w:sz w:val="18"/>
          <w:szCs w:val="18"/>
          <w:color w:val="auto"/>
        </w:rPr>
        <w:t>Accordingly, the Company cautions that the forward-looking statements contained herein are qualified by important factors that could cause actual results to differ materially from those reflected by such statements. Such factors include, but are not limited to, risks related to the following: (a) the magnitude and duration of the impact of the COVID-19 pandemic on capital markets, general economic conditions, unemployment, consumer spending and the Company’s liquidity, financial condition, supply chain, operations and personnel; (b) industry, market, economic, political, regulatory and health conditions;</w:t>
      </w:r>
    </w:p>
    <w:p>
      <w:pPr>
        <w:spacing w:after="0" w:line="3" w:lineRule="exact"/>
        <w:rPr>
          <w:sz w:val="20"/>
          <w:szCs w:val="20"/>
          <w:color w:val="auto"/>
        </w:rPr>
      </w:pPr>
    </w:p>
    <w:p>
      <w:pPr>
        <w:ind w:left="1260" w:right="1179" w:firstLine="2"/>
        <w:spacing w:after="0" w:line="243" w:lineRule="auto"/>
        <w:tabs>
          <w:tab w:leader="none" w:pos="15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from data protection breaches, cyberattacks, extreme weather conditions, medical epidemics or</w:t>
      </w: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1" w:lineRule="auto"/>
        <w:rPr>
          <w:sz w:val="20"/>
          <w:szCs w:val="20"/>
          <w:color w:val="auto"/>
        </w:rPr>
      </w:pPr>
      <w:r>
        <w:rPr>
          <w:rFonts w:ascii="Times New Roman" w:cs="Times New Roman" w:eastAsia="Times New Roman" w:hAnsi="Times New Roman"/>
          <w:sz w:val="18"/>
          <w:szCs w:val="18"/>
          <w:color w:val="auto"/>
        </w:rPr>
        <w:t>pandemics such as COVID-19, and other natural or manmade disasters or catastrophic events; (d) the reopening of the Company’s gaming properties are subject to various conditions, including numerous regulatory approvals and potential delays and operational restrictions; (e) our ability to access additional capital on favorable terms or at all; (f) our ability to remain in compliance with the financial covenants of our debt obligations; (g) the consummation of the proposed Morgantown and Perryville transactions with GLPI are subject to various conditions, including third-party agreements and approvals, and accordingly may be delayed or may not occur at all; (h) actions to reduce costs and improve efficiencies to mitigate losses as a result of the COVID-19 pandemic could negatively impact guest loyalty and our ability to attract and retain employees; (i) the outcome of any legal proceedings that may be instituted against the Company or its directors, officers or employees; (j) the impact of new or changes in current laws, regulations, rules or other industry standards; (k) the ability of our operating teams to drive revenue and margins; (l) the impact of significant competition from other gaming and entertainment operations; (m) our ability to obtain timely regulatory approvals required to own, develop and/or operate our properties, or other delays, approvals or impediments to completing our planned acquisitions or projects, construction factors, including delays, and increased costs; (n) the passage of state, federal or local legislation (including referenda) that would expand, restrict, further tax, prevent or negatively impact operations in or adjacent to the jurisdictions in which we do or seek to do business (such as a smoking ban at any of our properties or the award of additional gaming licenses proximate to our properties, as recently occurred with Illinois and Pennsylvania legislation); (o) the effects of local and national economic, credit, capital market, housing, and energy conditions on the economy in general and on the gaming and lodging industries in particular; (p) the activities of our competitors (commercial and tribal) and the rapid emergence of new competitors (traditional, internet, social, sweepstakes based and video gaming terminals in bars and truck stops); (q) increases in the effective rate of taxation for any of our operations or at the corporate level; (r) our ability to identify attractive acquisition and development opportunities (especially in new business lines) and to agree to terms with, and maintain good relationships with partners/municipalities for such transactions; (s) the costs and risks involved in the pursuit of such opportunities and our ability to complete the acquisition or development of, and achieve the expected returns from, such opportunities; (t) our expectations for the continued availability and cost of capital; (u) the impact of weather, including flooding, hurricanes and tornadoes; (v) changes in accounting standards; (w) the risk of failing to maintain the integrity of our information technology infrastructure and safeguard our business, employee and customer data (particularly as our iGaming division grows); (x) with respect to our iGaming and sports betting endeavors, the impact of significant competition from other companies for online sports betting, iGaming and sportsbooks, our ability to achieve the expected financial returns related to our investment in Barstool Sports, our ability to obtain timely regulatory approvals required to own, develop and/or operate sportsbooks may be delayed and there may be impediments and increased costs to launching the online betting, iGaming and sportsbooks, including delays, and increased costs, intellectual property and legal and regulatory challenges, as well as our ability to successfully develop innovative products that attract and retain a significant number of players in order to grow our revenues and earnings, our ability to establish key partnerships, our ability to generate meaningful returns and the risks inherent in any new business; (y) with respect to our proposed Pennsylvania Category</w:t>
      </w:r>
    </w:p>
    <w:p>
      <w:pPr>
        <w:spacing w:after="0" w:line="216" w:lineRule="exact"/>
        <w:rPr>
          <w:sz w:val="20"/>
          <w:szCs w:val="20"/>
          <w:color w:val="auto"/>
        </w:rPr>
      </w:pPr>
    </w:p>
    <w:p>
      <w:pPr>
        <w:ind w:left="1260" w:right="799"/>
        <w:spacing w:after="0" w:line="252" w:lineRule="auto"/>
        <w:rPr>
          <w:sz w:val="20"/>
          <w:szCs w:val="20"/>
          <w:color w:val="auto"/>
        </w:rPr>
      </w:pPr>
      <w:r>
        <w:rPr>
          <w:rFonts w:ascii="Times New Roman" w:cs="Times New Roman" w:eastAsia="Times New Roman" w:hAnsi="Times New Roman"/>
          <w:sz w:val="18"/>
          <w:szCs w:val="18"/>
          <w:color w:val="auto"/>
        </w:rPr>
        <w:t>4 casinos in York and Berks counties, risks relating to construction, and our ability to achieve our expected budgets, timelines and investment returns, including the ultimate location of other gaming properties in the Commonwealth of Pennsylvania; and (z) other factors included in “Risk Factors,” of this prospectus, the Company’s Annual Report on Form 10-K for the year ended December 31, 2019, the Company’s Quarterly Report on Form 10-Q for the quarter ended March 31, 2020, subsequent Quarterly Reports on Form 10-Q and Current Reports on Form 8-K, each as filed with the U.S. Securities and Exchange Commission.</w:t>
      </w:r>
    </w:p>
    <w:p>
      <w:pPr>
        <w:spacing w:after="0" w:line="109" w:lineRule="exact"/>
        <w:rPr>
          <w:sz w:val="20"/>
          <w:szCs w:val="20"/>
          <w:color w:val="auto"/>
        </w:rPr>
      </w:pPr>
    </w:p>
    <w:p>
      <w:pPr>
        <w:jc w:val="both"/>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persons acting on our behalf are expressly qualified in their entirety by the cautionary statements included in this prospectus. We undertake no obligation to publicly update or revise any forward-looking statements, whether as a result of new information, future events or otherwise, except as required by law. In light of these risks, uncertainties and assumptions, the forward-looking events discussed in this prospectus may not occur.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48"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Penn National is a leading, diversified, multi-jurisdictional owner and manager of gaming and racing properties, sports betting operations, and video gaming terminal operations. We are licensed to offer live sports betting at our properties in Indiana, Iowa, Michigan, Mississippi, Nevada, Pennsylvania and West Virginia. We operate an interactive gaming (“iGaming”) division through our subsidiary, Penn Interactive Ventures, LLC, which has launched an online casino (“iCasino”) in Pennsylvania through our HollywoodCasino.com gaming platform and entered into multi-year agreements with leading sports betting operators for online sports betting and iGaming market access across our portfolio of properties. We also have a 36% equity interest in Barstool Sports, a leading digital sports, entertainment and media platform. Our MYCHOICE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customer loyalty program provides our members with various benefits, including complimentary goods and/or services.</w:t>
      </w:r>
    </w:p>
    <w:p>
      <w:pPr>
        <w:spacing w:after="0" w:line="232"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As of March 31, 2020, we owned, managed, or had ownership interests in 41 properties in 19 states. The majority of the real estate assets (i.e., land and buildings) used in the Company’s operations are subject to triple net master leases with subsidiaries of GLPI, the most significant of which are the Master Lease between GLP Capital, L.P. and Penn Tenant, LLC dated November 1, 2013, as amended, and the Master Lease, dated April 28, 2016, by and between Gold Merger Sub, LLC and Pinnacle MLS, LLC, as amended.</w:t>
      </w:r>
    </w:p>
    <w:p>
      <w:pPr>
        <w:spacing w:after="0" w:line="117" w:lineRule="exact"/>
        <w:rPr>
          <w:sz w:val="20"/>
          <w:szCs w:val="20"/>
          <w:color w:val="auto"/>
        </w:rPr>
      </w:pPr>
    </w:p>
    <w:p>
      <w:pPr>
        <w:ind w:left="1260" w:right="799" w:firstLine="360"/>
        <w:spacing w:after="0" w:line="246" w:lineRule="auto"/>
        <w:rPr>
          <w:sz w:val="20"/>
          <w:szCs w:val="20"/>
          <w:color w:val="auto"/>
        </w:rPr>
      </w:pPr>
      <w:r>
        <w:rPr>
          <w:rFonts w:ascii="Times New Roman" w:cs="Times New Roman" w:eastAsia="Times New Roman" w:hAnsi="Times New Roman"/>
          <w:sz w:val="18"/>
          <w:szCs w:val="18"/>
          <w:color w:val="auto"/>
        </w:rPr>
        <w:t>We are organized under the laws of the Commonwealth of Pennsylvania. The address and telephone number of our executive offices are 825 Berkshire Blvd., Suite 200, Wyomissing, Pennsylvania 19610, and</w:t>
      </w:r>
    </w:p>
    <w:p>
      <w:pPr>
        <w:spacing w:after="0" w:line="1" w:lineRule="exact"/>
        <w:rPr>
          <w:sz w:val="20"/>
          <w:szCs w:val="20"/>
          <w:color w:val="auto"/>
        </w:rPr>
      </w:pPr>
    </w:p>
    <w:p>
      <w:pPr>
        <w:ind w:left="1260" w:right="1179" w:firstLine="2"/>
        <w:spacing w:after="0" w:line="243" w:lineRule="auto"/>
        <w:tabs>
          <w:tab w:leader="none" w:pos="17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373-2400. Our common stock is listed on the NASDAQ Global Select Market under the symbol “PENN”.</w:t>
      </w:r>
    </w:p>
    <w:p>
      <w:pPr>
        <w:spacing w:after="0" w:line="17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48"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We may use or incorporate by reference in this prospectus data and industry forecasts which we have obtained from internal surveys, market research, publicly available information and industry publications. Industry publications generally state that the information they provide has been obtained from sources believed to be reliable but that the accuracy and completeness of such information is not guaranteed. Similarly, we believe that the surveys and market research we or others have performed are reliable, but we have not independently verified this information.</w:t>
      </w:r>
    </w:p>
    <w:p>
      <w:pPr>
        <w:spacing w:after="0" w:line="1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Quarterly Report on Form 10-Q and any subsequent Quarterly Reports on Form 10-Q or Current Reports on Form 8-K filed after the date of this prospectus, all other information contained or incorporated by reference in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 See also “Forward-Looking Statements.”</w:t>
      </w:r>
    </w:p>
    <w:p>
      <w:pPr>
        <w:spacing w:after="0" w:line="200" w:lineRule="exact"/>
        <w:rPr>
          <w:sz w:val="20"/>
          <w:szCs w:val="20"/>
          <w:color w:val="auto"/>
        </w:rPr>
      </w:pPr>
    </w:p>
    <w:p>
      <w:pPr>
        <w:spacing w:after="0" w:line="20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45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sales of the securities as set forth in the applicable prospectus supplement.</w:t>
      </w:r>
    </w:p>
    <w:p>
      <w:pPr>
        <w:spacing w:after="0" w:line="15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DESCRIPTION OF COMMON STOCK, PREFERRED STOCK,</w:t>
      </w:r>
    </w:p>
    <w:p>
      <w:pPr>
        <w:spacing w:after="0" w:line="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DEPOSITARY SHARES AND DEBT SECURITIES</w:t>
      </w:r>
    </w:p>
    <w:p>
      <w:pPr>
        <w:spacing w:after="0" w:line="126"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The description of our common stock, preferred stock, depositary shares or debt securities, as applicable, will be provided in a prospectus supplement. Each time we offer securities with this prospectus, the terms of that offering, including the specific amounts, prices and terms of the securities offered, and, if applicable, information about the selling securityholders, will be contained in the applicable prospectus supplement and other offering materials relating to such offering or in other filings we make with the SEC under the Exchange Act, which are incorporated by reference herein.</w:t>
      </w:r>
    </w:p>
    <w:p>
      <w:pPr>
        <w:sectPr>
          <w:pgSz w:w="11900" w:h="16838" w:orient="portrait"/>
          <w:cols w:equalWidth="0" w:num="1">
            <w:col w:w="10139"/>
          </w:cols>
          <w:pgMar w:left="320" w:top="114"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any securities to be offered will be passed upon for us by Wachtell, Lipton, Rosen &amp; Katz, with respect to certain of our securities, or Ballard Spahr LLP, with respect to certain of our securities. Any underwriters will be represented by their own legal counsel.</w:t>
      </w:r>
    </w:p>
    <w:p>
      <w:pPr>
        <w:spacing w:after="0" w:line="17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Penn National Gaming’s Annual Report on Form 10-K, and the effectiveness of Penn National Gaming’s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3703320</wp:posOffset>
            </wp:positionV>
            <wp:extent cx="2846070" cy="8312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2846070" cy="83121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317500</wp:posOffset>
            </wp:positionV>
            <wp:extent cx="521208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377190</wp:posOffset>
            </wp:positionV>
            <wp:extent cx="521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7886700</wp:posOffset>
            </wp:positionV>
            <wp:extent cx="5212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7929880</wp:posOffset>
            </wp:positionV>
            <wp:extent cx="52120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8641080</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lowerLetter"/>
      <w:start w:val="17"/>
    </w:lvl>
  </w:abstractNum>
  <w:abstractNum w:abstractNumId="3">
    <w:nsid w:val="7FDCC233"/>
    <w:multiLevelType w:val="hybridMultilevel"/>
    <w:lvl w:ilvl="0">
      <w:lvlJc w:val="left"/>
      <w:lvlText w:val="(%1)"/>
      <w:numFmt w:val="lowerLetter"/>
      <w:start w:val="25"/>
    </w:lvl>
  </w:abstractNum>
  <w:abstractNum w:abstractNumId="4">
    <w:nsid w:val="1BEFD79F"/>
    <w:multiLevelType w:val="hybridMultilevel"/>
    <w:lvl w:ilvl="0">
      <w:lvlJc w:val="left"/>
      <w:lvlText w:val="(%1)"/>
      <w:numFmt w:val="decimal"/>
      <w:start w:val="610"/>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lvl w:ilvl="1">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lowerRoman"/>
      <w:start w:val="4"/>
    </w:lvl>
  </w:abstractNum>
  <w:abstractNum w:abstractNumId="10">
    <w:nsid w:val="431BD7B7"/>
    <w:multiLevelType w:val="hybridMultilevel"/>
    <w:lvl w:ilvl="0">
      <w:lvlJc w:val="left"/>
      <w:lvlText w:val="(%1)"/>
      <w:numFmt w:val="lowerRoman"/>
      <w:start w:val="2"/>
    </w:lvl>
  </w:abstractNum>
  <w:abstractNum w:abstractNumId="11">
    <w:nsid w:val="3F2DBA31"/>
    <w:multiLevelType w:val="hybridMultilevel"/>
    <w:lvl w:ilvl="0">
      <w:lvlJc w:val="left"/>
      <w:lvlText w:val="(%1)"/>
      <w:numFmt w:val="lowerLetter"/>
      <w:start w:val="3"/>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Roman"/>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3"/>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lowerLetter"/>
      <w:start w:val="3"/>
    </w:lvl>
  </w:abstractNum>
  <w:abstractNum w:abstractNumId="24">
    <w:nsid w:val="79838CB2"/>
    <w:multiLevelType w:val="hybridMultilevel"/>
    <w:lvl w:ilvl="0">
      <w:lvlJc w:val="left"/>
      <w:lvlText w:val="(%1)"/>
      <w:numFmt w:val="decimal"/>
      <w:start w:val="6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jpe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39" Type="http://schemas.openxmlformats.org/officeDocument/2006/relationships/hyperlink" Target="https://www.sec.gov/ix?doc=/Archives/edgar/data/921738/000092173820000009/penn1231201910k.htm" TargetMode="External"/><Relationship Id="rId40" Type="http://schemas.openxmlformats.org/officeDocument/2006/relationships/hyperlink" Target="https://www.sec.gov/ix?doc=/Archives/edgar/data/921738/000092173820000018/penn0331202010q.htm" TargetMode="External"/><Relationship Id="rId46" Type="http://schemas.openxmlformats.org/officeDocument/2006/relationships/hyperlink" Target="https://www.sec.gov/ix?doc=/Archives/edgar/data/921738/000092173820000031/penn-20200630.htm" TargetMode="External"/><Relationship Id="rId79" Type="http://schemas.openxmlformats.org/officeDocument/2006/relationships/hyperlink" Target="https://www.sec.gov/ix?doc=/Archives/edgar/data/921738/000110465920006729/tm205508d1_8k.htm" TargetMode="External"/><Relationship Id="rId80" Type="http://schemas.openxmlformats.org/officeDocument/2006/relationships/hyperlink" Target="https://www.sec.gov/ix?doc=/Archives/edgar/data/921738/000110465920007843/tm205508d2_8k.htm" TargetMode="External"/><Relationship Id="rId81" Type="http://schemas.openxmlformats.org/officeDocument/2006/relationships/hyperlink" Target="https://www.sec.gov/ix?doc=/Archives/edgar/data/921738/000110465920023447/tm209344d1_8k.htm" TargetMode="External"/><Relationship Id="rId82" Type="http://schemas.openxmlformats.org/officeDocument/2006/relationships/hyperlink" Target="https://www.sec.gov/ix?doc=/Archives/edgar/data/921738/000110465920027159/tm209344-2_8k.htm" TargetMode="External"/><Relationship Id="rId83" Type="http://schemas.openxmlformats.org/officeDocument/2006/relationships/hyperlink" Target="https://www.sec.gov/ix?doc=/Archives/edgar/data/921738/000110465920033586/tm2012802d1_8k.htm" TargetMode="External"/><Relationship Id="rId84" Type="http://schemas.openxmlformats.org/officeDocument/2006/relationships/hyperlink" Target="https://www.sec.gov/ix?doc=/Archives/edgar/data/921738/000110465920036934/tm2013358-1_8k.htm" TargetMode="External"/><Relationship Id="rId85" Type="http://schemas.openxmlformats.org/officeDocument/2006/relationships/hyperlink" Target="https://www.sec.gov/ix?doc=/Archives/edgar/data/921738/000110465920039804/tm2013358-2_8k.htm" TargetMode="External"/><Relationship Id="rId86" Type="http://schemas.openxmlformats.org/officeDocument/2006/relationships/hyperlink" Target="https://www.sec.gov/ix?doc=/Archives/edgar/data/921738/000110465920048389/tm2016085-1_8k.htm" TargetMode="External"/><Relationship Id="rId87" Type="http://schemas.openxmlformats.org/officeDocument/2006/relationships/hyperlink" Target="https://www.sec.gov/ix?doc=/Archives/edgar/data/921738/000110465920061586/tm2019206-9_8k.htm" TargetMode="External"/><Relationship Id="rId88" Type="http://schemas.openxmlformats.org/officeDocument/2006/relationships/hyperlink" Target="https://www.sec.gov/ix?doc=/Archives/edgar/data/921738/000110465920063733/tm2020141-1_8k.htm" TargetMode="External"/><Relationship Id="rId89" Type="http://schemas.openxmlformats.org/officeDocument/2006/relationships/hyperlink" Target="https://www.sec.gov/ix?doc=/Archives/edgar/data/921738/000110465920072925/tm202159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2020-09-24T05:37:08Z</dcterms:created>
  <dcterms:modified xsi:type="dcterms:W3CDTF">2020-09-24T05:37:08Z</dcterms:modified>
</cp:coreProperties>
</file>