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4" w:lineRule="exact"/>
        <w:rPr>
          <w:sz w:val="24"/>
          <w:szCs w:val="24"/>
          <w:color w:val="auto"/>
        </w:rPr>
      </w:pPr>
    </w:p>
    <w:p>
      <w:pPr>
        <w:ind w:left="420" w:hanging="297"/>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9" w:lineRule="exact"/>
        <w:rPr>
          <w:sz w:val="24"/>
          <w:szCs w:val="24"/>
          <w:color w:val="auto"/>
        </w:rPr>
      </w:pPr>
    </w:p>
    <w:p>
      <w:pPr>
        <w:ind w:left="480" w:hanging="391"/>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8"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0-24206</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PENN NATIONAL GAMING,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140"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23-2234473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(I.R.S. Employer Identification No.)</w:t>
      </w:r>
    </w:p>
    <w:p>
      <w:pPr>
        <w:spacing w:after="0" w:line="167" w:lineRule="exact"/>
        <w:rPr>
          <w:sz w:val="24"/>
          <w:szCs w:val="24"/>
          <w:color w:val="auto"/>
        </w:rPr>
      </w:pPr>
    </w:p>
    <w:p>
      <w:pPr>
        <w:sectPr>
          <w:pgSz w:w="11900" w:h="16838" w:orient="portrait"/>
          <w:cols w:equalWidth="0" w:num="2">
            <w:col w:w="6440" w:space="720"/>
            <w:col w:w="408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825 Berkshire Blvd., Suite 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Wyomissing, Pennsylvania 19610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officers) (Zip Code)</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(610) 373-2400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PENN</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87" w:lineRule="exact"/>
        <w:rPr>
          <w:sz w:val="24"/>
          <w:szCs w:val="24"/>
          <w:color w:val="auto"/>
        </w:rPr>
      </w:pPr>
    </w:p>
    <w:p>
      <w:pPr>
        <w:ind w:left="340" w:right="226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3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80" w:type="dxa"/>
        <w:tblCellMar>
          <w:top w:w="0" w:type="dxa"/>
          <w:left w:w="0" w:type="dxa"/>
          <w:bottom w:w="0" w:type="dxa"/>
          <w:right w:w="0" w:type="dxa"/>
        </w:tblCellMar>
      </w:tblPr>
      <w:tr>
        <w:trPr>
          <w:trHeight w:val="328"/>
        </w:trPr>
        <w:tc>
          <w:tcPr>
            <w:tcW w:w="192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44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2400" w:type="dxa"/>
            <w:vAlign w:val="bottom"/>
          </w:tcPr>
          <w:p>
            <w:pPr>
              <w:ind w:left="160"/>
              <w:spacing w:after="0" w:line="327" w:lineRule="exact"/>
              <w:rPr>
                <w:sz w:val="20"/>
                <w:szCs w:val="20"/>
                <w:color w:val="auto"/>
              </w:rPr>
            </w:pPr>
            <w:r>
              <w:rPr>
                <w:rFonts w:ascii="MS PGothic" w:cs="MS PGothic" w:eastAsia="MS PGothic" w:hAnsi="MS PGothic"/>
                <w:sz w:val="32"/>
                <w:szCs w:val="32"/>
                <w:color w:val="auto"/>
                <w:vertAlign w:val="superscript"/>
              </w:rPr>
              <w:t>☐</w:t>
            </w:r>
            <w:r>
              <w:rPr>
                <w:rFonts w:ascii="Arial" w:cs="Arial" w:eastAsia="Arial" w:hAnsi="Arial"/>
                <w:sz w:val="16"/>
                <w:szCs w:val="16"/>
                <w:color w:val="auto"/>
              </w:rPr>
              <w:t xml:space="preserve">  Non-accelerated filer   </w:t>
            </w:r>
            <w:r>
              <w:rPr>
                <w:rFonts w:ascii="MS PGothic" w:cs="MS PGothic" w:eastAsia="MS PGothic" w:hAnsi="MS PGothic"/>
                <w:sz w:val="32"/>
                <w:szCs w:val="32"/>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Smaller reporting</w:t>
            </w:r>
          </w:p>
        </w:tc>
        <w:tc>
          <w:tcPr>
            <w:tcW w:w="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1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company</w:t>
            </w:r>
          </w:p>
        </w:tc>
        <w:tc>
          <w:tcPr>
            <w:tcW w:w="4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company</w:t>
            </w:r>
          </w:p>
        </w:tc>
        <w:tc>
          <w:tcPr>
            <w:tcW w:w="300" w:type="dxa"/>
            <w:vAlign w:val="bottom"/>
          </w:tcPr>
          <w:p>
            <w:pPr>
              <w:spacing w:after="0"/>
              <w:rPr>
                <w:sz w:val="17"/>
                <w:szCs w:val="17"/>
                <w:color w:val="auto"/>
              </w:rPr>
            </w:pPr>
          </w:p>
        </w:tc>
      </w:tr>
    </w:tbl>
    <w:p>
      <w:pPr>
        <w:spacing w:after="0" w:line="121" w:lineRule="exact"/>
        <w:rPr>
          <w:sz w:val="24"/>
          <w:szCs w:val="24"/>
          <w:color w:val="auto"/>
        </w:rPr>
      </w:pPr>
    </w:p>
    <w:p>
      <w:pPr>
        <w:ind w:right="26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jc w:val="center"/>
        <w:ind w:right="180"/>
        <w:spacing w:after="0" w:line="201" w:lineRule="exact"/>
        <w:rPr>
          <w:sz w:val="20"/>
          <w:szCs w:val="20"/>
          <w:color w:val="auto"/>
        </w:rPr>
      </w:pPr>
      <w:r>
        <w:rPr>
          <w:rFonts w:ascii="Arial" w:cs="Arial" w:eastAsia="Arial" w:hAnsi="Arial"/>
          <w:sz w:val="15"/>
          <w:szCs w:val="15"/>
          <w:color w:val="auto"/>
        </w:rPr>
        <w:t xml:space="preserve">Indicate by check mark whether the registrant has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led a report on and attestation to its management’s assessment of the effectiveness of its internal control over</w:t>
      </w:r>
    </w:p>
    <w:p>
      <w:pPr>
        <w:jc w:val="center"/>
        <w:ind w:right="160"/>
        <w:spacing w:after="0" w:line="188" w:lineRule="exact"/>
        <w:rPr>
          <w:sz w:val="20"/>
          <w:szCs w:val="20"/>
          <w:color w:val="auto"/>
        </w:rPr>
      </w:pPr>
      <w:r>
        <w:rPr>
          <w:rFonts w:ascii="Arial" w:cs="Arial" w:eastAsia="Arial" w:hAnsi="Arial"/>
          <w:sz w:val="14"/>
          <w:szCs w:val="14"/>
          <w:color w:val="auto"/>
        </w:rPr>
        <w:t xml:space="preserve">financial reporting under Section 404(b) of the Sarbanes-Oxley Act (15 U.S.C. 7262(b)) by the registered public accounting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rm that prepared or issued its audit report. </w:t>
      </w:r>
      <w:r>
        <w:rPr>
          <w:rFonts w:ascii="MS PGothic" w:cs="MS PGothic" w:eastAsia="MS PGothic" w:hAnsi="MS PGothic"/>
          <w:sz w:val="14"/>
          <w:szCs w:val="14"/>
          <w:color w:val="auto"/>
        </w:rPr>
        <w:t>☑</w:t>
      </w:r>
    </w:p>
    <w:p>
      <w:pPr>
        <w:spacing w:after="0" w:line="7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June 30, 2020, the aggregate market value of the voting common stock held by non-affiliates of the registrant was $4.2 billion. Such aggregate market value was computed by reference to the closing price of the common stock as reported on the NASDAQ Global Select Market on June 30, 2020. As of February 19, 2021, the number of shares of the registrant’s common stock outstanding was 156,486,487.</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Portions of the registrant’s definitive 2021 proxy statement, anticipated to be filed with the Securities and Exchange Commission within 120 days after the end of the registrant’s fiscal year,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6"/>
        </w:trPr>
        <w:tc>
          <w:tcPr>
            <w:tcW w:w="9620" w:type="dxa"/>
            <w:vAlign w:val="bottom"/>
          </w:tcPr>
          <w:p>
            <w:pPr>
              <w:jc w:val="center"/>
              <w:ind w:left="1510"/>
              <w:spacing w:after="0"/>
              <w:rPr>
                <w:sz w:val="20"/>
                <w:szCs w:val="20"/>
                <w:color w:val="auto"/>
              </w:rPr>
            </w:pPr>
            <w:r>
              <w:rPr>
                <w:rFonts w:ascii="Arial" w:cs="Arial" w:eastAsia="Arial" w:hAnsi="Arial"/>
                <w:sz w:val="18"/>
                <w:szCs w:val="18"/>
                <w:b w:val="1"/>
                <w:bCs w:val="1"/>
                <w:color w:val="auto"/>
              </w:rPr>
              <w:t>PENN NATIONAL GAMING, INC.</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2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620" w:type="dxa"/>
            <w:vAlign w:val="bottom"/>
            <w:vMerge w:val="restart"/>
          </w:tcPr>
          <w:p>
            <w:pPr>
              <w:jc w:val="center"/>
              <w:ind w:left="1470"/>
              <w:spacing w:after="0"/>
              <w:rPr>
                <w:rFonts w:ascii="Arial" w:cs="Arial" w:eastAsia="Arial" w:hAnsi="Arial"/>
                <w:sz w:val="18"/>
                <w:szCs w:val="18"/>
                <w:b w:val="1"/>
                <w:bCs w:val="1"/>
                <w:u w:val="single" w:color="auto"/>
                <w:color w:val="0000FF"/>
                <w:w w:val="98"/>
              </w:rPr>
            </w:pPr>
            <w:hyperlink w:anchor="page5">
              <w:r>
                <w:rPr>
                  <w:rFonts w:ascii="Arial" w:cs="Arial" w:eastAsia="Arial" w:hAnsi="Arial"/>
                  <w:sz w:val="18"/>
                  <w:szCs w:val="18"/>
                  <w:b w:val="1"/>
                  <w:bCs w:val="1"/>
                  <w:u w:val="single" w:color="auto"/>
                  <w:color w:val="0000FF"/>
                  <w:w w:val="98"/>
                </w:rPr>
                <w:t>PART I</w:t>
              </w:r>
            </w:hyperlink>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6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 Business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Item 1A. Risk Factors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10</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1B. Unresolved Staff Comments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 Properties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 Legal Proceedings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5"/>
        </w:trPr>
        <w:tc>
          <w:tcPr>
            <w:tcW w:w="962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 Mine Safety Disclosures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33"/>
        </w:trPr>
        <w:tc>
          <w:tcPr>
            <w:tcW w:w="9620" w:type="dxa"/>
            <w:vAlign w:val="bottom"/>
          </w:tcPr>
          <w:p>
            <w:pPr>
              <w:jc w:val="center"/>
              <w:ind w:left="147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PART II</w:t>
              </w:r>
            </w:hyperlink>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w w:val="98"/>
              </w:rPr>
            </w:pPr>
            <w:hyperlink w:anchor="page30">
              <w:r>
                <w:rPr>
                  <w:rFonts w:ascii="Arial" w:cs="Arial" w:eastAsia="Arial" w:hAnsi="Arial"/>
                  <w:sz w:val="18"/>
                  <w:szCs w:val="18"/>
                  <w:u w:val="single" w:color="auto"/>
                  <w:color w:val="0000FF"/>
                  <w:w w:val="98"/>
                </w:rPr>
                <w:t>Item 5. Market for the Registrant’s Common Equity, Related Stockholder Matters and Issuer Purchases of Equity Securities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7. Management’s Discussion and Analysis of Financial Condition and Results of Operations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7A. Quantitative and Qualitative Disclosures About Market Risk</w:t>
              </w:r>
            </w:hyperlink>
          </w:p>
        </w:tc>
        <w:tc>
          <w:tcPr>
            <w:tcW w:w="158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8. Financial Statements and Supplementary Data</w:t>
              </w:r>
            </w:hyperlink>
          </w:p>
        </w:tc>
        <w:tc>
          <w:tcPr>
            <w:tcW w:w="158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Item 9. Changes in and Disagreements with Accountants on Accounting and Financial Disclosure</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Item 9A. Controls and Procedures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104</w:t>
              </w:r>
            </w:hyperlink>
          </w:p>
        </w:tc>
        <w:tc>
          <w:tcPr>
            <w:tcW w:w="0" w:type="dxa"/>
            <w:vAlign w:val="bottom"/>
          </w:tcPr>
          <w:p>
            <w:pPr>
              <w:spacing w:after="0"/>
              <w:rPr>
                <w:sz w:val="1"/>
                <w:szCs w:val="1"/>
                <w:color w:val="auto"/>
              </w:rPr>
            </w:pPr>
          </w:p>
        </w:tc>
      </w:tr>
      <w:tr>
        <w:trPr>
          <w:trHeight w:val="225"/>
        </w:trPr>
        <w:tc>
          <w:tcPr>
            <w:tcW w:w="9620" w:type="dxa"/>
            <w:vAlign w:val="bottom"/>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Item 9B. Other Information</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33"/>
        </w:trPr>
        <w:tc>
          <w:tcPr>
            <w:tcW w:w="9620" w:type="dxa"/>
            <w:vAlign w:val="bottom"/>
          </w:tcPr>
          <w:p>
            <w:pPr>
              <w:jc w:val="center"/>
              <w:ind w:left="1470"/>
              <w:spacing w:after="0"/>
              <w:rPr>
                <w:rFonts w:ascii="Arial" w:cs="Arial" w:eastAsia="Arial" w:hAnsi="Arial"/>
                <w:sz w:val="18"/>
                <w:szCs w:val="18"/>
                <w:b w:val="1"/>
                <w:bCs w:val="1"/>
                <w:u w:val="single" w:color="auto"/>
                <w:color w:val="0000FF"/>
              </w:rPr>
            </w:pPr>
            <w:hyperlink w:anchor="page111">
              <w:r>
                <w:rPr>
                  <w:rFonts w:ascii="Arial" w:cs="Arial" w:eastAsia="Arial" w:hAnsi="Arial"/>
                  <w:sz w:val="18"/>
                  <w:szCs w:val="18"/>
                  <w:b w:val="1"/>
                  <w:bCs w:val="1"/>
                  <w:u w:val="single" w:color="auto"/>
                  <w:color w:val="0000FF"/>
                </w:rPr>
                <w:t>PART III</w:t>
              </w:r>
            </w:hyperlink>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10. Directors, Executive Officers and Corporate Governance</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11. Executive Compensation</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12. Security Ownership of Certain Beneficial Owners and Management and Related Stockholder Matters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13. Certain Relationships and Related Transactions, and Director Independence</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25"/>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14. Principal Accountant Fees and Services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34"/>
        </w:trPr>
        <w:tc>
          <w:tcPr>
            <w:tcW w:w="9620" w:type="dxa"/>
            <w:vAlign w:val="bottom"/>
          </w:tcPr>
          <w:p>
            <w:pPr>
              <w:jc w:val="center"/>
              <w:ind w:left="1470"/>
              <w:spacing w:after="0"/>
              <w:rPr>
                <w:rFonts w:ascii="Arial" w:cs="Arial" w:eastAsia="Arial" w:hAnsi="Arial"/>
                <w:sz w:val="18"/>
                <w:szCs w:val="18"/>
                <w:b w:val="1"/>
                <w:bCs w:val="1"/>
                <w:u w:val="single" w:color="auto"/>
                <w:color w:val="0000FF"/>
                <w:w w:val="98"/>
              </w:rPr>
            </w:pPr>
            <w:hyperlink w:anchor="page111">
              <w:r>
                <w:rPr>
                  <w:rFonts w:ascii="Arial" w:cs="Arial" w:eastAsia="Arial" w:hAnsi="Arial"/>
                  <w:sz w:val="18"/>
                  <w:szCs w:val="18"/>
                  <w:b w:val="1"/>
                  <w:bCs w:val="1"/>
                  <w:u w:val="single" w:color="auto"/>
                  <w:color w:val="0000FF"/>
                  <w:w w:val="98"/>
                </w:rPr>
                <w:t>PART IV</w:t>
              </w:r>
            </w:hyperlink>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15. Exhibits, Financial Statement Schedules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106</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Item 16. Form 10-K Summary</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107</w:t>
              </w:r>
            </w:hyperlink>
          </w:p>
        </w:tc>
        <w:tc>
          <w:tcPr>
            <w:tcW w:w="0" w:type="dxa"/>
            <w:vAlign w:val="bottom"/>
          </w:tcPr>
          <w:p>
            <w:pPr>
              <w:spacing w:after="0"/>
              <w:rPr>
                <w:sz w:val="1"/>
                <w:szCs w:val="1"/>
                <w:color w:val="auto"/>
              </w:rPr>
            </w:pPr>
          </w:p>
        </w:tc>
      </w:tr>
      <w:tr>
        <w:trPr>
          <w:trHeight w:val="230"/>
        </w:trPr>
        <w:tc>
          <w:tcPr>
            <w:tcW w:w="9620" w:type="dxa"/>
            <w:vAlign w:val="bottom"/>
          </w:tcPr>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Signatures</w:t>
              </w:r>
            </w:hyperlink>
          </w:p>
        </w:tc>
        <w:tc>
          <w:tcPr>
            <w:tcW w:w="158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115</w:t>
              </w:r>
            </w:hyperlink>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02" w:lineRule="exact"/>
        <w:rPr>
          <w:sz w:val="20"/>
          <w:szCs w:val="20"/>
          <w:color w:val="auto"/>
        </w:rPr>
      </w:pPr>
    </w:p>
    <w:p>
      <w:pPr>
        <w:ind w:firstLine="324"/>
        <w:spacing w:after="0" w:line="251" w:lineRule="auto"/>
        <w:rPr>
          <w:rFonts w:ascii="Arial" w:cs="Arial" w:eastAsia="Arial" w:hAnsi="Arial"/>
          <w:sz w:val="17"/>
          <w:szCs w:val="17"/>
          <w:color w:val="auto"/>
        </w:rPr>
      </w:pPr>
      <w:r>
        <w:rPr>
          <w:rFonts w:ascii="Arial" w:cs="Arial" w:eastAsia="Arial" w:hAnsi="Arial"/>
          <w:sz w:val="17"/>
          <w:szCs w:val="17"/>
          <w:color w:val="auto"/>
        </w:rPr>
        <w:t xml:space="preserve">This Annual Report on Form 10-K includes “forward-looking statements” within the meaning of Section 27A of the Securities Act of 1933, as amended, and Section 21E of the Securities Exchange Act of 1934, as amended. References to Penn National Gaming, Inc., together with its subsidiaries (“Penn National,” the “Company,” “we,” “our,” or “us”) refer to Penn National Gaming, Inc. and its subsidiaries, except where stated or the context otherwise indicates. These statements are included throughout the document, including within </w:t>
      </w:r>
      <w:hyperlink w:anchor="page15">
        <w:r>
          <w:rPr>
            <w:rFonts w:ascii="Arial" w:cs="Arial" w:eastAsia="Arial" w:hAnsi="Arial"/>
            <w:sz w:val="17"/>
            <w:szCs w:val="17"/>
            <w:u w:val="single" w:color="auto"/>
            <w:color w:val="0000FF"/>
          </w:rPr>
          <w:t>“Item 1A. Risk Factors,”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relate to our business strategy, our prospects and our financial position. These statements can be identified by the use of forward-looking terminology such as “expects,” “believes,” “estimates,” “projects,” “intends,” “plans,” “seeks,” “may,” “will,” “should,” or “anticipates” or the negative or other variations of these or similar words, or by discussions of future events, strategies or risks and uncertainties. Specifically, forward-looking statements include, but are not limited to, statements regarding: COVID-19; the length of time the Company’s Zia Park and Valley Race Park properties will remain closed, the expected opening dates, and the impact of these closures on the Company and its stakeholders; demand for gaming as these gaming properties reopen as well as the impact of post-opening restrictions (hours of operations and capacity limitations); continued demand for the gaming properties that have opened and the possibility that our gaming properties may be required to close again in the future due to COVID-19; the impact of COVID-19 on general economic conditions, capital markets, unemployment, and the Company’s liquidity, operations, supply chain and personnel; the potential benefits and expected timing of the Perryville transaction with GLPI; the Company’s estimated cash burn and future liquidity, future revenue and Adjusted EBITDAR, including from our iGaming business in Pennsylvania and Michigan; the continued success of Barstool Sports in Pennsylvania, Michigan and in additional states in the future; the expected benefits and potential challenges of the investment in Barstool Sports, including the anticipated benefits for the Company’s online and retail sports betting, iGaming and social casino products; the expected financial returns from the transaction with Barstool Sports; expected future launches of the Barstool-branded mobile sports betting product; the future revenue and profit contributions of the Barstool-branded mobile sports betting product; the impact of shortened or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6"/>
          <w:szCs w:val="16"/>
          <w:color w:val="auto"/>
        </w:rPr>
        <w:t>sports seasons on our results; our expectations of future results of operations and financial condition, including margins; our expectations for our properties; our development projects or our iGaming initiatives; our expectations with regard to the impact of competition; the anticipated opening dates of our retail sportsbooks in future states and our proposed Pennsylvania Category 4 casinos in York and Berks counties; our expectations with regard to acquisitions, potential divestitures and development opportunities, as well as the integration of and synergies related to any companies we have acquired or may acquire; the outcome and financial impact of the litigation in which we are or will be periodically involved; the actions of regulatory, legislative, executive or judicial decisions at the federal, state or local level with regard to our business and the impact of any such actions; our ability to maintain regulatory approvals for our existing businesses and to receive regulatory approvals for our new business partners; our expectations with regard to the impact of competition in online sports betting, iGaming and retail/mobile sportsbooks as well as the potential impact of this business line on our existing businesses; the performance of our partners in online sports betting, iGaming and retail/mobile sportsbooks, including the risks associated with any new business, the actions of regulatory, legislative, executive or judicial decisions at the federal, state or local level with regard to online sports betting, iGaming and retail/mobile sportsbooks and the impact of any such actions; and our expectations regarding economic and consumer conditions. In light of these risks, uncertainties and assumptions, the forward-looking events and circumstances discussed in this Form 10-K may not occur and actual results could differ materially from those anticipated or implied in the forward-looking statements. All forward-looking statements in this Form 10-K are based on information available to us as of the date hereof, such information may be limited or incomplete, and we assume no obligation to update any such forward-looking statements. These statements are inherently uncertain and investors are cautioned not to unduly rely upon these statements. The following discussion should be read in conjunction with our consolidated financial statements and the accompanying notes contained in this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following is a summary of some of the risks and uncertainties as of the date of the filing of this Annual Report on Form 10-K that could materially adversely affect our business, financial condition and results of operations. You should read this summary together with the more detailed description of each risk factor contained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43" w:lineRule="exact"/>
        <w:rPr>
          <w:sz w:val="20"/>
          <w:szCs w:val="20"/>
          <w:color w:val="auto"/>
        </w:rPr>
      </w:pPr>
    </w:p>
    <w:p>
      <w:pPr>
        <w:ind w:left="660" w:right="40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 material adverse impact on our business and financial performance, and we expect this adverse impact to continue until after the COVID-19 pandemic is contained.</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unable to predict the extent to which COVID-19 and its related impacts will continue to adversely affect our business operations, financial performance and the achievement of our strategic objectives.</w:t>
      </w:r>
    </w:p>
    <w:p>
      <w:pPr>
        <w:ind w:left="660" w:right="1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COVID-19 pandemic, unforeseen events have occurred and may occur in the future that materially adversely affect the number of visitors to our properties, which could adversely disrupt our operations and negatively impact our business.</w:t>
      </w:r>
    </w:p>
    <w:p>
      <w:pPr>
        <w:ind w:left="660" w:right="40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financial markets and global or regional economic weakness or uncertainty could have a material adverse effect on our stock price.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other gaming and entertainment operations and may continue to do so in the future.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Reductions in discretionary consumer spending have negatively impacted our business and may continue to do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certain properties that generate a significant percentage of our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facilities are leased, and we may face risks associated with leased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our cash flow is used for rent payments under our Triple Net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Inclement weather and other casualty events could negatively impact our business.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we may have disputes regarding the terms of management agreements and/or leases we have with third parties and local governments.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additional costs related to the slot machine manufacturing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cannot guarantee the recent expansion of our sports betting and iGaming operations or investment in Barstool Sports will be successful.</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are dependent on retaining experienced management and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certain of our operations depends on our ability to renew our contracts and expand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problems could negatively impact our future profits.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protect or enforce our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could fluctuate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currently, or may become, involved in legal proceedings, the results of which could have a material adverse effect on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Capital Structure</w:t>
      </w:r>
    </w:p>
    <w:p>
      <w:pPr>
        <w:spacing w:after="0" w:line="25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ability to meet our indebtedness obligations.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lack of availability and cost of financing could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service our indebtedness, we will require a significant amount of cash, which depends on many factors beyond our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Taxes and Compliance</w:t>
      </w:r>
    </w:p>
    <w:p>
      <w:pPr>
        <w:spacing w:after="0" w:line="2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extensive regulation and our business may be adversely impacted by changes in legislation and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and local smoking restrictions have and may continue to negatively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material increases in our current taxes or the adoption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certain federal, state and other laws and regulations may have an adverse effect on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Information Security and Penn Interactive</w:t>
      </w:r>
    </w:p>
    <w:p>
      <w:pPr>
        <w:spacing w:after="0" w:line="2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heavily on technology services and an uninterrupted supply of electrical power.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 security breaches could affect our operations and harm our reputation.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third-party mobile distribution platforms or service providers fail to perform or terminate their relationship with us, our business could be adversely affected.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grow Penn Interactive.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face disruptions, delays and other difficulties related to our recently acquired properties, future acquisitions, or new initiatives.</w:t>
      </w:r>
    </w:p>
    <w:p>
      <w:pPr>
        <w:spacing w:after="0" w:line="34" w:lineRule="exact"/>
        <w:rPr>
          <w:rFonts w:ascii="Arial" w:cs="Arial" w:eastAsia="Arial" w:hAnsi="Arial"/>
          <w:sz w:val="17"/>
          <w:szCs w:val="17"/>
          <w:color w:val="auto"/>
        </w:rPr>
      </w:pPr>
    </w:p>
    <w:p>
      <w:pPr>
        <w:ind w:left="660" w:right="8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we make another acquisition, we may face risks related to our ability to receive regulatory approvals required to complete, or other delays or impediments to completing, such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ind w:left="660" w:right="1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subject to significant tax liabilities if the Spin-Off of Gaming and Leisure Properties, Inc. (“GLPI”) does not qualify as a tax-free transaction.</w:t>
      </w:r>
    </w:p>
    <w:p>
      <w:pPr>
        <w:spacing w:after="0" w:line="1"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the Spin-Off, GLPI agreed to indemnify us for certain liabilities. However, there can be no assurance that these indemnities will be sufficient to insure us against the full amount of such liabilities, or that GLPI’s ability to satisfy its indemnification obligation will not be impaired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1012825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Penn National Gaming, Inc., together with its subsidiaries (“Penn National,” the “Company,” “we,” “our,” or “us”), is a leading, diversified, multi-jurisdictional owner and manager of gaming and racing properties, retail and online sports betting operations, and video gaming terminal (“VGT”) operations. Our wholly-owned interactive division, Penn Interactive Ventures, LLC (“Penn Interactive”), operates retail sports betting across the Company’s portfolio, as well as online sports betting, online social casino, bingo and online casinos (“iGaming”). In February 2020, the Company acquired 36% (inclusive of 1% on a delayed basis) equity interest in Barstool Sports, Inc. (“Barstool Sports”), a leading digital sports, entertainment, lifestyle and media company, and entered into a strategic relationship with Barstool Sports, whereby Barstool Sports will exclusively promote the Company's land-based retail sportsbooks, iGaming products and online sports betting products, including the Barstool Sportsbook mobile app, to its national audience. We launched an online sports betting app called Barstool Sports in Pennsylvania in September 2020 and in Michigan in January 2021. We also operate iGaming in Pennsylvania and Michigan. Our MYCHOICE® customer loyalty program (the "mychoice program") currently has over 20 million members and provides such members with various benefits, including complimentary goods and/or services. The Company’s strategy has continued to evolve from an owner and manager of gaming and racing properties into an omni-channel provider of retail and online gaming, live racing and sports betting entertainment. We believe our continued evolution into a best-in-class omni-channel provider of retail and online gaming and sports betting entertainment will be a catalyst for our core land-based business, while also providing a platform for significant long-term shareholder value. References in this Annual Report on Form 10-K, to “Penn National,” the “Company,” “we,” “our,” or “us” refer to Penn National Gaming, Inc. and its subsidiaries, except where stated or the context otherwise indicates.</w:t>
      </w:r>
    </w:p>
    <w:p>
      <w:pPr>
        <w:spacing w:after="0" w:line="209" w:lineRule="exact"/>
        <w:rPr>
          <w:sz w:val="20"/>
          <w:szCs w:val="20"/>
          <w:color w:val="auto"/>
        </w:rPr>
      </w:pPr>
    </w:p>
    <w:p>
      <w:pPr>
        <w:ind w:right="40" w:firstLine="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As of December 31, 2020, we owned, managed, or had ownership interests in 41 properties in 19 states. The majority of the real estate assets (i.e., land and buildings) used in the Company’s operations are subject to triple net master leases; the most significant of which are the Penn Master Lease and the Pinnacle Master Lease (as such terms are defined in the </w:t>
      </w:r>
      <w:hyperlink w:anchor="page7">
        <w:r>
          <w:rPr>
            <w:rFonts w:ascii="Arial" w:cs="Arial" w:eastAsia="Arial" w:hAnsi="Arial"/>
            <w:sz w:val="18"/>
            <w:szCs w:val="18"/>
            <w:u w:val="single" w:color="auto"/>
            <w:color w:val="0000FF"/>
          </w:rPr>
          <w:t>“Triple Net Leases”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section below and collectively referred to as the “Master Leases”), with Gaming and Leisure Properties, Inc. (NASDAQ: GLPI) (“GLPI”), a real estate investment trust (“REIT”). In addition, we are currently developing two Category 4 satellite gaming casinos in Pennsylvania: Hollywood Casino York and Hollywood Casino Morgantown, both of which are expected to commence operations by the end of 2021.</w:t>
      </w:r>
    </w:p>
    <w:p>
      <w:pPr>
        <w:spacing w:after="0" w:line="15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On March 11, 2020, the World Health Organization declared the novel coronavirus (known as “COVID-19”) outbreak to be a global pandemic. To help combat the spread of COVID-19 and pursuant to various orders from state gaming regulatory bodies or governmental authorities, operations at all of our properties were temporarily suspended for single or multiple time periods during the year. Once re-opened, properties operated with reduced gaming and hotel capacity and limited food and beverage offerings in order to accommodate social distancing and health and safety protocols.</w:t>
      </w:r>
    </w:p>
    <w:p>
      <w:pPr>
        <w:spacing w:after="0" w:line="11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During the fourth quarter of 2020, our properties temporarily suspended operations in Pennsylvania, Michigan and Illinois and were subject to increased operational restrictions in Ohio and Massachusetts (among other states). Our Michigan property temporarily closed on November 17, 2020 and reopened on December 23, 2020. Our Pennsylvania properties temporarily closed on December 12, 2020 and reopened on January 4, 2021. Our Illinois properties temporarily closed on November 20, 2020 and began reopening with limited hours of operations beginning January 16, 2021 and throughout the week. The property closures were pursuant to the various orders from state gaming regulatory bodies or governmental authorities to combat the rapid spread of COVID-19. As of February 26, 2021, all of our properties were open to the public with the exception of Zia Park and Valley Race Park, which remain closed.</w:t>
      </w:r>
    </w:p>
    <w:p>
      <w:pPr>
        <w:spacing w:after="0" w:line="222" w:lineRule="exact"/>
        <w:rPr>
          <w:sz w:val="20"/>
          <w:szCs w:val="20"/>
          <w:color w:val="auto"/>
        </w:rPr>
      </w:pPr>
    </w:p>
    <w:p>
      <w:pPr>
        <w:ind w:right="20" w:firstLine="324"/>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COVID-19 pandemic caused significant disruptions to our business and had a material adverse impact on our financial condition, results of operations and cash flows, the magnitude of which continues to develop. During the year, substantial measures were taken to improve our financial position and liquidity as discussed in our Consolidated Financial Statements </w:t>
      </w:r>
      <w:hyperlink w:anchor="page60">
        <w:r>
          <w:rPr>
            <w:rFonts w:ascii="Arial" w:cs="Arial" w:eastAsia="Arial" w:hAnsi="Arial"/>
            <w:sz w:val="17"/>
            <w:szCs w:val="17"/>
            <w:u w:val="single" w:color="auto"/>
            <w:color w:val="0000FF"/>
          </w:rPr>
          <w:t>Note 1, “Organization and Basis of Presentation”</w:t>
        </w:r>
      </w:hyperlink>
      <w:r>
        <w:rPr>
          <w:rFonts w:ascii="Arial" w:cs="Arial" w:eastAsia="Arial" w:hAnsi="Arial"/>
          <w:sz w:val="17"/>
          <w:szCs w:val="17"/>
          <w:color w:val="auto"/>
        </w:rPr>
        <w:t>.</w:t>
      </w:r>
    </w:p>
    <w:p>
      <w:pPr>
        <w:spacing w:after="0" w:line="138"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In February 2020, we closed on our investment in Barstool Sports pursuant to a stock purchase agreement with Barstool Sports and stockholders of Barstool Sports, in which we purchased approximately 36% of the common stock of Barstool Sports for a purchase price of $161.2 million. Within three years after the closing or earlier at our election, we will increase our ownership in Barstool Sports to approximately 50% with an incremental investment of approximately $62 million, consistent with the implied valuation at the time of the initial investment. With respect to the remaining Barstool Sports shares, we have immediately exercisable call rights, and the existing Barstool Sports stockholders have put rights exercisable beginning three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years after closing, all based on a fair market value calculation at the time of exercise (subject to a cap of $650.0 million and a floor of 2.25 times the annualized revenue of Barstool Sports, all subject to various adjustments). Upon closing, we became Barstool Sports’ exclusive gaming partner for up to 40 years and have the sole right to utilize the Barstool Sports brand for all of our online and retail sports betting and iGaming products. For additional information, see </w:t>
      </w:r>
      <w:hyperlink w:anchor="page77">
        <w:r>
          <w:rPr>
            <w:rFonts w:ascii="Arial" w:cs="Arial" w:eastAsia="Arial" w:hAnsi="Arial"/>
            <w:sz w:val="18"/>
            <w:szCs w:val="18"/>
            <w:u w:val="single" w:color="auto"/>
            <w:color w:val="0000FF"/>
          </w:rPr>
          <w:t>Note 7, "Investments in and Advances to Unconsolidated Affiliates"</w:t>
        </w:r>
      </w:hyperlink>
      <w:r>
        <w:rPr>
          <w:rFonts w:ascii="Arial" w:cs="Arial" w:eastAsia="Arial" w:hAnsi="Arial"/>
          <w:sz w:val="18"/>
          <w:szCs w:val="18"/>
          <w:color w:val="auto"/>
        </w:rPr>
        <w:t>.</w:t>
      </w:r>
    </w:p>
    <w:p>
      <w:pPr>
        <w:spacing w:after="0" w:line="147" w:lineRule="exact"/>
        <w:rPr>
          <w:sz w:val="20"/>
          <w:szCs w:val="20"/>
          <w:color w:val="auto"/>
        </w:rPr>
      </w:pPr>
    </w:p>
    <w:p>
      <w:pPr>
        <w:ind w:right="200" w:firstLine="324"/>
        <w:spacing w:after="0" w:line="241" w:lineRule="auto"/>
        <w:rPr>
          <w:rFonts w:ascii="Arial" w:cs="Arial" w:eastAsia="Arial" w:hAnsi="Arial"/>
          <w:sz w:val="18"/>
          <w:szCs w:val="18"/>
          <w:color w:val="auto"/>
        </w:rPr>
      </w:pPr>
      <w:r>
        <w:rPr>
          <w:rFonts w:ascii="Arial" w:cs="Arial" w:eastAsia="Arial" w:hAnsi="Arial"/>
          <w:sz w:val="18"/>
          <w:szCs w:val="18"/>
          <w:color w:val="auto"/>
        </w:rPr>
        <w:t xml:space="preserve">On December 15, 2020, the Company entered into a definitive agreement with GLPI to purchase the operations of Hollywood Casino Perryville for $31.1 million. The transaction is expected to close during the second or third quarter of 2021, subject to approval of the Maryland Lottery and Gaming Control Commission and other customary closing conditions. Simultaneous with the closing of the transaction, we would lease the real estate assets associated with Hollywood Casino Perryville from GLPI with initial annual rent of $7.8 million per year subject to escalation. For additional information on our acquisitions, see </w:t>
      </w:r>
      <w:hyperlink w:anchor="page73">
        <w:r>
          <w:rPr>
            <w:rFonts w:ascii="Arial" w:cs="Arial" w:eastAsia="Arial" w:hAnsi="Arial"/>
            <w:sz w:val="18"/>
            <w:szCs w:val="18"/>
            <w:u w:val="single" w:color="auto"/>
            <w:color w:val="0000FF"/>
          </w:rPr>
          <w:t>Note 6, “Acquisitions and Dispositions.”</w:t>
        </w:r>
      </w:hyperlink>
    </w:p>
    <w:p>
      <w:pPr>
        <w:spacing w:after="0" w:line="162" w:lineRule="exact"/>
        <w:rPr>
          <w:sz w:val="20"/>
          <w:szCs w:val="20"/>
          <w:color w:val="auto"/>
        </w:rPr>
      </w:pPr>
    </w:p>
    <w:p>
      <w:pPr>
        <w:ind w:right="20" w:firstLine="324"/>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In May 2019, we acquired Greektown Casino-Hotel (“Greektown”) in Detroit, Michigan, subject to a triple net lease with VICI Properties Inc. (NYSE: VICI) (“VICI”, a REIT and collectively with GLPI, our “REIT Landlords”) (the “Greektown Lease”) and, in January 2019, we acquired Margaritaville Casino Resort (“Margaritaville”) in Bossier City, Louisiana, subject to a triple net lease with VICI (the “Margaritaville Lease” and collectively with the Master Leases, the Greektown Lease, the Meadows Lease, the Tropicana Lease and the Morgantown Lease, of which the Meadows Lease, the Tropicana Lease and Morgantown Lease are defined in the </w:t>
      </w:r>
      <w:hyperlink w:anchor="page7">
        <w:r>
          <w:rPr>
            <w:rFonts w:ascii="Arial" w:cs="Arial" w:eastAsia="Arial" w:hAnsi="Arial"/>
            <w:sz w:val="17"/>
            <w:szCs w:val="17"/>
            <w:u w:val="single" w:color="auto"/>
            <w:color w:val="0000FF"/>
          </w:rPr>
          <w:t>“Triple Net Leases”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section below, the “Triple Net Leases”).</w:t>
      </w:r>
    </w:p>
    <w:p>
      <w:pPr>
        <w:spacing w:after="0" w:line="20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October 2018, the Company completed the acquisition of Pinnacle Entertainment, Inc. (“Pinnacle”), a leading regional gaming operator (the “Pinnacle Acquisition”). In connection with the Pinnacle Acquisition, we added 12 gaming properties to our portfolio, providing us with greater operational scale and geographic diversity. We assumed the Pinnacle Master Lease concurrently with the closing of the Pinnacle Acquisition.</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our portfolio of assets provides us the benefit of geographically-diversified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In addition, the partnership with Barstool Sports reflects our strategy to continue evolving from the nation’s largest regional gaming operator to a best-in-class omni-channel provider of retail and online gaming and sports betting entertainment.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Triple Net Leases</w:t>
      </w:r>
    </w:p>
    <w:p>
      <w:pPr>
        <w:spacing w:after="0" w:line="185"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As noted above, the majority of the real estate assets used in the Company’s operations are subject to either the Penn Master Lease or the Pinnacle Master Lease. In addition to the Penn Master Lease and the Pinnacle Master Lease, five individual gaming facilities used in our operations are subject to individual triple net leases. Under triple net leases, in addition to lease payments for the real estate assets, the Company is required to pay the following, among other things: (1) all facility maintenance; (2) all insurance required in connection with the leased properties and the business conducted on the leased properties; (3) taxes levied on or with respect to the leased properties (other than taxes on the income of the lessor); (4) all tenant capital improvements; and (5) all utilities and other services necessary or appropriate for the leased properties and the business conducted on the leased properties.</w:t>
      </w:r>
    </w:p>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summaries of the Master Leases are qualified in their entirety by reference to either the Penn Master Lease or the Pinnacle Master Lease, as applicable, all of which are incorporated by reference in the exhibits to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9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Pursuant to a triple net master lease with GLPI (the “Penn Master Lease”), which became effective November 1, 2013, the Company leases real estate assets associated with 19 of the gaming facilities used in its operations. The Penn Master Lease has an initial term of 15 years with four subsequent, five-year renewal periods on the same terms and conditions, exercisable at the Company’s option. If we elect to renew the term of the Penn Master Lease, the renewal will be effective as to all of the leased real estate assets then subject to the Penn Master Lease, subject to limitations on the final renewal term with respect to certain of the barge-based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Pinnacle Master Lease</w:t>
      </w:r>
    </w:p>
    <w:p>
      <w:pPr>
        <w:spacing w:after="0" w:line="18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Pinnacle Acquisition, the Company assumed a triple net master lease with GLPI (“Pinnacle Master Lease”), originally effective April 28, 2016. Pursuant to the Pinnacle Master Lease, the Company leases real estate assets associated with 12 of the gaming facilities used in its operations from GLPI. Upon assumption of the Pinnacle Master Lease, as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amended, there were 7.5 years remaining of the initial ten-year term, with five subsequent, five-year renewal periods exercisable at the Company’s option. Furthermore, in conjunction with the Pinnacle Acquisition, GLPI acquired the real estate assets associated with Plainridge Park Casino and leased back such assets to the Company pursuant to an amendment to the Pinnacle Master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1, 2020, we sold the land underlying our Morgantown development project to GLPI in exchange for rent credits of $30.0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Contemporaneous with the sale, the Company entered into a triple net lease with a subsidiary of GLPI for the land underlying Morgantown (“Morgantown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The initial term of the Morgantown Lease is twenty years with six subsequent, five-year renewal periods, exercisable at the Company’s 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Meadows Lease, Margaritaville Lease, Greektown Lease and Tropicana Lease</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Pinnacle Acquisition, the Company assumed a triple net lease of the real estate assets used in the operations of Meadows Racetrack and Casino (the “Meadows Lease”), originally effective September 9, 2016, with GLPI as the landlord. Upon assumption of the Meadows Lease, there were eight years remaining of the initial ten-year term, with three subsequent, five-year renewal options followed by one four-year renewal option on the same terms and conditions, exercisable at the Company’s option.</w:t>
      </w:r>
    </w:p>
    <w:p>
      <w:pPr>
        <w:spacing w:after="0" w:line="14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As discussed above, in separate acquisitions, the Company entered into the Margaritaville Lease with VICI for the real estate assets used in the operations of Margaritaville and the Greektown Lease with VICI for the real estate assets used in the operations of Greektown. Both the Margaritaville Lease and the Greektown Lease have initial terms of 15 years, with four subsequent five-year renewal options on the same terms and conditions, exercisable at the Company’s option.</w:t>
      </w:r>
    </w:p>
    <w:p>
      <w:pPr>
        <w:spacing w:after="0" w:line="16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April 16, 2020, we sold the real estate assets associated with our Tropicana Las Vegas ("Tropicana") property to a subsidiary of GLPI in exchange for rent credits of $307.5 million. Contemporaneous with the sale, the Company entered into a leaseback of the real estate assets for nominal cash rent. We are required to continue to operate the Tropicana for two years (subject to three one-year extensions at GLPI’s option) or until the real estate assets and the operations of the Tropicana are earlier sold by GLPI.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Properties</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table below summarizes certain features of the properties owned, operated or managed by us as of December 31, 2020, by reportable segment (all area and capacity metrics are approximate):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Gaming</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64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Location</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Real Estate Assets Lease or</w:t>
            </w: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Type of Facility</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Square</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Gaming</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Table Games</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2"/>
              </w:rPr>
              <w:t>Hotel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Ownership Structure</w:t>
            </w:r>
          </w:p>
        </w:tc>
        <w:tc>
          <w:tcPr>
            <w:tcW w:w="1880" w:type="dxa"/>
            <w:vAlign w:val="bottom"/>
            <w:gridSpan w:val="2"/>
            <w:vMerge w:val="continue"/>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Footage</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Machines</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w w:val="81"/>
              </w:rPr>
              <w:t>(1)</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Rooms</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3"/>
                <w:szCs w:val="13"/>
                <w:b w:val="1"/>
                <w:bCs w:val="1"/>
                <w:i w:val="1"/>
                <w:iCs w:val="1"/>
                <w:color w:val="auto"/>
              </w:rPr>
              <w:t xml:space="preserve">Northeast segment </w:t>
            </w:r>
            <w:r>
              <w:rPr>
                <w:rFonts w:ascii="Arial" w:cs="Arial" w:eastAsia="Arial" w:hAnsi="Arial"/>
                <w:sz w:val="16"/>
                <w:szCs w:val="16"/>
                <w:b w:val="1"/>
                <w:bCs w:val="1"/>
                <w:i w:val="1"/>
                <w:iCs w:val="1"/>
                <w:color w:val="auto"/>
                <w:vertAlign w:val="superscript"/>
              </w:rPr>
              <w:t>(2)</w:t>
            </w: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Ameristar East Chicago</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East Chicago, IN</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73,000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1,796</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75</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288</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Greektown Casino-Hotel</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Detroit, MI</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Greektown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2,362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400</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Casino Bangor</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Bangor, ME</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31,750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726</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14</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152</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at Charles Town Races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Charles Town, WV</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115,000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2,292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153</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Casino Columbus</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Columbus, OH</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177,000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2,066</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Hollywood Casino Lawrenceburg </w:t>
            </w:r>
            <w:r>
              <w:rPr>
                <w:rFonts w:ascii="Arial" w:cs="Arial" w:eastAsia="Arial" w:hAnsi="Arial"/>
                <w:sz w:val="16"/>
                <w:szCs w:val="16"/>
                <w:color w:val="auto"/>
                <w:vertAlign w:val="superscript"/>
              </w:rPr>
              <w:t>(3)</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Lawrenceburg, IN</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149,500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1,521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463</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w w:val="93"/>
              </w:rPr>
              <w:t>Hollywood Casino at Penn National Race Course</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Grantville, PA</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99,500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1,962</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80</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Toledo</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Toledo, OH</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125,000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1,848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Gaming at Dayton Raceway</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Dayton, OH</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40,600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814</w:t>
            </w: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Hollywood Gaming at Mahoning Valley Race</w:t>
            </w:r>
          </w:p>
        </w:tc>
        <w:tc>
          <w:tcPr>
            <w:tcW w:w="164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Youngstown, OH</w:t>
            </w:r>
          </w:p>
        </w:tc>
        <w:tc>
          <w:tcPr>
            <w:tcW w:w="16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87"/>
              </w:rPr>
              <w:t>Land-based gaming/racing</w:t>
            </w:r>
          </w:p>
        </w:tc>
        <w:tc>
          <w:tcPr>
            <w:tcW w:w="7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50,000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1,127</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Course</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Marquee by Penn </w:t>
            </w:r>
            <w:r>
              <w:rPr>
                <w:rFonts w:ascii="Arial" w:cs="Arial" w:eastAsia="Arial" w:hAnsi="Arial"/>
                <w:sz w:val="16"/>
                <w:szCs w:val="16"/>
                <w:color w:val="auto"/>
                <w:vertAlign w:val="superscript"/>
              </w:rPr>
              <w:t>(4)</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Pennsylvania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rPr>
              <w:t>N/A</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115</w:t>
            </w: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Meadows Racetrack and Casino</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PA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Meadows Lease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125,000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2,463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Plainridge Park Casino</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Plainville, MA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50,000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1,181</w:t>
            </w: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South segment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Jackpot Casino</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Tunica, MS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40,000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839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Ameristar Vicksburg</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Vicksburg, MS</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70,000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1,102</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24</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148</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Boomtown Biloxi</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Biloxi, MS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35,500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605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Boomtown Bossier City</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Bossier City, LA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30,000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806</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16</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187</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Boomtown New Orleans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Orleans, LA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30,000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1,132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150</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Casino Gulf Coast</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Bay St. Louis, MS</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51,000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829</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291</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Tunica</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Tunica, MS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54,000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900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494</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L’Auberge Baton Rouge</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Baton Rouge, LA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71,500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1,305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49</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205</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L’Auberge Lake Charles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Lake Charles, LA</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70,000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1,469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995</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Margaritaville Resort Casino</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Bossier City, LA</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Margaritaville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30,000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1,109</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395</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West segment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Ameristar Black Hawk</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Black Hawk, CO</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56,000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536</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Cactus Petes and Horseshu</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Jackpot, NV</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29,000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743</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416</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 Resort</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Henderson, NV</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96,000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1,073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390</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Tropicana Las Vegas</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Las Vegas, NV</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4"/>
              </w:rPr>
              <w:t>Tropicana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72,000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632</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1,470</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Zia Park Casino</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Hobbs, NM</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Land-based gaming/racing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18,000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754</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154</w:t>
            </w: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Midwest segment</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Ameristar Council Bluffs </w:t>
            </w:r>
            <w:r>
              <w:rPr>
                <w:rFonts w:ascii="Arial" w:cs="Arial" w:eastAsia="Arial" w:hAnsi="Arial"/>
                <w:sz w:val="16"/>
                <w:szCs w:val="16"/>
                <w:color w:val="auto"/>
                <w:vertAlign w:val="superscript"/>
              </w:rPr>
              <w:t>(5)</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Council Bluffs, IA</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35,000</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1,421</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444</w:t>
            </w:r>
          </w:p>
        </w:tc>
        <w:tc>
          <w:tcPr>
            <w:tcW w:w="0" w:type="dxa"/>
            <w:vAlign w:val="bottom"/>
          </w:tcPr>
          <w:p>
            <w:pPr>
              <w:spacing w:after="0"/>
              <w:rPr>
                <w:sz w:val="1"/>
                <w:szCs w:val="1"/>
                <w:color w:val="auto"/>
              </w:rPr>
            </w:pPr>
          </w:p>
        </w:tc>
      </w:tr>
      <w:tr>
        <w:trPr>
          <w:trHeight w:val="176"/>
        </w:trPr>
        <w:tc>
          <w:tcPr>
            <w:tcW w:w="2800" w:type="dxa"/>
            <w:vAlign w:val="bottom"/>
            <w:shd w:val="clear" w:color="auto" w:fill="CCEEFF"/>
          </w:tcPr>
          <w:p>
            <w:pPr>
              <w:ind w:left="140"/>
              <w:spacing w:after="0" w:line="175" w:lineRule="exact"/>
              <w:rPr>
                <w:sz w:val="20"/>
                <w:szCs w:val="20"/>
                <w:color w:val="auto"/>
              </w:rPr>
            </w:pPr>
            <w:r>
              <w:rPr>
                <w:rFonts w:ascii="Arial" w:cs="Arial" w:eastAsia="Arial" w:hAnsi="Arial"/>
                <w:sz w:val="13"/>
                <w:szCs w:val="13"/>
                <w:color w:val="auto"/>
              </w:rPr>
              <w:t xml:space="preserve">Argosy Casino Alton </w:t>
            </w:r>
            <w:r>
              <w:rPr>
                <w:rFonts w:ascii="Arial" w:cs="Arial" w:eastAsia="Arial" w:hAnsi="Arial"/>
                <w:sz w:val="16"/>
                <w:szCs w:val="16"/>
                <w:color w:val="auto"/>
                <w:vertAlign w:val="superscript"/>
              </w:rPr>
              <w:t>(6)</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Alton, IL</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23,000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705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Argosy Casino Riverside</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Riverside, MO</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56,000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1,200</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42</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258</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Aurora</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Aurora, IL</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53,000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976</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Casino Joliet</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Joliet, IL</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50,000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1,100</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100</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Hollywood Casino at Kansas Speedway </w:t>
            </w:r>
            <w:r>
              <w:rPr>
                <w:rFonts w:ascii="Arial" w:cs="Arial" w:eastAsia="Arial" w:hAnsi="Arial"/>
                <w:sz w:val="16"/>
                <w:szCs w:val="16"/>
                <w:color w:val="auto"/>
                <w:vertAlign w:val="superscript"/>
              </w:rPr>
              <w:t>(7)</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Kansas City, KS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Owned - JV</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95,000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2,000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Hollywood Casino St. Louis</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Maryland Heights, MO</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5"/>
              </w:rPr>
              <w:t>Penn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85"/>
              </w:rPr>
              <w:t>120,000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2,017</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502</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Prairie State Gaming </w:t>
            </w:r>
            <w:r>
              <w:rPr>
                <w:rFonts w:ascii="Arial" w:cs="Arial" w:eastAsia="Arial" w:hAnsi="Arial"/>
                <w:sz w:val="16"/>
                <w:szCs w:val="16"/>
                <w:color w:val="auto"/>
                <w:vertAlign w:val="superscript"/>
              </w:rPr>
              <w:t>(4)</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N/A</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6"/>
              </w:rPr>
              <w:t>Land-based gaming</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2,047</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Arial" w:cs="Arial" w:eastAsia="Arial" w:hAnsi="Arial"/>
                <w:sz w:val="13"/>
                <w:szCs w:val="13"/>
                <w:color w:val="auto"/>
              </w:rPr>
              <w:t>River City Casino</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St. Louis, MO</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Pinnacle Master Lease</w:t>
            </w:r>
          </w:p>
        </w:tc>
        <w:tc>
          <w:tcPr>
            <w:tcW w:w="18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Dockside gaming</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90,000</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1,945</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53</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Other</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Freehold Raceway </w:t>
            </w:r>
            <w:r>
              <w:rPr>
                <w:rFonts w:ascii="Arial" w:cs="Arial" w:eastAsia="Arial" w:hAnsi="Arial"/>
                <w:sz w:val="16"/>
                <w:szCs w:val="16"/>
                <w:color w:val="auto"/>
                <w:vertAlign w:val="superscript"/>
              </w:rPr>
              <w:t>(8)</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Freehold, NJ</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Owned - JV</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Standardbred racing</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Retama Park Racetrack </w:t>
            </w:r>
            <w:r>
              <w:rPr>
                <w:rFonts w:ascii="Arial" w:cs="Arial" w:eastAsia="Arial" w:hAnsi="Arial"/>
                <w:sz w:val="16"/>
                <w:szCs w:val="16"/>
                <w:color w:val="auto"/>
                <w:vertAlign w:val="superscript"/>
              </w:rPr>
              <w:t>(9)</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Selma, TX</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None - Managed</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Thoroughbred racing</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40"/>
              <w:spacing w:after="0" w:line="175" w:lineRule="exact"/>
              <w:rPr>
                <w:sz w:val="20"/>
                <w:szCs w:val="20"/>
                <w:color w:val="auto"/>
              </w:rPr>
            </w:pPr>
            <w:r>
              <w:rPr>
                <w:rFonts w:ascii="Arial" w:cs="Arial" w:eastAsia="Arial" w:hAnsi="Arial"/>
                <w:sz w:val="13"/>
                <w:szCs w:val="13"/>
                <w:color w:val="auto"/>
              </w:rPr>
              <w:t xml:space="preserve">Sam Houston Race Park </w:t>
            </w:r>
            <w:r>
              <w:rPr>
                <w:rFonts w:ascii="Arial" w:cs="Arial" w:eastAsia="Arial" w:hAnsi="Arial"/>
                <w:sz w:val="16"/>
                <w:szCs w:val="16"/>
                <w:color w:val="auto"/>
                <w:vertAlign w:val="superscript"/>
              </w:rPr>
              <w:t>(10)</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Houston, TX</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Owned - JV</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Thoroughbred racing</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Sanford-Orlando Kennel Club </w:t>
            </w:r>
            <w:r>
              <w:rPr>
                <w:rFonts w:ascii="Arial" w:cs="Arial" w:eastAsia="Arial" w:hAnsi="Arial"/>
                <w:sz w:val="16"/>
                <w:szCs w:val="16"/>
                <w:color w:val="auto"/>
                <w:vertAlign w:val="superscript"/>
              </w:rPr>
              <w:t>(11)</w:t>
            </w:r>
          </w:p>
        </w:tc>
        <w:tc>
          <w:tcPr>
            <w:tcW w:w="1640" w:type="dxa"/>
            <w:vAlign w:val="bottom"/>
            <w:gridSpan w:val="2"/>
          </w:tcPr>
          <w:p>
            <w:pPr>
              <w:ind w:left="20"/>
              <w:spacing w:after="0"/>
              <w:rPr>
                <w:sz w:val="20"/>
                <w:szCs w:val="20"/>
                <w:color w:val="auto"/>
              </w:rPr>
            </w:pPr>
            <w:r>
              <w:rPr>
                <w:rFonts w:ascii="Arial" w:cs="Arial" w:eastAsia="Arial" w:hAnsi="Arial"/>
                <w:sz w:val="13"/>
                <w:szCs w:val="13"/>
                <w:color w:val="auto"/>
              </w:rPr>
              <w:t>Longwood, FL</w:t>
            </w: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Owned</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Greyhound racing/simulcasting</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800" w:type="dxa"/>
            <w:vAlign w:val="bottom"/>
            <w:shd w:val="clear" w:color="auto" w:fill="CCEEFF"/>
          </w:tcPr>
          <w:p>
            <w:pPr>
              <w:ind w:left="140"/>
              <w:spacing w:after="0" w:line="175" w:lineRule="exact"/>
              <w:rPr>
                <w:sz w:val="20"/>
                <w:szCs w:val="20"/>
                <w:color w:val="auto"/>
              </w:rPr>
            </w:pPr>
            <w:r>
              <w:rPr>
                <w:rFonts w:ascii="Arial" w:cs="Arial" w:eastAsia="Arial" w:hAnsi="Arial"/>
                <w:sz w:val="13"/>
                <w:szCs w:val="13"/>
                <w:color w:val="auto"/>
              </w:rPr>
              <w:t xml:space="preserve">Valley Race Park </w:t>
            </w:r>
            <w:r>
              <w:rPr>
                <w:rFonts w:ascii="Arial" w:cs="Arial" w:eastAsia="Arial" w:hAnsi="Arial"/>
                <w:sz w:val="16"/>
                <w:szCs w:val="16"/>
                <w:color w:val="auto"/>
                <w:vertAlign w:val="superscript"/>
              </w:rPr>
              <w:t>(10)</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Harlingen, TX</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Owned - JV</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8"/>
              </w:rPr>
              <w:t>Greyhound racing</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6"/>
              </w:rPr>
              <w:t>2,411,350</w:t>
            </w:r>
          </w:p>
        </w:tc>
        <w:tc>
          <w:tcPr>
            <w:tcW w:w="1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5"/>
              </w:rPr>
              <w:t>48,032</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5"/>
              </w:rPr>
              <w:t>1,323</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5"/>
              </w:rPr>
              <w:t>8,791</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poker tables.</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expect that Hollywood Casino York and Hollywood Casino Morgantown will be included within our Northeast segment.</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168 rooms at our hotel and event center located less than a mile from the gaming facility.</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VGT route operations.</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284 rooms operated by a third party and located on land leased by us and subleased to such third party.</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riverboat is owned by us and not subject to the Penn Master Lease.</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Pursuant to a joint venture with NASCAR.</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Pursuant to a joint venture with Greenwood Limited Jersey, Inc., a subsidiary of Greenwood Racing, Inc.</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Pursuant to a management contract with Retama Development Corporation.</w:t>
      </w:r>
    </w:p>
    <w:p>
      <w:pPr>
        <w:spacing w:after="0" w:line="55" w:lineRule="exact"/>
        <w:rPr>
          <w:rFonts w:ascii="Arial" w:cs="Arial" w:eastAsia="Arial" w:hAnsi="Arial"/>
          <w:sz w:val="14"/>
          <w:szCs w:val="14"/>
          <w:color w:val="auto"/>
        </w:rPr>
      </w:pPr>
    </w:p>
    <w:p>
      <w:pPr>
        <w:ind w:left="500" w:hanging="330"/>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Pursuant to a joint venture with MAXXAM, Inc. (“MAXXAM”).</w:t>
      </w:r>
    </w:p>
    <w:p>
      <w:pPr>
        <w:spacing w:after="0" w:line="55" w:lineRule="exact"/>
        <w:rPr>
          <w:rFonts w:ascii="Arial" w:cs="Arial" w:eastAsia="Arial" w:hAnsi="Arial"/>
          <w:sz w:val="14"/>
          <w:szCs w:val="14"/>
          <w:color w:val="auto"/>
        </w:rPr>
      </w:pPr>
    </w:p>
    <w:p>
      <w:pPr>
        <w:ind w:left="500" w:right="20" w:hanging="330"/>
        <w:spacing w:after="0" w:line="273" w:lineRule="auto"/>
        <w:tabs>
          <w:tab w:leader="none" w:pos="49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fourth quarter of 2020, we sold the land underlying the Sanford-Orlando Kennel Club racetrack which discontinued our live racing operations. We continue to operate our simulcast racing business.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Segment</w:t>
      </w:r>
    </w:p>
    <w:p>
      <w:pPr>
        <w:spacing w:after="0" w:line="20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i w:val="1"/>
          <w:iCs w:val="1"/>
          <w:color w:val="auto"/>
        </w:rPr>
        <w:t xml:space="preserve">Ameristar East Chicago </w:t>
      </w:r>
      <w:r>
        <w:rPr>
          <w:rFonts w:ascii="Arial" w:cs="Arial" w:eastAsia="Arial" w:hAnsi="Arial"/>
          <w:sz w:val="18"/>
          <w:szCs w:val="18"/>
          <w:color w:val="auto"/>
        </w:rPr>
        <w:t>is located less than 25 miles from downtown Chicago, Illinois and offers guests a gaming and entertainment experience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Chicago metropolitan area. In addition to gaming amenities, the property features a full-service hotel, a sportsbook for live sports betting, a fitness center, dining venues, lounges and 5,400 square feet of meeting and event space.</w:t>
      </w:r>
    </w:p>
    <w:p>
      <w:pPr>
        <w:spacing w:after="0" w:line="211"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i w:val="1"/>
          <w:iCs w:val="1"/>
          <w:color w:val="auto"/>
        </w:rPr>
        <w:t xml:space="preserve">Greektown Casino-Hotel </w:t>
      </w:r>
      <w:r>
        <w:rPr>
          <w:rFonts w:ascii="Arial" w:cs="Arial" w:eastAsia="Arial" w:hAnsi="Arial"/>
          <w:sz w:val="17"/>
          <w:szCs w:val="17"/>
          <w:color w:val="auto"/>
        </w:rPr>
        <w:t>is located in the Greektown district of Detroit, Michigan, and is one of four casino hotels in the Detroit-Windsor area.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slot machines, table games, poker tables and a sportsbook for live sports betting, the property features a 30-story hotel, several food and beverage options from casual to fine dining, as well as 10,000 square feet of convention and banquet space.</w:t>
      </w:r>
    </w:p>
    <w:p>
      <w:pPr>
        <w:spacing w:after="0" w:line="19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 xml:space="preserve">Hollywood Casino </w:t>
      </w:r>
      <w:r>
        <w:rPr>
          <w:rFonts w:ascii="Arial" w:cs="Arial" w:eastAsia="Arial" w:hAnsi="Arial"/>
          <w:sz w:val="18"/>
          <w:szCs w:val="18"/>
          <w:color w:val="auto"/>
        </w:rPr>
        <w:t>Bangor is located less than five miles from the Bangor airport in Maine. It features slot machines, table games and poker tables,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hotel with 5,100 square feet of meeting and multipurpose space; and dining and entertainment options. Bangor Raceway, which is adjacent to the property, is located at historic Bass Park and includes a one-half mile standardbred racetrack and a 12,000 square foot grandstand capable of seating 3,500 patrons.</w:t>
      </w:r>
    </w:p>
    <w:p>
      <w:pPr>
        <w:spacing w:after="0" w:line="21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Hollywood Casino at Charles Town Races </w:t>
      </w:r>
      <w:r>
        <w:rPr>
          <w:rFonts w:ascii="Arial" w:cs="Arial" w:eastAsia="Arial" w:hAnsi="Arial"/>
          <w:sz w:val="18"/>
          <w:szCs w:val="18"/>
          <w:color w:val="auto"/>
        </w:rPr>
        <w:t>is located within approximately an hour drive of the Baltimore, Maryland and Washington, D.C. markets.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slot machines, table games and poker tables, the property includes a sportsbook for live sports betting, as well as a variety of dining options. The complex also features live thoroughbred racing at a 3/4-mile all-weather lighted thoroughbred racetrack with a 3,000-seat grandstand and simulcast wagering.</w:t>
      </w:r>
    </w:p>
    <w:p>
      <w:pPr>
        <w:spacing w:after="0" w:line="2"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i w:val="1"/>
          <w:iCs w:val="1"/>
          <w:color w:val="auto"/>
        </w:rPr>
        <w:t xml:space="preserve">Hollywood Casino Columbus </w:t>
      </w:r>
      <w:r>
        <w:rPr>
          <w:rFonts w:ascii="Arial" w:cs="Arial" w:eastAsia="Arial" w:hAnsi="Arial"/>
          <w:sz w:val="18"/>
          <w:szCs w:val="18"/>
          <w:color w:val="auto"/>
        </w:rPr>
        <w:t>is a Hollywood-themed casino located in Columbus, Ohio. It features slot machines, table games and poker tables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multiple food and beverage outlets, and an entertainment lounge.</w:t>
      </w:r>
    </w:p>
    <w:p>
      <w:pPr>
        <w:spacing w:after="0" w:line="2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Hollywood Casino Lawrenceburg </w:t>
      </w:r>
      <w:r>
        <w:rPr>
          <w:rFonts w:ascii="Arial" w:cs="Arial" w:eastAsia="Arial" w:hAnsi="Arial"/>
          <w:sz w:val="18"/>
          <w:szCs w:val="18"/>
          <w:color w:val="auto"/>
        </w:rPr>
        <w:t>is a Hollywood-themed casino riverboat located along the Ohio River in Lawrenceburg, Indiana, approximately 15</w:t>
      </w:r>
      <w:r>
        <w:rPr>
          <w:rFonts w:ascii="Arial" w:cs="Arial" w:eastAsia="Arial" w:hAnsi="Arial"/>
          <w:sz w:val="18"/>
          <w:szCs w:val="18"/>
          <w:i w:val="1"/>
          <w:iCs w:val="1"/>
          <w:color w:val="auto"/>
        </w:rPr>
        <w:t xml:space="preserve"> </w:t>
      </w:r>
      <w:r>
        <w:rPr>
          <w:rFonts w:ascii="Arial" w:cs="Arial" w:eastAsia="Arial" w:hAnsi="Arial"/>
          <w:sz w:val="18"/>
          <w:szCs w:val="18"/>
          <w:color w:val="auto"/>
        </w:rPr>
        <w:t>miles west of Cincinnati, Ohio. In addition to slot machines, table games, and poker tables, the riverboat features a sportsbook for live sports betting, as well as a variety of dining options. The hotel and event center, located within one mile from the casino, includes 18,000 square feet of multipurpose space and 19,500 square feet of ballroom and meeting space.</w:t>
      </w:r>
    </w:p>
    <w:p>
      <w:pPr>
        <w:spacing w:after="0" w:line="214"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i w:val="1"/>
          <w:iCs w:val="1"/>
          <w:color w:val="auto"/>
        </w:rPr>
        <w:t xml:space="preserve">Hollywood Casino at Penn National Race Course </w:t>
      </w:r>
      <w:r>
        <w:rPr>
          <w:rFonts w:ascii="Arial" w:cs="Arial" w:eastAsia="Arial" w:hAnsi="Arial"/>
          <w:sz w:val="18"/>
          <w:szCs w:val="18"/>
          <w:color w:val="auto"/>
        </w:rPr>
        <w:t>is located 15 miles northeast of Harrisburg, Pennsylvania. This gaming facility also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dining and entertainment options, as well as sports betting and a viewing area for live racing. The property includes a one-mile all-weather lighted thoroughbred racetrack and a 7/8-mile turf track.</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 xml:space="preserve">Hollywood Casino Toledo </w:t>
      </w:r>
      <w:r>
        <w:rPr>
          <w:rFonts w:ascii="Arial" w:cs="Arial" w:eastAsia="Arial" w:hAnsi="Arial"/>
          <w:sz w:val="18"/>
          <w:szCs w:val="18"/>
          <w:color w:val="auto"/>
        </w:rPr>
        <w:t>is a Hollywood-themed casino, located on the bank of the Maumee River, in Toledo, Ohio. The property features slot</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table games and poker tables, as well as multiple food and beverage outlets and an entertainment lounge.</w:t>
      </w:r>
    </w:p>
    <w:p>
      <w:pPr>
        <w:spacing w:after="0" w:line="19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Hollywood Gaming at Dayton Raceway </w:t>
      </w:r>
      <w:r>
        <w:rPr>
          <w:rFonts w:ascii="Arial" w:cs="Arial" w:eastAsia="Arial" w:hAnsi="Arial"/>
          <w:sz w:val="18"/>
          <w:szCs w:val="18"/>
          <w:color w:val="auto"/>
        </w:rPr>
        <w:t>is a Hollywood-themed casino and raceway located in Dayton, Ohio. It features video lottery terminals, a 5/8-mile standardbred racetrack, as well as various restaurants and bars, amongst other amenities.</w:t>
      </w:r>
    </w:p>
    <w:p>
      <w:pPr>
        <w:spacing w:after="0" w:line="19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i w:val="1"/>
          <w:iCs w:val="1"/>
          <w:color w:val="auto"/>
        </w:rPr>
        <w:t xml:space="preserve">Hollywood Gaming at Mahoning Valley Race Course </w:t>
      </w:r>
      <w:r>
        <w:rPr>
          <w:rFonts w:ascii="Arial" w:cs="Arial" w:eastAsia="Arial" w:hAnsi="Arial"/>
          <w:sz w:val="17"/>
          <w:szCs w:val="17"/>
          <w:color w:val="auto"/>
        </w:rPr>
        <w:t>is a Hollywood-themed casino and raceway located in Youngstown, Ohio featuring video lottery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terminals and a one-mile thoroughbred racetrack. The property also includes various restaurants, and bars, amongst other amenities.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Marquee by Penn </w:t>
      </w:r>
      <w:r>
        <w:rPr>
          <w:rFonts w:ascii="Arial" w:cs="Arial" w:eastAsia="Arial" w:hAnsi="Arial"/>
          <w:sz w:val="18"/>
          <w:szCs w:val="18"/>
          <w:color w:val="auto"/>
        </w:rPr>
        <w:t>is our licensed VGT route operator with a network of 23 truck stop establishments in Pennsylvania.</w:t>
      </w:r>
    </w:p>
    <w:p>
      <w:pPr>
        <w:spacing w:after="0" w:line="25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Meadows Racetrack and Casino </w:t>
      </w:r>
      <w:r>
        <w:rPr>
          <w:rFonts w:ascii="Arial" w:cs="Arial" w:eastAsia="Arial" w:hAnsi="Arial"/>
          <w:sz w:val="18"/>
          <w:szCs w:val="18"/>
          <w:color w:val="auto"/>
        </w:rPr>
        <w:t>is located in Washington, Pennsylvania, approximately 25 miles south of Pittsburgh, Pennsylvania.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gaming amenities, the property offers a sportsbook for live sports betting, several dining options, as well as an event and banquet center, a simulcast betting parlor, a harness racetrack and a bowling alley.</w:t>
      </w:r>
    </w:p>
    <w:p>
      <w:pPr>
        <w:spacing w:after="0" w:line="2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i w:val="1"/>
          <w:iCs w:val="1"/>
          <w:color w:val="auto"/>
        </w:rPr>
        <w:t xml:space="preserve">Plainridge Park Casino </w:t>
      </w:r>
      <w:r>
        <w:rPr>
          <w:rFonts w:ascii="Arial" w:cs="Arial" w:eastAsia="Arial" w:hAnsi="Arial"/>
          <w:sz w:val="18"/>
          <w:szCs w:val="18"/>
          <w:color w:val="auto"/>
        </w:rPr>
        <w:t>is located 20 miles southwest of the Boston beltway just off interstate 95 in Plainville, Massachusetts. In addition to gaming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Plainridge Park Casino features various restaurants and bars, along with a 5/8-mile live harness racing facility with a two-story clubhouse for simulcast operations, special events, and live racing viewing.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Segment</w:t>
      </w:r>
    </w:p>
    <w:p>
      <w:pPr>
        <w:spacing w:after="0" w:line="255" w:lineRule="exact"/>
        <w:rPr>
          <w:sz w:val="20"/>
          <w:szCs w:val="20"/>
          <w:color w:val="auto"/>
        </w:rPr>
      </w:pPr>
    </w:p>
    <w:p>
      <w:pPr>
        <w:ind w:right="20" w:firstLine="324"/>
        <w:spacing w:after="0" w:line="221" w:lineRule="auto"/>
        <w:rPr>
          <w:sz w:val="20"/>
          <w:szCs w:val="20"/>
          <w:color w:val="auto"/>
        </w:rPr>
      </w:pPr>
      <w:r>
        <w:rPr>
          <w:rFonts w:ascii="Arial" w:cs="Arial" w:eastAsia="Arial" w:hAnsi="Arial"/>
          <w:sz w:val="18"/>
          <w:szCs w:val="18"/>
          <w:i w:val="1"/>
          <w:iCs w:val="1"/>
          <w:color w:val="auto"/>
        </w:rPr>
        <w:t>1</w:t>
      </w:r>
      <w:r>
        <w:rPr>
          <w:rFonts w:ascii="Arial" w:cs="Arial" w:eastAsia="Arial" w:hAnsi="Arial"/>
          <w:sz w:val="28"/>
          <w:szCs w:val="28"/>
          <w:i w:val="1"/>
          <w:iCs w:val="1"/>
          <w:color w:val="auto"/>
          <w:vertAlign w:val="superscript"/>
        </w:rPr>
        <w:t>st</w:t>
      </w:r>
      <w:r>
        <w:rPr>
          <w:rFonts w:ascii="Arial" w:cs="Arial" w:eastAsia="Arial" w:hAnsi="Arial"/>
          <w:sz w:val="18"/>
          <w:szCs w:val="18"/>
          <w:i w:val="1"/>
          <w:iCs w:val="1"/>
          <w:color w:val="auto"/>
        </w:rPr>
        <w:t xml:space="preserve"> Jackpot Casino </w:t>
      </w:r>
      <w:r>
        <w:rPr>
          <w:rFonts w:ascii="Arial" w:cs="Arial" w:eastAsia="Arial" w:hAnsi="Arial"/>
          <w:sz w:val="18"/>
          <w:szCs w:val="18"/>
          <w:color w:val="auto"/>
        </w:rPr>
        <w:t>is the closest Tunica-area casino to downtown Memphis, Tennessee. It features slot machines, table games, a café, a sportsbook and</w:t>
      </w:r>
      <w:r>
        <w:rPr>
          <w:rFonts w:ascii="Arial" w:cs="Arial" w:eastAsia="Arial" w:hAnsi="Arial"/>
          <w:sz w:val="18"/>
          <w:szCs w:val="18"/>
          <w:i w:val="1"/>
          <w:iCs w:val="1"/>
          <w:color w:val="auto"/>
        </w:rPr>
        <w:t xml:space="preserve"> </w:t>
      </w:r>
      <w:r>
        <w:rPr>
          <w:rFonts w:ascii="Arial" w:cs="Arial" w:eastAsia="Arial" w:hAnsi="Arial"/>
          <w:sz w:val="18"/>
          <w:szCs w:val="18"/>
          <w:color w:val="auto"/>
        </w:rPr>
        <w:t>a live entertainment venue.</w:t>
      </w:r>
    </w:p>
    <w:p>
      <w:pPr>
        <w:spacing w:after="0" w:line="23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 xml:space="preserve">Ameristar Vicksburg, </w:t>
      </w:r>
      <w:r>
        <w:rPr>
          <w:rFonts w:ascii="Arial" w:cs="Arial" w:eastAsia="Arial" w:hAnsi="Arial"/>
          <w:sz w:val="18"/>
          <w:szCs w:val="18"/>
          <w:color w:val="auto"/>
        </w:rPr>
        <w:t>which is the largest dockside casino in central Mississippi, is located along the Mississippi River approximately 45 miles west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Mississippi’s largest city, Jackson. In addition to gaming amenities, the property features a hotel, multiple dining and bar facilities, an 1,800 square feet of meeting and event space, a sports book and an RV park.</w:t>
      </w:r>
    </w:p>
    <w:p>
      <w:pPr>
        <w:spacing w:after="0" w:line="21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i w:val="1"/>
          <w:iCs w:val="1"/>
          <w:color w:val="auto"/>
        </w:rPr>
        <w:t xml:space="preserve">Boomtown Biloxi, </w:t>
      </w:r>
      <w:r>
        <w:rPr>
          <w:rFonts w:ascii="Arial" w:cs="Arial" w:eastAsia="Arial" w:hAnsi="Arial"/>
          <w:sz w:val="17"/>
          <w:szCs w:val="17"/>
          <w:color w:val="auto"/>
        </w:rPr>
        <w:t>located in Biloxi Mississippi, offers slot machines and table games, and a sportsbook for live sports betting, as well as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dining options. The property also includes a recreational vehicle park, and a 3,600 square foot event center and board room.</w:t>
      </w:r>
    </w:p>
    <w:p>
      <w:pPr>
        <w:spacing w:after="0" w:line="17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 xml:space="preserve">Boomtown Bossier City </w:t>
      </w:r>
      <w:r>
        <w:rPr>
          <w:rFonts w:ascii="Arial" w:cs="Arial" w:eastAsia="Arial" w:hAnsi="Arial"/>
          <w:sz w:val="16"/>
          <w:szCs w:val="16"/>
          <w:color w:val="auto"/>
        </w:rPr>
        <w:t>features a hotel adjoining a dockside riverboat casino located less than one mile from the Louisiana Boardwalk. It also offers</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dining options, ranging from a high-end steakhouse to casual dining restaurants, and 1,500 square feet of meeting and conference space.</w:t>
      </w:r>
    </w:p>
    <w:p>
      <w:pPr>
        <w:spacing w:after="0" w:line="15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i w:val="1"/>
          <w:iCs w:val="1"/>
          <w:color w:val="auto"/>
        </w:rPr>
        <w:t xml:space="preserve">Boomtown New Orleans </w:t>
      </w:r>
      <w:r>
        <w:rPr>
          <w:rFonts w:ascii="Arial" w:cs="Arial" w:eastAsia="Arial" w:hAnsi="Arial"/>
          <w:sz w:val="18"/>
          <w:szCs w:val="18"/>
          <w:color w:val="auto"/>
        </w:rPr>
        <w:t>is located in the West Bank area across the Mississippi River and approximately 15 minutes from the French Quarter of New</w:t>
      </w:r>
      <w:r>
        <w:rPr>
          <w:rFonts w:ascii="Arial" w:cs="Arial" w:eastAsia="Arial" w:hAnsi="Arial"/>
          <w:sz w:val="18"/>
          <w:szCs w:val="18"/>
          <w:i w:val="1"/>
          <w:iCs w:val="1"/>
          <w:color w:val="auto"/>
        </w:rPr>
        <w:t xml:space="preserve"> </w:t>
      </w:r>
      <w:r>
        <w:rPr>
          <w:rFonts w:ascii="Arial" w:cs="Arial" w:eastAsia="Arial" w:hAnsi="Arial"/>
          <w:sz w:val="18"/>
          <w:szCs w:val="18"/>
          <w:color w:val="auto"/>
        </w:rPr>
        <w:t>Orleans, Louisiana. In addition to gaming amenities, it also features a five-story hotel, a fitness center, several restaurants, a 500-seat entertainment venue, and over 14,000 square feet of meeting and conference space.</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Hollywood Casino Gulf Coast </w:t>
      </w:r>
      <w:r>
        <w:rPr>
          <w:rFonts w:ascii="Arial" w:cs="Arial" w:eastAsia="Arial" w:hAnsi="Arial"/>
          <w:sz w:val="18"/>
          <w:szCs w:val="18"/>
          <w:color w:val="auto"/>
        </w:rPr>
        <w:t>is located in Bay St. Louis, Mississippi and features slot machines, table games, and a sportsbook for live sports betting.</w:t>
      </w:r>
      <w:r>
        <w:rPr>
          <w:rFonts w:ascii="Arial" w:cs="Arial" w:eastAsia="Arial" w:hAnsi="Arial"/>
          <w:sz w:val="18"/>
          <w:szCs w:val="18"/>
          <w:i w:val="1"/>
          <w:iCs w:val="1"/>
          <w:color w:val="auto"/>
        </w:rPr>
        <w:t xml:space="preserve"> </w:t>
      </w:r>
      <w:r>
        <w:rPr>
          <w:rFonts w:ascii="Arial" w:cs="Arial" w:eastAsia="Arial" w:hAnsi="Arial"/>
          <w:sz w:val="18"/>
          <w:szCs w:val="18"/>
          <w:color w:val="auto"/>
        </w:rPr>
        <w:t>The property also features a golf course, various dining options, and an RV park amongst other amenities. The waterfront hotel includes a 10,000 square foot ballroom, and nine separate meeting rooms offering more than 14,000 square feet of meeting space.</w:t>
      </w:r>
    </w:p>
    <w:p>
      <w:pPr>
        <w:spacing w:after="0" w:line="21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 xml:space="preserve">Hollywood Casino Tunica </w:t>
      </w:r>
      <w:r>
        <w:rPr>
          <w:rFonts w:ascii="Arial" w:cs="Arial" w:eastAsia="Arial" w:hAnsi="Arial"/>
          <w:sz w:val="18"/>
          <w:szCs w:val="18"/>
          <w:color w:val="auto"/>
        </w:rPr>
        <w:t>is a Hollywood-themed casino, located less than 10 miles from Tunica County River Park. In addition to gaming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it features a sportsbook for live sports betting, a hotel, a 123-space recreational vehicle park, various dining and bar options, and banquet and meeting facilities.</w:t>
      </w:r>
    </w:p>
    <w:p>
      <w:pPr>
        <w:spacing w:after="0" w:line="21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i w:val="1"/>
          <w:iCs w:val="1"/>
          <w:color w:val="auto"/>
        </w:rPr>
        <w:t xml:space="preserve">L’Auberge Baton Rouge </w:t>
      </w:r>
      <w:r>
        <w:rPr>
          <w:rFonts w:ascii="Arial" w:cs="Arial" w:eastAsia="Arial" w:hAnsi="Arial"/>
          <w:sz w:val="17"/>
          <w:szCs w:val="17"/>
          <w:color w:val="auto"/>
        </w:rPr>
        <w:t>is located approximately ten miles southeast of downtown Baton Rouge, Louisiana. In addition to gaming options,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features a 12-story hotel, a variety of dining choices, and 13,000 square feet of meeting and event space.</w:t>
      </w:r>
    </w:p>
    <w:p>
      <w:pPr>
        <w:spacing w:after="0" w:line="1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L’Auberge Lake Charles </w:t>
      </w:r>
      <w:r>
        <w:rPr>
          <w:rFonts w:ascii="Arial" w:cs="Arial" w:eastAsia="Arial" w:hAnsi="Arial"/>
          <w:sz w:val="18"/>
          <w:szCs w:val="18"/>
          <w:color w:val="auto"/>
        </w:rPr>
        <w:t>offers one of the closest full-scale casino hotel facilities to Houston, Texas, as well as to the Austin, Texas and San Antonio,</w:t>
      </w:r>
      <w:r>
        <w:rPr>
          <w:rFonts w:ascii="Arial" w:cs="Arial" w:eastAsia="Arial" w:hAnsi="Arial"/>
          <w:sz w:val="18"/>
          <w:szCs w:val="18"/>
          <w:i w:val="1"/>
          <w:iCs w:val="1"/>
          <w:color w:val="auto"/>
        </w:rPr>
        <w:t xml:space="preserve"> </w:t>
      </w:r>
      <w:r>
        <w:rPr>
          <w:rFonts w:ascii="Arial" w:cs="Arial" w:eastAsia="Arial" w:hAnsi="Arial"/>
          <w:sz w:val="18"/>
          <w:szCs w:val="18"/>
          <w:color w:val="auto"/>
        </w:rPr>
        <w:t>Texas metropolitan areas. The location is approximately 140 miles from Houston and approximately 300 miles and 335 miles from Austin and San Antonio, respectively. In addition to gaming amenities, the property features several dining outlets, a golf course, a full-service spa, and more than 26,000 square feet of meeting and event space.</w:t>
      </w:r>
    </w:p>
    <w:p>
      <w:pPr>
        <w:spacing w:after="0" w:line="214"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i w:val="1"/>
          <w:iCs w:val="1"/>
          <w:color w:val="auto"/>
        </w:rPr>
        <w:t xml:space="preserve">Margaritaville Resort Casino </w:t>
      </w:r>
      <w:r>
        <w:rPr>
          <w:rFonts w:ascii="Arial" w:cs="Arial" w:eastAsia="Arial" w:hAnsi="Arial"/>
          <w:sz w:val="17"/>
          <w:szCs w:val="17"/>
          <w:color w:val="auto"/>
        </w:rPr>
        <w:t>is one of the premier gaming, lodging, dining and entertainment experiences in Northern Louisiana. The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an island-style theme and includes a 15,000 square foot 1,000-seat theater, and 9,500 square feet of meeting space.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Segment</w:t>
      </w:r>
    </w:p>
    <w:p>
      <w:pPr>
        <w:spacing w:after="0" w:line="18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 xml:space="preserve">Ameristar Black Hawk </w:t>
      </w:r>
      <w:r>
        <w:rPr>
          <w:rFonts w:ascii="Arial" w:cs="Arial" w:eastAsia="Arial" w:hAnsi="Arial"/>
          <w:sz w:val="18"/>
          <w:szCs w:val="18"/>
          <w:color w:val="auto"/>
        </w:rPr>
        <w:t>is located in the center of the Black Hawk gaming district, approximately 40 miles west of Denver, Colorado.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gaming amenities, the resort features a hotel, a full-service day spa, several dining outlets, a live entertainment bar, and 15,000 square feet of meeting and event space.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i w:val="1"/>
          <w:iCs w:val="1"/>
          <w:color w:val="auto"/>
        </w:rPr>
        <w:t xml:space="preserve">Cactus Petes and Horseshu </w:t>
      </w:r>
      <w:r>
        <w:rPr>
          <w:rFonts w:ascii="Arial" w:cs="Arial" w:eastAsia="Arial" w:hAnsi="Arial"/>
          <w:sz w:val="18"/>
          <w:szCs w:val="18"/>
          <w:color w:val="auto"/>
        </w:rPr>
        <w:t>(collectively, “the Jackpot Properties”) are located just south of the Idaho border in Jackpot, Nevada. The Jackpot</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collectively feature two hotels, several dining options, a 4,000 seat amphitheater, a showroom, a live entertainment lounge, and meeting and event facilities.</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M Resort</w:t>
      </w:r>
      <w:r>
        <w:rPr>
          <w:rFonts w:ascii="Arial" w:cs="Arial" w:eastAsia="Arial" w:hAnsi="Arial"/>
          <w:sz w:val="18"/>
          <w:szCs w:val="18"/>
          <w:color w:val="auto"/>
        </w:rPr>
        <w:t>, located approximately ten miles from the Las Vegas strip in Henderson, Nevada, is situated at the southeast corner of Las Vegas Boulevard</w:t>
      </w:r>
      <w:r>
        <w:rPr>
          <w:rFonts w:ascii="Arial" w:cs="Arial" w:eastAsia="Arial" w:hAnsi="Arial"/>
          <w:sz w:val="18"/>
          <w:szCs w:val="18"/>
          <w:i w:val="1"/>
          <w:iCs w:val="1"/>
          <w:color w:val="auto"/>
        </w:rPr>
        <w:t xml:space="preserve"> </w:t>
      </w:r>
      <w:r>
        <w:rPr>
          <w:rFonts w:ascii="Arial" w:cs="Arial" w:eastAsia="Arial" w:hAnsi="Arial"/>
          <w:sz w:val="18"/>
          <w:szCs w:val="18"/>
          <w:color w:val="auto"/>
        </w:rPr>
        <w:t>and St. Rose Parkway. The resort features slot machines, table games and a sportsbook for live sports betting, as well as a hotel and a variety of dining and bar options. The property also features more than 60,000 square feet of meeting and conference space, a spa and fitness center, and a 100,000 square foot event center.</w:t>
      </w:r>
    </w:p>
    <w:p>
      <w:pPr>
        <w:spacing w:after="0" w:line="25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i w:val="1"/>
          <w:iCs w:val="1"/>
          <w:color w:val="auto"/>
        </w:rPr>
        <w:t>Tropicana Las Vegas</w:t>
      </w:r>
      <w:r>
        <w:rPr>
          <w:rFonts w:ascii="Arial" w:cs="Arial" w:eastAsia="Arial" w:hAnsi="Arial"/>
          <w:sz w:val="16"/>
          <w:szCs w:val="16"/>
          <w:color w:val="auto"/>
        </w:rPr>
        <w:t>, located on the strip in Las Vegas, Nevada, is situated at the corner of Tropicana Boulevard and Las Vegas Boulevard.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to gaming, the resort features a hotel, a sportsbook kiosk, full-service restaurants, a food court, and a variety of bar and lounge options. The property also includes entertainment venues, over 100,000 square feet of exhibition and meeting space, and a five-acre tropical beach event area and spa.</w:t>
      </w:r>
    </w:p>
    <w:p>
      <w:pPr>
        <w:spacing w:after="0" w:line="1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Zia Park Casino </w:t>
      </w:r>
      <w:r>
        <w:rPr>
          <w:rFonts w:ascii="Arial" w:cs="Arial" w:eastAsia="Arial" w:hAnsi="Arial"/>
          <w:sz w:val="18"/>
          <w:szCs w:val="18"/>
          <w:color w:val="auto"/>
        </w:rPr>
        <w:t>is located in Hobbs, New Mexico, and features slot machines, a hotel, restaurants, a one-mile quarter/thoroughbred racetrack with live</w:t>
      </w:r>
      <w:r>
        <w:rPr>
          <w:rFonts w:ascii="Arial" w:cs="Arial" w:eastAsia="Arial" w:hAnsi="Arial"/>
          <w:sz w:val="18"/>
          <w:szCs w:val="18"/>
          <w:i w:val="1"/>
          <w:iCs w:val="1"/>
          <w:color w:val="auto"/>
        </w:rPr>
        <w:t xml:space="preserve"> </w:t>
      </w:r>
      <w:r>
        <w:rPr>
          <w:rFonts w:ascii="Arial" w:cs="Arial" w:eastAsia="Arial" w:hAnsi="Arial"/>
          <w:sz w:val="18"/>
          <w:szCs w:val="18"/>
          <w:color w:val="auto"/>
        </w:rPr>
        <w:t>racing from September to December, and a year-round simulcast parlor.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Midwest Segment</w:t>
      </w:r>
    </w:p>
    <w:p>
      <w:pPr>
        <w:spacing w:after="0" w:line="18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i w:val="1"/>
          <w:iCs w:val="1"/>
          <w:color w:val="auto"/>
        </w:rPr>
        <w:t xml:space="preserve">Ameristar Council Bluffs </w:t>
      </w:r>
      <w:r>
        <w:rPr>
          <w:rFonts w:ascii="Arial" w:cs="Arial" w:eastAsia="Arial" w:hAnsi="Arial"/>
          <w:sz w:val="18"/>
          <w:szCs w:val="18"/>
          <w:color w:val="auto"/>
        </w:rPr>
        <w:t>is located across the Missouri River from Omaha, Nebraska and includes the largest riverboat in Iowa. In addition to gaming</w:t>
      </w:r>
      <w:r>
        <w:rPr>
          <w:rFonts w:ascii="Arial" w:cs="Arial" w:eastAsia="Arial" w:hAnsi="Arial"/>
          <w:sz w:val="18"/>
          <w:szCs w:val="18"/>
          <w:i w:val="1"/>
          <w:iCs w:val="1"/>
          <w:color w:val="auto"/>
        </w:rPr>
        <w:t xml:space="preserve"> </w:t>
      </w:r>
      <w:r>
        <w:rPr>
          <w:rFonts w:ascii="Arial" w:cs="Arial" w:eastAsia="Arial" w:hAnsi="Arial"/>
          <w:sz w:val="18"/>
          <w:szCs w:val="18"/>
          <w:color w:val="auto"/>
        </w:rPr>
        <w:t>amenities, the property also features a hotel, a fitness center, several dining facilities, a sports bar featuring a sportsbook with live sports betting, and 5,000 square feet of convention and meeting space.</w:t>
      </w:r>
    </w:p>
    <w:p>
      <w:pPr>
        <w:spacing w:after="0" w:line="2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Argosy Casino Alton </w:t>
      </w:r>
      <w:r>
        <w:rPr>
          <w:rFonts w:ascii="Arial" w:cs="Arial" w:eastAsia="Arial" w:hAnsi="Arial"/>
          <w:sz w:val="18"/>
          <w:szCs w:val="18"/>
          <w:color w:val="auto"/>
        </w:rPr>
        <w:t>is located on the Mississippi River in Alton, Illinois, approximately 20 miles northeast of downtown St. Louis, Missouri. Argosy</w:t>
      </w:r>
      <w:r>
        <w:rPr>
          <w:rFonts w:ascii="Arial" w:cs="Arial" w:eastAsia="Arial" w:hAnsi="Arial"/>
          <w:sz w:val="18"/>
          <w:szCs w:val="18"/>
          <w:i w:val="1"/>
          <w:iCs w:val="1"/>
          <w:color w:val="auto"/>
        </w:rPr>
        <w:t xml:space="preserve"> </w:t>
      </w:r>
      <w:r>
        <w:rPr>
          <w:rFonts w:ascii="Arial" w:cs="Arial" w:eastAsia="Arial" w:hAnsi="Arial"/>
          <w:sz w:val="18"/>
          <w:szCs w:val="18"/>
          <w:color w:val="auto"/>
        </w:rPr>
        <w:t>Casino Alton is a three-deck riverboat featuring slot machines, table games and a sportsbook for live betting. Argosy Casino Alton includes an entertainment pavilion and features a deli, a VIP lounge and a 475-seat main showroom.</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Argosy Casino Riverside </w:t>
      </w:r>
      <w:r>
        <w:rPr>
          <w:rFonts w:ascii="Arial" w:cs="Arial" w:eastAsia="Arial" w:hAnsi="Arial"/>
          <w:sz w:val="18"/>
          <w:szCs w:val="18"/>
          <w:color w:val="auto"/>
        </w:rPr>
        <w:t>is located on the Missouri River, approximately five miles from downtown Kansas City. In addition to gaming amenities,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Mediterranean-themed property features a nine-story hotel, a spa, an entertainment facility featuring various food and beverage areas, a VIP lounge and a sports/entertainment lounge and 19,000 square feet of banquet/conference facilities.</w:t>
      </w:r>
    </w:p>
    <w:p>
      <w:pPr>
        <w:spacing w:after="0" w:line="21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i w:val="1"/>
          <w:iCs w:val="1"/>
          <w:color w:val="auto"/>
        </w:rPr>
        <w:t xml:space="preserve">Hollywood Casino Aurora </w:t>
      </w:r>
      <w:r>
        <w:rPr>
          <w:rFonts w:ascii="Arial" w:cs="Arial" w:eastAsia="Arial" w:hAnsi="Arial"/>
          <w:sz w:val="18"/>
          <w:szCs w:val="18"/>
          <w:color w:val="auto"/>
        </w:rPr>
        <w:t>is located in Aurora, Illinois, the second largest city in Illinois, approximately 35 miles west of Chicago. This single-level</w:t>
      </w:r>
      <w:r>
        <w:rPr>
          <w:rFonts w:ascii="Arial" w:cs="Arial" w:eastAsia="Arial" w:hAnsi="Arial"/>
          <w:sz w:val="18"/>
          <w:szCs w:val="18"/>
          <w:i w:val="1"/>
          <w:iCs w:val="1"/>
          <w:color w:val="auto"/>
        </w:rPr>
        <w:t xml:space="preserve"> </w:t>
      </w:r>
      <w:r>
        <w:rPr>
          <w:rFonts w:ascii="Arial" w:cs="Arial" w:eastAsia="Arial" w:hAnsi="Arial"/>
          <w:sz w:val="18"/>
          <w:szCs w:val="18"/>
          <w:color w:val="auto"/>
        </w:rPr>
        <w:t>dockside casino offers guests gaming amenities, including a poker room and a sportsbook for live sports betting and features multiple dining and bar options.</w:t>
      </w: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i w:val="1"/>
          <w:iCs w:val="1"/>
          <w:color w:val="auto"/>
        </w:rPr>
        <w:t xml:space="preserve">Hollywood Casino Joliet </w:t>
      </w:r>
      <w:r>
        <w:rPr>
          <w:rFonts w:ascii="Arial" w:cs="Arial" w:eastAsia="Arial" w:hAnsi="Arial"/>
          <w:sz w:val="16"/>
          <w:szCs w:val="16"/>
          <w:color w:val="auto"/>
        </w:rPr>
        <w:t>is located on the Des Plaines River in Joliet, Illinois, approximately 40 miles southwest of Chicago. The complex includes a</w:t>
      </w:r>
      <w:r>
        <w:rPr>
          <w:rFonts w:ascii="Arial" w:cs="Arial" w:eastAsia="Arial" w:hAnsi="Arial"/>
          <w:sz w:val="16"/>
          <w:szCs w:val="16"/>
          <w:i w:val="1"/>
          <w:iCs w:val="1"/>
          <w:color w:val="auto"/>
        </w:rPr>
        <w:t xml:space="preserve"> </w:t>
      </w:r>
      <w:r>
        <w:rPr>
          <w:rFonts w:ascii="Arial" w:cs="Arial" w:eastAsia="Arial" w:hAnsi="Arial"/>
          <w:sz w:val="16"/>
          <w:szCs w:val="16"/>
          <w:color w:val="auto"/>
        </w:rPr>
        <w:t>barge-based casino which provides guests with two levels of gaming experience, as well as a land-based pavilion with several dining and entertainment options. In addition, the property includes a sportsbook for live betting, a hotel, 4,600 square feet of meeting space, and an 80-space RV park.</w:t>
      </w:r>
    </w:p>
    <w:p>
      <w:pPr>
        <w:spacing w:after="0" w:line="17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Hollywood Casino at Kansas Speedway</w:t>
      </w:r>
      <w:r>
        <w:rPr>
          <w:rFonts w:ascii="Arial" w:cs="Arial" w:eastAsia="Arial" w:hAnsi="Arial"/>
          <w:sz w:val="18"/>
          <w:szCs w:val="18"/>
          <w:color w:val="auto"/>
        </w:rPr>
        <w:t>, our 50% joint venture with NASCAR, is located in Kansas City, Kansas. It features slot machines,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and poker tables and offers a variety of dining and entertainment facilities, and a meeting room.</w:t>
      </w:r>
    </w:p>
    <w:p>
      <w:pPr>
        <w:spacing w:after="0" w:line="19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i w:val="1"/>
          <w:iCs w:val="1"/>
          <w:color w:val="auto"/>
        </w:rPr>
        <w:t xml:space="preserve">Hollywood Casino St. Louis </w:t>
      </w:r>
      <w:r>
        <w:rPr>
          <w:rFonts w:ascii="Arial" w:cs="Arial" w:eastAsia="Arial" w:hAnsi="Arial"/>
          <w:sz w:val="17"/>
          <w:szCs w:val="17"/>
          <w:color w:val="auto"/>
        </w:rPr>
        <w:t>is located adjacent to the Missouri River directly off I-70 and approximately 22 miles northwest of downtown St. Louis,</w:t>
      </w:r>
      <w:r>
        <w:rPr>
          <w:rFonts w:ascii="Arial" w:cs="Arial" w:eastAsia="Arial" w:hAnsi="Arial"/>
          <w:sz w:val="17"/>
          <w:szCs w:val="17"/>
          <w:i w:val="1"/>
          <w:iCs w:val="1"/>
          <w:color w:val="auto"/>
        </w:rPr>
        <w:t xml:space="preserve"> </w:t>
      </w:r>
      <w:r>
        <w:rPr>
          <w:rFonts w:ascii="Arial" w:cs="Arial" w:eastAsia="Arial" w:hAnsi="Arial"/>
          <w:sz w:val="17"/>
          <w:szCs w:val="17"/>
          <w:color w:val="auto"/>
        </w:rPr>
        <w:t>Missouri. The facility features slot machines, table games, poker tables, a hotel, and a variety of dining and entertainment venues.</w:t>
      </w:r>
    </w:p>
    <w:p>
      <w:pPr>
        <w:spacing w:after="0" w:line="17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 xml:space="preserve">Prairie State Gaming </w:t>
      </w:r>
      <w:r>
        <w:rPr>
          <w:rFonts w:ascii="Arial" w:cs="Arial" w:eastAsia="Arial" w:hAnsi="Arial"/>
          <w:sz w:val="18"/>
          <w:szCs w:val="18"/>
          <w:color w:val="auto"/>
        </w:rPr>
        <w:t>is our licensed VGT route operator in Illinois across a network of over 390 bar and/or retail gaming establishments in seven</w:t>
      </w:r>
      <w:r>
        <w:rPr>
          <w:rFonts w:ascii="Arial" w:cs="Arial" w:eastAsia="Arial" w:hAnsi="Arial"/>
          <w:sz w:val="18"/>
          <w:szCs w:val="18"/>
          <w:i w:val="1"/>
          <w:iCs w:val="1"/>
          <w:color w:val="auto"/>
        </w:rPr>
        <w:t xml:space="preserve"> </w:t>
      </w:r>
      <w:r>
        <w:rPr>
          <w:rFonts w:ascii="Arial" w:cs="Arial" w:eastAsia="Arial" w:hAnsi="Arial"/>
          <w:sz w:val="18"/>
          <w:szCs w:val="18"/>
          <w:color w:val="auto"/>
        </w:rPr>
        <w:t>distinct geographic areas throughout Illinois.</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River City Casino </w:t>
      </w:r>
      <w:r>
        <w:rPr>
          <w:rFonts w:ascii="Arial" w:cs="Arial" w:eastAsia="Arial" w:hAnsi="Arial"/>
          <w:sz w:val="18"/>
          <w:szCs w:val="18"/>
          <w:color w:val="auto"/>
        </w:rPr>
        <w:t>is located in the St. Louis, Missouri metropolitan area, just south of the confluence of the Mississippi River and the River des Peres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south St. Louis community of Lemay, Missouri. River City Casino features a hotel, multiple dining outlets, an entertainment lounge, and over 10,000 square feet of conference 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Freehold Raceway. </w:t>
      </w:r>
      <w:r>
        <w:rPr>
          <w:rFonts w:ascii="Arial" w:cs="Arial" w:eastAsia="Arial" w:hAnsi="Arial"/>
          <w:sz w:val="18"/>
          <w:szCs w:val="18"/>
          <w:color w:val="auto"/>
        </w:rPr>
        <w:t>Through our joint venture in Pennwood Racing, Inc. (“Pennwood”), we own 50% of Freehold Raceway. The property features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half-mile standardbred race track and a 118,000 square foot grandstand. In addition, through our Pennwood joint venture, we own 50% of a leased OTW in Toms River, New Jersey, and operate another OTW, which we constructed, in Gloucester Township, New Jersey.</w:t>
      </w:r>
    </w:p>
    <w:p>
      <w:pPr>
        <w:spacing w:after="0" w:line="25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Retama Park Racetrack. </w:t>
      </w:r>
      <w:r>
        <w:rPr>
          <w:rFonts w:ascii="Arial" w:cs="Arial" w:eastAsia="Arial" w:hAnsi="Arial"/>
          <w:sz w:val="18"/>
          <w:szCs w:val="18"/>
          <w:color w:val="auto"/>
        </w:rPr>
        <w:t>We have a management contract with Retama Development Corporation (“RDC”), a local government corporation of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of Selma, Texas, to manage the day-to-day operations of Retama Park Racetrack. In addition, we own 1.0% of the equity of Retama Nominal Holder, LLC, which holds a nominal interest in the racing license used to operate Retama Park Racetrack. Additionally, we own a 75.5% interest in Pinnacle Retama Partners, LLC (“PRP”), which owns the contingent gaming rights that may arise if gaming under the existing racing license becomes legal in Texas in the future.</w:t>
      </w:r>
    </w:p>
    <w:p>
      <w:pPr>
        <w:spacing w:after="0" w:line="25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Sam Houston Race Park and Valley Race Park. </w:t>
      </w:r>
      <w:r>
        <w:rPr>
          <w:rFonts w:ascii="Arial" w:cs="Arial" w:eastAsia="Arial" w:hAnsi="Arial"/>
          <w:sz w:val="18"/>
          <w:szCs w:val="18"/>
          <w:color w:val="auto"/>
        </w:rPr>
        <w:t>Our joint venture with MAXXAM owns and operates Sam Houston Race Park and Valley Race Park,</w:t>
      </w:r>
      <w:r>
        <w:rPr>
          <w:rFonts w:ascii="Arial" w:cs="Arial" w:eastAsia="Arial" w:hAnsi="Arial"/>
          <w:sz w:val="18"/>
          <w:szCs w:val="18"/>
          <w:i w:val="1"/>
          <w:iCs w:val="1"/>
          <w:color w:val="auto"/>
        </w:rPr>
        <w:t xml:space="preserve"> </w:t>
      </w:r>
      <w:r>
        <w:rPr>
          <w:rFonts w:ascii="Arial" w:cs="Arial" w:eastAsia="Arial" w:hAnsi="Arial"/>
          <w:sz w:val="18"/>
          <w:szCs w:val="18"/>
          <w:color w:val="auto"/>
        </w:rPr>
        <w:t>and holds a license for a racetrack in Manor, Texas, just outside of Austin. Sam Houston Race Park, which is located 15 miles northwest from downtown Houston along Beltway 8, hosts thoroughbred and quarter horse racing and offers daily simulcast operations, as well as hosts various special events, private parties and meetings, concerts and national touring festivals throughout the year. Valley Race Park features 91,000 of property square footage as a dog racing and simulcasting facility.</w:t>
      </w:r>
    </w:p>
    <w:p>
      <w:pPr>
        <w:spacing w:after="0" w:line="215" w:lineRule="exact"/>
        <w:rPr>
          <w:sz w:val="20"/>
          <w:szCs w:val="20"/>
          <w:color w:val="auto"/>
        </w:rPr>
      </w:pPr>
    </w:p>
    <w:p>
      <w:pPr>
        <w:ind w:right="540" w:firstLine="324"/>
        <w:spacing w:after="0" w:line="291" w:lineRule="auto"/>
        <w:rPr>
          <w:sz w:val="20"/>
          <w:szCs w:val="20"/>
          <w:color w:val="auto"/>
        </w:rPr>
      </w:pPr>
      <w:r>
        <w:rPr>
          <w:rFonts w:ascii="Arial" w:cs="Arial" w:eastAsia="Arial" w:hAnsi="Arial"/>
          <w:sz w:val="17"/>
          <w:szCs w:val="17"/>
          <w:i w:val="1"/>
          <w:iCs w:val="1"/>
          <w:color w:val="auto"/>
        </w:rPr>
        <w:t xml:space="preserve">Sanford-Orlando Kennel Club. </w:t>
      </w:r>
      <w:r>
        <w:rPr>
          <w:rFonts w:ascii="Arial" w:cs="Arial" w:eastAsia="Arial" w:hAnsi="Arial"/>
          <w:sz w:val="17"/>
          <w:szCs w:val="17"/>
          <w:color w:val="auto"/>
        </w:rPr>
        <w:t>The greyhound racetrack and related facility was sold to a land developer during the fourth quarter of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facility owned by the Company is used to operate a restaurant and to offer year-round simulcast racing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 Interactive</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Penn Interactive is our interactive gaming division that operates our online sports betting app called Barstool Sportsbook as well as our iGaming platforms, which are currently live in Pennsylvania and Michigan. Penn Interactive includes the operations of Absolute Games, LLC, a developer and operator of online social bingo and other casino games. In addition, Penn Interactive has entered into multi-year agreements with leading sports betting operators for online sports betting and iGaming market access across our portfolio of properties. Pursuant to these agreements, such sports betting operators have commenced operations in Indiana, Pennsylvania and West Virginia. Penn Interactive also operates 16 internally-branded or Barstool-branded retail sportsbooks located at the Company's properties in Colorado, Illinois, Indiana, Iowa, Michigan, Mississippi, Pennsylvania and West Virginia.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own a number of trademarks and service marks registered with the U.S. Patent and Trademark Office (“USPTO”), including but not limited to, “Ameristar®,” “Argosy®,” “Boomtown®,” “Greektown®,” “Hollywood Casino®,” “Hollywood Gaming®,” “L’Auberge®,” “M Resort®,” and “MYCHOICE®,” among other trademarks. We believe that our rights to our trademarks are well-established and have competitive value to our properties. We also have a number of trademark applications pending with the USPTO.</w:t>
      </w:r>
    </w:p>
    <w:p>
      <w:pPr>
        <w:spacing w:after="0" w:line="208" w:lineRule="exact"/>
        <w:rPr>
          <w:sz w:val="20"/>
          <w:szCs w:val="20"/>
          <w:color w:val="auto"/>
        </w:rPr>
      </w:pPr>
    </w:p>
    <w:p>
      <w:pPr>
        <w:ind w:right="20" w:firstLine="324"/>
        <w:spacing w:after="0" w:line="267" w:lineRule="auto"/>
        <w:rPr>
          <w:sz w:val="20"/>
          <w:szCs w:val="20"/>
          <w:color w:val="auto"/>
        </w:rPr>
      </w:pPr>
      <w:r>
        <w:rPr>
          <w:rFonts w:ascii="Arial" w:cs="Arial" w:eastAsia="Arial" w:hAnsi="Arial"/>
          <w:sz w:val="16"/>
          <w:szCs w:val="16"/>
          <w:color w:val="auto"/>
        </w:rPr>
        <w:t>Among others, we have a licensing agreement with a third party to use the “Margaritaville</w:t>
      </w:r>
      <w:r>
        <w:rPr>
          <w:rFonts w:ascii="Arial" w:cs="Arial" w:eastAsia="Arial" w:hAnsi="Arial"/>
          <w:sz w:val="20"/>
          <w:szCs w:val="20"/>
          <w:color w:val="auto"/>
          <w:vertAlign w:val="superscript"/>
        </w:rPr>
        <w:t>®</w:t>
      </w:r>
      <w:r>
        <w:rPr>
          <w:rFonts w:ascii="Arial" w:cs="Arial" w:eastAsia="Arial" w:hAnsi="Arial"/>
          <w:sz w:val="16"/>
          <w:szCs w:val="16"/>
          <w:color w:val="auto"/>
        </w:rPr>
        <w:t>” trademark in connection with the operations of Margaritaville in Bossier City, Louisiana. Upon closing of the transaction with Barstool Sports in February 2020, we have the sole right to utilize the Barstool Sports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for all of our online and retail sports betting and iGaming products. In addition, subject to certain terms, conditions, and limitations, we have the exclusive right to use the “Tropicana Las Vegas</w:t>
      </w:r>
      <w:r>
        <w:rPr>
          <w:rFonts w:ascii="Arial" w:cs="Arial" w:eastAsia="Arial" w:hAnsi="Arial"/>
          <w:sz w:val="20"/>
          <w:szCs w:val="20"/>
          <w:color w:val="auto"/>
          <w:vertAlign w:val="superscript"/>
        </w:rPr>
        <w:t>®</w:t>
      </w:r>
      <w:r>
        <w:rPr>
          <w:rFonts w:ascii="Arial" w:cs="Arial" w:eastAsia="Arial" w:hAnsi="Arial"/>
          <w:sz w:val="16"/>
          <w:szCs w:val="16"/>
          <w:color w:val="auto"/>
        </w:rPr>
        <w:t>” and certain other trademarks within 50 miles of our Tropicana Las Vegas property.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85" w:lineRule="exact"/>
        <w:rPr>
          <w:sz w:val="20"/>
          <w:szCs w:val="20"/>
          <w:color w:val="auto"/>
        </w:rPr>
      </w:pPr>
    </w:p>
    <w:p>
      <w:pPr>
        <w:ind w:right="40" w:firstLine="324"/>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The gaming industry is characterized by an increasingly high degree of competition among a large number of participants operating from physical locations and/or through online or mobile platforms, and other forms of gaming in the U.S. In a broader sense, our gaming operations face competition from all manner of leisure and entertainment activities, including shopping, athletic events, television and movies, concerts and travel. Legalized gaming is currently permitted in various forms throughout the U.S. and on various lands taken into trust for the benefit of certain Native Americans and as well as various land taken into trust for the benefit of certain First Nations people in Canada. Other jurisdictions, including states adjacent to states in which we currently have properties, have recently legalized, implemented and expanded gaming. In addition, established gaming jurisdictions could award additional gaming licenses or permit the expansion or relocation of existing gaming operations (including VGTs, skill games, sports betting and iGaming). Competition is discussed in further detail within </w:t>
      </w:r>
      <w:hyperlink w:anchor="page15">
        <w:r>
          <w:rPr>
            <w:rFonts w:ascii="Arial" w:cs="Arial" w:eastAsia="Arial" w:hAnsi="Arial"/>
            <w:sz w:val="17"/>
            <w:szCs w:val="17"/>
            <w:u w:val="single" w:color="auto"/>
            <w:color w:val="0000FF"/>
          </w:rPr>
          <w:t>“Item 1A. Risk</w:t>
        </w:r>
      </w:hyperlink>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6"/>
          <w:szCs w:val="16"/>
          <w:color w:val="0000FF"/>
        </w:rPr>
      </w:pPr>
      <w:hyperlink w:anchor="page15">
        <w:r>
          <w:rPr>
            <w:rFonts w:ascii="Arial" w:cs="Arial" w:eastAsia="Arial" w:hAnsi="Arial"/>
            <w:sz w:val="16"/>
            <w:szCs w:val="16"/>
            <w:u w:val="single" w:color="auto"/>
            <w:color w:val="0000FF"/>
          </w:rPr>
          <w:t>Factors,”</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this Annual Report on Form 10-K and a discussion of the impact of competition on our results of operations, and cash flows is included within</w:t>
      </w:r>
    </w:p>
    <w:p>
      <w:pPr>
        <w:spacing w:after="0" w:line="46" w:lineRule="exact"/>
        <w:rPr>
          <w:sz w:val="20"/>
          <w:szCs w:val="20"/>
          <w:color w:val="auto"/>
        </w:rPr>
      </w:pPr>
    </w:p>
    <w:p>
      <w:pPr>
        <w:spacing w:after="0"/>
        <w:rPr>
          <w:rFonts w:ascii="Arial" w:cs="Arial" w:eastAsia="Arial" w:hAnsi="Arial"/>
          <w:sz w:val="18"/>
          <w:szCs w:val="18"/>
          <w:color w:val="0000FF"/>
        </w:rPr>
      </w:pPr>
      <w:hyperlink w:anchor="page31">
        <w:r>
          <w:rPr>
            <w:rFonts w:ascii="Arial" w:cs="Arial" w:eastAsia="Arial" w:hAnsi="Arial"/>
            <w:sz w:val="18"/>
            <w:szCs w:val="18"/>
            <w:u w:val="single" w:color="auto"/>
            <w:color w:val="0000FF"/>
          </w:rPr>
          <w:t>“Item 7. Management’s Discussion and Analysis of Financial Condition and Results of Operations,”</w:t>
        </w:r>
        <w:r>
          <w:rPr>
            <w:rFonts w:ascii="Arial" w:cs="Arial" w:eastAsia="Arial" w:hAnsi="Arial"/>
            <w:sz w:val="18"/>
            <w:szCs w:val="18"/>
            <w:color w:val="0000FF"/>
          </w:rPr>
          <w:t xml:space="preserve"> </w:t>
        </w:r>
      </w:hyperlink>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color w:val="000000"/>
        </w:rPr>
        <w:t>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Gaming Issues</w:t>
      </w:r>
    </w:p>
    <w:p>
      <w:pPr>
        <w:spacing w:after="0" w:line="185" w:lineRule="exact"/>
        <w:rPr>
          <w:sz w:val="20"/>
          <w:szCs w:val="20"/>
          <w:color w:val="auto"/>
        </w:rPr>
      </w:pPr>
    </w:p>
    <w:p>
      <w:pPr>
        <w:ind w:firstLine="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gaming and racing industries are highly regulated, and we must maintain our licenses and pay gaming taxes to continue our operations. Each of our properties is subject to extensive regulation under the laws, rules and regulations of the jurisdiction where it is located. These laws, rules and regulations generally concern the responsibility, financial stability and character of the owners, managers, and persons with financial interests in the gaming operations. Violations of laws or regulations in one jurisdiction could result in disciplinary action in other jurisdictions. For a more detailed description of the statutes and regulations to which we are subject, see </w:t>
      </w:r>
      <w:hyperlink w:anchor="page191">
        <w:r>
          <w:rPr>
            <w:rFonts w:ascii="Arial" w:cs="Arial" w:eastAsia="Arial" w:hAnsi="Arial"/>
            <w:sz w:val="18"/>
            <w:szCs w:val="18"/>
            <w:u w:val="single" w:color="auto"/>
            <w:color w:val="0000FF"/>
          </w:rPr>
          <w:t>Exhibit 99.1, “Description of Government Regulations,”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this Annual Report on Form 10-K, which is incorporated herein by reference.</w:t>
      </w:r>
    </w:p>
    <w:p>
      <w:pPr>
        <w:spacing w:after="0" w:line="16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businesses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financial condition, results of operations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26, 2021, the persons serving as our executive officers and their positions with us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AGE</w:t>
            </w: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POSITION WITH THE COMPANY</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Jay Snowden</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Todd George</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Executive Vice President, Operations</w:t>
            </w: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Harper Ko</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Legal Officer and Secretary</w:t>
            </w:r>
          </w:p>
        </w:tc>
      </w:tr>
    </w:tbl>
    <w:p>
      <w:pPr>
        <w:spacing w:after="0" w:line="225" w:lineRule="exact"/>
        <w:rPr>
          <w:sz w:val="20"/>
          <w:szCs w:val="20"/>
          <w:color w:val="auto"/>
        </w:rPr>
      </w:pPr>
    </w:p>
    <w:p>
      <w:pPr>
        <w:jc w:val="both"/>
        <w:ind w:right="40" w:firstLine="324"/>
        <w:spacing w:after="0" w:line="270" w:lineRule="auto"/>
        <w:rPr>
          <w:sz w:val="20"/>
          <w:szCs w:val="20"/>
          <w:color w:val="auto"/>
        </w:rPr>
      </w:pPr>
      <w:r>
        <w:rPr>
          <w:rFonts w:ascii="Arial" w:cs="Arial" w:eastAsia="Arial" w:hAnsi="Arial"/>
          <w:sz w:val="16"/>
          <w:szCs w:val="16"/>
          <w:b w:val="1"/>
          <w:bCs w:val="1"/>
          <w:color w:val="auto"/>
        </w:rPr>
        <w:t xml:space="preserve">Jay Snowden. </w:t>
      </w:r>
      <w:r>
        <w:rPr>
          <w:rFonts w:ascii="Arial" w:cs="Arial" w:eastAsia="Arial" w:hAnsi="Arial"/>
          <w:sz w:val="16"/>
          <w:szCs w:val="16"/>
          <w:color w:val="auto"/>
        </w:rPr>
        <w:t>In August 2019, the Company’s Board of Directors elected Mr. Snowden as a Board member. Effective January 1, 2020, Mr. Snowden</w:t>
      </w:r>
      <w:r>
        <w:rPr>
          <w:rFonts w:ascii="Arial" w:cs="Arial" w:eastAsia="Arial" w:hAnsi="Arial"/>
          <w:sz w:val="16"/>
          <w:szCs w:val="16"/>
          <w:b w:val="1"/>
          <w:bCs w:val="1"/>
          <w:color w:val="auto"/>
        </w:rPr>
        <w:t xml:space="preserve"> </w:t>
      </w:r>
      <w:r>
        <w:rPr>
          <w:rFonts w:ascii="Arial" w:cs="Arial" w:eastAsia="Arial" w:hAnsi="Arial"/>
          <w:sz w:val="16"/>
          <w:szCs w:val="16"/>
          <w:color w:val="auto"/>
        </w:rPr>
        <w:t>became the Company’s Chief Executive Officer. Mr. Snowden joined the Company in October 2011 as Senior Vice President-Regional Operations and was promoted to Chief Operating Officer in January 2014. In March 2017, Mr. Snowden was named President and Chief Operating Officer and was responsible for overseeing all of our operating businesses, as well as human resources, marketing, and information technology. Prior to joining the Company, Mr.</w:t>
      </w:r>
    </w:p>
    <w:p>
      <w:pPr>
        <w:spacing w:after="0" w:line="2" w:lineRule="exact"/>
        <w:rPr>
          <w:sz w:val="20"/>
          <w:szCs w:val="20"/>
          <w:color w:val="auto"/>
        </w:rPr>
      </w:pPr>
    </w:p>
    <w:p>
      <w:pPr>
        <w:ind w:right="720"/>
        <w:spacing w:after="0" w:line="243" w:lineRule="auto"/>
        <w:rPr>
          <w:sz w:val="20"/>
          <w:szCs w:val="20"/>
          <w:color w:val="auto"/>
        </w:rPr>
      </w:pPr>
      <w:r>
        <w:rPr>
          <w:rFonts w:ascii="Arial" w:cs="Arial" w:eastAsia="Arial" w:hAnsi="Arial"/>
          <w:sz w:val="18"/>
          <w:szCs w:val="18"/>
          <w:color w:val="auto"/>
        </w:rPr>
        <w:t>Snowden was the Senior Vice President and General Manager of Caesars and Harrah’s in Atlantic City, New Jersey, and prior to that, held various leadership positions with them in St. Louis, Missouri, San Diego, California and Las Vegas, Nevada.</w:t>
      </w:r>
    </w:p>
    <w:p>
      <w:pPr>
        <w:spacing w:after="0" w:line="20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Todd George. </w:t>
      </w:r>
      <w:r>
        <w:rPr>
          <w:rFonts w:ascii="Arial" w:cs="Arial" w:eastAsia="Arial" w:hAnsi="Arial"/>
          <w:sz w:val="17"/>
          <w:szCs w:val="17"/>
          <w:color w:val="auto"/>
        </w:rPr>
        <w:t>Mr. George has served as our Executive Vice President, Operations since January 2020. Mr. George joined us in October 2012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General Manager of Hollywood Casino in Lawrenceburg, Indiana, transitioning to the role of Vice President and General Manager of Hollywood Casino St. Louis in 2014. In 2017, he was promoted to his previous role as Senior Vice President, Regional Operations, overseeing nine properties in the Company’s Midwest Region. Prior to joining Penn National, Mr. George spent 12 years in various management positions at Pinnacle Entertainment Inc., including leading the development and launch of Pinnacle’s two St. Louis, Missouri properties.</w:t>
      </w:r>
    </w:p>
    <w:p>
      <w:pPr>
        <w:spacing w:after="0" w:line="127" w:lineRule="exact"/>
        <w:rPr>
          <w:sz w:val="20"/>
          <w:szCs w:val="20"/>
          <w:color w:val="auto"/>
        </w:rPr>
      </w:pPr>
    </w:p>
    <w:p>
      <w:pPr>
        <w:ind w:firstLine="324"/>
        <w:spacing w:after="0"/>
        <w:rPr>
          <w:sz w:val="20"/>
          <w:szCs w:val="20"/>
          <w:color w:val="auto"/>
        </w:rPr>
      </w:pPr>
      <w:r>
        <w:rPr>
          <w:rFonts w:ascii="Arial" w:cs="Arial" w:eastAsia="Arial" w:hAnsi="Arial"/>
          <w:sz w:val="18"/>
          <w:szCs w:val="18"/>
          <w:b w:val="1"/>
          <w:bCs w:val="1"/>
          <w:color w:val="auto"/>
        </w:rPr>
        <w:t xml:space="preserve">Harper Ko. </w:t>
      </w:r>
      <w:r>
        <w:rPr>
          <w:rFonts w:ascii="Arial" w:cs="Arial" w:eastAsia="Arial" w:hAnsi="Arial"/>
          <w:sz w:val="18"/>
          <w:szCs w:val="18"/>
          <w:color w:val="auto"/>
        </w:rPr>
        <w:t>Ms. Ko was appointed as the Company’s Executive Vice President, Chief Legal Officer and Secretary on January 1, 2021.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Penn, Ms. Ko was the Executive Vice President, Chief Legal Officer – General Counsel and Secretary of Everi Holdings, Inc., a full-service casino gaming equipment and payment solutions provider from 2017 until December 2020. Prior to joining Everi, Ms. Ko served as Deputy General Counsel, Gaming for Scientific Games Corporation. During her time there from November 2014 to December 2017, Ms. Ko led the legal integration of Bally Gaming, Inc., SHFL entertainment Inc., and WMS Gaming Inc. into the Scientific Games Gaming division and served as a strategic advisor to their Gaming unit executive management team on all material commercial transactions, customer and third-party issues, and regulatory compliance and litigation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Human Capital Resources</w:t>
      </w:r>
    </w:p>
    <w:p>
      <w:pPr>
        <w:spacing w:after="0" w:line="18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Company’s key human capital management objectives are to attract, retain and develop diverse and high quality talent. Our commitment to an equal-opportunity and respectful workplace characterized by both diversity and inclusion, in which everyone feels valued, respected and supported, is a factor driving our success. Our talent and development programs are designed to develop, support and maintain talent succession pipelines in preparation for key roles and leadership positions;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recognize, reward and support our team members through competitive pay and wellness programs; enhance the Company’s philanthropic culture by encouraging participation and championing programs in the communities in which we work and live; and invest in technology and resources to provide our team members with the most efficient tools to perform their jobs.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key programs and initiatives developed to attract and retain high quality talent include:</w:t>
      </w:r>
    </w:p>
    <w:p>
      <w:pPr>
        <w:spacing w:after="0" w:line="23"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and High Potential Talent Review Process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and Veteran Recruitment Initiatives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AwardCo Recognition Program and Property Engagement Committees</w:t>
      </w:r>
    </w:p>
    <w:p>
      <w:pPr>
        <w:spacing w:after="0" w:line="23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of December 31, 2020, we had approximately 18,321 full-time and part-time employees. As of December 31, 2020, we had 38 collective bargaining agreements covering approximately 2,779 active employees. Nine collective bargaining agreements are scheduled to expire in 2021, and we are currently renegotiating three collective bargaining agreements that expired in 2020. Although we believe that we have good employee relations, there can be no assurance that we will be able to extend or enter into replacement agreements. If we are able to extend or enter into replacement agreements, there can be no assurance as to whether the terms will be on comparable terms to the existing agreements.</w:t>
      </w:r>
    </w:p>
    <w:p>
      <w:pPr>
        <w:spacing w:after="0" w:line="20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the Company established a special COVID-19 Emergency Relief Fund under the Penn National Gaming Foundation to provide assistance to team members who have not been called back from furlough due to the ongoing restrictions associated with COVID-19. The Company has raised $3.7 million from our Board of Directors, Chief Executive Officer, senior management and the Penn National Gaming Foundation. In addition, we provided $13 million in one-time holiday cash bonuses in the fourth quarter to our non-executive team members companywide to help with the financial impact to their families from COVID-19. We also created the Hurricane Laura Relief Fund with an initial contribution of $2.5 million to help our community and team members impacted by the storm, in addition to providing more than $6 million in full wages and benefits to our team members during the L'Auberge Lake Charles property closure. Finally, on the social justice front, our Diversity Committee announced a new scholarship program for disadvantaged team members that will be funded with a $1 million annual commitment from our Company, and we launched a series of new inclusion-related initiatives.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www.pngaming.com</w:t>
      </w:r>
      <w:r>
        <w:rPr>
          <w:rFonts w:ascii="Arial" w:cs="Arial" w:eastAsia="Arial" w:hAnsi="Arial"/>
          <w:sz w:val="18"/>
          <w:szCs w:val="18"/>
          <w:color w:val="auto"/>
        </w:rPr>
        <w:t xml:space="preserve"> that includes more information about us. The contents of our website are not part of this Annual Report on Form 10-K. Our electronic filings with the U.S. Securities and Exchange Commission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 Our filings are also available through a database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4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i w:val="1"/>
          <w:iCs w:val="1"/>
          <w:color w:val="auto"/>
        </w:rPr>
        <w:t>The COVID-19 pandemic has significantly impacted the global economy, including the gaming industry, and has had a material adverse effect on our business, financial condition, results of operations, and cash flows, and may continue to do so.</w:t>
      </w:r>
    </w:p>
    <w:p>
      <w:pPr>
        <w:spacing w:after="0" w:line="19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March 11, 2020, the World Health Organization declared the COVID-19 outbreak to be a global pandemic. The COVID-19 pandemic has significantly impacted health and economic conditions throughout the United States. The global spread of the COVID-19 pandemic has been, and continues to be, complex and rapidly evolving, with governments, public institutions, and other organizations imposing or recommending, and businesses and individuals implementing, restrictions on various activities or other actions to combat its spread, such as restrictions and bans on travel or transportation, stay-at-home directives, social distancing and health and safety guidelines, limitations on the size of gatherings, closures of work facilities, schools, public buildings, and businesses, cancellation of events, including sporting events, concerts, conferences, and meetings, and quarantines and lock-downs. The COVID-19 pandemic and its consequences have also dramatically reduced travel and demand for casino gaming and related amenities. Many jurisdictions where our properties are located required mandatory closures or imposed capacity limitations, health and safety guidelines and other restrictions affecting our operations. The COVID-19 pandemic and these resulting developments caused significant disruptions to our ability to generate revenues, profitability, and cash flows and had a material adverse impact on our financial condition, results of operations, and cash flows. Such impact could worsen and last for an unknown period of time. In addition, these disruptions to us and the gaming industry in general as well as significant negative economic trends due to the COVID-19 pandemic may adversely affect our stock price.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During the first quarter of 2020, all of the Company’s properties were closed pursuant to various orders from state gaming regulatory bodies or governmental authorities to combat the spread of COVID-19. We began reopening our properties on May 18, 2020 with reduced gaming and hotel capacity and limited food and beverage offerings in order to accommodate comprehensive social distancing and health and safety protocols. As of June 30, 2020, we had reopened 31 of our properties and as of September 30, 2020, we had reopened 39 of our properties. During the fourth quarter of 2020, our properties in Illinois, Michigan and Pennsylvania again temporarily suspended operations and as of December 31, 2020, we had reopened 34 of our properties. As of February 26, 2021, the only properties that remain closed are Zia Park and Valley Race Park.</w:t>
      </w:r>
    </w:p>
    <w:p>
      <w:pPr>
        <w:spacing w:after="0" w:line="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Though virtually all of our properties have reopened, we may be required again to temporarily suspend operations at our properties if ordered by such governmental bodies. Our reopened properties face restrictions on our operations, including hours of operations, capacity limitations, cleaning requirements, restrictions on the number of seats per table game, slot machine spacing, temperature checks, mask protection and social distancing requirements and food and beverage options, which impact our future operations and ability to generate the same level of revenues and cash flows as before the COVID-19 pandemic. The continued operation of our reopened properties, may be affected by our ability to retain our workforce.</w:t>
      </w:r>
    </w:p>
    <w:p>
      <w:pPr>
        <w:spacing w:after="0" w:line="20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Moreover, once restrictions are lifted, it is unclear how quickly customers will return to our properties in numbers comparable to before the COVID-19 pandemic, which may be a function of continued concerns over health and safety, ongoing social distancing measures, perceptions of the efficacy of any vaccines and the ability to achieve herd immunity, or changes in consumer spending behavior due to adverse economic conditions, including job losses. Our properties have large customer-facing footprints and large areas where customers can gather together for personal interaction. As such, some customers may choose for a period of time not to travel or visit our properties for health and safety concerns or due to overall changes in consumer behavior resulting from social distancing. Upon reopening our properties, we have seen weakened visitation, which may have been due to increased level of unemployment, continued travel restrictions or warnings, consumer fears, reduced consumer discretionary spending or general economic uncertainty. Our vendors and other suppliers could also experience potential adverse effects of the pandemic that could impact our ability to operate to the same level as prior to the closures. Cancellations, delays or shortened sports seasons and sporting events due to the COVID-19 pandemic have also had an adverse impact on the revenues of our sports betting operations. If COVID-19 continues to spread significantly in its current form or as a more contagious variant of the virus, governmental agencies or officials may order additional closures or impose further restrictions on the number of people allowed in our properties or in proximity to each other. Any of these events could result in significant further disruption to our operations and a drop in demand for our properties and could have a material adverse effect on us.</w:t>
      </w:r>
    </w:p>
    <w:p>
      <w:pPr>
        <w:spacing w:after="0" w:line="213"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could experience other potential adverse impacts as a result of the COVID-19 pandemic, including, but not limited to, further charges from adjustments to the carrying amount of goodwill and other intangible assets, long-lived asset impairment charges, or impairments of investments in joint ventures.</w:t>
      </w:r>
    </w:p>
    <w:p>
      <w:pPr>
        <w:spacing w:after="0" w:line="21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ultimate impact of the COVID-19 pandemic on our business, results of operations, financial condition and cash flows will depend on numerous evolving factors that we may not be able to accurately predict or assess, including the duration and scope of the pandemic (including how long the current resurgence may last, and whether there will be multiple resurgences in the future); the duration and impact on overall customer demand; the possibility that governmental bodies may again order temporary suspension of operation at our properties; our ability to again generate revenue and profits capable of supporting our ongoing operations; new information which may emerge concerning the severity of COVID-19 or variants of the virus, or the efficacy of, or adverse reactions to, vaccines; the negative impact it has on global and regional economies and economic activity; the ability of us and our business partners to successfully navigate the impacts of the pandemic; actions governments, businesses, and individuals continue to take in response to the pandemic, including limiting or banning travel and limiting or banning leisure, casino, and entertainment activities (including concerts, sports and similar events); and how quickly economies, travel activity, and demand for gaming, entertainment and leisure activities recovers after the pandemic subsides and an effective vaccine is widely available. The impact of the COVID-19 pandemic may also have the effect of exacerbating many of the other risks described in this Annual Report on Form 10-K. As a result of the foregoing, we cannot predict the ultimate scope, duration, and impact that the COVID-19 pandemic will have on our results of operations, but we expect that it will continue to have a material impact on our business, financial condition, liquidity, results of operations (including revenues and profitability), and stock price.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75"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b w:val="1"/>
          <w:bCs w:val="1"/>
          <w:i w:val="1"/>
          <w:iCs w:val="1"/>
          <w:color w:val="auto"/>
        </w:rPr>
        <w:t>We face significant competition in the markets in which we operate and from other gaming and entertainment operations, which could have an adverse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gaming industry is characterized by an increasingly high degree of competition among a large number of participants operating from physical locations and/or through online or mobile platforms, and other forms of gaming in the U.S. Recently, there has been additional significant competition in our markets as a result of the upgrading or expansion of properties by existing market participants, the entrance of new gaming participants into a market or legislative changes permitting additional forms of gaming. As competing properties and new markets open, our results of operations may be negatively impacted. We expect each existing or future market in which we participate to be highly competitive.</w:t>
      </w:r>
    </w:p>
    <w:p>
      <w:pPr>
        <w:spacing w:after="0" w:line="20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Furthermore, competition from internet lotteries, sweepstakes, illegal slot machines and skill games, fantasy sports and internet or mobile-based gaming platforms could divert customers from our properties and our online sports betting and iGaming apps and thus adversely affect our financial condition, results of operations, and cash flows. Currently, there are proposals that would legalize internet poker, sports betting and other varieties of iGaming in a number of states. Several states have enacted legislation authorizing intrastate iGaming and iGaming operations have begun or will begin in these states. Further, there has been recent expansion of sports betting in various states, as states have passed legislation legalizing sports betting in casinos and/or online. Expansion of land-based and iGaming in other jurisdictions (both regulated and unregulated) could further compete with our traditional and iGaming operations, which could have an adverse impact on our financial condition, results of operations, and cash flows.</w:t>
      </w:r>
    </w:p>
    <w:p>
      <w:pPr>
        <w:spacing w:after="0" w:line="20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 broader sense, our gaming operations face competition from all manner of leisure and entertainment activities, including shopping, athletic events, television and movies, concerts and travel. Legalized gaming is currently permitted in various forms throughout the U.S. and on various lands taken into trust for the benefit of certain Native Americans and as well as various land taken into trust for the benefit of certain First Nations people in Canada. Other jurisdictions, including states adjacent to states in which we currently have properties, have recently legalized, implemented and expanded gaming. In addition, established gaming jurisdictions could award additional gaming licenses or permit the expansion or relocation of existing gaming operations (including VGTs, skill games, sports betting and iGaming). Voters and state legislatures may seek to supplement traditional tax revenue sources of state governments or fill COVID-related budget gaps by authorizing or expanding gaming in the states, in which we operate or the states that are adjacent to or near our existing properties. New, relocated, or expanded operations by other persons could increase competition for our gaming operations and could have a material adverse impact on us.</w:t>
      </w:r>
    </w:p>
    <w:p>
      <w:pPr>
        <w:spacing w:after="0" w:line="20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We may face reductions in discretionary consumer spending as a result of economic downturns (including as a result of COVID-19) which have had a material adverse effect on our business.</w:t>
      </w:r>
    </w:p>
    <w:p>
      <w:pPr>
        <w:spacing w:after="0" w:line="19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net revenues are highly dependent upon the volume and spending levels of customers at properties we manage, and as such, our business has been adversely impacted by economic downturns in the past and continues to be impacted by the economic downturn resulting from the COVID-19 pandemic.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high fuel or other transportation costs, and increased stock market volatility have negatively impacted our revenues and operating cash flow.</w:t>
      </w:r>
    </w:p>
    <w:p>
      <w:pPr>
        <w:spacing w:after="0" w:line="219" w:lineRule="exact"/>
        <w:rPr>
          <w:sz w:val="20"/>
          <w:szCs w:val="20"/>
          <w:color w:val="auto"/>
        </w:rPr>
      </w:pPr>
    </w:p>
    <w:p>
      <w:pPr>
        <w:ind w:right="880" w:firstLine="324"/>
        <w:spacing w:after="0" w:line="261" w:lineRule="auto"/>
        <w:rPr>
          <w:sz w:val="20"/>
          <w:szCs w:val="20"/>
          <w:color w:val="auto"/>
        </w:rPr>
      </w:pPr>
      <w:r>
        <w:rPr>
          <w:rFonts w:ascii="Arial" w:cs="Arial" w:eastAsia="Arial" w:hAnsi="Arial"/>
          <w:sz w:val="18"/>
          <w:szCs w:val="18"/>
          <w:b w:val="1"/>
          <w:bCs w:val="1"/>
          <w:i w:val="1"/>
          <w:iCs w:val="1"/>
          <w:color w:val="auto"/>
        </w:rPr>
        <w:t>We have certain properties that generate a significant percentage of our revenues and our ability to meet our operating and debt service requirements is dependent, in part, upon the continued success of these properties.</w:t>
      </w:r>
    </w:p>
    <w:p>
      <w:pPr>
        <w:spacing w:after="0" w:line="198"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For the year ended December 31, 2020, we generated 16.7%, 10.7%, and 15.6% of our revenues from our properties within the states of Louisiana, Missouri, and Ohio, respectively. Additionally, we generated 6.6% of our revenues from our property in Charles Town, West Virginia. Our ability to meet our operating and debt service requirements is dependent, in part, upon the continued success of these properties.</w:t>
      </w:r>
    </w:p>
    <w:p>
      <w:pPr>
        <w:spacing w:after="0" w:line="19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we anticipate meaningful contributions from Ameristar Black Hawk, Greektown, and our properties in Pennsylvania. Therefore, our results will be dependent on the regional economies and competitive landscapes at these locations as well.</w:t>
      </w:r>
    </w:p>
    <w:p>
      <w:pPr>
        <w:spacing w:after="0" w:line="197" w:lineRule="exact"/>
        <w:rPr>
          <w:sz w:val="20"/>
          <w:szCs w:val="20"/>
          <w:color w:val="auto"/>
        </w:rPr>
      </w:pPr>
    </w:p>
    <w:p>
      <w:pPr>
        <w:ind w:right="320" w:firstLine="324"/>
        <w:spacing w:after="0" w:line="324" w:lineRule="auto"/>
        <w:rPr>
          <w:sz w:val="20"/>
          <w:szCs w:val="20"/>
          <w:color w:val="auto"/>
        </w:rPr>
      </w:pPr>
      <w:r>
        <w:rPr>
          <w:rFonts w:ascii="Arial" w:cs="Arial" w:eastAsia="Arial" w:hAnsi="Arial"/>
          <w:sz w:val="16"/>
          <w:szCs w:val="16"/>
          <w:b w:val="1"/>
          <w:bCs w:val="1"/>
          <w:i w:val="1"/>
          <w:iCs w:val="1"/>
          <w:color w:val="auto"/>
        </w:rPr>
        <w:t>We are required to utilize a significant portion of our cash flow from operations to make our rent payments under our Triple Net Leases, which could adversely affect our ability to fund our operations and growth and limit our ability to react to competitive and economic changes.</w:t>
      </w:r>
    </w:p>
    <w:p>
      <w:pPr>
        <w:spacing w:after="0" w:line="15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required to utilize a significant portion of our cash flow from operations which was $891.1 million inclusive of rent credits utilized for the year ended December 31, 2020, to make our rent payments pursuant to and subject to the terms and conditions of our Master Leases with GLPI, our Meadows Lease and Morgantown Lease with GLPI, our Margaritaville Lease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Greektown Lease with VICI and our Tropicana Lease (as defined previously as our “Triple Net Leases”), although cash rent under our Tropicana Lease is nominal. In 2020, all of our properties were temporarily closed due to COVID-19 and we were able to obtain rent credits of $337.5 million from GLPI in order to maintain compliance with our Master Leases with GLPI in connection with the sale of Tropicana and the real estate associated with Morgantown.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these commitments under our Triple Net Leases, our ability to fund our own operations or development projects, raise capital, make acquisitions and otherwise respond to competitive and economic changes may be adversely affected. Further, our obligations under the Triple Net Leases may make it more difficult for us to satisfy our obligations with respect to our indebtedness and to obtain additional indebtedness and restrict our ability to raise capital, make acquisitions, divestitures and engage in other significant transactions. Any of the aforementioned factors could have a material adverse effect on our financial condition, results of operations, and cash flows.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Most of our facilities are leased and could experience risks associated with leased property.</w:t>
      </w:r>
    </w:p>
    <w:p>
      <w:pPr>
        <w:spacing w:after="0" w:line="23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lease 36 of the facilities we operate, or plan to operate, pursuant to the Triple Net Leases. Termination of the Penn Master Lease, Pinnacle Master Lease, Morgantown Lease or Tropicana Lease could result in a default under our debt agreements and could have a material adverse effect on our financial condition, results of operations, and cash flows. Moreover, as a lessee, we do not completely control the land and improvements underlying our operations, and our landlords under the Triple Net Leases could take certain actions to disrupt our rights in the facilities leased under the Triple Net Leases that are beyond our control. There can also be no assurance that we will be able to comply with our obligations under the Triple Net Leases in the future. In addition, there can be no assurance that our landlords will be able to comply with their obligations under the Triple Net Leases with us. In addition, if some of our leased facilities should prove to be unprofitable, we could remain obligated for lease payments and other obligations under the Triple Net Leases even if we decided to withdraw from those locations.</w:t>
      </w:r>
    </w:p>
    <w:p>
      <w:pPr>
        <w:spacing w:after="0" w:line="20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b w:val="1"/>
          <w:bCs w:val="1"/>
          <w:i w:val="1"/>
          <w:iCs w:val="1"/>
          <w:color w:val="auto"/>
        </w:rPr>
        <w:t>Inclement weather, acts or threats of terrorism, and other casualty events could seriously disrupt our business and have a material adverse effect on our financial condition, results of operations, and cash flows.</w:t>
      </w:r>
    </w:p>
    <w:p>
      <w:pPr>
        <w:spacing w:after="0" w:line="19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operations of our properties are subject to disruptions or reduced patronage as a result of severe weather conditions, natural disasters, acts or threats of terrorism, concerns about contagious diseases such as the COVID-19 pandemic, and other casualty events, such as hurricanes or tornados. We maintain significant property insurance, including business interruption coverage, for these and other properties. However, there can be no assurances that we will be fully, promptly, or compensated at all for losses at any of our properties in the event of future inclement weather or casualty events or from the closings of our properties due to the COVID-19 pandemic or other contagious disease. For example, on August 27, 2020, Hurricane Laura made landfall in Lake Charles, Louisiana and caused significant damage to L’Auberge Lake Charles forcing it to close for approximately two weeks.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operations could be disrupted if management agreements and/or leases with third parties and local governments are not renewed.</w:t>
      </w:r>
    </w:p>
    <w:p>
      <w:pPr>
        <w:spacing w:after="0" w:line="262" w:lineRule="exact"/>
        <w:rPr>
          <w:sz w:val="20"/>
          <w:szCs w:val="20"/>
          <w:color w:val="auto"/>
        </w:rPr>
      </w:pPr>
    </w:p>
    <w:p>
      <w:pPr>
        <w:ind w:right="60" w:firstLine="324"/>
        <w:spacing w:after="0" w:line="262" w:lineRule="auto"/>
        <w:rPr>
          <w:sz w:val="20"/>
          <w:szCs w:val="20"/>
          <w:color w:val="auto"/>
        </w:rPr>
      </w:pPr>
      <w:r>
        <w:rPr>
          <w:rFonts w:ascii="Arial" w:cs="Arial" w:eastAsia="Arial" w:hAnsi="Arial"/>
          <w:sz w:val="17"/>
          <w:szCs w:val="17"/>
          <w:color w:val="auto"/>
        </w:rPr>
        <w:t>Our operations in several jurisdictions depend on land leases and/or management and development agreements with third parties and local governments. If we, or if GLPI or VICI in the case of leases pursuant to which we are the sub-lessee, are unable to renew these leases and agreements on satisfactory terms as they expire or if disputes arise regarding the terms of these agreements, our business may be disrupted and, in the event of disruptions in multiple jurisdictions, could have a material adverse effect on our financial condition, results of operations, and cash flows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concentration and evolution of the slot machine manufacturing industry could impose additional costs on us.</w:t>
      </w:r>
    </w:p>
    <w:p>
      <w:pPr>
        <w:spacing w:after="0" w:line="23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 majority of our revenues are attributable to slot machines and related systems operated by us at our gaming properties. A substantial majority of the slot machines sold in the U.S. in recent years were manufactured by a few select companies, and there has been extensive consolidation activity within the gaming equipment sector in recent years. In recent years, slot machine manufacturers have frequently refused to sell slot machines featuring the most popular games, instead requiring participation lease arrangements in order to acquire the machines.</w:t>
      </w:r>
    </w:p>
    <w:p>
      <w:pPr>
        <w:spacing w:after="0" w:line="19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competitive reasons, we may be forced to purchase new slot machines or enter into participation lease arrangements that are more expensive than our current costs associated with the continued operation of our existing slot machines, which could hurt our profitability.</w:t>
      </w:r>
    </w:p>
    <w:p>
      <w:pPr>
        <w:spacing w:after="0" w:line="197"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b w:val="1"/>
          <w:bCs w:val="1"/>
          <w:i w:val="1"/>
          <w:iCs w:val="1"/>
          <w:color w:val="auto"/>
        </w:rPr>
        <w:t>There can be no assurance that we will be able to compete effectively or generate sufficient returns on our recently expanded sports betting operations and investment in Barstool Sports.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Certain of the jurisdictions in which we operate have legalized intra-state sports wagering and have established extensive state licensing and regulatory requirements governing any such intra-state sports wagering. Our sports betting operations compete, and will continue to compete, in a rapidly evolving and highly competitive market against an increasing number of competitors. We launched the Barstool Sportsbook app in Pennsylvania in September 2020 and in Michigan in January 2021, and we expect to launch our Barstool Sportsbook app in additional states throughout 2021. In addition, we have entered into certain market access agreements with certain other sports betting operators and may enter into agreements with additional strategic partners and other third-party vendors. The success of our proposed sports betting operations is dependent on a number of additional factors that are beyond our control, including the ultimate tax rates and license fees charged by jurisdictions across the United States; our ability to gain market share in a newly developing market; the timeliness and the technological and popular viability of our products; our ability to compete with new entrants in the market; changes in consumer demographics and public tastes and preferences; cancellations and delays in sporting seasons and sporting events as a result of the COVID-19 pandemic; and the availability and popularity of other forms of entertainment. There can be no assurance that we will be able to compete effectively or that our expansion will be successful and generate sufficient returns on our investment.</w:t>
      </w:r>
    </w:p>
    <w:p>
      <w:pPr>
        <w:spacing w:after="0" w:line="19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may not be able to achieve the expected benefits or financial returns of our investment in Barstool Sports due to fees, costs, taxes, delays or disruptions in connection with our roll out of our online and retail sportsbooks, the Barstool Sportsbook app, and iGaming products. In addition, there can be no assurance that the Barstool Sports audience will engage in sports betting and iGaming products to the extent that we expect. Any of the factors above could prevent us from receiving the expected returns of our investment in Barstool Sports, cause the market price of our common stock to decline, and have a material adverse effect on our financial condition, results of operations, and cash flows.</w:t>
      </w:r>
    </w:p>
    <w:p>
      <w:pPr>
        <w:spacing w:after="0" w:line="20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investment in and partnership with Barstool Sports may result in potential adverse reactions, negative publicity or changes to our business or regulatory relationships. Our relationships with state gaming regulators and business partners could be adversely affected as a result of our affiliation with Barstool Sports. Gaming regulators may not have extensive experience in the digital media industry, which may present unique challenges in regulating our business. In addition, our business partners may react negatively to actual or perceived competitive threats from our affiliation with Barstool Sports.</w:t>
      </w:r>
    </w:p>
    <w:p>
      <w:pPr>
        <w:spacing w:after="0" w:line="18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b w:val="1"/>
          <w:bCs w:val="1"/>
          <w:i w:val="1"/>
          <w:iCs w:val="1"/>
          <w:color w:val="auto"/>
        </w:rPr>
        <w:t>Our operations and the success of our investment in Barstool Sports are largely dependent on the skill and experience of management and key personnel.</w:t>
      </w:r>
    </w:p>
    <w:p>
      <w:pPr>
        <w:spacing w:after="0" w:line="19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and our competitive position are largely dependent upon, among other things, the efforts and skills of our senior executives and management team. Although we enter into employment agreements with certain of our senior executives and key personnel, we cannot assure you that we will be able to retain our existing senior executive and management personnel or attract additional qualified senior executive and management personnel. Further, Barstool Sports is dependent upon its ability to attract and retain key personnel, including content creators, bloggers, and marketing personnel. If Barstool Sports loses the services of its senior management team or other key personnel, or if there is a shortage in the availability of the requisite qualified personnel, it would limit the ability of Barstool Sports to grow, to increase sales, and promote our online sports betting and iGaming products and our gaming facilities.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 stoppages, organizing drives, and other labor problems could negatively impact our future profits.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Some of our employees are currently represented by labor unions. A lengthy strike or other work stoppage at any of our casino properties or construction projects could have an adverse effect on our financial condition, results of operations, and cash flows. Given the large number of employees, labor unions are making a concerted effort to recruit more employees in the gaming industry. We cannot provide any assurance that we will not experience additional and more successful union organization activity in the future.</w:t>
      </w:r>
    </w:p>
    <w:p>
      <w:pPr>
        <w:spacing w:after="0" w:line="21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Further, there has from time to time been a shortage of skilled labor in our markets. In addition to limitations that may otherwise exist in the supply of skilled labor, the continued expansion of gaming near our properties, including the expansion of Native American gaming, may make it more difficult for us to attract qualified individuals.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21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We depend on agreements with our horsemen and pari-mutuel clerks, which if we fail to renew or modify on satisfactory terms,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jurisdictions where we operate pari-mutuel wagering, if we fail to present evidence of an agreement with the horsemen at a track, we may not be permitted to conduct live racing and to export and import simulcasting at that track and OTWs and, in West Virginia, our video lottery license may not be renewed.</w:t>
      </w:r>
    </w:p>
    <w:p>
      <w:pPr>
        <w:spacing w:after="0" w:line="21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Failure to protect or enforce our intellectual property rights or the costs involved in such enforcement could harm our business, financial condition, and results of operations.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rely on trademark, copyright, patent, trade secret, and domain-name-protection laws to protect our proprietary rights. Third parties may knowingly or unknowingly infringe our proprietary rights, third parties may challenge proprietary rights held by us, and pending and future trademark and patent applications may not be approved. In any of these cases, we may be required to expend significant time and expense to prevent infringement or to enforce our rights.</w:t>
      </w:r>
    </w:p>
    <w:p>
      <w:pPr>
        <w:spacing w:after="0" w:line="21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could fluctuate significantly, which could have a material adverse effect on the stock price or trading volume of our common stock.</w:t>
      </w:r>
    </w:p>
    <w:p>
      <w:pPr>
        <w:spacing w:after="0" w:line="197"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U.S. securities markets in general have experienced significant price fluctuations in recent years, including recently due to the COVID-19 pandemic. The market price of our common stock may be volatile and subject to wide fluctuations, and the trading volume of our common stock may fluctuate and cause significant price variations to occur.</w:t>
      </w:r>
    </w:p>
    <w:p>
      <w:pPr>
        <w:spacing w:after="0" w:line="21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i w:val="1"/>
          <w:iCs w:val="1"/>
          <w:color w:val="auto"/>
        </w:rPr>
        <w:t>We are or may become involved in legal proceedings that, if adversely adjudicated or settled, could impact our financial condition and results of operations.</w:t>
      </w:r>
    </w:p>
    <w:p>
      <w:pPr>
        <w:spacing w:after="0" w:line="19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From time to time, we are defendants in various lawsuits relating to matters incidental to our business. The nature of our business subjects us to the risk of lawsuits filed by customers, past and present employees, competitors, business partners and others in the ordinary course of business (particularly in the case of class actions). As with all litigation, no assurance can be provided as to the outcome of these matters and, in general, litigation can be expensive and time consuming. We may not be successful in these lawsuits, and, especially with increasing class action claims in our industry, litigation could result in costs, settlements, or damages that could significantly impact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 and Capital Structure</w:t>
      </w:r>
    </w:p>
    <w:p>
      <w:pPr>
        <w:spacing w:after="0" w:line="256"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prevent us from fulfilling our obligations under our outstanding indebtedness.</w:t>
      </w:r>
    </w:p>
    <w:p>
      <w:pPr>
        <w:spacing w:after="0" w:line="19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2020, we had indebtedness of $2,431.6 million, including $1,628.1 million in outstanding term loans. In addition, we are required to make significant annual lease payments to our REIT Landlords pursuant to the Triple Net Leases, which we currently expect will be approximately $814.6 million for the year ending December 31, 2021.</w:t>
      </w:r>
    </w:p>
    <w:p>
      <w:pPr>
        <w:spacing w:after="0" w:line="21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We have a substantial amount of indebtedness and significant fixed annual lease payments under the Triple Net Leases. Our substantial indebtedness and additional fixed costs under our Lease obligations could have important consequences to our financial health.</w:t>
      </w:r>
    </w:p>
    <w:p>
      <w:pPr>
        <w:spacing w:after="0" w:line="1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noted above, due to the COVID-19 pandemic, our gaming properties had been temporarily closed. The closure of our gaming properties had significantly disrupted our ability to generate revenues. In order to remain in compliance with our debt covenants and meet our payment obligations, on April 14, 2020, we entered into an agreement to amend our Amended Credit Agreement to provide temporary relief from our financial covenants. In addition, our substantial indebtedness could result in an event of default if we fail to satisfy our obligations under our indebtedness or fail to comply with the financial and other restrictive covenants contained in our debt instruments, which event of default could result in all of our debt becoming immediately due and payable and could permit certain of our lenders to foreclose on any of our assets securing such debt.</w:t>
      </w:r>
    </w:p>
    <w:p>
      <w:pPr>
        <w:spacing w:after="0" w:line="20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the interest rates of our Senior Secured Credit Facilities are tied to the London Interbank Offered Rate, or LIBOR. In July 2017, the head of the United Kingdom Financial Conduct Authority announced the desire to phase out the use of LIBOR by the end of 2021 (“FCA Announcement”). The FCA Announcement indicates that the continuation of LIBOR on the current basis is not guaranteed after 2021, which may impact our Revolving Credit Facility.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lack of availability and cost of financing could have an adverse effect on our business.</w:t>
      </w:r>
    </w:p>
    <w:p>
      <w:pPr>
        <w:spacing w:after="0" w:line="23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intend to finance some of our current and future expansion, development and renovation projects and acquisitions with cash flow from operations, borrowings under our Senior Secured Credit Facilities and equity or debt financings. If we are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unable to finance our current or future projects, we could have to seek alternative financing. Depending on credit market conditions, alternative sources of funds may not be sufficient to finance our expansion, development and/or renovation, or such other financing may not be available on acceptable terms, in a timely manner or at all. In addition, our existing indebtedness contains restrictions on our ability to incur additional indebtedness. If we are unable to secure additional financing, we could be forced to limit or suspend expansion, development and renovation projects and acquisitions, which may adversely affect our financial condition, results of operations, and cash flows.</w:t>
      </w:r>
    </w:p>
    <w:p>
      <w:pPr>
        <w:spacing w:after="0" w:line="20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capacity under our Revolving Credit Facility, which expires in 2023, is $700.0 million. There is no certainty that our lenders will continue to remain solvent or fund their respective obligations under our Senior Secured Credit Facilities.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which depends on many factors beyond our control.</w:t>
      </w:r>
    </w:p>
    <w:p>
      <w:pPr>
        <w:spacing w:after="0" w:line="252"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Senior Secured Credit Facilities in amounts sufficient to enable us to fund our liquidity needs, including with respect to our indebtedness. We also may incur indebtedness related to properties we develop or acquire in the future prior to generating cash flow from those properties. If those properties do not provide us with cash flow to service that indebtedness (including as a result of COVID-19), we will need to rely on cash flow from our other properties, which would increase our leverage. In addition, if we consummate significant acquisitions in the future, our cash requirements may increase significantly.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Regulation, Taxes and Compliance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extensive regulation from gaming authorities, which could have a material adverse effect on us.</w:t>
      </w:r>
    </w:p>
    <w:p>
      <w:pPr>
        <w:spacing w:after="0" w:line="23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As owners and managers of casino gaming, online gaming, sports betting, video lottery, VGTs, and pari-mutuel wagering operations, we are subject to extensive state and local regulation. These regulatory authorities have broad discretion, and may, for any reason set forth in the applicable legislation, rules and regulations, limit, condition, suspend, fail to renew or revoke a license or registration to conduct gaming operations or prevent us from owning the securities of any of our gaming subsidiaries or prevent another person from owning an equity interest in us. Like all gaming operators in the jurisdictions in which we operate, we must periodically apply to renew our gaming licenses or registrations and have the suitability of certain of our directors, officers and employees approved. We cannot assure you that we will be able to obtain such renewals or approvals. Regulatory authorities have input into our operations, for instance, hours of operation, location or relocation of a facility, and numbers and types of slot machines and table games. Regulators may also levy substantial fines against us, our subsidiaries, or the people involved in violating gaming laws or regulations and/or seize our assets or the assets of our subsidiaries. Any of these events could have a material adverse effect on our financial condition, results of operations, and cash flows.</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demonstrated suitability to obtain and have obtained all governmental licenses, registrations, permits, and approvals necessary for us to operate our existing gaming and pari-mutuel properties. There can be no assurance that we will be able to retain and renew those existing licenses or demonstrate suitability to obtain any new licenses, registrations, permits, or approvals. In addition, the loss of a license in one jurisdiction could trigger the loss of a license or affect our eligibility for a license in another jurisdiction. As we expand our gaming operations in our existing jurisdictions or to new areas, we may have to meet additional suitability requirements and obtain additional licenses, registrations, permits and approvals from gaming authorities in these jurisdictions. The approval process can be time-consuming and costly, and we cannot be sure that we will be successful. Furthermore, this risk is particularly pertinent to our iGaming or sports betting initiatives because regulations in this area are not as fully developed or established.</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Gaming authorities in the U.S. generally can require that any record or beneficial owner of our securities file an application for a license or similar finding of suitability. If a gaming authority requires a record or beneficial owner of our securities to file a suitability application, the owner must generally apply for a finding of suitability within 30 days or at an earlier time prescribed by the gaming authority. The gaming authority has the power to investigate such an owner’s suitability and the owner must pay all costs of the investigation. If the owner is found unsuitable, then the owner may be required by law to dispose of our securities.</w:t>
      </w:r>
    </w:p>
    <w:p>
      <w:pPr>
        <w:spacing w:after="0" w:line="21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directors, officers, key employees, and joint venture partners must also meet approval standards of certain state regulatory authorities. If state gaming regulatory authorities were to find a person occupying any such position or a joint venture partner or one of our vendors unsuitable, we would be required to sever our relationship with that person or the joint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venture partner or vendor. State regulatory agencies may conduct investigations into the conduct or associations of our directors, officers, key employees, joint venture partners or vendors to ensure compliance with applicable standards.</w:t>
      </w:r>
    </w:p>
    <w:p>
      <w:pPr>
        <w:spacing w:after="0" w:line="19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public and private issuances of securities and other transactions that we are party to also require the approval of some state regulatory authorities.</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 of our business could have an adverse effect on our financial condition, results of operations, and cash flows.</w:t>
      </w:r>
    </w:p>
    <w:p>
      <w:pPr>
        <w:spacing w:after="0" w:line="197" w:lineRule="exact"/>
        <w:rPr>
          <w:sz w:val="20"/>
          <w:szCs w:val="20"/>
          <w:color w:val="auto"/>
        </w:rPr>
      </w:pPr>
    </w:p>
    <w:p>
      <w:pPr>
        <w:jc w:val="both"/>
        <w:ind w:right="80" w:firstLine="324"/>
        <w:spacing w:after="0" w:line="248" w:lineRule="auto"/>
        <w:rPr>
          <w:sz w:val="20"/>
          <w:szCs w:val="20"/>
          <w:color w:val="auto"/>
        </w:rPr>
      </w:pPr>
      <w:r>
        <w:rPr>
          <w:rFonts w:ascii="Arial" w:cs="Arial" w:eastAsia="Arial" w:hAnsi="Arial"/>
          <w:sz w:val="18"/>
          <w:szCs w:val="18"/>
          <w:color w:val="auto"/>
        </w:rPr>
        <w:t>Regulations governing the conduct of gaming activities and the obligations of gaming companies in any jurisdiction in which we have or in the future may have gaming operations are subject to change and could impose additional operating, financial, competitive or other burdens on the way we conduct our business.</w:t>
      </w:r>
    </w:p>
    <w:p>
      <w:pPr>
        <w:spacing w:after="0" w:line="20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particular, certain areas of law governing new gaming activities, such as the federal and state law applicable to iGaming and sports betting, are new or developing in light of emerging technologies. New and developing areas of law may be subject to the interpretation of the government agencies tasked with enforcing them. In some circumstances, a government agency may interpret a statute or regulation in one manner and then reconsider its interpretation at a later date. No assurance can be provided that government agencies will interpret or enforce new or developing areas of law consistently, predictably, or favorably. Moreover, legislation to prohibit, limit or add burdens to our business may be introduced in the future in states where gaming has been legalized. In addition, from time to time, legislators and special interest groups have proposed legislation that would expand, restrict or prevent gaming operations or which may otherwise adversely impact our operations in the jurisdictions in which we operate. Any expansion of gaming or restriction on or prohibition of our gaming operations or enactment of other adverse regulatory changes could have a material adverse effect on our operating results.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and local smoking restrictions have and may continue to negatively affect our business.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Legislation in various forms to ban or substantially curtail indoor tobacco smoking in public places has been enacted or introduced in many states and local jurisdictions, including several of the jurisdictions in which we operate. We believe the smoking restrictions have significantly impacted business volumes. If additional smoking restrictions are enacted within jurisdictions where we operate or seek to do business, our financial condition, results of operations, and cash flows could be adversely affected.</w:t>
      </w:r>
    </w:p>
    <w:p>
      <w:pPr>
        <w:spacing w:after="0" w:line="21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Material increases to our taxes or the adoption of new taxes or the authorization of new or increased forms of gaming could have a material adverse effect on our future financial results.</w:t>
      </w:r>
    </w:p>
    <w:p>
      <w:pPr>
        <w:spacing w:after="0" w:line="19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that the prospect of significant revenue is one of the primary reasons that jurisdictions permit or expand legalized gaming. As a result, gaming companies are typically subject to significant revenue-based taxes and fees in addition to normal federal, state and local income taxes, and such taxes and fees are subject to increase at any time. We pay substantial taxes and fees with respect to our operations. From time-to-time, federal, state, and local legislators and officials have proposed changes in tax laws, or in the administration of such laws, affecting the gaming industry. In addition, worsening economic conditions could intensify the efforts of state and local governments to raise revenues through increases in gaming taxes, property taxes and/or by authorizing additional gaming properties each subject to payment of a new license fee. It is not possible to determine with certainty the likelihood of changes in such laws or in the administration of such laws. Such changes, if adopted, could have a material adverse effect on our financial condition, results of operations, and cash flows. The large number of state and local governments with significant current or projected budget deficits makes it more likely that those governments that currently permit gaming will seek to fund such deficits with new or increased gaming or new or increased gaming taxes and/or property taxes, and worsening economic conditions could intensify those efforts. Any new or increased gaming or the material increase or adoption of additional taxes or fees, could have a material adverse effect on our future financial results, especially in light of our significant fixed rent payments.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subject to environmental laws and potential exposure to environmental liabilities which could have an adverse effect on us.</w:t>
      </w:r>
    </w:p>
    <w:p>
      <w:pPr>
        <w:spacing w:after="0" w:line="26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subject to various federal, state, and local environmental laws and regulations that govern our operations, including emissions and discharges into the environment, and the handling and disposal of hazardous and non-hazardous substances and wastes. Failure to comply with such laws and regulations could result in costs for corrective action, penalties or the imposition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of other liabilities or restrictions. From time to time, we have incurred and are incurring costs and obligations for correcting environmental noncompliance matters. The extent of such potential conditions cannot be determined definitively. To date, none of these matters have had a material adverse effect on our financial condition, results of operations, and cash flows; however, there can be no assurance that such matters will not have such an effect in the future.</w:t>
      </w:r>
    </w:p>
    <w:p>
      <w:pPr>
        <w:spacing w:after="0" w:line="1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also are subject to laws and regulations that impose liability and clean-up responsibility for releases of hazardous substances into the environment. Under certain of these laws and regulations, a current or previous owner or operator of the property may be liable for the costs of remediating contaminated soil or groundwater on or from its property, without regard to whether the owner or operator knew of, or caused, the contamination, as well as incur liability to third parties impacted by such contamination. The presence of contamination, or failure to remediate it properly, may adversely affect our ability to use, sell or rent property. Under our contractual arrangements under the Triple Net Leases, we will generally be responsible for both past and future environmental liabilities associated with our gaming operations, notwithstanding ownership of the underlying real property having been transferred. Furthermore, we are aware that there is or may have been soil or groundwater or other contamination at certain of our properties resulting from current or former operations. These environmental conditions may require remediation in isolated areas. The extent of such potential conditions cannot be determined definitely, and may result in additional expense in the event that additional or currently unknown conditions are detected.</w:t>
      </w:r>
    </w:p>
    <w:p>
      <w:pPr>
        <w:spacing w:after="0" w:line="19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Additionally, certain of the gaming chips used at many gaming properties, including some of ours, have been found to contain some level of lead. Analysis by third parties has indicated the normal handling of the chips does not create a health hazard. We have disposed of a majority of these gaming chips. To date, none of these matters or other matters arising under environmental laws has had a material adverse effect on our financial condition, results of operations, and cash flows; however, there can be no assurance that such matters will not have such an effect in the future.</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certain federal, state and other regulations, and if we fail to comply with such regulations, it could have a material adverse effect on our financial condition, results of operations, and cash flow.</w:t>
      </w:r>
    </w:p>
    <w:p>
      <w:pPr>
        <w:spacing w:after="0" w:line="19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subject to certain federal, state, and local laws, regulations and ordinances that apply to businesses generally. The Bank Secrecy Act, enforced by the Financial Crimes Enforcement Network (“FinCEN”) of the U.S. Treasury Department, requires us to report currency transactions in excess of $10,000 occurring within a gaming day, including identification of the guest by name and social security number, to the IRS. This regulation also requires us to report certain suspicious activity, including any transaction that exceeds $5,000 that we know, suspect or have reason to believe involves funds from illegal activity or is designed to evade federal regulations or reporting requirements and to verify sources of funds, in response to which we have implemented Know Your Customer processes. Periodic audits by the IRS and our internal audit department assess compliance with the Bank Secrecy Act, and substantial penalties can be imposed against us if we fail to comply with this regulation. In recent years the U.S. Treasury Department has increased its focus on Bank Secrecy Act compliance throughout the gaming industry, and public comments by FinCEN suggest that casinos should obtain information on each customer’s sources of income. This could impact our ability to attract and retain casino guests. Further, since we deal with significant amounts of cash in our operations, we are subject to various reporting and anti-money laundering regulations. Any violation of anti-money laundering laws or regulations, or any accusations of money laundering or regulatory investigations into possible money laundering activities, by any of our properties, employees, partners, affiliates, or customers could have a material adverse effect on our financial condition, results of operations, and cash flows.</w:t>
      </w:r>
    </w:p>
    <w:p>
      <w:pPr>
        <w:spacing w:after="0" w:line="19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riverboats on which we operate must comply with certain federal and state laws and regulations with respect to boat design, on-board facilities, equipment, personnel, and safety. In addition, we are required to have third parties periodically inspect and certify all of our casino barges for stability and single compartment flooding integrity. The casino barges on which we operate also must meet local fire safety standards. We would incur additional costs if any of the gaming facilities on which we operate were not in compliance with one or more of these regulations.</w:t>
      </w:r>
    </w:p>
    <w:p>
      <w:pPr>
        <w:spacing w:after="0" w:line="198"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We are also subject to a variety of other federal, state and local laws and regulations, including those relating to zoning, construction, land use, employment, marketing, and advertising and the production, sale and service of alcoholic beverages. If we are not in compliance with these laws and regulations or we are subject to a substantial penalty, it could have a material adverse effect on our financial condition, results of operations, and cash flows.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Climate change, climate change regulations and greenhouse gas effects may adversely impact our operations.</w:t>
      </w:r>
    </w:p>
    <w:p>
      <w:pPr>
        <w:spacing w:after="0" w:line="25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There is a growing political and scientific consensus that greenhouse gas (“GHG”) emissions continue to alter the composition of the global atmosphere in ways that are affecting and are expected to continue affecting the global climate.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become subject to legislation and regulation regarding climate change, and compliance with any new rules could be difficult and costly. Concerned parties, such as legislators and regulators, stockholders and nongovernmental organizations, as well as companies in many business sectors, are considering ways to reduce GHG emissions. Many states have announced or adopted programs to stabilize and reduce GHG emissions and in the past federal legislation has been proposed in Congress. If such legislation is enacted, we could incur increased energy, environmental and other costs and capital expenditures to comply with the limitations. Unless and until legislation is enacted and its terms are known, we cannot reasonably or reliably estimate its impact on our financial condition, operating performance, or ability to compete. Further, regulation of GHG emissions may limit our guests’ ability to travel to our properties as a result of increased fuel costs or restrictions on transport related emissions. Climate change could have a material adverse effect on our financial condition, results of operations and cash flow. We have described the risks to us associated with extreme weather events in the risk factors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Technology, Information Security, and Penn Interactive</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Our gaming operations, online sports betting and iGaming rely heavily on technology services and an uninterrupted supply of electrical power.</w:t>
      </w:r>
    </w:p>
    <w:p>
      <w:pPr>
        <w:spacing w:after="0" w:line="2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Any unscheduled disruption in our technology services or interruption in the supply of electrical power could result in an immediate, and possibly substantial, loss of revenues due to a shutdown of our gaming operations (including slot machines and security systems), online sports betting, and iGaming operations.</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employee information, customer information or other breaches of information security, particularly as our iGaming division grows.</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increasingly rely on information technology and other systems (particularly as our iGaming division grows), including our own systems and those of service providers and third parties, to manage our business and employee data and maintain and transmit customers’ personal and financial information, credit card settlements, credit card funds transmissions, mailing lists, and reservations information. Our collection of such data is subject to extensive regulation by private groups, such as the payment card industry, as well as governmental authorities, including gaming authorities. Privacy regulations continue to evolve and we have taken, and will continue to take, steps to comply by implementing processes designed to safeguard the confidential and personal information of our business, employees and customers. In addition, our security measures are reviewed and evaluated regularly. However, our information and processes and those of our service providers and other third parties, are subject to the ever-changing threat of compromised security, in the form of a risk of potential breach, system failure, computer virus, or unauthorized or fraudulent use by customers, company employees, or employees of third party vendors. The steps we take to deter and mitigate the risks of breaches may not be successful, and any resulting compromise or loss of data or systems could adversely impact operations or regulatory compliance and could result in remedial expenses, fines, litigation, disclosures, and loss of reputation, potentially impacting our financial results. Further, as cyber-attacks continue to evolve, we may incur significant costs in our attempts to modify or enhance our protective measures or investigate or remediate any vulnerability. Increased instances of cyber-attacks may also have a negative reputational impact on us and our properties that may result in a loss of customer confidence and, as a result, may have a material adverse effect on our financial condition, results of operations, and cash flows.</w:t>
      </w:r>
    </w:p>
    <w:p>
      <w:pPr>
        <w:spacing w:after="0" w:line="21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b w:val="1"/>
          <w:bCs w:val="1"/>
          <w:i w:val="1"/>
          <w:iCs w:val="1"/>
          <w:color w:val="auto"/>
        </w:rPr>
        <w:t>Our online sports betting and iGaming initiatives may result in increased risk of cyber-attack, hacking, or other security breaches, which could harm our reputation and competitive position and which could result in regulatory actions against us or in other penalties.</w:t>
      </w:r>
    </w:p>
    <w:p>
      <w:pPr>
        <w:spacing w:after="0" w:line="17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our online sports betting and iGaming business grows, we will face increased cyber risks and threats that seek to damage, disrupt or gain access to our networks, our products and services, and supporting infrastructure. Any failure to prevent or mitigate security breaches or cyber risk could result in interruptions to the services we provide, degrade the user experience, and cause our users to lose confidence in our products. The unauthorized access, acquisition or disclosure of consumer information could compel us to comply with disparate breach notification laws and otherwise subject us to proceedings by governmental entities or others and substantial legal and financial liability. This could harm our business and reputation, disrupt our relationships with partners and diminish our competitive position.</w:t>
      </w:r>
    </w:p>
    <w:p>
      <w:pPr>
        <w:spacing w:after="0" w:line="21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b w:val="1"/>
          <w:bCs w:val="1"/>
          <w:i w:val="1"/>
          <w:iCs w:val="1"/>
          <w:color w:val="auto"/>
        </w:rPr>
        <w:t>If our third-party mobile application distribution platforms or service providers do not perform adequately or terminate their relationships with us, our costs may increase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rely upon third-party distribution platforms, including the Apple App Store and Google Play store, for distribution of our mobile applications. As such, the promotion, distribution and operation of our mobile applications are subject to the respective distribution platforms’ standard terms and policies, which are very broad and subject to frequent changes and interpretation. If Apple or Google choose to de-list any of our mobile applications due to what they perceive to be objectionable content, it could have a material negative impact on our business.</w:t>
      </w:r>
    </w:p>
    <w:p>
      <w:pPr>
        <w:spacing w:after="0" w:line="19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Further, the success of Penn Interactive depends in part on our relationships with other third-party service providers for content delivery, load balancing and protection against distributed denial-of-service attacks. If those providers do not perform adequately or terminate their relationship with us, our users may experience issues or interruptions with their experiences. We also rely on other software and services supplied by third parties, such as communications and internal software, and our business may be adversely affected to the extent such software and services do not meet our expectations, contain errors or vulnerabilities, are compromised or experience outages. Further, any negative publicity related to any of our third-party partners could adversely affect our reputation and brand.</w:t>
      </w:r>
    </w:p>
    <w:p>
      <w:pPr>
        <w:spacing w:after="0" w:line="21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also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which could adversely affect our business, financial condition and results of operations.</w:t>
      </w:r>
    </w:p>
    <w:p>
      <w:pPr>
        <w:spacing w:after="0" w:line="21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Further, we rely on third-party geolocation and identity verification systems to ensure we are in compliance with certain laws and regulations. There is no guarantee that the third-party geolocation and identity verification systems will perform adequately, or be effective, and any service disruption to those systems would prohibit us from operating our platform, and would adversely affect our business.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growth of Penn Interactive will depend on our ability to attract and retain users.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ability to achieve growth in revenue in the future in Penn Interactive and Barstool Sports sports betting app will depend, in large part, upon our ability to attract new users to our offerings, retain existing users of our offerings and reactivate users in a cost-effective manner. Achieving growth in our community of users may require us to increasingly engage in sophisticated and costly sales and marketing and promotional efforts, which may not make sense in terms of return on investment. We have used and expect to continue to use a variety of free and paid marketing channels, in combination with compelling offers and exciting games to achieve our objectives. For paid marketing, we intend to leverage a broad array of advertising channels, including television, radio, social media influencers (brand ambassadors), social media platforms, such as Facebook, Instagram, Twitter and Snap, affiliates and paid and organic search, and other digital channels, such as mobile display. If the search engines on which we rely modify their algorithms, change their terms around gaming, or if the prices at which we may purchase listings increase, then our costs could increase, and fewer users may click through to our website. If links to our website are not displayed prominently in online search results, if fewer users click through to our website, if our other digital marketing campaigns are not effective, if the costs of attracting users using any of our current methods significantly increase, then our ability to efficiently attract new users could be reduced, our revenue could decline and our business, financial condition and results of operations could be harmed.</w:t>
      </w:r>
    </w:p>
    <w:p>
      <w:pPr>
        <w:spacing w:after="0" w:line="19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our ability to increase the number of users of our offerings will depend on continued user adoption of the Barstool Sportsbook app and iGaming. Growth in the sportsbook and iGaming industries and the level of demand for and market acceptance of our product offerings will be subject to a high degree of uncertainty. We cannot assure that consumer adoption of our product offerings will continue or exceed current growth rates, or that the industry will achieve more widespread acceptance.</w:t>
      </w:r>
    </w:p>
    <w:p>
      <w:pPr>
        <w:spacing w:after="0" w:line="21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Additionally, as technological or regulatory standards change and we modify our platform to comply with those standards, we may need users to take certain actions to continue playing, such as performing age verification checks or accepting new terms and conditions. Users may stop using our product offerings at any time, including if the quality of the user experience on our platform, including our support capabilities in the event of a problem, does not meet their expectations or keep pace with the quality of the customer experience generally offered by competitive offerings.</w:t>
      </w:r>
    </w:p>
    <w:p>
      <w:pPr>
        <w:spacing w:after="0" w:line="19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We face a number of challenges prior to opening new or upgraded gaming properties or launching new iGaming or sports betting channels, which may lead to increased costs and delays in anticipated revenues.</w:t>
      </w:r>
    </w:p>
    <w:p>
      <w:pPr>
        <w:spacing w:after="0" w:line="19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No assurance can be given that, when we endeavor to open new or upgraded gaming properties or launch new iGaming or sports betting channels, the expected timetables for opening such properties or channels will be met in light of the uncertainties inherent in the development of the regulatory framework, construction, the licensing process, legislative action and litigation.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addition, as we seek to launch iGaming and sports betting apps in additional states, we will need to hire additional qualified employees, such as engineers, IT professionals and other compliance personnel. Given the significant competition in this area for qualified candidates, we may be unable to hire qualified candidates. Delays in opening new or upgraded properties could lead to increased costs and delays in receiving anticipated revenues with respect to such properties or channels and could have a material adverse effect on our financial condition, results of operations, and cash flows.</w:t>
      </w:r>
    </w:p>
    <w:p>
      <w:pPr>
        <w:spacing w:after="0" w:line="184" w:lineRule="exact"/>
        <w:rPr>
          <w:sz w:val="20"/>
          <w:szCs w:val="20"/>
          <w:color w:val="auto"/>
        </w:rPr>
      </w:pPr>
    </w:p>
    <w:p>
      <w:pPr>
        <w:ind w:right="80" w:firstLine="324"/>
        <w:spacing w:after="0" w:line="324" w:lineRule="auto"/>
        <w:rPr>
          <w:sz w:val="20"/>
          <w:szCs w:val="20"/>
          <w:color w:val="auto"/>
        </w:rPr>
      </w:pPr>
      <w:r>
        <w:rPr>
          <w:rFonts w:ascii="Arial" w:cs="Arial" w:eastAsia="Arial" w:hAnsi="Arial"/>
          <w:sz w:val="16"/>
          <w:szCs w:val="16"/>
          <w:b w:val="1"/>
          <w:bCs w:val="1"/>
          <w:i w:val="1"/>
          <w:iCs w:val="1"/>
          <w:color w:val="auto"/>
        </w:rPr>
        <w:t>Negative events or negative media coverage relating to, or a declining popularity of, sports betting, the underlying sports or athletes, online sports betting, or iGaming may adversely impact our ability to retain or attract users, which could have an adverse impact on our business.</w:t>
      </w:r>
    </w:p>
    <w:p>
      <w:pPr>
        <w:spacing w:after="0" w:line="15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Public opinion can significantly influence our business. Unfavorable publicity regarding us or regarding the actions of third parties with whom we have relationships or the underlying sports (including declining popularity of the sports or athletes) could seriously harm our reputation. In addition, a negative shift in the perception of sports betting and iGaming by the public or by politicians, lobbyists or others could affect future legislation of sports betting and iGaming. Negative public perception could also lead to new restrictions on or to the prohibition of iGaming or sports betting in jurisdictions in which we currently operate. Such negative publicity could also adversely affect the size, demographics, engagement, and loyalty of our customer base and result in decreased revenue or slower user growth rates, which could seriously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Acquisitions</w:t>
      </w:r>
    </w:p>
    <w:p>
      <w:pPr>
        <w:spacing w:after="0" w:line="25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b w:val="1"/>
          <w:bCs w:val="1"/>
          <w:i w:val="1"/>
          <w:iCs w:val="1"/>
          <w:color w:val="auto"/>
        </w:rPr>
        <w:t>We may face disruption and other difficulties in integrating and managing properties or other initiatives we have recently acquired, may develop, or may acquire in the future.</w:t>
      </w:r>
    </w:p>
    <w:p>
      <w:pPr>
        <w:spacing w:after="0" w:line="19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could face significant challenges in managing and integrating our expanded or combined operations and any other properties we may develop or acquire, particularly in new competitive markets. The integration of more significant properties that we may develop or acquire (such as Morgantown, Perryville, and York) will require the dedication of management resources that may temporarily divert attention from our day-to-day business. In addition, development and integration of new information technology systems that may be required is costly and time-consuming. The process of integrating properties that we may acquire also could interrupt the activities of those businesses, which could have a material adverse effect on our financial condition, results of operations, and cash flows. In addition, the development of new properties may involve construction, local opposition, regulatory, legal and competitive risks as well as the risks attendant to partnership deals on these development opportunities. In particular, in projects where we team up with a joint venture partner, if we cannot reach agreement with such partners, or if our relationships otherwise deteriorate, we could face significant increased costs and delays. Local opposition can delay or increase the anticipated cost of a project. Many of these same risks apply to our iGaming and sports betting initiatives. Finally, given the competitive nature of these types of limited license opportunities, litigation is possible.</w:t>
      </w:r>
    </w:p>
    <w:p>
      <w:pPr>
        <w:spacing w:after="0" w:line="19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Management of new properties, especially in new geographic areas and business lines may require that we increase our management resources or divert the attention of our current management. We cannot assure you that we will be able to manage the combined operations effectively or realize any of the anticipated benefits of our acquisitions or development projects. We also cannot assure you that if acquisitions are completed, that the acquired businesses will generate returns consistent with our expectations.</w:t>
      </w:r>
    </w:p>
    <w:p>
      <w:pPr>
        <w:spacing w:after="0" w:line="21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ability to achieve our objectives in connection with any acquisition we may consummate may be highly dependent on, among other things, our ability to retain the senior level property management teams of such acquisition candidates. If, for any reason, we are unable to retain these management teams following such acquisitions or if we fail to attract new capable executives, our operations after consummation of such acquisitions could be materially adversely affected.</w:t>
      </w:r>
    </w:p>
    <w:p>
      <w:pPr>
        <w:spacing w:after="0" w:line="21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occurrence of some or all of the above described events could have a material adverse effect on our financial condition, results of operations, and cash flows.</w:t>
      </w:r>
    </w:p>
    <w:p>
      <w:pPr>
        <w:spacing w:after="0" w:line="19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In the event we make another acquisition, we may face risks related to our ability to receive regulatory approvals required to complete, or other delays or impediments to completing, such acquisition.</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growth is fueled, in part, by the acquisition of existing gaming, racing, and development properties, as well as our iGaming and sports betting initiatives. In addition to standard closing conditions, our acquisitions are often conditioned on the receipt of regulatory approvals and other hurdles that create uncertainty and could increase costs. Such delays could significantly reduce the benefits to us of such acquisitions and could have a material adverse effect on our financial condition, results of operations, and cash flows.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Spin-Off</w:t>
      </w:r>
    </w:p>
    <w:p>
      <w:pPr>
        <w:spacing w:after="0" w:line="25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we could be subject to significant tax liabilities.</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received a private letter ruling (the “IRS Ruling”) from the IRS substantially to the effect that, among other things, the Spin-Off, together with</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certain related transactions, will qualify as a transaction that is generally tax-free for U.S. federal income tax purposes under Sections 355 and/or 368(a)(1)</w:t>
      </w:r>
    </w:p>
    <w:p>
      <w:pPr>
        <w:spacing w:after="0" w:line="32" w:lineRule="exact"/>
        <w:rPr>
          <w:sz w:val="20"/>
          <w:szCs w:val="20"/>
          <w:color w:val="auto"/>
        </w:rPr>
      </w:pPr>
    </w:p>
    <w:p>
      <w:pPr>
        <w:ind w:right="20" w:firstLine="8"/>
        <w:spacing w:after="0" w:line="252"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Internal Revenue Code of 1986, as amended (the “Code”). The IRS Ruling does not address certain requirements for tax-free treatment of the Spin-Off under Section 355, and we received from our tax advisors a tax opinion substantially to the effect that, with respect to such requirements on which the IRS will not rule, such requirements will be satisfied. The IRS Ruling, and the tax opinions that we received from our tax advisors, relied on and will rely on, among other things, certain representations, assumptions and undertakings, including those relating to the past and future conduct of GLPI’s business, and the IRS Ruling and the opinions would not be valid if such representations, assumptions and undertakings were incorrect in any material respect.</w:t>
      </w:r>
    </w:p>
    <w:p>
      <w:pPr>
        <w:spacing w:after="0" w:line="221"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Notwithstanding the IRS Ruling and the tax opinions, the IRS could determine the Spin-Off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opinions that are not covered by the IRS Ruling. If the Spin-Off fails to qualify for tax-free treatment, in general, we would be subject to tax as if we had sold the GLPI common stock in a taxable sale for its fair market value.</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tax matters agreement that GLPI entered into with us, GLPI generally is required to indemnify us against any tax resulting from the Spin-Off to the extent that such tax resulted from (1) an acquisition of all or a portion of the equity securities or assets of GLPI, whether by merger or otherwise, (2) other actions or failures to act by GLPI, or (3) any of GLPI’s representations or undertakings being incorrect or violated. GLPI’s indemnification obligations to Penn and its subsidiaries, officers and directors will not be limited by any maximum amount. If GLPI is required to indemnify Penn or such other persons under the circumstance set forth in the tax matters agreement, GLPI may be subject to substantial liabilities and there can be no assurance that GLPI will be able to satisfy such indemnification obligations.</w:t>
      </w:r>
    </w:p>
    <w:p>
      <w:pPr>
        <w:spacing w:after="0" w:line="219" w:lineRule="exact"/>
        <w:rPr>
          <w:sz w:val="20"/>
          <w:szCs w:val="20"/>
          <w:color w:val="auto"/>
        </w:rPr>
      </w:pPr>
    </w:p>
    <w:p>
      <w:pPr>
        <w:ind w:right="300" w:firstLine="324"/>
        <w:spacing w:after="0" w:line="248" w:lineRule="auto"/>
        <w:rPr>
          <w:sz w:val="20"/>
          <w:szCs w:val="20"/>
          <w:color w:val="auto"/>
        </w:rPr>
      </w:pPr>
      <w:r>
        <w:rPr>
          <w:rFonts w:ascii="Arial" w:cs="Arial" w:eastAsia="Arial" w:hAnsi="Arial"/>
          <w:sz w:val="18"/>
          <w:szCs w:val="18"/>
          <w:b w:val="1"/>
          <w:bCs w:val="1"/>
          <w:i w:val="1"/>
          <w:iCs w:val="1"/>
          <w:color w:val="auto"/>
        </w:rPr>
        <w:t>In connection with the Spin-Off, GLPI agreed to indemnify us for certain liabilities. However, there can be no assurance that these indemnities will be sufficient to insure us against the full amount of such liabilities, or that GLPI’s ability to satisfy its indemnification obligation will not be impaired in the future.</w:t>
      </w:r>
    </w:p>
    <w:p>
      <w:pPr>
        <w:spacing w:after="0" w:line="20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separation and distribution agreement, GLPI has agreed to indemnify us for certain liabilities. However, third parties could seek to hold us responsible for any of the liabilities that GLPI agreed to retain, and there can be no assurance that GLPI will be able to fully satisfy its indemnification obligations. Moreover, even if we ultimately succeed in recovering from GLPI any amounts for which we are held liable, we may be temporarily required to bear these losses while seeking recovery from GLPI.</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A court could deem the distribution in the Spin-Off to be a fraudulent conveyance and void the transaction or impose substantial liabilities upon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23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If the transaction is challenged by a third-party, a court could deem the distribution of GLPI common shares or certain internal restructuring transactions undertaken by us in connection with the Spin-Off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us some or all of the shares of our common stock issued in the distribution or require us to fund liabilities of other companies involved in the restructuring transactions for the benefit of creditors. Whether a transaction is a fraudulent conveyance or transfer will vary depending upon the laws of the applicable jurisdiction.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and GLPI are treated by the IRS as being under common control, both we and GLPI could experience adverse tax consequences.</w:t>
      </w:r>
    </w:p>
    <w:p>
      <w:pPr>
        <w:spacing w:after="0" w:line="2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we and GLPI are treated by the IRS as being under common control, the IRS will be authorized to reallocate income and deductions between us and GLPI to reflect arm’s length terms. If the IRS were to successfully establish that rents paid by us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GLPI are excessive, we would be (i) denied a deduction for the excessive portion and (ii) subject to a penalty on the portion deemed excessive, each of which could have a material adverse effect on our financial condition, results of operations, and cash flows. Also, our shareholders would be deemed to have received a distribution that was then contributed to the capital of GLPI.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220" w:firstLine="324"/>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As detailed in </w:t>
      </w:r>
      <w:hyperlink w:anchor="page8">
        <w:r>
          <w:rPr>
            <w:rFonts w:ascii="Arial" w:cs="Arial" w:eastAsia="Arial" w:hAnsi="Arial"/>
            <w:sz w:val="16"/>
            <w:szCs w:val="16"/>
            <w:u w:val="single" w:color="auto"/>
            <w:color w:val="0000FF"/>
          </w:rPr>
          <w:t>Item 1. Business, “Operating Properties,”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majority of our facilities are subject to leases of the underlying real estate assets, which, among other things, includes the land underlying the facility and the buildings used in the operations of the casino and the hotel, if applicable. The following describes the principal real estate associated with our properties by reportable segment (all area metrics are approximate):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218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rPr>
              <w:t>Location</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Description of Owned Real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Acreage of</w:t>
            </w:r>
          </w:p>
        </w:tc>
        <w:tc>
          <w:tcPr>
            <w:tcW w:w="10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Description of Leased Real</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Acreage of</w:t>
            </w: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Property</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Land</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Property</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Land</w:t>
            </w:r>
          </w:p>
        </w:tc>
        <w:tc>
          <w:tcPr>
            <w:tcW w:w="0" w:type="dxa"/>
            <w:vAlign w:val="bottom"/>
          </w:tcPr>
          <w:p>
            <w:pPr>
              <w:spacing w:after="0"/>
              <w:rPr>
                <w:sz w:val="1"/>
                <w:szCs w:val="1"/>
                <w:color w:val="auto"/>
              </w:rPr>
            </w:pPr>
          </w:p>
        </w:tc>
      </w:tr>
      <w:tr>
        <w:trPr>
          <w:trHeight w:val="161"/>
        </w:trPr>
        <w:tc>
          <w:tcPr>
            <w:tcW w:w="348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i w:val="1"/>
                <w:iCs w:val="1"/>
                <w:color w:val="auto"/>
              </w:rPr>
              <w:t>Northeast segment</w:t>
            </w:r>
          </w:p>
        </w:tc>
        <w:tc>
          <w:tcPr>
            <w:tcW w:w="2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Ameristar East Chicago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East Chicago, IN</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Greektown Casino-Hotel</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Detroit, MI</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Bangor</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Bangor, ME</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44</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at Charles Town Races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Charles Town, WV</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299</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Columbus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Columbus, OH</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116</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Lawrenceburg</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Lawrenceburg, IN</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buildings</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105</w:t>
            </w:r>
          </w:p>
        </w:tc>
        <w:tc>
          <w:tcPr>
            <w:tcW w:w="0" w:type="dxa"/>
            <w:vAlign w:val="bottom"/>
          </w:tcPr>
          <w:p>
            <w:pPr>
              <w:spacing w:after="0"/>
              <w:rPr>
                <w:sz w:val="1"/>
                <w:szCs w:val="1"/>
                <w:color w:val="auto"/>
              </w:rPr>
            </w:pPr>
          </w:p>
        </w:tc>
      </w:tr>
      <w:tr>
        <w:trPr>
          <w:trHeight w:val="175"/>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at Penn National Race Course</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Grantville, PA</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5" w:lineRule="exact"/>
              <w:rPr>
                <w:sz w:val="20"/>
                <w:szCs w:val="20"/>
                <w:color w:val="auto"/>
              </w:rPr>
            </w:pPr>
            <w:r>
              <w:rPr>
                <w:rFonts w:ascii="Arial" w:cs="Arial" w:eastAsia="Arial" w:hAnsi="Arial"/>
                <w:sz w:val="13"/>
                <w:szCs w:val="13"/>
                <w:color w:val="auto"/>
                <w:w w:val="87"/>
              </w:rPr>
              <w:t xml:space="preserve">Land </w:t>
            </w:r>
            <w:r>
              <w:rPr>
                <w:rFonts w:ascii="Arial" w:cs="Arial" w:eastAsia="Arial" w:hAnsi="Arial"/>
                <w:sz w:val="16"/>
                <w:szCs w:val="16"/>
                <w:color w:val="auto"/>
                <w:w w:val="87"/>
                <w:vertAlign w:val="superscript"/>
              </w:rPr>
              <w:t>(1)</w:t>
            </w:r>
            <w:r>
              <w:rPr>
                <w:rFonts w:ascii="Arial" w:cs="Arial" w:eastAsia="Arial" w:hAnsi="Arial"/>
                <w:sz w:val="13"/>
                <w:szCs w:val="13"/>
                <w:color w:val="auto"/>
                <w:w w:val="87"/>
              </w:rPr>
              <w:t>, racetrack,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574</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Toledo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Toledo, OH</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Gaming at Dayton Raceway</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Dayton, OH</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120</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Gaming at Mahoning Valley Race Course</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Youngstown, OH</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193</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Meadows Racetrack and Casino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Washington, PA</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156</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Plainridge Park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Plainville, MA</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88</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South segment</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140"/>
              <w:spacing w:after="0" w:line="175" w:lineRule="exact"/>
              <w:rPr>
                <w:sz w:val="20"/>
                <w:szCs w:val="20"/>
                <w:color w:val="auto"/>
              </w:rPr>
            </w:pPr>
            <w:r>
              <w:rPr>
                <w:rFonts w:ascii="Arial" w:cs="Arial" w:eastAsia="Arial" w:hAnsi="Arial"/>
                <w:sz w:val="13"/>
                <w:szCs w:val="13"/>
                <w:color w:val="auto"/>
              </w:rPr>
              <w:t>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Jackpot Casino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Tunica, MS</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5" w:lineRule="exact"/>
              <w:rPr>
                <w:sz w:val="20"/>
                <w:szCs w:val="20"/>
                <w:color w:val="auto"/>
              </w:rPr>
            </w:pPr>
            <w:r>
              <w:rPr>
                <w:rFonts w:ascii="Arial" w:cs="Arial" w:eastAsia="Arial" w:hAnsi="Arial"/>
                <w:sz w:val="13"/>
                <w:szCs w:val="13"/>
                <w:color w:val="auto"/>
                <w:w w:val="87"/>
              </w:rPr>
              <w:t xml:space="preserve">Land </w:t>
            </w:r>
            <w:r>
              <w:rPr>
                <w:rFonts w:ascii="Arial" w:cs="Arial" w:eastAsia="Arial" w:hAnsi="Arial"/>
                <w:sz w:val="16"/>
                <w:szCs w:val="16"/>
                <w:color w:val="auto"/>
                <w:w w:val="87"/>
                <w:vertAlign w:val="superscript"/>
              </w:rPr>
              <w:t>(2)</w:t>
            </w:r>
            <w:r>
              <w:rPr>
                <w:rFonts w:ascii="Arial" w:cs="Arial" w:eastAsia="Arial" w:hAnsi="Arial"/>
                <w:sz w:val="13"/>
                <w:szCs w:val="13"/>
                <w:color w:val="auto"/>
                <w:w w:val="87"/>
              </w:rPr>
              <w:t>,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147</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Ameristar Vicksburg</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Vicksburg, MS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74</w:t>
            </w:r>
          </w:p>
        </w:tc>
        <w:tc>
          <w:tcPr>
            <w:tcW w:w="0" w:type="dxa"/>
            <w:vAlign w:val="bottom"/>
          </w:tcPr>
          <w:p>
            <w:pPr>
              <w:spacing w:after="0"/>
              <w:rPr>
                <w:sz w:val="1"/>
                <w:szCs w:val="1"/>
                <w:color w:val="auto"/>
              </w:rPr>
            </w:pPr>
          </w:p>
        </w:tc>
      </w:tr>
      <w:tr>
        <w:trPr>
          <w:trHeight w:val="176"/>
        </w:trPr>
        <w:tc>
          <w:tcPr>
            <w:tcW w:w="3480" w:type="dxa"/>
            <w:vAlign w:val="bottom"/>
          </w:tcPr>
          <w:p>
            <w:pPr>
              <w:ind w:left="140"/>
              <w:spacing w:after="0"/>
              <w:rPr>
                <w:sz w:val="20"/>
                <w:szCs w:val="20"/>
                <w:color w:val="auto"/>
              </w:rPr>
            </w:pPr>
            <w:r>
              <w:rPr>
                <w:rFonts w:ascii="Arial" w:cs="Arial" w:eastAsia="Arial" w:hAnsi="Arial"/>
                <w:sz w:val="13"/>
                <w:szCs w:val="13"/>
                <w:color w:val="auto"/>
              </w:rPr>
              <w:t>Boomtown Biloxi</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Biloxi, MS</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5" w:lineRule="exact"/>
              <w:rPr>
                <w:sz w:val="20"/>
                <w:szCs w:val="20"/>
                <w:color w:val="auto"/>
              </w:rPr>
            </w:pPr>
            <w:r>
              <w:rPr>
                <w:rFonts w:ascii="Arial" w:cs="Arial" w:eastAsia="Arial" w:hAnsi="Arial"/>
                <w:sz w:val="13"/>
                <w:szCs w:val="13"/>
                <w:color w:val="auto"/>
                <w:w w:val="87"/>
              </w:rPr>
              <w:t xml:space="preserve">Land </w:t>
            </w:r>
            <w:r>
              <w:rPr>
                <w:rFonts w:ascii="Arial" w:cs="Arial" w:eastAsia="Arial" w:hAnsi="Arial"/>
                <w:sz w:val="16"/>
                <w:szCs w:val="16"/>
                <w:color w:val="auto"/>
                <w:w w:val="87"/>
                <w:vertAlign w:val="superscript"/>
              </w:rPr>
              <w:t>(3)</w:t>
            </w:r>
            <w:r>
              <w:rPr>
                <w:rFonts w:ascii="Arial" w:cs="Arial" w:eastAsia="Arial" w:hAnsi="Arial"/>
                <w:sz w:val="13"/>
                <w:szCs w:val="13"/>
                <w:color w:val="auto"/>
                <w:w w:val="87"/>
              </w:rPr>
              <w:t>,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Boomtown Bossier City</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Bossier City, LA</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Boomtown New Orleans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New Orleans, LA</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54</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Gulf Coast</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Bay St. Louis, MS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579</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Tunica</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Tunica, MS</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68</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L’Auberge Baton Rouge</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Baton Rouge, LA</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Undeveloped land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478</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99</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L’Auberge Lake Charles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Lake Charles, LA</w:t>
            </w:r>
          </w:p>
        </w:tc>
        <w:tc>
          <w:tcPr>
            <w:tcW w:w="184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Undeveloped land</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235</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Margaritaville Resort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Bossier City, LA</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34</w:t>
            </w:r>
          </w:p>
        </w:tc>
        <w:tc>
          <w:tcPr>
            <w:tcW w:w="0" w:type="dxa"/>
            <w:vAlign w:val="bottom"/>
          </w:tcPr>
          <w:p>
            <w:pPr>
              <w:spacing w:after="0"/>
              <w:rPr>
                <w:sz w:val="1"/>
                <w:szCs w:val="1"/>
                <w:color w:val="auto"/>
              </w:rPr>
            </w:pPr>
          </w:p>
        </w:tc>
      </w:tr>
      <w:tr>
        <w:trPr>
          <w:trHeight w:val="175"/>
        </w:trPr>
        <w:tc>
          <w:tcPr>
            <w:tcW w:w="348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Resorts Casino Tunica </w:t>
            </w:r>
            <w:r>
              <w:rPr>
                <w:rFonts w:ascii="Arial" w:cs="Arial" w:eastAsia="Arial" w:hAnsi="Arial"/>
                <w:sz w:val="16"/>
                <w:szCs w:val="16"/>
                <w:color w:val="auto"/>
                <w:vertAlign w:val="superscript"/>
              </w:rPr>
              <w:t>(4)</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Tunica, MS</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West segment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Ameristar Black Hawk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Black Hawk, CO</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Cactus Petes and Horseshu</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Jackpot, NV</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80</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 Resort</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Henderson, NV</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Tropicana Las Vegas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Las Vegas, NV</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Zia Park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Hobbs, NM</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racetrack,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317</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Midwest segment</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Ameristar Council Bluffs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Council Bluffs, IA</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Land, buildings, boat</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59</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Argosy Casino Alton</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Alton, IL</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Boat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Land, buildings</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0" w:type="dxa"/>
            <w:vAlign w:val="bottom"/>
          </w:tcPr>
          <w:p>
            <w:pPr>
              <w:spacing w:after="0"/>
              <w:rPr>
                <w:sz w:val="1"/>
                <w:szCs w:val="1"/>
                <w:color w:val="auto"/>
              </w:rPr>
            </w:pPr>
          </w:p>
        </w:tc>
      </w:tr>
      <w:tr>
        <w:trPr>
          <w:trHeight w:val="175"/>
        </w:trPr>
        <w:tc>
          <w:tcPr>
            <w:tcW w:w="3480" w:type="dxa"/>
            <w:vAlign w:val="bottom"/>
          </w:tcPr>
          <w:p>
            <w:pPr>
              <w:ind w:left="140"/>
              <w:spacing w:after="0"/>
              <w:rPr>
                <w:sz w:val="20"/>
                <w:szCs w:val="20"/>
                <w:color w:val="auto"/>
              </w:rPr>
            </w:pPr>
            <w:r>
              <w:rPr>
                <w:rFonts w:ascii="Arial" w:cs="Arial" w:eastAsia="Arial" w:hAnsi="Arial"/>
                <w:sz w:val="13"/>
                <w:szCs w:val="13"/>
                <w:color w:val="auto"/>
              </w:rPr>
              <w:t>Argosy Casino Riverside</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Riverside, MO</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060" w:type="dxa"/>
            <w:vAlign w:val="bottom"/>
            <w:gridSpan w:val="2"/>
          </w:tcPr>
          <w:p>
            <w:pPr>
              <w:jc w:val="center"/>
              <w:ind w:right="120"/>
              <w:spacing w:after="0" w:line="175" w:lineRule="exact"/>
              <w:rPr>
                <w:sz w:val="20"/>
                <w:szCs w:val="20"/>
                <w:color w:val="auto"/>
              </w:rPr>
            </w:pPr>
            <w:r>
              <w:rPr>
                <w:rFonts w:ascii="Arial" w:cs="Arial" w:eastAsia="Arial" w:hAnsi="Arial"/>
                <w:sz w:val="13"/>
                <w:szCs w:val="13"/>
                <w:color w:val="auto"/>
                <w:w w:val="87"/>
              </w:rPr>
              <w:t xml:space="preserve">Land </w:t>
            </w:r>
            <w:r>
              <w:rPr>
                <w:rFonts w:ascii="Arial" w:cs="Arial" w:eastAsia="Arial" w:hAnsi="Arial"/>
                <w:sz w:val="16"/>
                <w:szCs w:val="16"/>
                <w:color w:val="auto"/>
                <w:w w:val="87"/>
                <w:vertAlign w:val="superscript"/>
              </w:rPr>
              <w:t>(5)</w:t>
            </w:r>
            <w:r>
              <w:rPr>
                <w:rFonts w:ascii="Arial" w:cs="Arial" w:eastAsia="Arial" w:hAnsi="Arial"/>
                <w:sz w:val="13"/>
                <w:szCs w:val="13"/>
                <w:color w:val="auto"/>
                <w:w w:val="87"/>
              </w:rPr>
              <w:t>, buildings, barge</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Aurora</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Aurora, IL</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Joliet</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Joliet, IL</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276</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at Kansas Speedway</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Kansas City, KS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Land, buildings</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101</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Hollywood Casino St. Louis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Maryland Heights, MO</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 buildings, barge</w:t>
            </w: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221</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River City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 Louis, MO</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 xml:space="preserve">Land </w:t>
            </w:r>
            <w:r>
              <w:rPr>
                <w:rFonts w:ascii="Arial" w:cs="Arial" w:eastAsia="Arial" w:hAnsi="Arial"/>
                <w:sz w:val="16"/>
                <w:szCs w:val="16"/>
                <w:color w:val="auto"/>
                <w:w w:val="87"/>
                <w:vertAlign w:val="superscript"/>
              </w:rPr>
              <w:t>(6)</w:t>
            </w:r>
            <w:r>
              <w:rPr>
                <w:rFonts w:ascii="Arial" w:cs="Arial" w:eastAsia="Arial" w:hAnsi="Arial"/>
                <w:sz w:val="13"/>
                <w:szCs w:val="13"/>
                <w:color w:val="auto"/>
                <w:w w:val="87"/>
              </w:rPr>
              <w:t>, buildings, barge</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83</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Other</w:t>
            </w: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Arial" w:cs="Arial" w:eastAsia="Arial" w:hAnsi="Arial"/>
                <w:sz w:val="13"/>
                <w:szCs w:val="13"/>
                <w:color w:val="auto"/>
              </w:rPr>
              <w:t>Freehold Raceway</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Freehold, NJ</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Land, racetrack, buildings</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51</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Cherry Hill, NJ</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Undeveloped land</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48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Retama Park Racetrack </w:t>
            </w:r>
            <w:r>
              <w:rPr>
                <w:rFonts w:ascii="Arial" w:cs="Arial" w:eastAsia="Arial" w:hAnsi="Arial"/>
                <w:sz w:val="16"/>
                <w:szCs w:val="16"/>
                <w:color w:val="auto"/>
                <w:vertAlign w:val="superscript"/>
              </w:rPr>
              <w:t>(7)</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Selma, TX</w:t>
            </w:r>
          </w:p>
        </w:tc>
        <w:tc>
          <w:tcPr>
            <w:tcW w:w="184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Undeveloped land</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14</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Sam Houston Race Park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Houston, TX</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 racetrack, buildings</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168</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348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Sanford-Orlando Kennel Club </w:t>
            </w:r>
            <w:r>
              <w:rPr>
                <w:rFonts w:ascii="Arial" w:cs="Arial" w:eastAsia="Arial" w:hAnsi="Arial"/>
                <w:sz w:val="16"/>
                <w:szCs w:val="16"/>
                <w:color w:val="auto"/>
                <w:vertAlign w:val="superscript"/>
              </w:rPr>
              <w:t>(8)</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Longwood, FL</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Land, building</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Valley Race Park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Harlingen, TX</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Land, racetrack, buildings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71</w:t>
            </w:r>
          </w:p>
        </w:tc>
        <w:tc>
          <w:tcPr>
            <w:tcW w:w="10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952</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4,415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80" w:hanging="310"/>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Of which, 393 acres is undeveloped land surrounding Hollywood Casino at Penn National Race Course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which, 53 acres is wetlands.</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which, 3 acres is subject to the Penn Master Lease.</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Resorts Casino Tunica ceased operations on June 30, 2019, but remains subject to the Penn Master Lease.</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which, 38 acres is subject to the Penn Master Lease.</w:t>
      </w:r>
    </w:p>
    <w:p>
      <w:pPr>
        <w:spacing w:after="0" w:line="55" w:lineRule="exact"/>
        <w:rPr>
          <w:rFonts w:ascii="Arial" w:cs="Arial" w:eastAsia="Arial" w:hAnsi="Arial"/>
          <w:sz w:val="14"/>
          <w:szCs w:val="14"/>
          <w:color w:val="auto"/>
        </w:rPr>
      </w:pPr>
    </w:p>
    <w:p>
      <w:pPr>
        <w:ind w:left="480" w:hanging="31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Of which, 24 acres is land surrounding River City Casino reserved for community and recreational facilities.</w:t>
      </w:r>
    </w:p>
    <w:p>
      <w:pPr>
        <w:spacing w:after="0" w:line="55" w:lineRule="exact"/>
        <w:rPr>
          <w:rFonts w:ascii="Arial" w:cs="Arial" w:eastAsia="Arial" w:hAnsi="Arial"/>
          <w:sz w:val="14"/>
          <w:szCs w:val="14"/>
          <w:color w:val="auto"/>
        </w:rPr>
      </w:pPr>
    </w:p>
    <w:p>
      <w:pPr>
        <w:ind w:left="500" w:right="380" w:hanging="330"/>
        <w:spacing w:after="0" w:line="273" w:lineRule="auto"/>
        <w:tabs>
          <w:tab w:leader="none" w:pos="4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land, racetrack, and buildings used in the operations of Retama Park Racetrack are owned by the City of Selma, Texas. We own undeveloped land adjacent to the Retama Park Racetrack.</w:t>
      </w:r>
    </w:p>
    <w:p>
      <w:pPr>
        <w:spacing w:after="0" w:line="11" w:lineRule="exact"/>
        <w:rPr>
          <w:rFonts w:ascii="Arial" w:cs="Arial" w:eastAsia="Arial" w:hAnsi="Arial"/>
          <w:sz w:val="14"/>
          <w:szCs w:val="14"/>
          <w:color w:val="auto"/>
        </w:rPr>
      </w:pPr>
    </w:p>
    <w:p>
      <w:pPr>
        <w:ind w:left="500" w:right="80" w:hanging="330"/>
        <w:spacing w:after="0" w:line="273" w:lineRule="auto"/>
        <w:tabs>
          <w:tab w:leader="none" w:pos="4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fourth quarter of 2020, we sold the land related to the Sanford-Orlando Kennel Club due to state regulation prohibiting greyhound racing. We continue to offer simulcast racing at our existing facility.</w:t>
      </w:r>
    </w:p>
    <w:p>
      <w:pPr>
        <w:spacing w:after="0" w:line="13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lease office and warehouse space in various locations outside of our operating properties, including 86,542 square feet of office space for our shared services center in Las Vegas, Nevada; 52,116 square feet of executive office and warehouse space in Wyomissing, Pennsylvania; 32,212 square feet of office space in Cherry Hill, New Jersey; 29,609 square feet of office space in Philadelphia, Pennsylvania; 7,787 square feet of executive office space in Conshohocken, Pennsylvania; and 5,740 square feet of office space in Henderson, Nevada.</w:t>
      </w:r>
    </w:p>
    <w:p>
      <w:pPr>
        <w:spacing w:after="0" w:line="198" w:lineRule="exact"/>
        <w:rPr>
          <w:sz w:val="20"/>
          <w:szCs w:val="20"/>
          <w:color w:val="auto"/>
        </w:rPr>
      </w:pPr>
    </w:p>
    <w:p>
      <w:pPr>
        <w:ind w:right="220" w:firstLine="324"/>
        <w:spacing w:after="0" w:line="301" w:lineRule="auto"/>
        <w:rPr>
          <w:rFonts w:ascii="Arial" w:cs="Arial" w:eastAsia="Arial" w:hAnsi="Arial"/>
          <w:sz w:val="16"/>
          <w:szCs w:val="16"/>
          <w:color w:val="0000FF"/>
        </w:rPr>
      </w:pPr>
      <w:r>
        <w:rPr>
          <w:rFonts w:ascii="Arial" w:cs="Arial" w:eastAsia="Arial" w:hAnsi="Arial"/>
          <w:sz w:val="16"/>
          <w:szCs w:val="16"/>
          <w:color w:val="auto"/>
        </w:rPr>
        <w:t xml:space="preserve">Our interests in the owned real property listed above (with the exception of the land, buildings, and racetracks, used in the operations of Hollywood Casino at Kansas Speedway, Freehold Raceway, Retama Park Racetrack, Sam Houston Race Park, and Valley Race Park; as well as the interests in the </w:t>
      </w:r>
      <w:hyperlink w:anchor="page44">
        <w:r>
          <w:rPr>
            <w:rFonts w:ascii="Arial" w:cs="Arial" w:eastAsia="Arial" w:hAnsi="Arial"/>
            <w:sz w:val="16"/>
            <w:szCs w:val="16"/>
            <w:color w:val="auto"/>
          </w:rPr>
          <w:t xml:space="preserve">leased real property listed above); collateralize our obligations under our Senior Secured Credit Facilities (as defined in the </w:t>
        </w:r>
        <w:r>
          <w:rPr>
            <w:rFonts w:ascii="Arial" w:cs="Arial" w:eastAsia="Arial" w:hAnsi="Arial"/>
            <w:sz w:val="16"/>
            <w:szCs w:val="16"/>
            <w:u w:val="single" w:color="auto"/>
            <w:color w:val="0000FF"/>
          </w:rPr>
          <w:t>“Liquidity and Capital</w:t>
        </w:r>
      </w:hyperlink>
      <w:r>
        <w:rPr>
          <w:rFonts w:ascii="Arial" w:cs="Arial" w:eastAsia="Arial" w:hAnsi="Arial"/>
          <w:sz w:val="16"/>
          <w:szCs w:val="16"/>
          <w:color w:val="auto"/>
        </w:rPr>
        <w:t xml:space="preserve"> </w:t>
      </w:r>
      <w:hyperlink w:anchor="page44">
        <w:r>
          <w:rPr>
            <w:rFonts w:ascii="Arial" w:cs="Arial" w:eastAsia="Arial" w:hAnsi="Arial"/>
            <w:sz w:val="16"/>
            <w:szCs w:val="16"/>
            <w:u w:val="single" w:color="auto"/>
            <w:color w:val="0000FF"/>
          </w:rPr>
          <w:t>Resources”</w:t>
        </w:r>
        <w:r>
          <w:rPr>
            <w:rFonts w:ascii="Arial" w:cs="Arial" w:eastAsia="Arial" w:hAnsi="Arial"/>
            <w:sz w:val="16"/>
            <w:szCs w:val="16"/>
            <w:color w:val="0000FF"/>
          </w:rPr>
          <w:t xml:space="preserve"> </w:t>
        </w:r>
        <w:r>
          <w:rPr>
            <w:rFonts w:ascii="Arial" w:cs="Arial" w:eastAsia="Arial" w:hAnsi="Arial"/>
            <w:sz w:val="16"/>
            <w:szCs w:val="16"/>
            <w:color w:val="000000"/>
          </w:rPr>
          <w:t>section of</w:t>
        </w:r>
        <w:r>
          <w:rPr>
            <w:rFonts w:ascii="Arial" w:cs="Arial" w:eastAsia="Arial" w:hAnsi="Arial"/>
            <w:sz w:val="16"/>
            <w:szCs w:val="16"/>
            <w:color w:val="0000FF"/>
          </w:rPr>
          <w:t xml:space="preserve"> </w:t>
        </w:r>
      </w:hyperlink>
      <w:hyperlink w:anchor="page31">
        <w:r>
          <w:rPr>
            <w:rFonts w:ascii="Arial" w:cs="Arial" w:eastAsia="Arial" w:hAnsi="Arial"/>
            <w:sz w:val="16"/>
            <w:szCs w:val="16"/>
            <w:u w:val="single" w:color="auto"/>
            <w:color w:val="0000FF"/>
          </w:rPr>
          <w:t xml:space="preserve">“Item 7. Management’s Discussion and Analysis of Financial Condition and Results of Operations” </w:t>
        </w:r>
      </w:hyperlink>
      <w:hyperlink w:anchor="page44">
        <w:r>
          <w:rPr>
            <w:rFonts w:ascii="Arial" w:cs="Arial" w:eastAsia="Arial" w:hAnsi="Arial"/>
            <w:sz w:val="16"/>
            <w:szCs w:val="16"/>
            <w:color w:val="000000"/>
          </w:rPr>
          <w:t>below).</w:t>
        </w:r>
      </w:hyperlink>
    </w:p>
    <w:p>
      <w:pPr>
        <w:spacing w:after="0" w:line="180" w:lineRule="exact"/>
        <w:rPr>
          <w:rFonts w:ascii="Arial" w:cs="Arial" w:eastAsia="Arial" w:hAnsi="Arial"/>
          <w:sz w:val="16"/>
          <w:szCs w:val="16"/>
          <w:color w:val="0000FF"/>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02" w:lineRule="exact"/>
        <w:rPr>
          <w:rFonts w:ascii="Arial" w:cs="Arial" w:eastAsia="Arial" w:hAnsi="Arial"/>
          <w:sz w:val="16"/>
          <w:szCs w:val="16"/>
          <w:color w:val="0000FF"/>
        </w:rPr>
      </w:pPr>
    </w:p>
    <w:p>
      <w:pPr>
        <w:ind w:right="180" w:firstLine="324"/>
        <w:spacing w:after="0" w:line="257"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results of operations, financial position or cash flows.</w:t>
      </w:r>
    </w:p>
    <w:p>
      <w:pPr>
        <w:spacing w:after="0" w:line="211" w:lineRule="exact"/>
        <w:rPr>
          <w:rFonts w:ascii="Arial" w:cs="Arial" w:eastAsia="Arial" w:hAnsi="Arial"/>
          <w:sz w:val="16"/>
          <w:szCs w:val="16"/>
          <w:color w:val="0000FF"/>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rFonts w:ascii="Arial" w:cs="Arial" w:eastAsia="Arial" w:hAnsi="Arial"/>
          <w:sz w:val="16"/>
          <w:szCs w:val="16"/>
          <w:color w:val="0000FF"/>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6"/>
          <w:szCs w:val="16"/>
          <w:color w:val="0000FF"/>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52" w:lineRule="exact"/>
        <w:rPr>
          <w:rFonts w:ascii="Arial" w:cs="Arial" w:eastAsia="Arial" w:hAnsi="Arial"/>
          <w:sz w:val="16"/>
          <w:szCs w:val="16"/>
          <w:color w:val="0000FF"/>
        </w:rPr>
      </w:pPr>
    </w:p>
    <w:p>
      <w:pPr>
        <w:ind w:left="820" w:right="20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12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i w:val="1"/>
          <w:iCs w:val="1"/>
          <w:color w:val="auto"/>
        </w:rPr>
        <w:t>Ticker Symbol and Holders of Record</w:t>
      </w:r>
    </w:p>
    <w:p>
      <w:pPr>
        <w:spacing w:after="0" w:line="198" w:lineRule="exact"/>
        <w:rPr>
          <w:rFonts w:ascii="Arial" w:cs="Arial" w:eastAsia="Arial" w:hAnsi="Arial"/>
          <w:sz w:val="16"/>
          <w:szCs w:val="16"/>
          <w:color w:val="0000FF"/>
        </w:rPr>
      </w:pPr>
    </w:p>
    <w:p>
      <w:pPr>
        <w:ind w:right="20" w:firstLine="324"/>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“PENN.” As of February 19, 2021, there were 1,647 holders of record of our common stock.</w:t>
      </w:r>
    </w:p>
    <w:p>
      <w:pPr>
        <w:spacing w:after="0" w:line="130"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rFonts w:ascii="Arial" w:cs="Arial" w:eastAsia="Arial" w:hAnsi="Arial"/>
          <w:sz w:val="16"/>
          <w:szCs w:val="16"/>
          <w:color w:val="0000FF"/>
        </w:rPr>
      </w:pPr>
    </w:p>
    <w:p>
      <w:pPr>
        <w:ind w:firstLine="324"/>
        <w:spacing w:after="0" w:line="255" w:lineRule="auto"/>
        <w:rPr>
          <w:sz w:val="20"/>
          <w:szCs w:val="20"/>
          <w:color w:val="auto"/>
        </w:rPr>
      </w:pPr>
      <w:r>
        <w:rPr>
          <w:rFonts w:ascii="Arial" w:cs="Arial" w:eastAsia="Arial" w:hAnsi="Arial"/>
          <w:sz w:val="18"/>
          <w:szCs w:val="18"/>
          <w:color w:val="auto"/>
        </w:rPr>
        <w:t>Since our initial public offering of common stock in May 1994, 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of Directors and will depend upon, among other things, our future earnings, operations and capital requirements, our general financial condition and general business conditions. In addition, our Senior Secured Credit Facilities and senior notes restrict, among other things, our ability to pay dividends. Future financing arrangements may also prohibit the payment of dividends under certain conditions.</w:t>
      </w:r>
    </w:p>
    <w:p>
      <w:pPr>
        <w:spacing w:after="0" w:line="165" w:lineRule="exact"/>
        <w:rPr>
          <w:rFonts w:ascii="Arial" w:cs="Arial" w:eastAsia="Arial" w:hAnsi="Arial"/>
          <w:sz w:val="16"/>
          <w:szCs w:val="16"/>
          <w:color w:val="0000FF"/>
        </w:rPr>
      </w:pPr>
    </w:p>
    <w:p>
      <w:pPr>
        <w:spacing w:after="0"/>
        <w:rPr>
          <w:sz w:val="20"/>
          <w:szCs w:val="20"/>
          <w:color w:val="auto"/>
        </w:rPr>
      </w:pPr>
      <w:r>
        <w:rPr>
          <w:rFonts w:ascii="Arial" w:cs="Arial" w:eastAsia="Arial" w:hAnsi="Arial"/>
          <w:sz w:val="18"/>
          <w:szCs w:val="18"/>
          <w:b w:val="1"/>
          <w:bCs w:val="1"/>
          <w:i w:val="1"/>
          <w:iCs w:val="1"/>
          <w:color w:val="auto"/>
        </w:rPr>
        <w:t>Sales of Unregistered Equity Securities</w:t>
      </w:r>
    </w:p>
    <w:p>
      <w:pPr>
        <w:spacing w:after="0" w:line="185" w:lineRule="exact"/>
        <w:rPr>
          <w:rFonts w:ascii="Arial" w:cs="Arial" w:eastAsia="Arial" w:hAnsi="Arial"/>
          <w:sz w:val="16"/>
          <w:szCs w:val="16"/>
          <w:color w:val="0000FF"/>
        </w:rPr>
      </w:pPr>
    </w:p>
    <w:p>
      <w:pPr>
        <w:ind w:right="440" w:firstLine="324"/>
        <w:spacing w:after="0" w:line="277" w:lineRule="auto"/>
        <w:rPr>
          <w:sz w:val="20"/>
          <w:szCs w:val="20"/>
          <w:color w:val="auto"/>
        </w:rPr>
      </w:pPr>
      <w:r>
        <w:rPr>
          <w:rFonts w:ascii="Arial" w:cs="Arial" w:eastAsia="Arial" w:hAnsi="Arial"/>
          <w:sz w:val="18"/>
          <w:szCs w:val="18"/>
          <w:color w:val="auto"/>
        </w:rPr>
        <w:t>During the year ended December 31, 2020, the Company issued 883 shares of Series D Preferred Stock, par value $0.01 per share (the “Series D Preferred Stock”), to certain individual stockholders affiliated with Barstool Sports as disclosed in the</w:t>
      </w:r>
    </w:p>
    <w:p>
      <w:pPr>
        <w:spacing w:after="0" w:line="200" w:lineRule="exact"/>
        <w:rPr>
          <w:rFonts w:ascii="Arial" w:cs="Arial" w:eastAsia="Arial" w:hAnsi="Arial"/>
          <w:sz w:val="16"/>
          <w:szCs w:val="16"/>
          <w:color w:val="0000FF"/>
        </w:rPr>
      </w:pPr>
    </w:p>
    <w:p>
      <w:pPr>
        <w:spacing w:after="0" w:line="308" w:lineRule="exact"/>
        <w:rPr>
          <w:rFonts w:ascii="Arial" w:cs="Arial" w:eastAsia="Arial" w:hAnsi="Arial"/>
          <w:sz w:val="16"/>
          <w:szCs w:val="16"/>
          <w:color w:val="0000FF"/>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Company's Current Report on Form 8-K filed on January 29, 2020 and discussed in </w:t>
      </w:r>
      <w:hyperlink w:anchor="page77">
        <w:r>
          <w:rPr>
            <w:rFonts w:ascii="Arial" w:cs="Arial" w:eastAsia="Arial" w:hAnsi="Arial"/>
            <w:sz w:val="16"/>
            <w:szCs w:val="16"/>
            <w:u w:val="single" w:color="auto"/>
            <w:color w:val="0000FF"/>
          </w:rPr>
          <w:t>Note 7, "Investments in and Advances to Unconsolidated Affiliates."</w:t>
        </w:r>
      </w:hyperlink>
    </w:p>
    <w:p>
      <w:pPr>
        <w:spacing w:after="0" w:line="200" w:lineRule="exact"/>
        <w:rPr>
          <w:sz w:val="20"/>
          <w:szCs w:val="20"/>
          <w:color w:val="auto"/>
        </w:rPr>
      </w:pPr>
    </w:p>
    <w:p>
      <w:pPr>
        <w:spacing w:after="0" w:line="2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following discussion and analysis of financial condition, results of operations, liquidity and capital resources should be read in conjunction with, and is qualified in its entirety by, our Consolidated Financial Statements and the notes thereto, included in this Annual Report on Form 10-K, and other filings with the Securities and Exchange Commission. This management’s discussion and analysis of financial condition and results of operations includes discussion as of and for the year ended December 31, 2020 compared to December 31, 2019. Discussion of our financial condition and results of operations as of and for the year ended December 31, 2019 compared to December 31, 2018 can be found in our Annual Report on Form 10-K for the fiscal year ended December 31, 2019, filed with the Securities and Exchange Commission on February 27, 2020.</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85" w:lineRule="exact"/>
        <w:rPr>
          <w:sz w:val="20"/>
          <w:szCs w:val="20"/>
          <w:color w:val="auto"/>
        </w:rPr>
      </w:pPr>
    </w:p>
    <w:p>
      <w:pPr>
        <w:ind w:right="340" w:firstLine="324"/>
        <w:spacing w:after="0" w:line="276" w:lineRule="auto"/>
        <w:rPr>
          <w:sz w:val="20"/>
          <w:szCs w:val="20"/>
          <w:color w:val="auto"/>
        </w:rPr>
      </w:pPr>
      <w:r>
        <w:rPr>
          <w:rFonts w:ascii="Arial" w:cs="Arial" w:eastAsia="Arial" w:hAnsi="Arial"/>
          <w:sz w:val="16"/>
          <w:szCs w:val="16"/>
          <w:color w:val="auto"/>
        </w:rPr>
        <w:t>Penn National Gaming, Inc., together with its subsidiaries (“Penn National,” the “Company,” “we,” “our,” or “us”), is a leading, diversified, multi-jurisdictional owner and manager of gaming and racing properties, retail and online sports betting operations, and video gaming terminal (“VGT”) operations. Our wholly-owned interactive division, Penn Interactive Ventures, LLC (“Penn Interactive”), operates retail sports betting across the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Company’s portfolio, as well as online sports betting, online social casino, bingo and online casinos (“iGaming”). In February 2020, the Company acquired 36% (inclusive of 1% on a delayed basis) equity interest in Barstool Sports, Inc. (“Barstool Sports”), a leading digital sports, entertainment, lifestyle and media company, and entered into a strategic relationship with Barstool Sports, whereby Barstool Sports will exclusively promote the Company's land-based retail sportsbooks, iGaming products and online sports betting products, including the Barstool Sportsbook mobile app, to its national audience. We launched an online sports betting app called Barstool Sports in Pennsylvania in September 2020 and in Michigan in January 2021. We also operate iGaming in Pennsylvania and Michigan. Our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currently has over 20 million members and provides such members with various benefits, including complimentary goods and/or services. The Company’s strategy has continued to evolve from an owner and manager of gaming and racing properties into an omni-channel provider of retail and online gaming, live racing and sports betting entertainment. We believe our continued evolution into a best-in-class omni-channel provider of retail and online gaming and sports betting entertainment will be a catalyst for our core land-based business, while also providing a platform for significant long-term shareholder value.</w:t>
      </w:r>
    </w:p>
    <w:p>
      <w:pPr>
        <w:spacing w:after="0" w:line="204" w:lineRule="exact"/>
        <w:rPr>
          <w:sz w:val="20"/>
          <w:szCs w:val="20"/>
          <w:color w:val="auto"/>
        </w:rPr>
      </w:pPr>
    </w:p>
    <w:p>
      <w:pPr>
        <w:ind w:right="18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As of December 31, 2020, we owned, managed, or had ownership interests in 41 gaming and racing properties in 19 states and were licensed to offer live sports betting at our properties in Colorado, Illinois, Indiana, Iowa, Michigan, Mississippi, Nevada, Pennsylvania and West Virginia. The majority of the real estate assets (i.e., land and buildings) used in our operations are subject to triple net master leases; the most significant of which are the Penn Master Lease and the Pinnacle Master Lease (as such terms are defined in </w:t>
      </w:r>
      <w:hyperlink w:anchor="page44">
        <w:r>
          <w:rPr>
            <w:rFonts w:ascii="Arial" w:cs="Arial" w:eastAsia="Arial" w:hAnsi="Arial"/>
            <w:sz w:val="18"/>
            <w:szCs w:val="18"/>
            <w:u w:val="single" w:color="auto"/>
            <w:color w:val="0000FF"/>
          </w:rPr>
          <w:t>“Liquidity and Capital Resources”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collectively referred to as the “Master Leases”), with Gaming and Leisure Properties, Inc. (Nasdaq: GLPI) (“GLPI”), a real estate investment trust (“REIT”). In addition, we are currently developing two Category 4 satellite gaming casinos in Pennsylvania: Hollywood Casino York and Hollywood Casino Morgantown, both of which are expected to commence operations by the end of 2021.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and Company Response</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11, 2020, the World Health Organization declared the novel coronavirus (known as “COVID-19”) outbreak to be a global pandemic. We began temporarily suspending the operations of all of our properties between March 13, 2020 and March 19, 2020 pursuant to various orders from state gaming regulatory bodies or governmental authorities to combat the rapid spread of COVID-19. We began reopening our properties on May 18, 2020 with reduced gaming and hotel capacity and limited food and beverage offerings in order to accommodate comprehensive social distancing and health and safety protocols.</w:t>
      </w:r>
    </w:p>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During the fourth quarter of 2020, our properties temporarily suspended operations in Pennsylvania, Michigan and Illinois and were subject to increased operational restrictions in Ohio and Massachusetts (among other states). </w:t>
      </w:r>
      <w:r>
        <w:rPr>
          <w:rFonts w:ascii="Arial" w:cs="Arial" w:eastAsia="Arial" w:hAnsi="Arial"/>
          <w:sz w:val="17"/>
          <w:szCs w:val="17"/>
          <w:color w:val="212529"/>
        </w:rPr>
        <w:t>Our Michigan property was temporarily closed on November 17, 2020</w:t>
      </w:r>
      <w:r>
        <w:rPr>
          <w:rFonts w:ascii="Arial" w:cs="Arial" w:eastAsia="Arial" w:hAnsi="Arial"/>
          <w:sz w:val="17"/>
          <w:szCs w:val="17"/>
          <w:color w:val="auto"/>
        </w:rPr>
        <w:t xml:space="preserve"> </w:t>
      </w:r>
      <w:r>
        <w:rPr>
          <w:rFonts w:ascii="Arial" w:cs="Arial" w:eastAsia="Arial" w:hAnsi="Arial"/>
          <w:sz w:val="17"/>
          <w:szCs w:val="17"/>
          <w:color w:val="212529"/>
        </w:rPr>
        <w:t xml:space="preserve">and reopened December 23, 2020. Our Pennsylvania properties were temporarily closed on December 12, 2020 and reopened on January 4, 2021. Our Illinois properties were temporarily closed on November 20, 2020 and began reopening with limited hours of operations beginning January 16, 2021 and throughout the week. The property closures were pursuant to various orders from state gaming regulatory bodies or governmental authorities to combat the rapid spread of COVID-19. As of </w:t>
      </w:r>
      <w:r>
        <w:rPr>
          <w:rFonts w:ascii="Arial" w:cs="Arial" w:eastAsia="Arial" w:hAnsi="Arial"/>
          <w:sz w:val="17"/>
          <w:szCs w:val="17"/>
          <w:color w:val="000000"/>
        </w:rPr>
        <w:t>February 26, 2021</w:t>
      </w:r>
      <w:r>
        <w:rPr>
          <w:rFonts w:ascii="Arial" w:cs="Arial" w:eastAsia="Arial" w:hAnsi="Arial"/>
          <w:sz w:val="17"/>
          <w:szCs w:val="17"/>
          <w:color w:val="212529"/>
        </w:rPr>
        <w:t>, all of our properties were open to the public with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6"/>
          <w:szCs w:val="16"/>
          <w:color w:val="212529"/>
        </w:rPr>
      </w:pPr>
      <w:hyperlink w:anchor="page34">
        <w:r>
          <w:rPr>
            <w:rFonts w:ascii="Arial" w:cs="Arial" w:eastAsia="Arial" w:hAnsi="Arial"/>
            <w:sz w:val="16"/>
            <w:szCs w:val="16"/>
            <w:color w:val="212529"/>
          </w:rPr>
          <w:t xml:space="preserve">exception of Zia Park and Valley Race Park, which remain closed. </w:t>
        </w:r>
        <w:r>
          <w:rPr>
            <w:rFonts w:ascii="Arial" w:cs="Arial" w:eastAsia="Arial" w:hAnsi="Arial"/>
            <w:sz w:val="16"/>
            <w:szCs w:val="16"/>
            <w:color w:val="000000"/>
          </w:rPr>
          <w:t>For a thorough discussion of the operating performance of our properties, see</w:t>
        </w:r>
        <w:r>
          <w:rPr>
            <w:rFonts w:ascii="Arial" w:cs="Arial" w:eastAsia="Arial" w:hAnsi="Arial"/>
            <w:sz w:val="16"/>
            <w:szCs w:val="16"/>
            <w:color w:val="212529"/>
          </w:rPr>
          <w:t xml:space="preserve"> </w:t>
        </w:r>
        <w:r>
          <w:rPr>
            <w:rFonts w:ascii="Arial" w:cs="Arial" w:eastAsia="Arial" w:hAnsi="Arial"/>
            <w:sz w:val="16"/>
            <w:szCs w:val="16"/>
            <w:u w:val="single" w:color="auto"/>
            <w:color w:val="0000FF"/>
          </w:rPr>
          <w:t>“Results of</w:t>
        </w:r>
      </w:hyperlink>
    </w:p>
    <w:p>
      <w:pPr>
        <w:spacing w:after="0" w:line="46" w:lineRule="exact"/>
        <w:rPr>
          <w:sz w:val="20"/>
          <w:szCs w:val="20"/>
          <w:color w:val="auto"/>
        </w:rPr>
      </w:pPr>
    </w:p>
    <w:p>
      <w:pPr>
        <w:spacing w:after="0"/>
        <w:rPr>
          <w:rFonts w:ascii="Arial" w:cs="Arial" w:eastAsia="Arial" w:hAnsi="Arial"/>
          <w:sz w:val="18"/>
          <w:szCs w:val="18"/>
          <w:color w:val="0000FF"/>
        </w:rPr>
      </w:pPr>
      <w:hyperlink w:anchor="page34">
        <w:r>
          <w:rPr>
            <w:rFonts w:ascii="Arial" w:cs="Arial" w:eastAsia="Arial" w:hAnsi="Arial"/>
            <w:sz w:val="18"/>
            <w:szCs w:val="18"/>
            <w:u w:val="single" w:color="auto"/>
            <w:color w:val="0000FF"/>
          </w:rPr>
          <w:t>Operations”</w:t>
        </w:r>
        <w:r>
          <w:rPr>
            <w:rFonts w:ascii="Arial" w:cs="Arial" w:eastAsia="Arial" w:hAnsi="Arial"/>
            <w:sz w:val="18"/>
            <w:szCs w:val="18"/>
            <w:color w:val="0000FF"/>
          </w:rPr>
          <w:t xml:space="preserve"> </w:t>
        </w:r>
        <w:r>
          <w:rPr>
            <w:rFonts w:ascii="Arial" w:cs="Arial" w:eastAsia="Arial" w:hAnsi="Arial"/>
            <w:sz w:val="18"/>
            <w:szCs w:val="18"/>
            <w:color w:val="000000"/>
          </w:rPr>
          <w:t>below.</w:t>
        </w:r>
      </w:hyperlink>
    </w:p>
    <w:p>
      <w:pPr>
        <w:spacing w:after="0" w:line="23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Between March 13, 2020 and December 31, 2020, we entered into a series of transactions to improve our financial position and liquidity in light of the COVID-19 pandemic, including: (i) on March 13, 2020, we provided notice to our lenders to borrow the remaining available amount of $430.0 million under our Revolving Credit Facility; (ii) on March 27, 2020, we entered into a binding term sheet with GLPI (the “Term Sheet”) whereby GLPI agreed to</w:t>
      </w:r>
    </w:p>
    <w:p>
      <w:pPr>
        <w:spacing w:after="0" w:line="2" w:lineRule="exact"/>
        <w:rPr>
          <w:sz w:val="20"/>
          <w:szCs w:val="20"/>
          <w:color w:val="auto"/>
        </w:rPr>
      </w:pPr>
    </w:p>
    <w:p>
      <w:pPr>
        <w:ind w:right="20" w:firstLine="8"/>
        <w:spacing w:after="0" w:line="281"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purchase the real estate assets associated with Tropicana Las Vegas (“Tropicana”) in exchange for rent credits of $307.5 million, which closed on April 16, 2020, and (b) a sale-leaseback of the land underlying our Hollywood Casino Morgantown (“Morgantown”) development project in Morgantown, Pennsylvania, in exchange for rent credits of $30.0 million, which closed on October 1, 2020; (iii) on May 14, 2020 (May 19, 2020 with respect to the underwriters’ exercising their options to acquire additional 2.75% Convertible Notes), we completed a public offering of $330.5 million aggregate principal amount of 2.75% Convertible Notes; (iv) on May 14, 2020 (May 19, 2020 with respect to the underwriters’ exercising their options to purchase additional shares), we completed a public offering of 19,166,667 aggregate shares of common stock, par value of $0.01 per share, of the Company (“Penn Common Stock”) for gross proceeds of $345.0 million; and (v) on September 24, 2020 (September 25, 2020 with respect to the underwriters’ exercising their options to purchase additional shares), we completed a public offering of 16,100,000 aggregate shares of Penn Common Stock for gross proceeds of</w:t>
      </w:r>
    </w:p>
    <w:p>
      <w:pPr>
        <w:spacing w:after="0" w:line="4" w:lineRule="exact"/>
        <w:rPr>
          <w:rFonts w:ascii="Arial" w:cs="Arial" w:eastAsia="Arial" w:hAnsi="Arial"/>
          <w:sz w:val="16"/>
          <w:szCs w:val="16"/>
          <w:color w:val="auto"/>
        </w:rPr>
      </w:pPr>
    </w:p>
    <w:p>
      <w:pPr>
        <w:ind w:right="20"/>
        <w:spacing w:after="0" w:line="253" w:lineRule="auto"/>
        <w:rPr>
          <w:rFonts w:ascii="Arial" w:cs="Arial" w:eastAsia="Arial" w:hAnsi="Arial"/>
          <w:sz w:val="18"/>
          <w:szCs w:val="18"/>
          <w:color w:val="0000FF"/>
        </w:rPr>
      </w:pPr>
      <w:r>
        <w:rPr>
          <w:rFonts w:ascii="Arial" w:cs="Arial" w:eastAsia="Arial" w:hAnsi="Arial"/>
          <w:sz w:val="18"/>
          <w:szCs w:val="18"/>
          <w:color w:val="auto"/>
        </w:rPr>
        <w:t xml:space="preserve">$982.1 million. In addition, on April 14, 2020, the Company entered into an amendment to its Credit Agreement, which, among other things, provides it with relief from its financial covenants for a period of up to one year. On September 30, 2020, the Company fully repaid $670.0 million of outstanding borrowings under its Revolving Credit Facility. Further, on November 12, 2020 the Company prepaid $115.0 million of outstanding borrowings on its Term </w:t>
      </w:r>
      <w:hyperlink w:anchor="page44">
        <w:r>
          <w:rPr>
            <w:rFonts w:ascii="Arial" w:cs="Arial" w:eastAsia="Arial" w:hAnsi="Arial"/>
            <w:sz w:val="18"/>
            <w:szCs w:val="18"/>
            <w:color w:val="auto"/>
          </w:rPr>
          <w:t xml:space="preserve">Loan B-1 Facility. The terms “Revolving Credit Facility,” “Convertible Notes,” “Credit Agreement” and "Term Loan B-1" are defined in </w:t>
        </w:r>
        <w:r>
          <w:rPr>
            <w:rFonts w:ascii="Arial" w:cs="Arial" w:eastAsia="Arial" w:hAnsi="Arial"/>
            <w:sz w:val="18"/>
            <w:szCs w:val="18"/>
            <w:u w:val="single" w:color="auto"/>
            <w:color w:val="0000FF"/>
          </w:rPr>
          <w:t>“Liquidity and</w:t>
        </w:r>
      </w:hyperlink>
      <w:r>
        <w:rPr>
          <w:rFonts w:ascii="Arial" w:cs="Arial" w:eastAsia="Arial" w:hAnsi="Arial"/>
          <w:sz w:val="18"/>
          <w:szCs w:val="18"/>
          <w:color w:val="auto"/>
        </w:rPr>
        <w:t xml:space="preserve"> </w:t>
      </w:r>
      <w:hyperlink w:anchor="page44">
        <w:r>
          <w:rPr>
            <w:rFonts w:ascii="Arial" w:cs="Arial" w:eastAsia="Arial" w:hAnsi="Arial"/>
            <w:sz w:val="18"/>
            <w:szCs w:val="18"/>
            <w:u w:val="single" w:color="auto"/>
            <w:color w:val="0000FF"/>
          </w:rPr>
          <w:t>Capital Resources</w:t>
        </w:r>
      </w:hyperlink>
      <w:hyperlink w:anchor="page83">
        <w:r>
          <w:rPr>
            <w:rFonts w:ascii="Arial" w:cs="Arial" w:eastAsia="Arial" w:hAnsi="Arial"/>
            <w:sz w:val="18"/>
            <w:szCs w:val="18"/>
            <w:u w:val="single" w:color="auto"/>
            <w:color w:val="0000FF"/>
          </w:rPr>
          <w:t>”</w:t>
        </w:r>
      </w:hyperlink>
      <w:hyperlink w:anchor="page44">
        <w:r>
          <w:rPr>
            <w:rFonts w:ascii="Arial" w:cs="Arial" w:eastAsia="Arial" w:hAnsi="Arial"/>
            <w:sz w:val="18"/>
            <w:szCs w:val="18"/>
            <w:color w:val="000000"/>
          </w:rPr>
          <w:t>.</w:t>
        </w:r>
      </w:hyperlink>
    </w:p>
    <w:p>
      <w:pPr>
        <w:spacing w:after="0" w:line="218" w:lineRule="exact"/>
        <w:rPr>
          <w:rFonts w:ascii="Arial" w:cs="Arial" w:eastAsia="Arial" w:hAnsi="Arial"/>
          <w:sz w:val="18"/>
          <w:szCs w:val="18"/>
          <w:color w:val="0000FF"/>
        </w:rPr>
      </w:pPr>
    </w:p>
    <w:p>
      <w:pPr>
        <w:ind w:right="60" w:firstLine="324"/>
        <w:spacing w:after="0" w:line="254" w:lineRule="auto"/>
        <w:rPr>
          <w:sz w:val="20"/>
          <w:szCs w:val="20"/>
          <w:color w:val="auto"/>
        </w:rPr>
      </w:pPr>
      <w:r>
        <w:rPr>
          <w:rFonts w:ascii="Arial" w:cs="Arial" w:eastAsia="Arial" w:hAnsi="Arial"/>
          <w:sz w:val="18"/>
          <w:szCs w:val="18"/>
          <w:color w:val="auto"/>
        </w:rPr>
        <w:t>The COVID-19 pandemic caused significant disruptions to our business and had a material adverse impact on our financial condition, results of operations and cash flows, the magnitude of which continues to develop based on (i) the timing and extent of the recovery in visitation and consumer spending at our properties; (ii) the continued impact of implementing social distancing and health and safety guidelines at our properties, including reductions in gaming, hotel capacity, limiting the number of food and beverage options and limiting other amenities; and (iii) whether any of our properties will be required to again temporarily suspend operations in the event that the pandemic significantly worsens. We are currently unable to determine whether, when or how the conditions surrounding the COVID-19 pandemic will change or whether the recovery in visitation and consumer spending is sustainable.</w:t>
      </w:r>
    </w:p>
    <w:p>
      <w:pPr>
        <w:spacing w:after="0" w:line="222" w:lineRule="exact"/>
        <w:rPr>
          <w:rFonts w:ascii="Arial" w:cs="Arial" w:eastAsia="Arial" w:hAnsi="Arial"/>
          <w:sz w:val="18"/>
          <w:szCs w:val="18"/>
          <w:color w:val="0000FF"/>
        </w:rPr>
      </w:pPr>
    </w:p>
    <w:p>
      <w:pPr>
        <w:ind w:right="80" w:firstLine="324"/>
        <w:spacing w:after="0" w:line="255" w:lineRule="auto"/>
        <w:rPr>
          <w:sz w:val="20"/>
          <w:szCs w:val="20"/>
          <w:color w:val="auto"/>
        </w:rPr>
      </w:pPr>
      <w:r>
        <w:rPr>
          <w:rFonts w:ascii="Arial" w:cs="Arial" w:eastAsia="Arial" w:hAnsi="Arial"/>
          <w:sz w:val="18"/>
          <w:szCs w:val="18"/>
          <w:color w:val="auto"/>
        </w:rPr>
        <w:t>The Company could experience other potential adverse impacts as a result of the COVID-19 pandemic, including, but not limited to, further charges from adjustments to the carrying amount of goodwill and other intangible assets, long-lived asset impairment charges, or impairments of investments in joint ventures. In addition, the negative impacts of the COVID-19 pandemic may result in further changes in the amount of valuation allowance required. Actual results may differ materially from the Company’s current estimates as the scope of the COVID-19 pandemic evolves, depending largely, though not exclusively, on the impact of required capacity reductions, social distancing and health and safety guidelines, and the sustainability of current trends in recovery at our reopened properties.</w:t>
      </w:r>
    </w:p>
    <w:p>
      <w:pPr>
        <w:spacing w:after="0" w:line="219"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i w:val="1"/>
          <w:iCs w:val="1"/>
          <w:color w:val="auto"/>
        </w:rPr>
        <w:t>Recent Acquisitions, Development Projects and Other</w:t>
      </w:r>
    </w:p>
    <w:p>
      <w:pPr>
        <w:spacing w:after="0" w:line="185" w:lineRule="exact"/>
        <w:rPr>
          <w:rFonts w:ascii="Arial" w:cs="Arial" w:eastAsia="Arial" w:hAnsi="Arial"/>
          <w:sz w:val="18"/>
          <w:szCs w:val="18"/>
          <w:color w:val="0000FF"/>
        </w:rPr>
      </w:pPr>
    </w:p>
    <w:p>
      <w:pPr>
        <w:ind w:right="40" w:firstLine="324"/>
        <w:spacing w:after="0" w:line="253" w:lineRule="auto"/>
        <w:rPr>
          <w:sz w:val="20"/>
          <w:szCs w:val="20"/>
          <w:color w:val="auto"/>
        </w:rPr>
      </w:pPr>
      <w:r>
        <w:rPr>
          <w:rFonts w:ascii="Arial" w:cs="Arial" w:eastAsia="Arial" w:hAnsi="Arial"/>
          <w:sz w:val="17"/>
          <w:szCs w:val="17"/>
          <w:color w:val="auto"/>
        </w:rPr>
        <w:t>In February 2020, we closed on our investment in Barstool Sports pursuant to a stock purchase agreement with Barstool Sports and certain stockholders of Barstool Sports, in which we purchased 36% (inclusive of 1% on a delayed basis) of the common stock of Barstool Sports for a purchase price of $161.2 million. Within three years after the closing of the transaction (or earlier at our election), we will increase our ownership in Barstool Sports to approximately 50% by purchasing approximately $62 million worth of additional shares of Barstool Sports common stock, consistent with the implied valuation at the time of the initial investment, which was $450.0 million. With respect to the remaining Barstool Sports shares, we have immediately exercisable call rights, and the existing Barstool Sports stockholders have put rights exercisable beginning three years after closing, all based on a fair market value calculation at the time of exercise (subject to a cap of $650.0 million and a floor of 2.25 times the annualized revenue of Barstool Sports, all subject to various adjustments). Upon closing, we became Barstool Sports’ exclusive gaming partner for up to 40 years and have the sole right to utilize the Barstool Sports brand for all of our online and retail sports betting and iGaming products.</w:t>
      </w:r>
    </w:p>
    <w:p>
      <w:pPr>
        <w:spacing w:after="0" w:line="211" w:lineRule="exact"/>
        <w:rPr>
          <w:rFonts w:ascii="Arial" w:cs="Arial" w:eastAsia="Arial" w:hAnsi="Arial"/>
          <w:sz w:val="18"/>
          <w:szCs w:val="18"/>
          <w:color w:val="0000FF"/>
        </w:rPr>
      </w:pPr>
    </w:p>
    <w:p>
      <w:pPr>
        <w:jc w:val="both"/>
        <w:ind w:right="540" w:firstLine="324"/>
        <w:spacing w:after="0" w:line="248" w:lineRule="auto"/>
        <w:rPr>
          <w:sz w:val="20"/>
          <w:szCs w:val="20"/>
          <w:color w:val="auto"/>
        </w:rPr>
      </w:pPr>
      <w:r>
        <w:rPr>
          <w:rFonts w:ascii="Arial" w:cs="Arial" w:eastAsia="Arial" w:hAnsi="Arial"/>
          <w:sz w:val="18"/>
          <w:szCs w:val="18"/>
          <w:color w:val="auto"/>
        </w:rPr>
        <w:t>As noted above, Penn Interactive launched the Barstool Sports online sports betting app in Pennsylvania in September 2020 and in Michigan in January 2021. In addition, Penn Interactive has entered into multi-year agreements with leading sports betting operators for online sports betting and iGaming market access across our portfolio of properties.</w:t>
      </w: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62"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62" w:lineRule="auto"/>
        <w:rPr>
          <w:sz w:val="20"/>
          <w:szCs w:val="20"/>
          <w:color w:val="auto"/>
        </w:rPr>
      </w:pPr>
      <w:r>
        <w:rPr>
          <w:rFonts w:ascii="Arial" w:cs="Arial" w:eastAsia="Arial" w:hAnsi="Arial"/>
          <w:sz w:val="17"/>
          <w:szCs w:val="17"/>
          <w:color w:val="auto"/>
        </w:rPr>
        <w:t>In December 2020, the Company entered into a definitive agreement to purchase from GLPI the operations of Hollywood Casino Perryville for $31.1 million. The transaction is expected to close during the second or third quarter of 2021, subject to approval of the Maryland Lottery and Gaming Control Commission and other customary closing conditions. Simultaneous with the closing of the transaction, we would lease the real estate assets associated with Hollywood Casino Perryville from GLPI with initial annual rent of $7.8 million per year subject to escalation.</w:t>
      </w:r>
    </w:p>
    <w:p>
      <w:pPr>
        <w:spacing w:after="0" w:line="1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May 2019, we acquired Greektown Casino-Hotel (“Greektown”) in Detroit, Michigan, subject to a triple net lease with VICI Properties Inc. (NYSE: VICI) (“VICI”, a REIT and collectively with GLPI, our “REIT Landlords”) (the “Greektown Lease”) and in January 2019, we acquired Margaritaville Casino Resort (“Margaritaville”) in Bossier City, Louisiana, subject to a triple net lease with VICI (the “Margaritaville Lease”). In March 2020, in light of the COVID-19 pandemic, we temporarily suspended construction of our development of two Category 4 satellite gaming casinos in Pennsylvania: Hollywood Casino York and Morgantown. We have since restarted construction and expect both casinos to open in late 2021, subject to regulatory approval.</w:t>
      </w:r>
    </w:p>
    <w:p>
      <w:pPr>
        <w:spacing w:after="0" w:line="152"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In October 2018, the Company completed the acquisition of Pinnacle Entertainment, Inc. (“Pinnacle”), a leading regional gaming operator (the “Pinnacle Acquisition”). In connection with the Pinnacle Acquisition, we added 12 gaming properties to our portfolio, providing us with greater operational scale and geographic diversity. We assumed the Pinnacle Master Lease concurrently with the closing of the Pinnacle Acquisition to our holdings and has provided us with greater operational scale and geographic diversity.</w:t>
      </w:r>
    </w:p>
    <w:p>
      <w:pPr>
        <w:spacing w:after="0" w:line="20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our portfolio of assets provides us the benefit of geographically-diversified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In addition, the partnership with Barstool Sports reflects our strategy to continue evolving from the nation’s largest regional gaming operator to a best-in-class omni-channel provider of retail and online gaming and sports betting entertainment.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Competitive Environment</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Most of our properties operate in mature, competitive markets. We expect that the majority of our future growth will come from new business lines or distribution channels, such as retail and online gaming and sports betting; entrance into new jurisdictions; expansions of gaming in existing jurisdictions; and, to a lesser extent, improvements/expansions of our existing properties and strategic acquisitions of gaming properties. Our portfolio is comprised largely of well-maintained regional gaming facilities, which has allowed us to develop what we believe to be a solid base for future growth opportunities. We have also made investments in joint ventures that we believe will allow us to capitalize on additional gaming opportunities in certain states if legislation or referenda are passed that permit and/or expand gaming in these jurisdictions and we are selected as a licensee.</w:t>
      </w:r>
    </w:p>
    <w:p>
      <w:pPr>
        <w:spacing w:after="0" w:line="1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reported by most jurisdictions, regional gaming industry trends have shown little revenue growth the last several years as numerous jurisdictions now permit gaming or have expanded their gaming offerings. In recent years, the proliferation of new gaming properties has impacted the overall domestic gaming industry as well as our results of operations in certain markets. Prior to the COVID-19 pandemic, the economic environment, specifically historically low levels of unemployment, strength in residential real estate prices, and high levels of consumer confidence, had resulted in a stable operating environment in recent years. The COVID-19 pandemic has increased the level of unemployment and decreased the level of consumer confidence. Our ability to succeed in this new environment will be predicated on our ability to adjust operations and cost structures at our reopened properties to reflect the new economic and health and safety conditions, operating our properties efficiently, realizing revenue and cost synergies from recent acquisitions, and offering our customers additional gaming experiences through our omni-channel distribution strategy. We seek to continue to expand our customer database through accretive acquisitions or investments, such as Barstool Sports, capitalize on organic growth opportunities from the development of new properties or the expansion of recently-developed business lines, and develop partnerships that allow us to enter new jurisdictions for iGaming and sports betting.</w:t>
      </w:r>
    </w:p>
    <w:p>
      <w:pPr>
        <w:spacing w:after="0" w:line="141" w:lineRule="exact"/>
        <w:rPr>
          <w:sz w:val="20"/>
          <w:szCs w:val="20"/>
          <w:color w:val="auto"/>
        </w:rPr>
      </w:pPr>
    </w:p>
    <w:p>
      <w:pPr>
        <w:ind w:right="40" w:firstLine="324"/>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The gaming industry is characterized by an increasingly high degree of competition among a large number of participants, including riverboat casinos; dockside casinos; land-based casinos; video lottery; iGaming; online and retail sports betting; gaming at taverns; gaming at truck stop establishments; sweepstakes and poker machines not located in casinos; the potential for increased fantasy sports, significant growth of Native American gaming tribes, </w:t>
      </w:r>
      <w:hyperlink w:anchor="page39">
        <w:r>
          <w:rPr>
            <w:rFonts w:ascii="Arial" w:cs="Arial" w:eastAsia="Arial" w:hAnsi="Arial"/>
            <w:sz w:val="18"/>
            <w:szCs w:val="18"/>
            <w:color w:val="auto"/>
          </w:rPr>
          <w:t xml:space="preserve">historic racing or state-sponsored i-lottery products in or adjacent to states we operate in; and other forms of gaming in the U.S. See the </w:t>
        </w:r>
        <w:r>
          <w:rPr>
            <w:rFonts w:ascii="Arial" w:cs="Arial" w:eastAsia="Arial" w:hAnsi="Arial"/>
            <w:sz w:val="18"/>
            <w:szCs w:val="18"/>
            <w:u w:val="single" w:color="auto"/>
            <w:color w:val="0000FF"/>
          </w:rPr>
          <w:t>“Segment</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0000FF"/>
          </w:rPr>
          <w:t>comparison of the years ended December 31, 2020 and 2019”</w:t>
        </w:r>
        <w:r>
          <w:rPr>
            <w:rFonts w:ascii="Arial" w:cs="Arial" w:eastAsia="Arial" w:hAnsi="Arial"/>
            <w:sz w:val="18"/>
            <w:szCs w:val="18"/>
            <w:color w:val="0000FF"/>
          </w:rPr>
          <w:t xml:space="preserve"> </w:t>
        </w:r>
        <w:r>
          <w:rPr>
            <w:rFonts w:ascii="Arial" w:cs="Arial" w:eastAsia="Arial" w:hAnsi="Arial"/>
            <w:sz w:val="18"/>
            <w:szCs w:val="18"/>
            <w:color w:val="000000"/>
          </w:rPr>
          <w:t xml:space="preserve">section below for discussions of the impact of competition on our results of operations </w:t>
        </w:r>
      </w:hyperlink>
      <w:r>
        <w:rPr>
          <w:rFonts w:ascii="Arial" w:cs="Arial" w:eastAsia="Arial" w:hAnsi="Arial"/>
          <w:sz w:val="18"/>
          <w:szCs w:val="18"/>
          <w:color w:val="0000FF"/>
        </w:rPr>
        <w:t xml:space="preserve">by </w:t>
      </w:r>
      <w:r>
        <w:rPr>
          <w:rFonts w:ascii="Arial" w:cs="Arial" w:eastAsia="Arial" w:hAnsi="Arial"/>
          <w:sz w:val="18"/>
          <w:szCs w:val="18"/>
          <w:color w:val="000000"/>
        </w:rPr>
        <w:t>reportable segment.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our business, revenue is driven by discretionary consumer spending. We have no certain mechanism for determining why consumers choose to spend more or less money at our properties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weakened general economic conditions, such as lackluster recoveries from recessions, high unemployment levels, higher income taxes, low levels of consumer confidence, weakness in the housing market, and high fuel or other transportation costs. We believe that the COVID-19 pandemic has led to and will continue to lead to meaningful decreases in discretionary consumer spending and will continue to negatively impact visitation at our properties and the volume of play for the foreseeable future.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spacing w:after="0" w:line="14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vast majority of our revenues is gaming revenue, which is highly dependent upon the volume and spending levels of customers at our properties. Our gaming revenue is derived primarily from slot machines (which represented approximately 87%, 92% and 92% of our gaming revenue in 2020, 2019 and 2018, respectively) and, to a lesser extent, table games and sports betting. Aside from gaming revenue, our revenues are derived from our hotel, dining, retail, commissions, program sales, admissions, concessions and certain other ancillary activities, and our racing operations.</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Key performance indicators related to gaming revenue are slot handle and table game drop, which are volume indicators, and “win” or “hold” percentage. Our typical property slot win percentage is in the range of approximately 7% to 10% of slot handle, and our typical table game hold percentage is in the range of approximately 14% to 27% of table game drop.</w:t>
      </w:r>
    </w:p>
    <w:p>
      <w:pPr>
        <w:spacing w:after="0" w:line="14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gaming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high-end play, which can lead to volatility in hold percentages. Therefore, changes in table game hold percentages do not typically have a material impact to our results of operations and cash flows.</w:t>
      </w:r>
    </w:p>
    <w:p>
      <w:pPr>
        <w:spacing w:after="0" w:line="138" w:lineRule="exact"/>
        <w:rPr>
          <w:sz w:val="20"/>
          <w:szCs w:val="20"/>
          <w:color w:val="auto"/>
        </w:rPr>
      </w:pPr>
    </w:p>
    <w:p>
      <w:pPr>
        <w:ind w:right="360" w:firstLine="324"/>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Under normal operating conditions, our properties generate significant operating cash flow since most of our revenue is cash-based from slot machines, table games, and pari-mutuel wagering. Our business is capital intensive, and we rely on cash flow from our properties to generate sufficient cash to satisfy our obligations under the Triple Net Leases (as defined in </w:t>
      </w:r>
      <w:hyperlink w:anchor="page44">
        <w:r>
          <w:rPr>
            <w:rFonts w:ascii="Arial" w:cs="Arial" w:eastAsia="Arial" w:hAnsi="Arial"/>
            <w:sz w:val="17"/>
            <w:szCs w:val="17"/>
            <w:u w:val="single" w:color="auto"/>
            <w:color w:val="0000FF"/>
          </w:rPr>
          <w:t>"Liquidity and Capital Resources”</w:t>
        </w:r>
      </w:hyperlink>
      <w:r>
        <w:rPr>
          <w:rFonts w:ascii="Arial" w:cs="Arial" w:eastAsia="Arial" w:hAnsi="Arial"/>
          <w:sz w:val="17"/>
          <w:szCs w:val="17"/>
          <w:color w:val="auto"/>
        </w:rPr>
        <w:t xml:space="preserve">), repay debt, fund maintenance capital expenditures, fund new capital projects at existing properties and provide excess cash for future development and acquisitions. Additional information regarding our capital projects is discussed in </w:t>
      </w:r>
      <w:hyperlink w:anchor="page44">
        <w:r>
          <w:rPr>
            <w:rFonts w:ascii="Arial" w:cs="Arial" w:eastAsia="Arial" w:hAnsi="Arial"/>
            <w:sz w:val="17"/>
            <w:szCs w:val="17"/>
            <w:u w:val="single" w:color="auto"/>
            <w:color w:val="0000FF"/>
          </w:rPr>
          <w:t>“Liquidity and Capital Resources”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85" w:lineRule="exact"/>
        <w:rPr>
          <w:sz w:val="20"/>
          <w:szCs w:val="20"/>
          <w:color w:val="auto"/>
        </w:rPr>
      </w:pPr>
    </w:p>
    <w:p>
      <w:pPr>
        <w:ind w:right="140" w:firstLine="324"/>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We view each of our gaming and racing properties as an operating segment with the exception of our two properties in Jackpot, Nevada, which we view as one operating segment. We consider our combined VGT operations, by state, to be separate operating segments. We aggregate our operating segments into four reportable segments: Northeast, South, West and Midwest. For a listing of our gaming properties and VGT operations included in each reportable segment, see </w:t>
      </w:r>
      <w:hyperlink w:anchor="page61">
        <w:r>
          <w:rPr>
            <w:rFonts w:ascii="Arial" w:cs="Arial" w:eastAsia="Arial" w:hAnsi="Arial"/>
            <w:sz w:val="17"/>
            <w:szCs w:val="17"/>
            <w:u w:val="single" w:color="auto"/>
            <w:color w:val="0000FF"/>
          </w:rPr>
          <w:t>Note 2, “Significant Accounting Policies,”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60" w:firstLine="324"/>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The following table highlights our revenues, net income (loss), and Adjusted EBITDA, on a consolidated basis, as well as our revenues and Adjusted EBITDAR by reportable segment. Such segment reporting is on a basis consistent with how we measure our business and allocate resources internally. We consider net income (loss) to be the most directly comparable financial measure calculated in accordance with generally accepted accounting principles in </w:t>
      </w:r>
      <w:hyperlink w:anchor="page42">
        <w:r>
          <w:rPr>
            <w:rFonts w:ascii="Arial" w:cs="Arial" w:eastAsia="Arial" w:hAnsi="Arial"/>
            <w:sz w:val="17"/>
            <w:szCs w:val="17"/>
            <w:color w:val="auto"/>
          </w:rPr>
          <w:t xml:space="preserve">the United States (“GAAP”) to Adjusted EBITDA and Adjusted EBITDAR, which are non-GAAP financial measures. Refer to </w:t>
        </w:r>
        <w:r>
          <w:rPr>
            <w:rFonts w:ascii="Arial" w:cs="Arial" w:eastAsia="Arial" w:hAnsi="Arial"/>
            <w:sz w:val="17"/>
            <w:szCs w:val="17"/>
            <w:u w:val="single" w:color="auto"/>
            <w:color w:val="0000FF"/>
          </w:rPr>
          <w:t>“Non-GAAP Financial</w:t>
        </w:r>
      </w:hyperlink>
      <w:r>
        <w:rPr>
          <w:rFonts w:ascii="Arial" w:cs="Arial" w:eastAsia="Arial" w:hAnsi="Arial"/>
          <w:sz w:val="17"/>
          <w:szCs w:val="17"/>
          <w:color w:val="auto"/>
        </w:rPr>
        <w:t xml:space="preserve"> </w:t>
      </w:r>
      <w:hyperlink w:anchor="page42">
        <w:r>
          <w:rPr>
            <w:rFonts w:ascii="Arial" w:cs="Arial" w:eastAsia="Arial" w:hAnsi="Arial"/>
            <w:sz w:val="17"/>
            <w:szCs w:val="17"/>
            <w:u w:val="single" w:color="auto"/>
            <w:color w:val="0000FF"/>
          </w:rPr>
          <w:t>Measures”</w:t>
        </w:r>
        <w:r>
          <w:rPr>
            <w:rFonts w:ascii="Arial" w:cs="Arial" w:eastAsia="Arial" w:hAnsi="Arial"/>
            <w:sz w:val="17"/>
            <w:szCs w:val="17"/>
            <w:color w:val="0000FF"/>
          </w:rPr>
          <w:t xml:space="preserve"> </w:t>
        </w:r>
        <w:r>
          <w:rPr>
            <w:rFonts w:ascii="Arial" w:cs="Arial" w:eastAsia="Arial" w:hAnsi="Arial"/>
            <w:sz w:val="17"/>
            <w:szCs w:val="17"/>
            <w:color w:val="000000"/>
          </w:rPr>
          <w:t xml:space="preserve">below for the definitions of Adjusted EBITDA, Adjusted EBITDAR, and Adjusted EBITDAR margin; as well as a reconciliation of net </w:t>
        </w:r>
      </w:hyperlink>
      <w:r>
        <w:rPr>
          <w:rFonts w:ascii="Arial" w:cs="Arial" w:eastAsia="Arial" w:hAnsi="Arial"/>
          <w:sz w:val="17"/>
          <w:szCs w:val="17"/>
          <w:color w:val="0000FF"/>
        </w:rPr>
        <w:t xml:space="preserve">income </w:t>
      </w:r>
      <w:r>
        <w:rPr>
          <w:rFonts w:ascii="Arial" w:cs="Arial" w:eastAsia="Arial" w:hAnsi="Arial"/>
          <w:sz w:val="17"/>
          <w:szCs w:val="17"/>
          <w:color w:val="000000"/>
        </w:rPr>
        <w:t>(loss) to Adjusted EBITDA, Adjusted EBITDAR and Adjusted EBITDAR margin.</w:t>
      </w:r>
    </w:p>
    <w:p>
      <w:pPr>
        <w:spacing w:after="0" w:line="9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Northeast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1,891.5</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South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394.4</w:t>
            </w: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West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437.9</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Midwest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823.7</w:t>
            </w: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40.4</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3,587.9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93.5</w:t>
            </w:r>
          </w:p>
        </w:tc>
      </w:tr>
      <w:tr>
        <w:trPr>
          <w:trHeight w:val="270"/>
        </w:trPr>
        <w:tc>
          <w:tcPr>
            <w:tcW w:w="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5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Adjusted EBITDAR:</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Northeast segment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583.8</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South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118.9</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West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114.3</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Midwest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294.3</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(68.1)</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line="223"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b w:val="1"/>
                <w:bCs w:val="1"/>
                <w:color w:val="auto"/>
                <w:vertAlign w:val="superscript"/>
              </w:rPr>
              <w:t>(3)</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1,043.2</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Net income (loss) margin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r>
    </w:tbl>
    <w:p>
      <w:pPr>
        <w:spacing w:after="0" w:line="130" w:lineRule="exact"/>
        <w:rPr>
          <w:sz w:val="20"/>
          <w:szCs w:val="20"/>
          <w:color w:val="auto"/>
        </w:rPr>
      </w:pPr>
    </w:p>
    <w:p>
      <w:pPr>
        <w:ind w:left="660" w:hanging="328"/>
        <w:spacing w:after="0" w:line="246"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Other category consists of the Company’s stand-alone racing operations, namely Sanford-Orlando Kennel Club and the Company’s joint venture interests in Sam Houston Race Park, Valley Race Park, and Freehold Raceway; our management contract for Retama Park Racetrack and our live and televised poker tournament series that operates under the trade name, Heartland Poker Tour ("HPT"). The Other category also includes Penn Interactive, which operates our social gaming, internally-branded retail sportsbooks, iGaming and our Barstool Sports online sports betting app.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 In addition, Adjusted EBITDAR of the Other category includes our proportionate share of the net income or loss of Barstool Sports after adding back our share of non-operating items (such as interest expense, net; income taxes; depreciation and amortization; and stock-based compensation expense).</w:t>
      </w:r>
    </w:p>
    <w:p>
      <w:pPr>
        <w:spacing w:after="0" w:line="29" w:lineRule="exact"/>
        <w:rPr>
          <w:rFonts w:ascii="Arial" w:cs="Arial" w:eastAsia="Arial" w:hAnsi="Arial"/>
          <w:sz w:val="14"/>
          <w:szCs w:val="14"/>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elimination of intersegment revenues associated with Penn Interactive and HPT.</w:t>
      </w:r>
    </w:p>
    <w:p>
      <w:pPr>
        <w:spacing w:after="0" w:line="55" w:lineRule="exact"/>
        <w:rPr>
          <w:rFonts w:ascii="Arial" w:cs="Arial" w:eastAsia="Arial" w:hAnsi="Arial"/>
          <w:sz w:val="14"/>
          <w:szCs w:val="14"/>
          <w:color w:val="auto"/>
        </w:rPr>
      </w:pPr>
    </w:p>
    <w:p>
      <w:pPr>
        <w:ind w:left="660" w:right="520" w:hanging="328"/>
        <w:spacing w:after="0" w:line="273" w:lineRule="auto"/>
        <w:tabs>
          <w:tab w:leader="none" w:pos="6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total is a mathematical calculation derived from the sum of reportable segments (as well as the Other category). As noted within “Non-GAAP Financial Measures” below, Adjusted EBITDAR, and the related margin, is presented on a consolidated basis outside the financial statements solely as a valuation metric.</w:t>
      </w:r>
    </w:p>
    <w:p>
      <w:pPr>
        <w:spacing w:after="0" w:line="11" w:lineRule="exact"/>
        <w:rPr>
          <w:rFonts w:ascii="Arial" w:cs="Arial" w:eastAsia="Arial" w:hAnsi="Arial"/>
          <w:sz w:val="14"/>
          <w:szCs w:val="14"/>
          <w:color w:val="auto"/>
        </w:rPr>
      </w:pPr>
    </w:p>
    <w:p>
      <w:pPr>
        <w:ind w:left="660" w:right="180" w:hanging="328"/>
        <w:spacing w:after="0" w:line="277" w:lineRule="auto"/>
        <w:tabs>
          <w:tab w:leader="none" w:pos="652" w:val="left"/>
        </w:tabs>
        <w:numPr>
          <w:ilvl w:val="0"/>
          <w:numId w:val="17"/>
        </w:numPr>
        <w:rPr>
          <w:rFonts w:ascii="Arial" w:cs="Arial" w:eastAsia="Arial" w:hAnsi="Arial"/>
          <w:sz w:val="13"/>
          <w:szCs w:val="13"/>
          <w:color w:val="000000"/>
        </w:rPr>
      </w:pPr>
      <w:r>
        <w:rPr>
          <w:rFonts w:ascii="Arial" w:cs="Arial" w:eastAsia="Arial" w:hAnsi="Arial"/>
          <w:sz w:val="13"/>
          <w:szCs w:val="13"/>
          <w:color w:val="auto"/>
        </w:rPr>
        <w:t xml:space="preserve">Solely comprised of rent expense associated with the operating lease components contained within the Master Leases (primarily land), the Tropicana Lease, the Meadows Lease, the </w:t>
      </w:r>
      <w:hyperlink w:anchor="page44">
        <w:r>
          <w:rPr>
            <w:rFonts w:ascii="Arial" w:cs="Arial" w:eastAsia="Arial" w:hAnsi="Arial"/>
            <w:sz w:val="13"/>
            <w:szCs w:val="13"/>
            <w:color w:val="auto"/>
          </w:rPr>
          <w:t xml:space="preserve">Margaritaville Lease and the Greektown Lease (of which the Tropicana Lease, Meadows Lease, Margaritaville Lease and the Greektown Lease as defined in </w:t>
        </w:r>
        <w:r>
          <w:rPr>
            <w:rFonts w:ascii="Arial" w:cs="Arial" w:eastAsia="Arial" w:hAnsi="Arial"/>
            <w:sz w:val="13"/>
            <w:szCs w:val="13"/>
            <w:u w:val="single" w:color="auto"/>
            <w:color w:val="0000FF"/>
          </w:rPr>
          <w:t>“Liquidity and Capital</w:t>
        </w:r>
      </w:hyperlink>
      <w:r>
        <w:rPr>
          <w:rFonts w:ascii="Arial" w:cs="Arial" w:eastAsia="Arial" w:hAnsi="Arial"/>
          <w:sz w:val="13"/>
          <w:szCs w:val="13"/>
          <w:color w:val="auto"/>
        </w:rPr>
        <w:t xml:space="preserve"> </w:t>
      </w:r>
      <w:hyperlink w:anchor="page44">
        <w:r>
          <w:rPr>
            <w:rFonts w:ascii="Arial" w:cs="Arial" w:eastAsia="Arial" w:hAnsi="Arial"/>
            <w:sz w:val="13"/>
            <w:szCs w:val="13"/>
            <w:u w:val="single" w:color="auto"/>
            <w:color w:val="0000FF"/>
          </w:rPr>
          <w:t>Resources”</w:t>
        </w:r>
        <w:r>
          <w:rPr>
            <w:rFonts w:ascii="Arial" w:cs="Arial" w:eastAsia="Arial" w:hAnsi="Arial"/>
            <w:sz w:val="13"/>
            <w:szCs w:val="13"/>
            <w:color w:val="0000FF"/>
          </w:rPr>
          <w:t xml:space="preserve"> </w:t>
        </w:r>
        <w:r>
          <w:rPr>
            <w:rFonts w:ascii="Arial" w:cs="Arial" w:eastAsia="Arial" w:hAnsi="Arial"/>
            <w:sz w:val="13"/>
            <w:szCs w:val="13"/>
            <w:color w:val="000000"/>
          </w:rPr>
          <w:t>and are referred to collectively as our “triple net operating leases”). The finance lease components contained within the Master Leases (primarily buildings) and the</w:t>
        </w:r>
      </w:hyperlink>
      <w:r>
        <w:rPr>
          <w:rFonts w:ascii="Arial" w:cs="Arial" w:eastAsia="Arial" w:hAnsi="Arial"/>
          <w:sz w:val="13"/>
          <w:szCs w:val="13"/>
          <w:color w:val="0000FF"/>
        </w:rPr>
        <w:t xml:space="preserve"> </w:t>
      </w:r>
      <w:r>
        <w:rPr>
          <w:rFonts w:ascii="Arial" w:cs="Arial" w:eastAsia="Arial" w:hAnsi="Arial"/>
          <w:sz w:val="13"/>
          <w:szCs w:val="13"/>
          <w:color w:val="000000"/>
        </w:rPr>
        <w:t xml:space="preserve">financing obligation associated with the Morgantown Lease (as defined in </w:t>
      </w:r>
      <w:hyperlink w:anchor="page44">
        <w:r>
          <w:rPr>
            <w:rFonts w:ascii="Arial" w:cs="Arial" w:eastAsia="Arial" w:hAnsi="Arial"/>
            <w:sz w:val="13"/>
            <w:szCs w:val="13"/>
            <w:u w:val="single" w:color="auto"/>
            <w:color w:val="0000FF"/>
          </w:rPr>
          <w:t>“Liquidity and Capital Resources”</w:t>
        </w:r>
      </w:hyperlink>
      <w:r>
        <w:rPr>
          <w:rFonts w:ascii="Arial" w:cs="Arial" w:eastAsia="Arial" w:hAnsi="Arial"/>
          <w:sz w:val="13"/>
          <w:szCs w:val="13"/>
          <w:color w:val="000000"/>
        </w:rPr>
        <w:t>) result in interest expense, as opposed to rent expense.</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34" w:lineRule="exact"/>
        <w:rPr>
          <w:rFonts w:ascii="Arial" w:cs="Arial" w:eastAsia="Arial" w:hAnsi="Arial"/>
          <w:sz w:val="13"/>
          <w:szCs w:val="13"/>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During the year ended December 31, 2020 and as of February 26, 2021, our properties temporary closure dates </w:t>
      </w:r>
      <w:r>
        <w:rPr>
          <w:rFonts w:ascii="Arial" w:cs="Arial" w:eastAsia="Arial" w:hAnsi="Arial"/>
          <w:sz w:val="18"/>
          <w:szCs w:val="18"/>
          <w:color w:val="212529"/>
        </w:rPr>
        <w:t>pursuant to various orders from state</w:t>
      </w:r>
      <w:r>
        <w:rPr>
          <w:rFonts w:ascii="Arial" w:cs="Arial" w:eastAsia="Arial" w:hAnsi="Arial"/>
          <w:sz w:val="18"/>
          <w:szCs w:val="18"/>
          <w:color w:val="auto"/>
        </w:rPr>
        <w:t xml:space="preserve"> </w:t>
      </w:r>
      <w:r>
        <w:rPr>
          <w:rFonts w:ascii="Arial" w:cs="Arial" w:eastAsia="Arial" w:hAnsi="Arial"/>
          <w:sz w:val="18"/>
          <w:szCs w:val="18"/>
          <w:color w:val="212529"/>
        </w:rPr>
        <w:t xml:space="preserve">gaming regulatory bodies or governmental authorities to combat the rapid spread of COVID-19 </w:t>
      </w:r>
      <w:r>
        <w:rPr>
          <w:rFonts w:ascii="Arial" w:cs="Arial" w:eastAsia="Arial" w:hAnsi="Arial"/>
          <w:sz w:val="18"/>
          <w:szCs w:val="18"/>
          <w:color w:val="000000"/>
        </w:rPr>
        <w:t>are shown below:</w:t>
      </w:r>
    </w:p>
    <w:tbl>
      <w:tblPr>
        <w:tblLayout w:type="fixed"/>
        <w:tblInd w:w="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2180" w:type="dxa"/>
            <w:vAlign w:val="bottom"/>
            <w:gridSpan w:val="2"/>
          </w:tcPr>
          <w:p>
            <w:pPr>
              <w:ind w:left="800"/>
              <w:spacing w:after="0"/>
              <w:rPr>
                <w:sz w:val="20"/>
                <w:szCs w:val="20"/>
                <w:color w:val="auto"/>
              </w:rPr>
            </w:pPr>
            <w:r>
              <w:rPr>
                <w:rFonts w:ascii="Arial" w:cs="Arial" w:eastAsia="Arial" w:hAnsi="Arial"/>
                <w:sz w:val="13"/>
                <w:szCs w:val="13"/>
                <w:b w:val="1"/>
                <w:bCs w:val="1"/>
                <w:color w:val="auto"/>
              </w:rPr>
              <w:t>Location</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Temporary Closure and Reopening Date</w:t>
            </w: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86"/>
              </w:rPr>
              <w:t>Temporary Closure and Reopening Date</w:t>
            </w:r>
          </w:p>
        </w:tc>
      </w:tr>
      <w:tr>
        <w:trPr>
          <w:trHeight w:val="162"/>
        </w:trPr>
        <w:tc>
          <w:tcPr>
            <w:tcW w:w="320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b w:val="1"/>
                <w:bCs w:val="1"/>
                <w:i w:val="1"/>
                <w:iCs w:val="1"/>
                <w:color w:val="auto"/>
              </w:rPr>
              <w:t>Northeast segment</w:t>
            </w:r>
          </w:p>
        </w:tc>
        <w:tc>
          <w:tcPr>
            <w:tcW w:w="2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spacing w:after="0"/>
              <w:rPr>
                <w:sz w:val="14"/>
                <w:szCs w:val="14"/>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Ameristar East Chicago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East Chicago, IN</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16, 2020 - June 15,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Greektown Casino-Hotel</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Detroit, MI</w:t>
            </w:r>
          </w:p>
        </w:tc>
        <w:tc>
          <w:tcPr>
            <w:tcW w:w="29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March 16, 2020 - August 5, 2020</w:t>
            </w:r>
          </w:p>
        </w:tc>
        <w:tc>
          <w:tcPr>
            <w:tcW w:w="2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November 17, 2020 - December 23, 2020</w:t>
            </w: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Bangor</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Bangor, ME</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March 16, 2020 - July 10,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at Charles Town Races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Charles Town, WV</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March 18, 2020 - June 5,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Columbus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Columbus, OH</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13, 2020 - June 19,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Lawrenceburg</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Lawrenceburg, IN</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16, 2020 - June 15,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at Penn National Race Course</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Grantville, PA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17, 2020 - June 19, 2020</w:t>
            </w:r>
          </w:p>
        </w:tc>
        <w:tc>
          <w:tcPr>
            <w:tcW w:w="2860" w:type="dxa"/>
            <w:vAlign w:val="bottom"/>
          </w:tcPr>
          <w:p>
            <w:pPr>
              <w:jc w:val="center"/>
              <w:spacing w:after="0"/>
              <w:rPr>
                <w:sz w:val="20"/>
                <w:szCs w:val="20"/>
                <w:color w:val="auto"/>
              </w:rPr>
            </w:pPr>
            <w:r>
              <w:rPr>
                <w:rFonts w:ascii="Arial" w:cs="Arial" w:eastAsia="Arial" w:hAnsi="Arial"/>
                <w:sz w:val="13"/>
                <w:szCs w:val="13"/>
                <w:color w:val="auto"/>
                <w:w w:val="85"/>
              </w:rPr>
              <w:t>December 12, 2020 - January 4, 2021</w:t>
            </w: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Toledo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Toledo, OH</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13, 2020 - June 19,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Gaming at Dayton Raceway</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Dayton, OH</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13, 2020 - June 19,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Gaming at Mahoning Valley Race Course</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Youngstown, OH</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13, 2020 - June 19, 2020</w:t>
            </w:r>
          </w:p>
        </w:tc>
        <w:tc>
          <w:tcPr>
            <w:tcW w:w="2860" w:type="dxa"/>
            <w:vAlign w:val="bottom"/>
            <w:shd w:val="clear" w:color="auto" w:fill="CCEEFF"/>
          </w:tcPr>
          <w:p>
            <w:pPr>
              <w:spacing w:after="0"/>
              <w:rPr>
                <w:sz w:val="15"/>
                <w:szCs w:val="15"/>
                <w:color w:val="auto"/>
              </w:rPr>
            </w:pPr>
          </w:p>
        </w:tc>
      </w:tr>
      <w:tr>
        <w:trPr>
          <w:trHeight w:val="175"/>
        </w:trPr>
        <w:tc>
          <w:tcPr>
            <w:tcW w:w="3200" w:type="dxa"/>
            <w:vAlign w:val="bottom"/>
          </w:tcPr>
          <w:p>
            <w:pPr>
              <w:ind w:left="140"/>
              <w:spacing w:after="0" w:line="175" w:lineRule="exact"/>
              <w:rPr>
                <w:sz w:val="20"/>
                <w:szCs w:val="20"/>
                <w:color w:val="auto"/>
              </w:rPr>
            </w:pPr>
            <w:r>
              <w:rPr>
                <w:rFonts w:ascii="Arial" w:cs="Arial" w:eastAsia="Arial" w:hAnsi="Arial"/>
                <w:sz w:val="13"/>
                <w:szCs w:val="13"/>
                <w:color w:val="auto"/>
              </w:rPr>
              <w:t xml:space="preserve">Marquee by Penn </w:t>
            </w:r>
            <w:r>
              <w:rPr>
                <w:rFonts w:ascii="Arial" w:cs="Arial" w:eastAsia="Arial" w:hAnsi="Arial"/>
                <w:sz w:val="16"/>
                <w:szCs w:val="16"/>
                <w:color w:val="auto"/>
                <w:vertAlign w:val="superscript"/>
              </w:rPr>
              <w:t>(1)</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Pennsylvania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March 19, 2020 - June 5, 2020</w:t>
            </w:r>
          </w:p>
        </w:tc>
        <w:tc>
          <w:tcPr>
            <w:tcW w:w="2860" w:type="dxa"/>
            <w:vAlign w:val="bottom"/>
          </w:tcPr>
          <w:p>
            <w:pPr>
              <w:jc w:val="center"/>
              <w:spacing w:after="0"/>
              <w:rPr>
                <w:sz w:val="20"/>
                <w:szCs w:val="20"/>
                <w:color w:val="auto"/>
              </w:rPr>
            </w:pPr>
            <w:r>
              <w:rPr>
                <w:rFonts w:ascii="Arial" w:cs="Arial" w:eastAsia="Arial" w:hAnsi="Arial"/>
                <w:sz w:val="13"/>
                <w:szCs w:val="13"/>
                <w:color w:val="auto"/>
                <w:w w:val="85"/>
              </w:rPr>
              <w:t>December 12, 2020 - January 4, 2021</w:t>
            </w:r>
          </w:p>
        </w:tc>
      </w:tr>
      <w:tr>
        <w:trPr>
          <w:trHeight w:val="176"/>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Meadows Racetrack and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Washington, PA</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March 17, 2020 - June 9, 2020</w:t>
            </w:r>
          </w:p>
        </w:tc>
        <w:tc>
          <w:tcPr>
            <w:tcW w:w="2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December 12, 2020 - January 4, 2021</w:t>
            </w: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Plainridge Park Casino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Plainville, MA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15, 2020 - July 8, 2020</w:t>
            </w:r>
          </w:p>
        </w:tc>
        <w:tc>
          <w:tcPr>
            <w:tcW w:w="2860" w:type="dxa"/>
            <w:vAlign w:val="bottom"/>
          </w:tcPr>
          <w:p>
            <w:pPr>
              <w:spacing w:after="0"/>
              <w:rPr>
                <w:sz w:val="14"/>
                <w:szCs w:val="14"/>
                <w:color w:val="auto"/>
              </w:rPr>
            </w:pPr>
          </w:p>
        </w:tc>
      </w:tr>
      <w:tr>
        <w:trPr>
          <w:trHeight w:val="210"/>
        </w:trPr>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South segment</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Jackpot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Tunica, MS</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21,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Ameristar Vicksburg</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Vicksburg, MS</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17, 2020 - May 21,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Boomtown Biloxi</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Biloxi, MS</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21,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Boomtown Bossier City</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Bossier City, LA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17, 2020 - May 20,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Boomtown New Orleans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Orleans, LA</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18,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Gulf Coast</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Bay St. Louis, MS</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17, 2020 - May 21,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Tunica</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Tunica, MS</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21,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L’Auberge Baton Rouge</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Baton Rouge, LA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17, 2020 - May 18,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L’Auberge Lake Charles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Lake Charles, LA</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18,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Margaritaville Resort Casino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Bossier City, LA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17, 2020 - May 18, 2020</w:t>
            </w:r>
          </w:p>
        </w:tc>
        <w:tc>
          <w:tcPr>
            <w:tcW w:w="2860" w:type="dxa"/>
            <w:vAlign w:val="bottom"/>
          </w:tcPr>
          <w:p>
            <w:pPr>
              <w:spacing w:after="0"/>
              <w:rPr>
                <w:sz w:val="14"/>
                <w:szCs w:val="14"/>
                <w:color w:val="auto"/>
              </w:rPr>
            </w:pPr>
          </w:p>
        </w:tc>
      </w:tr>
      <w:tr>
        <w:trPr>
          <w:trHeight w:val="210"/>
        </w:trPr>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West segment</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Ameristar Black Hawk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Black Hawk, CO</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17, 2020 - June 17,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Cactus Petes and Horseshu</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Jackpot, NV</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March 17, 2020 - June 4,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 Resort</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Henderson, NV</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March 17, 2020 - June 4,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Tropicana Las Vegas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Las Vegas, NV</w:t>
            </w:r>
          </w:p>
        </w:tc>
        <w:tc>
          <w:tcPr>
            <w:tcW w:w="29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March 17, 2020 - September 17,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Zia Park Casino</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Hobbs, NM</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16, 2020 - remains closed</w:t>
            </w:r>
          </w:p>
        </w:tc>
        <w:tc>
          <w:tcPr>
            <w:tcW w:w="2860" w:type="dxa"/>
            <w:vAlign w:val="bottom"/>
            <w:shd w:val="clear" w:color="auto" w:fill="CCEEFF"/>
          </w:tcPr>
          <w:p>
            <w:pPr>
              <w:spacing w:after="0"/>
              <w:rPr>
                <w:sz w:val="15"/>
                <w:szCs w:val="15"/>
                <w:color w:val="auto"/>
              </w:rPr>
            </w:pPr>
          </w:p>
        </w:tc>
      </w:tr>
      <w:tr>
        <w:trPr>
          <w:trHeight w:val="203"/>
        </w:trPr>
        <w:tc>
          <w:tcPr>
            <w:tcW w:w="3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Midwest segment</w:t>
            </w: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Ameristar Council Bluffs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Council Bluffs, IA</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March 17, 2020 - June 1,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Argosy Casino Alton</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Alton, IL</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16, 2020 - July 1, 2020</w:t>
            </w:r>
          </w:p>
        </w:tc>
        <w:tc>
          <w:tcPr>
            <w:tcW w:w="2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November 20, 2020 - January 23, 2021</w:t>
            </w: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Argosy Casino Riverside</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Riverside, MO</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March 18, 2020 - June 1,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Aurora</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Aurora, IL</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16, 2020 - July 1, 2020</w:t>
            </w:r>
          </w:p>
        </w:tc>
        <w:tc>
          <w:tcPr>
            <w:tcW w:w="2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November 20, 2020 - January 19, 2021</w:t>
            </w: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Joliet</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Joliet, IL</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16, 2020 - July 1, 2020</w:t>
            </w:r>
          </w:p>
        </w:tc>
        <w:tc>
          <w:tcPr>
            <w:tcW w:w="2860" w:type="dxa"/>
            <w:vAlign w:val="bottom"/>
          </w:tcPr>
          <w:p>
            <w:pPr>
              <w:jc w:val="center"/>
              <w:spacing w:after="0"/>
              <w:rPr>
                <w:sz w:val="20"/>
                <w:szCs w:val="20"/>
                <w:color w:val="auto"/>
              </w:rPr>
            </w:pPr>
            <w:r>
              <w:rPr>
                <w:rFonts w:ascii="Arial" w:cs="Arial" w:eastAsia="Arial" w:hAnsi="Arial"/>
                <w:sz w:val="13"/>
                <w:szCs w:val="13"/>
                <w:color w:val="auto"/>
                <w:w w:val="86"/>
              </w:rPr>
              <w:t>November 20, 2020 - January 22, 2021</w:t>
            </w: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Hollywood Casino at Kansas Speedway</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Kansas City, KS</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17, 2020 - May 25,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Hollywood Casino St. Louis</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Maryland Heights, MO</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18, 2020 - June 16,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Prairie State Gaming </w:t>
            </w:r>
            <w:r>
              <w:rPr>
                <w:rFonts w:ascii="Arial" w:cs="Arial" w:eastAsia="Arial" w:hAnsi="Arial"/>
                <w:sz w:val="16"/>
                <w:szCs w:val="16"/>
                <w:color w:val="auto"/>
                <w:vertAlign w:val="superscript"/>
              </w:rPr>
              <w:t>(1)</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Illinois</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March 16, 2020 - July 1, 2020</w:t>
            </w:r>
          </w:p>
        </w:tc>
        <w:tc>
          <w:tcPr>
            <w:tcW w:w="2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November 20, 2020 - January 16, 2021</w:t>
            </w: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River City Casino</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St. Louis, MO</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March 18, 2020 - June 16, 2020</w:t>
            </w:r>
          </w:p>
        </w:tc>
        <w:tc>
          <w:tcPr>
            <w:tcW w:w="2860" w:type="dxa"/>
            <w:vAlign w:val="bottom"/>
          </w:tcPr>
          <w:p>
            <w:pPr>
              <w:spacing w:after="0"/>
              <w:rPr>
                <w:sz w:val="14"/>
                <w:szCs w:val="14"/>
                <w:color w:val="auto"/>
              </w:rPr>
            </w:pPr>
          </w:p>
        </w:tc>
      </w:tr>
      <w:tr>
        <w:trPr>
          <w:trHeight w:val="210"/>
        </w:trPr>
        <w:tc>
          <w:tcPr>
            <w:tcW w:w="3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Other</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Freehold Raceway</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Freehold, NJ</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March 16, 2020 - August 27,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Retama Park Racetrack</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Selma, TX</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March 19, 2020 - June 4,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Sam Houston Race Park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Houston, TX</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March 19, 2020 - June 4, 2020</w:t>
            </w:r>
          </w:p>
        </w:tc>
        <w:tc>
          <w:tcPr>
            <w:tcW w:w="2860" w:type="dxa"/>
            <w:vAlign w:val="bottom"/>
            <w:shd w:val="clear" w:color="auto" w:fill="CCEEFF"/>
          </w:tcPr>
          <w:p>
            <w:pPr>
              <w:spacing w:after="0"/>
              <w:rPr>
                <w:sz w:val="15"/>
                <w:szCs w:val="15"/>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Sanford-Orlando Kennel Club</w:t>
            </w:r>
          </w:p>
        </w:tc>
        <w:tc>
          <w:tcPr>
            <w:tcW w:w="2180" w:type="dxa"/>
            <w:vAlign w:val="bottom"/>
            <w:gridSpan w:val="2"/>
          </w:tcPr>
          <w:p>
            <w:pPr>
              <w:ind w:left="20"/>
              <w:spacing w:after="0"/>
              <w:rPr>
                <w:sz w:val="20"/>
                <w:szCs w:val="20"/>
                <w:color w:val="auto"/>
              </w:rPr>
            </w:pPr>
            <w:r>
              <w:rPr>
                <w:rFonts w:ascii="Arial" w:cs="Arial" w:eastAsia="Arial" w:hAnsi="Arial"/>
                <w:sz w:val="13"/>
                <w:szCs w:val="13"/>
                <w:color w:val="auto"/>
              </w:rPr>
              <w:t>Longwood, FL</w:t>
            </w:r>
          </w:p>
        </w:tc>
        <w:tc>
          <w:tcPr>
            <w:tcW w:w="29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March 13, 2020 - May 26, 2020</w:t>
            </w:r>
          </w:p>
        </w:tc>
        <w:tc>
          <w:tcPr>
            <w:tcW w:w="2860" w:type="dxa"/>
            <w:vAlign w:val="bottom"/>
          </w:tcPr>
          <w:p>
            <w:pPr>
              <w:spacing w:after="0"/>
              <w:rPr>
                <w:sz w:val="14"/>
                <w:szCs w:val="14"/>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Valley Race Park</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Harlingen, TX</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March 19, 2020 - remains closed</w:t>
            </w:r>
          </w:p>
        </w:tc>
        <w:tc>
          <w:tcPr>
            <w:tcW w:w="2860" w:type="dxa"/>
            <w:vAlign w:val="bottom"/>
            <w:shd w:val="clear" w:color="auto" w:fill="CCEEFF"/>
          </w:tcPr>
          <w:p>
            <w:pPr>
              <w:spacing w:after="0"/>
              <w:rPr>
                <w:sz w:val="15"/>
                <w:szCs w:val="15"/>
                <w:color w:val="auto"/>
              </w:rPr>
            </w:pPr>
          </w:p>
        </w:tc>
      </w:tr>
    </w:tbl>
    <w:p>
      <w:pPr>
        <w:spacing w:after="0" w:line="89" w:lineRule="exact"/>
        <w:rPr>
          <w:sz w:val="20"/>
          <w:szCs w:val="20"/>
          <w:color w:val="auto"/>
        </w:rPr>
      </w:pPr>
    </w:p>
    <w:p>
      <w:pPr>
        <w:ind w:left="480" w:hanging="310"/>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VGT route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comparison of the years ended December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revenues: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140" w:type="dxa"/>
            <w:vAlign w:val="bottom"/>
          </w:tcPr>
          <w:p>
            <w:pPr>
              <w:spacing w:after="0"/>
              <w:rPr>
                <w:sz w:val="20"/>
                <w:szCs w:val="20"/>
                <w:color w:val="auto"/>
              </w:rPr>
            </w:pPr>
          </w:p>
        </w:tc>
        <w:tc>
          <w:tcPr>
            <w:tcW w:w="19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88"/>
              </w:rPr>
              <w:t>2019 vs.</w:t>
            </w:r>
          </w:p>
        </w:tc>
        <w:tc>
          <w:tcPr>
            <w:tcW w:w="12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99"/>
              </w:rPr>
              <w:t>2020 vs. 2019</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4,268.7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1,373.8</w:t>
            </w:r>
          </w:p>
        </w:tc>
        <w:tc>
          <w:tcPr>
            <w:tcW w:w="12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(28.5)%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2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1"/>
              </w:rPr>
              <w:t>(48.9)%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Management service and license fees</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management costs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2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(32.5)%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b w:val="1"/>
          <w:bCs w:val="1"/>
          <w:i w:val="1"/>
          <w:iCs w:val="1"/>
          <w:color w:val="auto"/>
        </w:rPr>
        <w:t xml:space="preserve">Gaming revenues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food, beverage, hotel and other revenues </w:t>
      </w:r>
      <w:r>
        <w:rPr>
          <w:rFonts w:ascii="Arial" w:cs="Arial" w:eastAsia="Arial" w:hAnsi="Arial"/>
          <w:sz w:val="17"/>
          <w:szCs w:val="17"/>
          <w:color w:val="auto"/>
        </w:rPr>
        <w:t>for the year ended December 31, 2020 decreased compared to the prior year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result of the COVID-19 pandemic, which caused temporary closures of all of our properties during the year, and upon subsequent property reopenings, our operations were impacted by operating restrictions. Our properties are subject to restrictions on gaming capacity, which depending on the jurisdiction, are generally 50% less gaming devices. Furthermore, due primarily to the implementation of social distancing and health and safety protocols, our properties are subject to reduced hotel capacity, limitations on the number of food and beverage offerings and limitations on other amenities. As a result, upon reopening our properties, gaming revenue now represents a larger portion of our total revenues, which we expect to continue until at least such time that social distancing and health and safety protocols are relaxed or no longer necessary.</w:t>
      </w:r>
    </w:p>
    <w:p>
      <w:pPr>
        <w:spacing w:after="0" w:line="207" w:lineRule="exact"/>
        <w:rPr>
          <w:sz w:val="20"/>
          <w:szCs w:val="20"/>
          <w:color w:val="auto"/>
        </w:rPr>
      </w:pPr>
    </w:p>
    <w:p>
      <w:pPr>
        <w:ind w:right="80" w:firstLine="324"/>
        <w:spacing w:after="0"/>
        <w:rPr>
          <w:rFonts w:ascii="Arial" w:cs="Arial" w:eastAsia="Arial" w:hAnsi="Arial"/>
          <w:sz w:val="18"/>
          <w:szCs w:val="18"/>
          <w:color w:val="auto"/>
        </w:rPr>
      </w:pPr>
      <w:r>
        <w:rPr>
          <w:rFonts w:ascii="Arial" w:cs="Arial" w:eastAsia="Arial" w:hAnsi="Arial"/>
          <w:sz w:val="18"/>
          <w:szCs w:val="18"/>
          <w:color w:val="auto"/>
        </w:rPr>
        <w:t xml:space="preserve">Since reopening, our properties have generally experienced reduced visitation and higher spend per trip, as compared to pre-closure levels. We largely attribute the higher spend per trip to pent-up demand, visitation from our higher worth customers, and customers’ propensity to spend after a prolonged period of limited domestic commerce and upon receipt of government stimulus payments. In addition, in many of the states in which we operate, leisure alternatives remain partially limited (e.g., bars, concerts, entertainment events, etc.), which may have impacted our operating results upon reopening our properties. See </w:t>
      </w:r>
      <w:hyperlink w:anchor="page39">
        <w:r>
          <w:rPr>
            <w:rFonts w:ascii="Arial" w:cs="Arial" w:eastAsia="Arial" w:hAnsi="Arial"/>
            <w:sz w:val="18"/>
            <w:szCs w:val="18"/>
            <w:u w:val="single" w:color="auto"/>
            <w:color w:val="0000FF"/>
          </w:rPr>
          <w:t>“Segment comparison of the years ended December 31, 2020, and 2019</w:t>
        </w:r>
        <w:r>
          <w:rPr>
            <w:rFonts w:ascii="Arial" w:cs="Arial" w:eastAsia="Arial" w:hAnsi="Arial"/>
            <w:sz w:val="18"/>
            <w:szCs w:val="18"/>
            <w:u w:val="single" w:color="auto"/>
            <w:color w:val="0000FF"/>
            <w:highlight w:val="white"/>
          </w:rPr>
          <w: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below for more detailed explanations of the fluctuations in revenues.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operating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ind w:left="140"/>
              <w:spacing w:after="0"/>
              <w:rPr>
                <w:sz w:val="20"/>
                <w:szCs w:val="20"/>
                <w:color w:val="auto"/>
              </w:rPr>
            </w:pPr>
            <w:r>
              <w:rPr>
                <w:rFonts w:ascii="Arial" w:cs="Arial" w:eastAsia="Arial" w:hAnsi="Arial"/>
                <w:sz w:val="18"/>
                <w:szCs w:val="18"/>
                <w:b w:val="1"/>
                <w:bCs w:val="1"/>
                <w:color w:val="auto"/>
              </w:rPr>
              <w:t>For the year ended December 31,</w:t>
            </w:r>
          </w:p>
        </w:tc>
        <w:tc>
          <w:tcPr>
            <w:tcW w:w="140" w:type="dxa"/>
            <w:vAlign w:val="bottom"/>
          </w:tcPr>
          <w:p>
            <w:pPr>
              <w:spacing w:after="0"/>
              <w:rPr>
                <w:sz w:val="20"/>
                <w:szCs w:val="20"/>
                <w:color w:val="auto"/>
              </w:rPr>
            </w:pPr>
          </w:p>
        </w:tc>
        <w:tc>
          <w:tcPr>
            <w:tcW w:w="18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22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85"/>
              </w:rPr>
              <w:t>2019 vs.</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7"/>
              </w:rPr>
              <w:t>2020 vs. 2019</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88"/>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management costs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losses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260.1 %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0"/>
              </w:rPr>
              <w:t>Recoveries on loan loss and unfunded loan</w:t>
            </w:r>
          </w:p>
        </w:tc>
        <w:tc>
          <w:tcPr>
            <w:tcW w:w="22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commitments</w:t>
            </w: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1,775.7</w:t>
            </w:r>
          </w:p>
        </w:tc>
        <w:tc>
          <w:tcPr>
            <w:tcW w:w="1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Gaming expenses </w:t>
      </w:r>
      <w:r>
        <w:rPr>
          <w:rFonts w:ascii="Arial" w:cs="Arial" w:eastAsia="Arial" w:hAnsi="Arial"/>
          <w:sz w:val="18"/>
          <w:szCs w:val="18"/>
          <w:color w:val="auto"/>
        </w:rPr>
        <w:t>consist primarily of salaries and wages associated with our gaming operations and gaming taxes.</w:t>
      </w:r>
      <w:r>
        <w:rPr>
          <w:rFonts w:ascii="Arial" w:cs="Arial" w:eastAsia="Arial" w:hAnsi="Arial"/>
          <w:sz w:val="18"/>
          <w:szCs w:val="18"/>
          <w:b w:val="1"/>
          <w:bCs w:val="1"/>
          <w:i w:val="1"/>
          <w:iCs w:val="1"/>
          <w:color w:val="auto"/>
        </w:rPr>
        <w:t xml:space="preserve"> Food, beverage, hotel and other expenses </w:t>
      </w:r>
      <w:r>
        <w:rPr>
          <w:rFonts w:ascii="Arial" w:cs="Arial" w:eastAsia="Arial" w:hAnsi="Arial"/>
          <w:sz w:val="18"/>
          <w:szCs w:val="18"/>
          <w:color w:val="auto"/>
        </w:rPr>
        <w:t>consist principally of salaries and wages and costs of goods sold associated with our food, beverage, hotel, retail, racing, and other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food, beverage, hotel and other expenses for the year ended December 31, 2020 decreased year over year primarily as a result of the temporary closures of all of our properties due to the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COVID-19 pandemic, which reduced our salaries and wages, gaming taxes, costs of goods sold, and other expenses. As discussed above, our reopened properties are operating with reduced gaming, hotel capacity, limited food and beverage and limited other amenity offerings. As such, our properties are operating with a reduced workforce, which reduced our salaries and wages. In addition, our properties have reduced marketing costs, which reduces gaming expenses.</w:t>
      </w:r>
    </w:p>
    <w:p>
      <w:pPr>
        <w:spacing w:after="0" w:line="14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include items such as compliance, facility maintenance, utilities, property and liability insurance, surveillance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security, lobbying expenses, and certain housekeeping services, as well as all expenses for administrative departments such as accounting, purchasing, human resources, legal and internal audit. General and administrative expenses also include stock-based compensation expense; pre-opening and acquisition costs; gains and losses on disposal of assets; changes in the fair value of our contingent purchase price obligations; expense associated with cash-settled stock-based awards (including changes in fair value thereto); restructuring costs (primarily severance) associated with a company-wide initiative triggered by the COVID-19 pandemic; and rent expense associated with our triple net operating leases.</w:t>
      </w:r>
    </w:p>
    <w:p>
      <w:pPr>
        <w:spacing w:after="0" w:line="13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General and administrative expenses for the year ended December 31, 2020 decreased year over year primarily as a result of the actions taken to reduce our cost structure while our properties were temporarily closed, which included: (i) furloughing the vast majority of our employees and operating with a minimum staffing of less than 850 employees company-wide during the temporary closures; (ii) enacting meaningful compensation reductions to our remaining property and corporate leadership teams effective April 1, 2020 and through September 30, 2020 (compensation was fully restored effective October 1, 2020); and (iii) executing substantial reductions in operating expenses. In addition, we recognized a gain on disposal of assets of $29.2 million, which reduced general and administrative expenses in the current year. Additionally, the expense associated with the Company’s contingent purchase price obligations and preopening expenses decreased by $8.1 million and $10.5 million, respectively, as compared to the prior year period. Offsetting these decreases for the year ended December 31, 2020, as compared to the prior year, was an increase in expense associated with the Company’s cash-settled stock-based awards expense of $66.4 million, due to the increase in our stock price, and an increase in rent expense of $53.4 million, which principally relates to the Greektown Lease. Additionally, we incurred $13.4 million of restructuring costs, primarily related to employee severance as a result of the COVID-19 pandemic as described above.</w:t>
      </w:r>
    </w:p>
    <w:p>
      <w:pPr>
        <w:spacing w:after="0" w:line="14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for the year ended December 31, 2020 decreased year over year primarily due to fixed assets becoming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depreciated since December 31, 2019, a reduction in capital spend in 2020 due to the casino closures and a $2.7 million decrease in amortization expense at Penn Interactive. These were offset for the year ended December 31, 2020 by an increase of $3.2 million at Greektown, which was acquired in May 2019.</w:t>
      </w:r>
    </w:p>
    <w:p>
      <w:pPr>
        <w:spacing w:after="0" w:line="10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b w:val="1"/>
          <w:bCs w:val="1"/>
          <w:i w:val="1"/>
          <w:iCs w:val="1"/>
          <w:color w:val="auto"/>
        </w:rPr>
        <w:t xml:space="preserve">Impairment losses </w:t>
      </w:r>
      <w:r>
        <w:rPr>
          <w:rFonts w:ascii="Arial" w:cs="Arial" w:eastAsia="Arial" w:hAnsi="Arial"/>
          <w:sz w:val="18"/>
          <w:szCs w:val="18"/>
          <w:color w:val="auto"/>
        </w:rPr>
        <w:t>for the year ended December 31, 2020 primarily relate to impairments taken on our goodwill and other intangible assets of $113.0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$498.5 million, respectively, as a result of an interim impairment assessment during the first quarter of 2020. During the first quarter of 2020, we identified an indicator of impairment triggered by the COVID-19 pandemic, which caused all of our gaming properties to temporarily close. At the time of the interim impairment assessment, we revised our cash flow projections to reflect the current economic environment, including the uncertainty of the nature, timing and extent of reopening our gaming properties. Additionally, we recorded an impairment charge of $7.3 million resulting from an impairment analysis of the long-lived assets at the Tropicana Las Vegas and an impairment charge of $4.6 million on our investment in the Texas Joint Venture.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other income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3"/>
              </w:rPr>
              <w:t>For the year ended December 31,</w:t>
            </w:r>
          </w:p>
        </w:tc>
        <w:tc>
          <w:tcPr>
            <w:tcW w:w="160" w:type="dxa"/>
            <w:vAlign w:val="bottom"/>
          </w:tcPr>
          <w:p>
            <w:pPr>
              <w:spacing w:after="0"/>
              <w:rPr>
                <w:sz w:val="20"/>
                <w:szCs w:val="20"/>
                <w:color w:val="auto"/>
              </w:rPr>
            </w:pPr>
          </w:p>
        </w:tc>
        <w:tc>
          <w:tcPr>
            <w:tcW w:w="2060" w:type="dxa"/>
            <w:vAlign w:val="bottom"/>
            <w:gridSpan w:val="5"/>
          </w:tcPr>
          <w:p>
            <w:pPr>
              <w:ind w:left="540"/>
              <w:spacing w:after="0"/>
              <w:rPr>
                <w:sz w:val="20"/>
                <w:szCs w:val="20"/>
                <w:color w:val="auto"/>
              </w:rPr>
            </w:pPr>
            <w:r>
              <w:rPr>
                <w:rFonts w:ascii="Arial" w:cs="Arial" w:eastAsia="Arial" w:hAnsi="Arial"/>
                <w:sz w:val="18"/>
                <w:szCs w:val="18"/>
                <w:b w:val="1"/>
                <w:bCs w:val="1"/>
                <w:color w:val="auto"/>
              </w:rPr>
              <w:t>$ Change</w:t>
            </w:r>
          </w:p>
        </w:tc>
        <w:tc>
          <w:tcPr>
            <w:tcW w:w="24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1"/>
              </w:rPr>
              <w:t>2019 vs.</w:t>
            </w:r>
          </w:p>
        </w:tc>
        <w:tc>
          <w:tcPr>
            <w:tcW w:w="100" w:type="dxa"/>
            <w:vAlign w:val="bottom"/>
          </w:tcPr>
          <w:p>
            <w:pPr>
              <w:spacing w:after="0"/>
              <w:rPr>
                <w:sz w:val="14"/>
                <w:szCs w:val="14"/>
                <w:color w:val="auto"/>
              </w:rPr>
            </w:pPr>
          </w:p>
        </w:tc>
        <w:tc>
          <w:tcPr>
            <w:tcW w:w="12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2020 vs. 2019</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2"/>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N/M</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433.0 %</w:t>
            </w:r>
          </w:p>
        </w:tc>
        <w:tc>
          <w:tcPr>
            <w:tcW w:w="1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increased for the year ended December 31, 2020, as compared to the prior year, due primarily to increases in interest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our Master Leases of $8.8 million partially offset by an increase in capitalized interest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1" w:lineRule="auto"/>
        <w:rPr>
          <w:rFonts w:ascii="Arial" w:cs="Arial" w:eastAsia="Arial" w:hAnsi="Arial"/>
          <w:sz w:val="16"/>
          <w:szCs w:val="16"/>
          <w:color w:val="0000FF"/>
        </w:rPr>
      </w:pPr>
      <w:r>
        <w:rPr>
          <w:rFonts w:ascii="Arial" w:cs="Arial" w:eastAsia="Arial" w:hAnsi="Arial"/>
          <w:sz w:val="16"/>
          <w:szCs w:val="16"/>
          <w:color w:val="auto"/>
        </w:rPr>
        <w:t xml:space="preserve">$1.9 million. Additionally, the interest expense associated with our long-term debt increased $1.8 million, as compared to the prior year, due primarily to the issuance of our 2.75% Convertible Notes, which offset the reduction in interest expense incurred on the Senior Secured Credit Facilities (as defined in “ </w:t>
      </w:r>
      <w:hyperlink w:anchor="page83">
        <w:r>
          <w:rPr>
            <w:rFonts w:ascii="Arial" w:cs="Arial" w:eastAsia="Arial" w:hAnsi="Arial"/>
            <w:sz w:val="16"/>
            <w:szCs w:val="16"/>
            <w:u w:val="single" w:color="auto"/>
            <w:color w:val="0000FF"/>
          </w:rPr>
          <w:t>Note 11, “Long-term Debt,</w:t>
        </w:r>
      </w:hyperlink>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color w:val="000000"/>
        </w:rPr>
        <w:t>from a decrease in the London Interbank Offered Rate (referred to as "LIBOR") during the corresponding periods.</w:t>
      </w:r>
    </w:p>
    <w:p>
      <w:pPr>
        <w:spacing w:after="0" w:line="10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Income from unconsolidated affiliates </w:t>
      </w:r>
      <w:r>
        <w:rPr>
          <w:rFonts w:ascii="Arial" w:cs="Arial" w:eastAsia="Arial" w:hAnsi="Arial"/>
          <w:sz w:val="18"/>
          <w:szCs w:val="18"/>
          <w:color w:val="auto"/>
        </w:rPr>
        <w:t>relates principally to our Kansas Entertainment joint venture. The decrease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as compared to the prior year, was primarily due to a decrease in the results of operations of Hollywood Casino at Kansas Speedway, which temporarily closed on March 17, 2020 and reopened on May 25, 2020 and continues to be impacted by COVID-19 capacity restrictions. This decrease was partially offset by income earned from Barstool Sports.</w:t>
      </w:r>
    </w:p>
    <w:p>
      <w:pPr>
        <w:spacing w:after="0" w:line="160" w:lineRule="exact"/>
        <w:rPr>
          <w:sz w:val="20"/>
          <w:szCs w:val="20"/>
          <w:color w:val="auto"/>
        </w:rPr>
      </w:pPr>
    </w:p>
    <w:p>
      <w:pPr>
        <w:jc w:val="both"/>
        <w:ind w:right="80" w:firstLine="324"/>
        <w:spacing w:after="0" w:line="24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Loss on early extinguishment of debt </w:t>
      </w:r>
      <w:r>
        <w:rPr>
          <w:rFonts w:ascii="Arial" w:cs="Arial" w:eastAsia="Arial" w:hAnsi="Arial"/>
          <w:sz w:val="18"/>
          <w:szCs w:val="18"/>
          <w:color w:val="auto"/>
        </w:rPr>
        <w:t>for the year December 31, 2020 related to the write-offs of previously unamortized debt issuance costs and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discounts in connection with the prepayment of Term Loan B-1 Facility, (as defined in </w:t>
      </w:r>
      <w:hyperlink w:anchor="page83">
        <w:r>
          <w:rPr>
            <w:rFonts w:ascii="Arial" w:cs="Arial" w:eastAsia="Arial" w:hAnsi="Arial"/>
            <w:sz w:val="18"/>
            <w:szCs w:val="18"/>
            <w:u w:val="single" w:color="auto"/>
            <w:color w:val="0000FF"/>
          </w:rPr>
          <w:t>Note 11, “Long-term Debt,</w:t>
        </w:r>
      </w:hyperlink>
      <w:r>
        <w:rPr>
          <w:rFonts w:ascii="Arial" w:cs="Arial" w:eastAsia="Arial" w:hAnsi="Arial"/>
          <w:sz w:val="18"/>
          <w:szCs w:val="18"/>
          <w:color w:val="auto"/>
        </w:rPr>
        <w:t>”). There were no principal prepayments of our long-term debt during the year ended December 31, 2019.</w:t>
      </w:r>
    </w:p>
    <w:p>
      <w:pPr>
        <w:spacing w:after="0" w:line="209" w:lineRule="exact"/>
        <w:rPr>
          <w:sz w:val="20"/>
          <w:szCs w:val="20"/>
          <w:color w:val="auto"/>
        </w:rPr>
      </w:pPr>
    </w:p>
    <w:p>
      <w:pPr>
        <w:ind w:firstLine="324"/>
        <w:spacing w:after="0" w:line="273"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Income tax benefit (expense) </w:t>
      </w:r>
      <w:r>
        <w:rPr>
          <w:rFonts w:ascii="Arial" w:cs="Arial" w:eastAsia="Arial" w:hAnsi="Arial"/>
          <w:sz w:val="17"/>
          <w:szCs w:val="17"/>
          <w:color w:val="auto"/>
        </w:rPr>
        <w:t>for the year ended December 31, 2020, was a benefit of $165.1 million compared to income tax expense of $43.0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the prior year. Our effective tax rate was 19.8% for the year ended December 31, 2020, as compared to 49.9% for the year ended December 31, 2019. The Company’s effective tax rate for the year ended December 31, 2020 was lower than the federal statutory tax rate of 21% primarily driven by the increase in the valuation allowance (see </w:t>
      </w:r>
      <w:hyperlink w:anchor="page94">
        <w:r>
          <w:rPr>
            <w:rFonts w:ascii="Arial" w:cs="Arial" w:eastAsia="Arial" w:hAnsi="Arial"/>
            <w:sz w:val="17"/>
            <w:szCs w:val="17"/>
            <w:u w:val="single" w:color="auto"/>
            <w:color w:val="0000FF"/>
          </w:rPr>
          <w:t>Note 14, “Income Taxes”</w:t>
        </w:r>
      </w:hyperlink>
      <w:r>
        <w:rPr>
          <w:rFonts w:ascii="Arial" w:cs="Arial" w:eastAsia="Arial" w:hAnsi="Arial"/>
          <w:sz w:val="17"/>
          <w:szCs w:val="17"/>
          <w:color w:val="auto"/>
        </w:rPr>
        <w:t>, in the notes to our Consolidated Financial Statements). The Company’s effective tax rate for the year ended December 31, 2019 was higher than the federal statutory tax rate of 21% primarily driven by the effect of the non-deductible goodwill impairment charge, non-deductible officers’ compensation, and higher state taxable income from operations.</w:t>
      </w:r>
    </w:p>
    <w:p>
      <w:pPr>
        <w:spacing w:after="0" w:line="20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Our effective income tax rate can vary each reporting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includes miscellaneous income and expense items. The amount for the years ended December 31, 2020 and 2019 relates primarily to unrealized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gains of $106.7 million and $19.9 million, respectively, on equity securities (including warrants), which were acquired during the third quarter of 2019 in connection with Penn Interactive entering into multi-year agreements with sports betting operators for online sports betting and related iGaming market access across our portfolio.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0"/>
              </w:rPr>
              <w:t>Segment comparison of the years ended December 31, 2020 and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Northeast Segment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8"/>
          </w:tcPr>
          <w:p>
            <w:pPr>
              <w:ind w:left="300"/>
              <w:spacing w:after="0"/>
              <w:rPr>
                <w:sz w:val="20"/>
                <w:szCs w:val="20"/>
                <w:color w:val="auto"/>
              </w:rPr>
            </w:pPr>
            <w:r>
              <w:rPr>
                <w:rFonts w:ascii="Arial" w:cs="Arial" w:eastAsia="Arial" w:hAnsi="Arial"/>
                <w:sz w:val="18"/>
                <w:szCs w:val="18"/>
                <w:b w:val="1"/>
                <w:bCs w:val="1"/>
                <w:color w:val="auto"/>
              </w:rPr>
              <w:t>For the year ended December 31,</w:t>
            </w:r>
          </w:p>
        </w:tc>
        <w:tc>
          <w:tcPr>
            <w:tcW w:w="160" w:type="dxa"/>
            <w:vAlign w:val="bottom"/>
          </w:tcPr>
          <w:p>
            <w:pPr>
              <w:spacing w:after="0"/>
              <w:rPr>
                <w:sz w:val="24"/>
                <w:szCs w:val="24"/>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22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1"/>
              </w:rPr>
              <w:t>2019 vs.</w:t>
            </w:r>
          </w:p>
        </w:tc>
        <w:tc>
          <w:tcPr>
            <w:tcW w:w="12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9"/>
              </w:rPr>
              <w:t>2020 vs. 2019</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2,117.1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472.9</w:t>
            </w:r>
          </w:p>
        </w:tc>
        <w:tc>
          <w:tcPr>
            <w:tcW w:w="1200" w:type="dxa"/>
            <w:vAlign w:val="bottom"/>
            <w:gridSpan w:val="2"/>
          </w:tcPr>
          <w:p>
            <w:pPr>
              <w:jc w:val="center"/>
              <w:ind w:left="470"/>
              <w:spacing w:after="0"/>
              <w:rPr>
                <w:sz w:val="20"/>
                <w:szCs w:val="20"/>
                <w:color w:val="auto"/>
              </w:rPr>
            </w:pPr>
            <w:r>
              <w:rPr>
                <w:rFonts w:ascii="Arial" w:cs="Arial" w:eastAsia="Arial" w:hAnsi="Arial"/>
                <w:sz w:val="18"/>
                <w:szCs w:val="18"/>
                <w:color w:val="auto"/>
                <w:w w:val="95"/>
              </w:rPr>
              <w:t>(29.4)%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5"/>
              </w:rPr>
              <w:t>(49.0)%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8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5"/>
              </w:rPr>
              <w:t>Management service and licensing</w:t>
            </w:r>
          </w:p>
        </w:tc>
        <w:tc>
          <w:tcPr>
            <w:tcW w:w="240" w:type="dxa"/>
            <w:vAlign w:val="bottom"/>
          </w:tcPr>
          <w:p>
            <w:pPr>
              <w:spacing w:after="0"/>
              <w:rPr>
                <w:sz w:val="15"/>
                <w:szCs w:val="1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1180" w:type="dxa"/>
            <w:vAlign w:val="bottom"/>
            <w:gridSpan w:val="2"/>
            <w:vMerge w:val="restart"/>
          </w:tcPr>
          <w:p>
            <w:pPr>
              <w:jc w:val="center"/>
              <w:ind w:left="2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Reimbursable management costs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2,399.9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1,891.5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200" w:type="dxa"/>
            <w:vAlign w:val="bottom"/>
            <w:gridSpan w:val="2"/>
          </w:tcPr>
          <w:p>
            <w:pPr>
              <w:jc w:val="center"/>
              <w:ind w:left="470"/>
              <w:spacing w:after="0"/>
              <w:rPr>
                <w:sz w:val="20"/>
                <w:szCs w:val="20"/>
                <w:color w:val="auto"/>
              </w:rPr>
            </w:pPr>
            <w:r>
              <w:rPr>
                <w:rFonts w:ascii="Arial" w:cs="Arial" w:eastAsia="Arial" w:hAnsi="Arial"/>
                <w:sz w:val="18"/>
                <w:szCs w:val="18"/>
                <w:color w:val="auto"/>
                <w:w w:val="95"/>
              </w:rPr>
              <w:t>(31.7)%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Adjusted EBITDAR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137.0</w:t>
            </w:r>
          </w:p>
        </w:tc>
        <w:tc>
          <w:tcPr>
            <w:tcW w:w="1200" w:type="dxa"/>
            <w:vAlign w:val="bottom"/>
            <w:gridSpan w:val="2"/>
          </w:tcPr>
          <w:p>
            <w:pPr>
              <w:jc w:val="center"/>
              <w:ind w:left="470"/>
              <w:spacing w:after="0"/>
              <w:rPr>
                <w:sz w:val="20"/>
                <w:szCs w:val="20"/>
                <w:color w:val="auto"/>
              </w:rPr>
            </w:pPr>
            <w:r>
              <w:rPr>
                <w:rFonts w:ascii="Arial" w:cs="Arial" w:eastAsia="Arial" w:hAnsi="Arial"/>
                <w:sz w:val="18"/>
                <w:szCs w:val="18"/>
                <w:color w:val="auto"/>
                <w:w w:val="95"/>
              </w:rPr>
              <w:t>(33.6)%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(80) bps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The Northeast segment’s results of operations for the year ended December 31, 2020 were primarily impacted by the COVID-19 pandemic. During the year ended December 31, 2020, our properties had temporary closures </w:t>
      </w:r>
      <w:r>
        <w:rPr>
          <w:rFonts w:ascii="Arial" w:cs="Arial" w:eastAsia="Arial" w:hAnsi="Arial"/>
          <w:sz w:val="16"/>
          <w:szCs w:val="16"/>
          <w:color w:val="212529"/>
        </w:rPr>
        <w:t>pursuant to various orders from state gaming regulatory bodies or governmental</w:t>
      </w:r>
      <w:r>
        <w:rPr>
          <w:rFonts w:ascii="Arial" w:cs="Arial" w:eastAsia="Arial" w:hAnsi="Arial"/>
          <w:sz w:val="16"/>
          <w:szCs w:val="16"/>
          <w:color w:val="auto"/>
        </w:rPr>
        <w:t xml:space="preserve"> </w:t>
      </w:r>
      <w:r>
        <w:rPr>
          <w:rFonts w:ascii="Arial" w:cs="Arial" w:eastAsia="Arial" w:hAnsi="Arial"/>
          <w:sz w:val="16"/>
          <w:szCs w:val="16"/>
          <w:color w:val="212529"/>
        </w:rPr>
        <w:t xml:space="preserve">authorities to combat the rapid spread of COVID-19. </w:t>
      </w:r>
      <w:r>
        <w:rPr>
          <w:rFonts w:ascii="Arial" w:cs="Arial" w:eastAsia="Arial" w:hAnsi="Arial"/>
          <w:sz w:val="16"/>
          <w:szCs w:val="16"/>
          <w:color w:val="000000"/>
        </w:rPr>
        <w:t>All of our properties within the Northeast segment reopened and continue to operate with reduced</w:t>
      </w:r>
      <w:r>
        <w:rPr>
          <w:rFonts w:ascii="Arial" w:cs="Arial" w:eastAsia="Arial" w:hAnsi="Arial"/>
          <w:sz w:val="16"/>
          <w:szCs w:val="16"/>
          <w:color w:val="212529"/>
        </w:rPr>
        <w:t xml:space="preserve"> </w:t>
      </w:r>
      <w:r>
        <w:rPr>
          <w:rFonts w:ascii="Arial" w:cs="Arial" w:eastAsia="Arial" w:hAnsi="Arial"/>
          <w:sz w:val="16"/>
          <w:szCs w:val="16"/>
          <w:color w:val="000000"/>
        </w:rPr>
        <w:t>gaming and hotel (if applicable) capacity, limited food and beverage and other amenity offerings. In response to the impact of the COVID-19 pandemic on our operations, we implemented cost saving initiatives to offset inevitable revenue degradation, such as: operating with a reduced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workforce, focusing on higher margin gaming offerings, reducing marketing costs, and limiting certain lower margin food and beverage offerings.</w:t>
      </w:r>
    </w:p>
    <w:p>
      <w:pPr>
        <w:spacing w:after="0" w:line="19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year ended December 31, 2020 the Northeast segment’s total revenues, Adjusted EBITDAR and Adjusted EBITDAR margin decreased, as compared to the prior year, due to the temporary closures described above. While revenues and Adjusted EBITDAR decreased 31.7% and 33.6% compared to the prior year, Adjusted EBITDAR margin decreased 80 basis points primarily as a result of cost cutting measures and other structural changes put in place in response to the COVID-19 pandemic.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South Segment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8"/>
          </w:tcPr>
          <w:p>
            <w:pPr>
              <w:ind w:left="300"/>
              <w:spacing w:after="0"/>
              <w:rPr>
                <w:sz w:val="20"/>
                <w:szCs w:val="20"/>
                <w:color w:val="auto"/>
              </w:rPr>
            </w:pPr>
            <w:r>
              <w:rPr>
                <w:rFonts w:ascii="Arial" w:cs="Arial" w:eastAsia="Arial" w:hAnsi="Arial"/>
                <w:sz w:val="18"/>
                <w:szCs w:val="18"/>
                <w:b w:val="1"/>
                <w:bCs w:val="1"/>
                <w:color w:val="auto"/>
              </w:rPr>
              <w:t>For the year ended December 31,</w:t>
            </w:r>
          </w:p>
        </w:tc>
        <w:tc>
          <w:tcPr>
            <w:tcW w:w="140" w:type="dxa"/>
            <w:vAlign w:val="bottom"/>
          </w:tcPr>
          <w:p>
            <w:pPr>
              <w:spacing w:after="0"/>
              <w:rPr>
                <w:sz w:val="24"/>
                <w:szCs w:val="24"/>
                <w:color w:val="auto"/>
              </w:rPr>
            </w:pPr>
          </w:p>
        </w:tc>
        <w:tc>
          <w:tcPr>
            <w:tcW w:w="1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23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2020 vs.</w:t>
            </w: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88"/>
              </w:rPr>
              <w:t>2019 vs.</w:t>
            </w:r>
          </w:p>
        </w:tc>
        <w:tc>
          <w:tcPr>
            <w:tcW w:w="120" w:type="dxa"/>
            <w:vAlign w:val="bottom"/>
          </w:tcPr>
          <w:p>
            <w:pPr>
              <w:spacing w:after="0"/>
              <w:rPr>
                <w:sz w:val="14"/>
                <w:szCs w:val="14"/>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2020 vs. 2019</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60"/>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831.1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Adjusted EBITDAR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360"/>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37.5 %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440 bps</w:t>
            </w:r>
          </w:p>
        </w:tc>
        <w:tc>
          <w:tcPr>
            <w:tcW w:w="1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7"/>
              </w:rPr>
              <w:t>300 bps</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South segment’s results of operations for the year ended December 31, 2020 were primarily impacted by the COVID-19 pandemic and Hurricane Laura (described below). During the year ended December 31, 2020 our properties had temporary closures pursuant to various orders from state gaming regulatory bodies or governmental authorities to combat the rapid spread of COVID-19. All of our properties within the South segment reopened and continue to operate with reduced gaming, hotel (if applicable) capacity, limited food and beverage and other amenity offerings. In response to the COVID-19 pandemic on our operations, we implemented cost saving initiatives to offset inevitable revenue degradation, such as: operating with a reduced workforce, focusing on higher margin gaming offerings, reducing marketing costs, and limiting certain lower margin food and beverage offerings.</w:t>
      </w:r>
    </w:p>
    <w:p>
      <w:pPr>
        <w:spacing w:after="0" w:line="19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the year ended December 31, 2020, the South segment’s total revenues and Adjusted EBITDAR decreased, as compared to the prior year, due to the temporary closures, operational restrictions, and social distancing measures described above. The Souths segment’s Adjusted EBITDAR margin increased 440 basis points for the year ended December 31, 2020, as compared to the prior year due to our cost structure savings initiatives described above.</w:t>
      </w:r>
    </w:p>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August 27, 2020, Hurricane Laura made landfall in Lake Charles, Louisiana and caused significant damage to L’Auberge Lake Charles, forcing it to close for approximately two weeks. The Company maintains insurance, subject to certain deductibles and coinsurance, for the repair or replacement of assets that suffered loss and provides coverage for interruption to our business, including lost profits. The Company received upfront prepayments of $47.5 million from our insurers related to our anticipated policy claim (i.e. an advance) for the year ended December 31, 2020. The insurance proceeds were recorded as an offset to recovery costs incurred (i.e. Receivables within our Consolidated Balance Sheets) and we did not recognize any gain or loss as a result of this event.</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316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314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West Segment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8"/>
          </w:tcPr>
          <w:p>
            <w:pPr>
              <w:ind w:left="280"/>
              <w:spacing w:after="0"/>
              <w:rPr>
                <w:sz w:val="20"/>
                <w:szCs w:val="20"/>
                <w:color w:val="auto"/>
              </w:rPr>
            </w:pPr>
            <w:r>
              <w:rPr>
                <w:rFonts w:ascii="Arial" w:cs="Arial" w:eastAsia="Arial" w:hAnsi="Arial"/>
                <w:sz w:val="18"/>
                <w:szCs w:val="18"/>
                <w:b w:val="1"/>
                <w:bCs w:val="1"/>
                <w:color w:val="auto"/>
              </w:rPr>
              <w:t>For the year ended December 31,</w:t>
            </w:r>
          </w:p>
        </w:tc>
        <w:tc>
          <w:tcPr>
            <w:tcW w:w="140" w:type="dxa"/>
            <w:vAlign w:val="bottom"/>
          </w:tcPr>
          <w:p>
            <w:pPr>
              <w:spacing w:after="0"/>
              <w:rPr>
                <w:sz w:val="24"/>
                <w:szCs w:val="24"/>
                <w:color w:val="auto"/>
              </w:rPr>
            </w:pPr>
          </w:p>
        </w:tc>
        <w:tc>
          <w:tcPr>
            <w:tcW w:w="18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22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85"/>
              </w:rPr>
              <w:t>2019 vs.</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2020 vs. 2019</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374.3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146.3</w:t>
            </w:r>
          </w:p>
        </w:tc>
        <w:tc>
          <w:tcPr>
            <w:tcW w:w="1180" w:type="dxa"/>
            <w:vAlign w:val="bottom"/>
            <w:gridSpan w:val="2"/>
          </w:tcPr>
          <w:p>
            <w:pPr>
              <w:jc w:val="center"/>
              <w:ind w:left="450"/>
              <w:spacing w:after="0"/>
              <w:rPr>
                <w:sz w:val="20"/>
                <w:szCs w:val="20"/>
                <w:color w:val="auto"/>
              </w:rPr>
            </w:pPr>
            <w:r>
              <w:rPr>
                <w:rFonts w:ascii="Arial" w:cs="Arial" w:eastAsia="Arial" w:hAnsi="Arial"/>
                <w:sz w:val="18"/>
                <w:szCs w:val="18"/>
                <w:color w:val="auto"/>
                <w:w w:val="95"/>
              </w:rPr>
              <w:t>(48.1)%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5"/>
              </w:rPr>
              <w:t>(59.6)%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Reimbursable management costs</w:t>
            </w:r>
          </w:p>
        </w:tc>
        <w:tc>
          <w:tcPr>
            <w:tcW w:w="2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16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180" w:type="dxa"/>
            <w:vAlign w:val="bottom"/>
            <w:tcBorders>
              <w:top w:val="single" w:sz="8" w:color="CCEEFF"/>
              <w:bottom w:val="single" w:sz="8" w:color="CCEEFF"/>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5"/>
              </w:rPr>
              <w:t>(52.9)%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18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5"/>
              </w:rPr>
              <w:t>(58.7)%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Adjusted EBITDAR margin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(370) bps</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480 bps</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The West segment’s results of operations for the year ended December 31, 2020 were primarily impacted by the COVID-19 pandemic. During the year ended December 31, 2020 our properties had temporary closures </w:t>
      </w:r>
      <w:r>
        <w:rPr>
          <w:rFonts w:ascii="Arial" w:cs="Arial" w:eastAsia="Arial" w:hAnsi="Arial"/>
          <w:sz w:val="16"/>
          <w:szCs w:val="16"/>
          <w:color w:val="212529"/>
        </w:rPr>
        <w:t>pursuant to various orders from state gaming regulatory bodies or governmental</w:t>
      </w:r>
      <w:r>
        <w:rPr>
          <w:rFonts w:ascii="Arial" w:cs="Arial" w:eastAsia="Arial" w:hAnsi="Arial"/>
          <w:sz w:val="16"/>
          <w:szCs w:val="16"/>
          <w:color w:val="auto"/>
        </w:rPr>
        <w:t xml:space="preserve"> </w:t>
      </w:r>
      <w:r>
        <w:rPr>
          <w:rFonts w:ascii="Arial" w:cs="Arial" w:eastAsia="Arial" w:hAnsi="Arial"/>
          <w:sz w:val="16"/>
          <w:szCs w:val="16"/>
          <w:color w:val="212529"/>
        </w:rPr>
        <w:t xml:space="preserve">authorities to combat the rapid spread of COVID-19. </w:t>
      </w:r>
      <w:r>
        <w:rPr>
          <w:rFonts w:ascii="Arial" w:cs="Arial" w:eastAsia="Arial" w:hAnsi="Arial"/>
          <w:sz w:val="16"/>
          <w:szCs w:val="16"/>
          <w:color w:val="000000"/>
        </w:rPr>
        <w:t>All of our properties within the West segment reopened and continue to operate with reduced gaming,</w:t>
      </w:r>
      <w:r>
        <w:rPr>
          <w:rFonts w:ascii="Arial" w:cs="Arial" w:eastAsia="Arial" w:hAnsi="Arial"/>
          <w:sz w:val="16"/>
          <w:szCs w:val="16"/>
          <w:color w:val="212529"/>
        </w:rPr>
        <w:t xml:space="preserve"> </w:t>
      </w:r>
      <w:r>
        <w:rPr>
          <w:rFonts w:ascii="Arial" w:cs="Arial" w:eastAsia="Arial" w:hAnsi="Arial"/>
          <w:sz w:val="16"/>
          <w:szCs w:val="16"/>
          <w:color w:val="000000"/>
        </w:rPr>
        <w:t>hotel (if applicable) capacity, limited food and beverage and other amenity offerings, with the exception of Zia Park which remains closed. In response to the COVID-19 pandemic on our operations, we implemented cost saving initiatives to offset inevitable revenue degradation, such as: operating with a reduced workforce, focusing on higher margin gaming offerings, reducing marketing costs, and limiting certain lower margin food and beverage offerings.</w:t>
      </w:r>
    </w:p>
    <w:p>
      <w:pPr>
        <w:spacing w:after="0" w:line="13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For the year ended December 31, 2020, the West segment’s total revenues, Adjusted EBITDAR and Adjusted EBITDAR margin decreased, as compared to the prior year, due to the temporary closures, operational restrictions, and social distancing measures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Midwest Segment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8"/>
          </w:tcPr>
          <w:p>
            <w:pPr>
              <w:ind w:left="280"/>
              <w:spacing w:after="0"/>
              <w:rPr>
                <w:sz w:val="20"/>
                <w:szCs w:val="20"/>
                <w:color w:val="auto"/>
              </w:rPr>
            </w:pPr>
            <w:r>
              <w:rPr>
                <w:rFonts w:ascii="Arial" w:cs="Arial" w:eastAsia="Arial" w:hAnsi="Arial"/>
                <w:sz w:val="18"/>
                <w:szCs w:val="18"/>
                <w:b w:val="1"/>
                <w:bCs w:val="1"/>
                <w:color w:val="auto"/>
              </w:rPr>
              <w:t>For the year ended December 31,</w:t>
            </w:r>
          </w:p>
        </w:tc>
        <w:tc>
          <w:tcPr>
            <w:tcW w:w="140" w:type="dxa"/>
            <w:vAlign w:val="bottom"/>
          </w:tcPr>
          <w:p>
            <w:pPr>
              <w:spacing w:after="0"/>
              <w:rPr>
                <w:sz w:val="24"/>
                <w:szCs w:val="24"/>
                <w:color w:val="auto"/>
              </w:rPr>
            </w:pPr>
          </w:p>
        </w:tc>
        <w:tc>
          <w:tcPr>
            <w:tcW w:w="19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4"/>
                <w:szCs w:val="24"/>
                <w:color w:val="auto"/>
              </w:rPr>
            </w:pPr>
          </w:p>
        </w:tc>
        <w:tc>
          <w:tcPr>
            <w:tcW w:w="22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2020 vs.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1"/>
              </w:rPr>
              <w:t>2019 vs.</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2020 vs. 2019</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88"/>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719.8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823.7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Adjusted EBITDAR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360"/>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35.7 %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100 bps</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 bps</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The Midwest segment’s results of operations for the year ended December 31, 2020 were primarily impacted by the COVID-19 pandemic. During the year ended December 31, 2020 our properties had temporary closures </w:t>
      </w:r>
      <w:r>
        <w:rPr>
          <w:rFonts w:ascii="Arial" w:cs="Arial" w:eastAsia="Arial" w:hAnsi="Arial"/>
          <w:sz w:val="17"/>
          <w:szCs w:val="17"/>
          <w:color w:val="212529"/>
        </w:rPr>
        <w:t>pursuant to various orders from state gaming regulatory bodies or governmental</w:t>
      </w:r>
      <w:r>
        <w:rPr>
          <w:rFonts w:ascii="Arial" w:cs="Arial" w:eastAsia="Arial" w:hAnsi="Arial"/>
          <w:sz w:val="17"/>
          <w:szCs w:val="17"/>
          <w:color w:val="auto"/>
        </w:rPr>
        <w:t xml:space="preserve"> </w:t>
      </w:r>
      <w:r>
        <w:rPr>
          <w:rFonts w:ascii="Arial" w:cs="Arial" w:eastAsia="Arial" w:hAnsi="Arial"/>
          <w:sz w:val="17"/>
          <w:szCs w:val="17"/>
          <w:color w:val="212529"/>
        </w:rPr>
        <w:t xml:space="preserve">authorities to combat the rapid spread of COVID-19. </w:t>
      </w:r>
      <w:r>
        <w:rPr>
          <w:rFonts w:ascii="Arial" w:cs="Arial" w:eastAsia="Arial" w:hAnsi="Arial"/>
          <w:sz w:val="17"/>
          <w:szCs w:val="17"/>
          <w:color w:val="000000"/>
        </w:rPr>
        <w:t>All of our properties within the Midwest segment reopened and continue to operate with reduced</w:t>
      </w:r>
      <w:r>
        <w:rPr>
          <w:rFonts w:ascii="Arial" w:cs="Arial" w:eastAsia="Arial" w:hAnsi="Arial"/>
          <w:sz w:val="17"/>
          <w:szCs w:val="17"/>
          <w:color w:val="212529"/>
        </w:rPr>
        <w:t xml:space="preserve"> </w:t>
      </w:r>
      <w:r>
        <w:rPr>
          <w:rFonts w:ascii="Arial" w:cs="Arial" w:eastAsia="Arial" w:hAnsi="Arial"/>
          <w:sz w:val="17"/>
          <w:szCs w:val="17"/>
          <w:color w:val="000000"/>
        </w:rPr>
        <w:t>gaming, hotel (if applicable) capacity, limited food and beverage and other amenity offerings. In response to the COVID-19 pandemic on our operations, we implemented cost saving initiatives to offset inevitable revenue degradation, such as: operating with a reduced workforce, focusing on higher margin gaming offerings, reducing marketing costs, and limiting certain lower margin food and beverage offerings.</w:t>
      </w:r>
    </w:p>
    <w:p>
      <w:pPr>
        <w:spacing w:after="0" w:line="15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year ended December 31, 2020, the Midwest segment’s total revenues and Adjusted EBITDAR decreased, as compared to the prior year, due to the temporary closures, operational restrictions, and social distancing measures described above. The Midwest segment’s Adjusted EBITDAR margin increased 100 basis points for the year ended December 31, 2020, as compared to the prior year due to our cost structure savings initiatives described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322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320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Other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8"/>
          </w:tcPr>
          <w:p>
            <w:pPr>
              <w:ind w:left="120"/>
              <w:spacing w:after="0"/>
              <w:rPr>
                <w:sz w:val="20"/>
                <w:szCs w:val="20"/>
                <w:color w:val="auto"/>
              </w:rPr>
            </w:pPr>
            <w:r>
              <w:rPr>
                <w:rFonts w:ascii="Arial" w:cs="Arial" w:eastAsia="Arial" w:hAnsi="Arial"/>
                <w:sz w:val="18"/>
                <w:szCs w:val="18"/>
                <w:b w:val="1"/>
                <w:bCs w:val="1"/>
                <w:color w:val="auto"/>
              </w:rPr>
              <w:t>For the year ended December 31,</w:t>
            </w:r>
          </w:p>
        </w:tc>
        <w:tc>
          <w:tcPr>
            <w:tcW w:w="160" w:type="dxa"/>
            <w:vAlign w:val="bottom"/>
          </w:tcPr>
          <w:p>
            <w:pPr>
              <w:spacing w:after="0"/>
              <w:rPr>
                <w:sz w:val="24"/>
                <w:szCs w:val="24"/>
                <w:color w:val="auto"/>
              </w:rPr>
            </w:pPr>
          </w:p>
        </w:tc>
        <w:tc>
          <w:tcPr>
            <w:tcW w:w="19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4"/>
                <w:szCs w:val="24"/>
                <w:color w:val="auto"/>
              </w:rPr>
            </w:pPr>
          </w:p>
        </w:tc>
        <w:tc>
          <w:tcPr>
            <w:tcW w:w="23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2020 vs.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1"/>
              </w:rPr>
              <w:t>2019 vs.</w:t>
            </w:r>
          </w:p>
        </w:tc>
        <w:tc>
          <w:tcPr>
            <w:tcW w:w="100" w:type="dxa"/>
            <w:vAlign w:val="bottom"/>
          </w:tcPr>
          <w:p>
            <w:pPr>
              <w:spacing w:after="0"/>
              <w:rPr>
                <w:sz w:val="14"/>
                <w:szCs w:val="14"/>
                <w:color w:val="auto"/>
              </w:rPr>
            </w:pPr>
          </w:p>
        </w:tc>
        <w:tc>
          <w:tcPr>
            <w:tcW w:w="12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2020 vs. 2019</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2"/>
              </w:rPr>
              <w:t>2019 vs. 2018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612.5 %</w:t>
            </w:r>
          </w:p>
        </w:tc>
        <w:tc>
          <w:tcPr>
            <w:tcW w:w="1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w w:val="94"/>
              </w:rPr>
              <w:t>Management service and licensing fees</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80" w:firstLine="324"/>
        <w:spacing w:after="0" w:line="241" w:lineRule="auto"/>
        <w:rPr>
          <w:sz w:val="20"/>
          <w:szCs w:val="20"/>
          <w:color w:val="auto"/>
        </w:rPr>
      </w:pPr>
      <w:r>
        <w:rPr>
          <w:rFonts w:ascii="Arial" w:cs="Arial" w:eastAsia="Arial" w:hAnsi="Arial"/>
          <w:sz w:val="18"/>
          <w:szCs w:val="18"/>
          <w:color w:val="auto"/>
        </w:rPr>
        <w:t>Total revenues and Adjusted EBITDAR of the Other category increased for the year ended December 31, 2020, as compared to the prior year, primarily as a result of Penn Interactive. Penn Interactive's operations benefited from the launch of the online Barstool Sportsbook in Pennsylvania in September 2020 and increases in online social and real-money gaming revenue. Real-money online gaming revenue benefited from an improved conversion of the my</w:t>
      </w:r>
      <w:r>
        <w:rPr>
          <w:rFonts w:ascii="Arial" w:cs="Arial" w:eastAsia="Arial" w:hAnsi="Arial"/>
          <w:sz w:val="18"/>
          <w:szCs w:val="18"/>
          <w:b w:val="1"/>
          <w:bCs w:val="1"/>
          <w:color w:val="auto"/>
        </w:rPr>
        <w:t>choice</w:t>
      </w:r>
      <w:r>
        <w:rPr>
          <w:rFonts w:ascii="Arial" w:cs="Arial" w:eastAsia="Arial" w:hAnsi="Arial"/>
          <w:sz w:val="18"/>
          <w:szCs w:val="18"/>
          <w:color w:val="auto"/>
        </w:rPr>
        <w:t xml:space="preserve"> database to our real-money gaming platform, and was also positively impacted by the temporary closures of Pennsylvania casinos throughout portions of 2020.</w:t>
      </w:r>
    </w:p>
    <w:p>
      <w:pPr>
        <w:spacing w:after="0" w:line="21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addition to benefiting from Penn Interactive's operating results, the increase in Adjusted EBITDAR is driven by decreases in corporate overhead costs of $20.5 million for the year ended December 31, 2020, principally driven by furloughs to team members, compensation reductions effective April 1, 2020 through September 30, 2020, and the overall reduction of expenses due to the temporary closures, as well as an overall permanent reduction to our workforce as a result of the COVID-19 pandemic, offset by increased expenses related to the ramp up of the Penn Interactive online sportsbook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and Definitions</w:t>
      </w:r>
    </w:p>
    <w:p>
      <w:pPr>
        <w:spacing w:after="0" w:line="19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addition to GAAP financial measures, management uses Adjusted EBITDA, Adjusted EBITDAR and Adjusted EBITDAR margin as non-GAAP financial measures. These non-GAAP financial measures should not be considered a substitute for, nor superior to, financial results and measures determined or calculated in accordance with GAAP. Each of these non-GAAP financial measures is not calculated in the same manner by all companies and, accordingly, may not be an appropriate measure of comparing performance among different companies.</w:t>
      </w:r>
    </w:p>
    <w:p>
      <w:pPr>
        <w:spacing w:after="0" w:line="13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define Adjusted EBITDA as earnings before interest expense, net; income taxes; depreciation and amortization; stock-based compensation; debt extinguishment and financing charges; impairment losses; insurance recoveries and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 is inclusive of income or loss from unconsolidated affiliates, with our share of non-operating items (such as interest expense, net; income taxes; depreciation and amortization; and stock-based compensation expense) added back for Barstool Sports and our Kansas Entertainment joint venture. Adjusted EBITDA is inclusive of rent expense associated with our triple net operating leases (the operating lease components contained within the Penn Master Lease and Pinnacle Master Lease (primarily land), the Meadows Lease, the Margaritaville Lease, the Greektown Lease and the Tropicana Lease). Although Adjusted EBITDA includes rent expense associated with our triple net operating leases, we believe Adjusted EBITDA is useful as a supplemental measure in evaluating the performance of our consolidated results of operations.</w:t>
      </w:r>
    </w:p>
    <w:p>
      <w:pPr>
        <w:spacing w:after="0" w:line="12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certain corporate expenses that do not relate to the management of specific casino</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w:t>
      </w:r>
    </w:p>
    <w:p>
      <w:pPr>
        <w:spacing w:after="0" w:line="14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Adjusted EBITDAR margin is defined as Adjusted EBITDAR on a consolidated basis (as defined above) divided by revenues on a consolidated basis. Adjusted EBITDAR margin is presented on a consolidated basis outside the financial statements solely as a valuation metric. We further define Adjusted EBITDAR margin by reportable segment as Adjusted EBITDAR for each segment divided by segment revenues.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Reconciliation of GAAP Financial Measures to Non-GAAP Financial Measures</w:t>
      </w:r>
    </w:p>
    <w:p>
      <w:pPr>
        <w:spacing w:after="0" w:line="18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includes a reconciliation of net income (loss), which is determined in accordance with GAAP, to Adjusted EBITDA, Adjusted EBITDAR and Adjusted EBITDAR margin, which are non-GAAP financial measures:</w:t>
      </w:r>
    </w:p>
    <w:p>
      <w:pPr>
        <w:spacing w:after="0" w:line="8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58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(22.3)</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538.4</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w:t>
            </w: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634.1</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Cash-settled stock-based award variance </w:t>
            </w:r>
            <w:r>
              <w:rPr>
                <w:rFonts w:ascii="Arial" w:cs="Arial" w:eastAsia="Arial" w:hAnsi="Arial"/>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(Gain) loss on disposal of assets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Contingent purchase price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Pre-opening and acquisition costs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95.0</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269.0</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623.4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34.9</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 on loan loss and unfunded loan commitments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Insurance recoveries, net of deductible charges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(1)(4)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675.0</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1,238.8</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1,039.4</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Adjusted EBITDAR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1,605.2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Net income (loss)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EBITDAR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r>
    </w:tbl>
    <w:p>
      <w:pPr>
        <w:spacing w:after="0" w:line="155" w:lineRule="exact"/>
        <w:rPr>
          <w:sz w:val="20"/>
          <w:szCs w:val="20"/>
          <w:color w:val="auto"/>
        </w:rPr>
      </w:pPr>
    </w:p>
    <w:p>
      <w:pPr>
        <w:ind w:left="680" w:hanging="348"/>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4"/>
          <w:szCs w:val="14"/>
          <w:color w:val="auto"/>
        </w:rPr>
        <w:t>These items are included in “General and administrative” within the Company’s Consolidated Statements of Operations and Comprehensive Income (Loss).</w:t>
      </w:r>
    </w:p>
    <w:p>
      <w:pPr>
        <w:spacing w:after="0" w:line="33" w:lineRule="exact"/>
        <w:rPr>
          <w:rFonts w:ascii="Arial" w:cs="Arial" w:eastAsia="Arial" w:hAnsi="Arial"/>
          <w:sz w:val="16"/>
          <w:szCs w:val="16"/>
          <w:color w:val="auto"/>
        </w:rPr>
      </w:pPr>
    </w:p>
    <w:p>
      <w:pPr>
        <w:ind w:left="660" w:right="80" w:hanging="328"/>
        <w:spacing w:after="0" w:line="257" w:lineRule="auto"/>
        <w:tabs>
          <w:tab w:leader="none" w:pos="648"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 During the year ended December 31, 2020, the price of the Company’s common stock increased significantly, which resulted in unfavorable variances to budget.</w:t>
      </w:r>
    </w:p>
    <w:p>
      <w:pPr>
        <w:spacing w:after="0" w:line="22" w:lineRule="exact"/>
        <w:rPr>
          <w:rFonts w:ascii="Arial" w:cs="Arial" w:eastAsia="Arial" w:hAnsi="Arial"/>
          <w:sz w:val="14"/>
          <w:szCs w:val="14"/>
          <w:color w:val="auto"/>
        </w:rPr>
      </w:pPr>
    </w:p>
    <w:p>
      <w:pPr>
        <w:ind w:left="660" w:right="320" w:hanging="328"/>
        <w:spacing w:after="0" w:line="273" w:lineRule="auto"/>
        <w:tabs>
          <w:tab w:leader="none" w:pos="648"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principally of interest expense, net; income taxes; depreciation and amortization; and stock-based compensation expense associated with Barstool Sports and our Kansas Entertainment joint venture.</w:t>
      </w:r>
    </w:p>
    <w:p>
      <w:pPr>
        <w:spacing w:after="0" w:line="11" w:lineRule="exact"/>
        <w:rPr>
          <w:rFonts w:ascii="Arial" w:cs="Arial" w:eastAsia="Arial" w:hAnsi="Arial"/>
          <w:sz w:val="14"/>
          <w:szCs w:val="14"/>
          <w:color w:val="auto"/>
        </w:rPr>
      </w:pPr>
    </w:p>
    <w:p>
      <w:pPr>
        <w:ind w:left="660" w:right="220" w:hanging="328"/>
        <w:spacing w:after="0" w:line="273" w:lineRule="auto"/>
        <w:tabs>
          <w:tab w:leader="none" w:pos="648"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non-recurring restructuring charges (primarily severance) associated with a company-wide initiative, triggered by the COVID-19 pandemic, designed to (i) improve the operational effectiveness across our property portfolio; and (ii) improve the effectiveness and efficiency of our Corporate functional support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primary sources of liquidity and capital resources have been and will continue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For the year ended December 31,</w:t>
            </w:r>
          </w:p>
        </w:tc>
        <w:tc>
          <w:tcPr>
            <w:tcW w:w="140" w:type="dxa"/>
            <w:vAlign w:val="bottom"/>
          </w:tcPr>
          <w:p>
            <w:pPr>
              <w:spacing w:after="0"/>
              <w:rPr>
                <w:sz w:val="20"/>
                <w:szCs w:val="20"/>
                <w:color w:val="auto"/>
              </w:rPr>
            </w:pPr>
          </w:p>
        </w:tc>
        <w:tc>
          <w:tcPr>
            <w:tcW w:w="2100" w:type="dxa"/>
            <w:vAlign w:val="bottom"/>
            <w:gridSpan w:val="5"/>
          </w:tcPr>
          <w:p>
            <w:pPr>
              <w:ind w:left="560"/>
              <w:spacing w:after="0"/>
              <w:rPr>
                <w:sz w:val="20"/>
                <w:szCs w:val="20"/>
                <w:color w:val="auto"/>
              </w:rPr>
            </w:pPr>
            <w:r>
              <w:rPr>
                <w:rFonts w:ascii="Arial" w:cs="Arial" w:eastAsia="Arial" w:hAnsi="Arial"/>
                <w:sz w:val="18"/>
                <w:szCs w:val="18"/>
                <w:b w:val="1"/>
                <w:bCs w:val="1"/>
                <w:color w:val="auto"/>
              </w:rPr>
              <w:t>$ Change</w:t>
            </w: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2020 vs.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2019 vs.</w:t>
            </w:r>
          </w:p>
        </w:tc>
        <w:tc>
          <w:tcPr>
            <w:tcW w:w="100" w:type="dxa"/>
            <w:vAlign w:val="bottom"/>
          </w:tcPr>
          <w:p>
            <w:pPr>
              <w:spacing w:after="0"/>
              <w:rPr>
                <w:sz w:val="14"/>
                <w:szCs w:val="14"/>
                <w:color w:val="auto"/>
              </w:rPr>
            </w:pPr>
          </w:p>
        </w:tc>
        <w:tc>
          <w:tcPr>
            <w:tcW w:w="1120" w:type="dxa"/>
            <w:vAlign w:val="bottom"/>
            <w:tcBorders>
              <w:top w:val="single" w:sz="8" w:color="auto"/>
            </w:tcBorders>
            <w:gridSpan w:val="2"/>
          </w:tcPr>
          <w:p>
            <w:pPr>
              <w:jc w:val="center"/>
              <w:ind w:right="120"/>
              <w:spacing w:after="0" w:line="169" w:lineRule="exact"/>
              <w:rPr>
                <w:sz w:val="20"/>
                <w:szCs w:val="20"/>
                <w:color w:val="auto"/>
              </w:rPr>
            </w:pPr>
            <w:r>
              <w:rPr>
                <w:rFonts w:ascii="Arial" w:cs="Arial" w:eastAsia="Arial" w:hAnsi="Arial"/>
                <w:sz w:val="18"/>
                <w:szCs w:val="18"/>
                <w:b w:val="1"/>
                <w:bCs w:val="1"/>
                <w:color w:val="auto"/>
                <w:w w:val="85"/>
              </w:rPr>
              <w:t>2020 vs.</w:t>
            </w: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2019 vs.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ind w:left="160"/>
              <w:spacing w:after="0" w:line="189"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8"/>
              </w:rPr>
              <w:t>703.9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91"/>
              </w:rPr>
              <w:t>(607.5)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120"/>
              <w:spacing w:after="0"/>
              <w:rPr>
                <w:sz w:val="20"/>
                <w:szCs w:val="20"/>
                <w:color w:val="auto"/>
              </w:rPr>
            </w:pPr>
            <w:r>
              <w:rPr>
                <w:rFonts w:ascii="Arial" w:cs="Arial" w:eastAsia="Arial" w:hAnsi="Arial"/>
                <w:sz w:val="18"/>
                <w:szCs w:val="18"/>
                <w:color w:val="auto"/>
                <w:w w:val="91"/>
              </w:rPr>
              <w:t>(1,423.1)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815.6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(used in) financing</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1"/>
              </w:rPr>
              <w:t>(122.4)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91"/>
              </w:rPr>
              <w:t>(1,394.5)</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rPr>
              <w:t>N/M</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N/M -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w:t>
      </w:r>
    </w:p>
    <w:p>
      <w:pPr>
        <w:spacing w:after="0" w:line="18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decrease in net cash provided by operating activities of $365.1 million for the year ended December 31, 2020, is due to the temporary closures of our properties due to the COVID-19 pandemic, which significantly decreased cash receipts from customers. Offsetting this decrease was a $316.2 million decrease in cash paid for rent and interest payments, in total, under our Triple Net Leases, due primarily to utilizing rent credits to pay rent in the current year under the Master Leases, the Meadows Lease and the Morgantown Lease (offset by the increase in payments under the Greektown Lease due to the timing of the acquisition in the second quarter of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w:t>
      </w:r>
    </w:p>
    <w:p>
      <w:pPr>
        <w:spacing w:after="0" w:line="13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7"/>
          <w:szCs w:val="17"/>
          <w:color w:val="auto"/>
        </w:rPr>
        <w:t xml:space="preserve">Net cash used in investing activities for the year ended December 31, 2020 decreased compared to the prior year primarily due to decrease in capital expenditures of $53.6 million in the current year and the 2019 acquisitions of the operations of Margaritaville and Greektown for $109.1 million and $289.2 million, respectively, both net of cash. As a part of the acquisitions of Margaritaville and Greektown, the Company entered into sale-leaseback transactions with VICI in the amounts of $261.1 million and $700.0 million, respectively, which had no net impact on net cash used in investing activities for the year ended December 31, 2019. In addition, during the year ended December 31, 2019, we paid $10.0 million for online and retail sports betting licenses in Pennsylvania. </w:t>
      </w:r>
      <w:r>
        <w:rPr>
          <w:rFonts w:ascii="Arial" w:cs="Arial" w:eastAsia="Arial" w:hAnsi="Arial"/>
          <w:sz w:val="17"/>
          <w:szCs w:val="17"/>
          <w:color w:val="212529"/>
        </w:rPr>
        <w:t>The decrease in capital expenditures in the current year primarily reflects our efforts to reduce or defer our planned Category 4</w:t>
      </w:r>
      <w:r>
        <w:rPr>
          <w:rFonts w:ascii="Arial" w:cs="Arial" w:eastAsia="Arial" w:hAnsi="Arial"/>
          <w:sz w:val="17"/>
          <w:szCs w:val="17"/>
          <w:color w:val="auto"/>
        </w:rPr>
        <w:t xml:space="preserve"> </w:t>
      </w:r>
      <w:r>
        <w:rPr>
          <w:rFonts w:ascii="Arial" w:cs="Arial" w:eastAsia="Arial" w:hAnsi="Arial"/>
          <w:sz w:val="17"/>
          <w:szCs w:val="17"/>
          <w:color w:val="212529"/>
        </w:rPr>
        <w:t xml:space="preserve">project capital expenditures as we mitigate the impact of the COVID-19 pandemic. </w:t>
      </w:r>
      <w:r>
        <w:rPr>
          <w:rFonts w:ascii="Arial" w:cs="Arial" w:eastAsia="Arial" w:hAnsi="Arial"/>
          <w:sz w:val="17"/>
          <w:szCs w:val="17"/>
          <w:color w:val="000000"/>
        </w:rPr>
        <w:t>These decreases were partially offset by our $135.0 million investment</w:t>
      </w:r>
      <w:r>
        <w:rPr>
          <w:rFonts w:ascii="Arial" w:cs="Arial" w:eastAsia="Arial" w:hAnsi="Arial"/>
          <w:sz w:val="17"/>
          <w:szCs w:val="17"/>
          <w:color w:val="212529"/>
        </w:rPr>
        <w:t xml:space="preserve"> </w:t>
      </w:r>
      <w:r>
        <w:rPr>
          <w:rFonts w:ascii="Arial" w:cs="Arial" w:eastAsia="Arial" w:hAnsi="Arial"/>
          <w:sz w:val="17"/>
          <w:szCs w:val="17"/>
          <w:color w:val="000000"/>
        </w:rPr>
        <w:t>in Barstool Sports made during the first quarter of 2020.</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Expenditures</w:t>
      </w:r>
    </w:p>
    <w:p>
      <w:pPr>
        <w:spacing w:after="0" w:line="2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Capital expenditures are accounted for as either project capital (new facilities or expansions) or maintenance (replacement) capital expenditures. Cash provided by operating activities as well as cash available under our Revolving Credit Facility funded our capital expenditures for the years ended December 31, 2020, 2019 and 2018.</w:t>
      </w:r>
    </w:p>
    <w:p>
      <w:pPr>
        <w:spacing w:after="0" w:line="21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year ended December 31, 2020, we had capital expenditures of $137.0 million primarily related to our maintenance projects and our Category 4 development projects. For the year ending December 31, 2021, our expected capital expenditures are $296.8 million of which $98.9 million relates our Category 4 projects and $197.9 million relates to our maintenance projects. Our Category 4 projects are Hollywood Casino York and Hollywood Casino Morgantown. Hollywood Casino York, which is located in the York Galleria Mall in York County, will represent an overall capital investment of approximately $120.0 million inclusive of the gaming license. Hollywood Casino Morgantown is being built on a previously vacant 36-acre site in Berks County with a capital investment of approximately $111.0 million inclusive of the gaming license. We anticipate that both of these projects will be completed by the end of 2021.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Cash Flow</w:t>
      </w:r>
    </w:p>
    <w:p>
      <w:pPr>
        <w:spacing w:after="0" w:line="13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cash provided by financing activities for the year ended December 31, 2020 was $1,310.1 million compared to net cash used in financing activities of $122.4 million in the prior year. The change is driven primarily by the separate public offerings of Penn Common Stock on May 14, 2020 and September 24, 2020, in which we received net proceeds of $331.2 million and $957.6 million, respectively. Additionally, we received $322.2 million of net proceeds from the issuance of the Convertible Notes. These proceeds were partially offset by net repayments under our Senior Secured Credit Facilities of $301.7 million. In the current year we fully repaid $670.0 million of outstanding borrowings under our Revolving Credit Facility and a $115.0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prepayment of outstanding borrowings on our Term Loan B-1 Facility. In comparison, in the prior year net cash used by financing activities consisted principally of net repayments of long-term debt of $18.6 million despite the borrowing associated with the acquisition of Greektown, $51.6 million of principal payments on our financing obligations, $6.2 million of principal payments on our finance leases, and $24.9 million in payments related to the repurchase of common stock.</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Issuances, Redemptions and Other Long-term Obligations</w:t>
      </w:r>
    </w:p>
    <w:p>
      <w:pPr>
        <w:spacing w:after="0" w:line="293" w:lineRule="exact"/>
        <w:rPr>
          <w:sz w:val="20"/>
          <w:szCs w:val="20"/>
          <w:color w:val="auto"/>
        </w:rPr>
      </w:pPr>
    </w:p>
    <w:p>
      <w:pPr>
        <w:ind w:right="200" w:firstLine="324"/>
        <w:spacing w:after="0" w:line="284" w:lineRule="auto"/>
        <w:rPr>
          <w:sz w:val="20"/>
          <w:szCs w:val="20"/>
          <w:color w:val="auto"/>
        </w:rPr>
      </w:pPr>
      <w:r>
        <w:rPr>
          <w:rFonts w:ascii="Arial" w:cs="Arial" w:eastAsia="Arial" w:hAnsi="Arial"/>
          <w:sz w:val="16"/>
          <w:szCs w:val="16"/>
          <w:color w:val="auto"/>
        </w:rPr>
        <w:t>On March 13, 2020, we borrowed the remaining available amount of $430.0 million under our Revolving Credit Facility. The Company elected to draw down the remaining available funds from its Revolving Credit Facility in order to maintain maximum financial flexibility in light of the COVID-19 pandemic. Through the use of our September 2020 equity raise proceeds, we fully repaid $670.0 million outstanding borrowings under our Revolving Credit Facility. Additionally, on November 12, 2020 the Company prepaid $115.0 million of outstanding borrowings on its Term Loan B-1 Facility.</w:t>
      </w:r>
    </w:p>
    <w:p>
      <w:pPr>
        <w:spacing w:after="0" w:line="11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On April 14, 2020, the Company entered into a second amendment to its </w:t>
      </w:r>
      <w:r>
        <w:rPr>
          <w:rFonts w:ascii="Arial" w:cs="Arial" w:eastAsia="Arial" w:hAnsi="Arial"/>
          <w:sz w:val="17"/>
          <w:szCs w:val="17"/>
          <w:color w:val="212529"/>
        </w:rPr>
        <w:t>Credit Agreement with its various lenders (</w:t>
      </w:r>
      <w:r>
        <w:rPr>
          <w:rFonts w:ascii="Arial" w:cs="Arial" w:eastAsia="Arial" w:hAnsi="Arial"/>
          <w:sz w:val="17"/>
          <w:szCs w:val="17"/>
          <w:color w:val="auto"/>
        </w:rPr>
        <w:t>the “Second Amendment”) to provide for certain modifications. During the period beginning on April 14, 2020 and ending on the earlier of (x) the date that is two business days after the date on which the Company delivers a covenant relief period termination notice to the administrative agent and (y) the date on which the administrative agent receives a compliance certificate for the quarter ending March 31, 2021 (the “Covenant Relief Period”), the Company will not have to comply with any Maximum Leverage Ratio or Minimum Interest Coverage Ratio (as such terms are defined in the Credit Agreement that was amended on January 19, 2017, the "Amended 2017 Credit Agreement"). During the Covenant Relief Period, the Company will be subject to a minimum liquidity covenant that requires cash and cash equivalents and availability under its Revolving Credit Facility to be (i) at least $400.0 million through April 30, 2020; (ii) $350.0 million during the period from May 1, 2020 through May 31, 2020; (iii) $300.0 million during the period from June 1, 2020 through June 30, 2020; and (iv) $225.0 million during the period from July 1, 2020 through March 31, 2021.</w:t>
      </w:r>
    </w:p>
    <w:p>
      <w:pPr>
        <w:spacing w:after="0" w:line="208" w:lineRule="exact"/>
        <w:rPr>
          <w:sz w:val="20"/>
          <w:szCs w:val="20"/>
          <w:color w:val="auto"/>
        </w:rPr>
      </w:pPr>
    </w:p>
    <w:p>
      <w:pPr>
        <w:ind w:right="500" w:firstLine="324"/>
        <w:spacing w:after="0" w:line="291" w:lineRule="auto"/>
        <w:rPr>
          <w:sz w:val="20"/>
          <w:szCs w:val="20"/>
          <w:color w:val="auto"/>
        </w:rPr>
      </w:pPr>
      <w:r>
        <w:rPr>
          <w:rFonts w:ascii="Arial" w:cs="Arial" w:eastAsia="Arial" w:hAnsi="Arial"/>
          <w:sz w:val="16"/>
          <w:szCs w:val="16"/>
          <w:color w:val="auto"/>
        </w:rPr>
        <w:t>The Second Amendment also amended the financial covenants that are applicable after the Covenant Relief Period to permit the Company to (i) maintain a maximum consolidated total net leverage ratio of up to a ratio that varies by quarter, ranging between 5.50:1.00 and 4.50:1.00 in 2021 and</w:t>
      </w:r>
    </w:p>
    <w:p>
      <w:pPr>
        <w:jc w:val="both"/>
        <w:ind w:right="100"/>
        <w:spacing w:after="0" w:line="255" w:lineRule="auto"/>
        <w:rPr>
          <w:sz w:val="20"/>
          <w:szCs w:val="20"/>
          <w:color w:val="auto"/>
        </w:rPr>
      </w:pPr>
      <w:r>
        <w:rPr>
          <w:rFonts w:ascii="Arial" w:cs="Arial" w:eastAsia="Arial" w:hAnsi="Arial"/>
          <w:sz w:val="18"/>
          <w:szCs w:val="18"/>
          <w:color w:val="auto"/>
        </w:rPr>
        <w:t>4.25:1.00 thereafter, tested quarterly on a pro forma trailing twelve month (“PF TTM”) basis; (ii) maintain a maximum senior secured net leverage ratio of up to a ratio that varies by quarter, ranging between 4.50:1.00 and 3.50:1.00 in 2021 and 3.00:1.00 thereafter, tested quarterly on a PF TTM basis; and (iii) maintain an interest coverage ratio of 2.50:1.00, tested quarterly on a PF TTM basis.</w:t>
      </w:r>
    </w:p>
    <w:p>
      <w:pPr>
        <w:spacing w:after="0" w:line="21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addition, the Second Amendment (i) provides that, during the Covenant Relief Period, loans under the Revolving Credit Facility and the Term Loan A Facility shall bear interest at either a base rate or an adjusted LIBOR rate, in each case, plus an applicable margin, in the case of base rate loans, of</w:t>
      </w:r>
    </w:p>
    <w:p>
      <w:pPr>
        <w:ind w:right="20"/>
        <w:spacing w:after="0" w:line="253" w:lineRule="auto"/>
        <w:rPr>
          <w:sz w:val="20"/>
          <w:szCs w:val="20"/>
          <w:color w:val="auto"/>
        </w:rPr>
      </w:pPr>
      <w:r>
        <w:rPr>
          <w:rFonts w:ascii="Arial" w:cs="Arial" w:eastAsia="Arial" w:hAnsi="Arial"/>
          <w:sz w:val="18"/>
          <w:szCs w:val="18"/>
          <w:color w:val="auto"/>
        </w:rPr>
        <w:t>2.00%, and in the case of adjusted LIBOR rate loans, of 3.00%; (ii) provides that, during the Covenant Relief Period, the Company shall pay a commitment fee on the unused portion of the commitments under the Revolving Credit Facility at a rate of 0.50% per annum; (iii) provides for a 0.75% LIBOR floor applicable to all LIBOR loans under the Senior Secured Credit Facilities; (iv) carves out COVID-19 related effects from certain terms of the Senior Secured Credit Facilities during the Covenant Relief Period; and (v) makes certain other changes to the covenants and other provisions of the Credit Agreement.</w:t>
      </w:r>
    </w:p>
    <w:p>
      <w:pPr>
        <w:spacing w:after="0" w:line="164"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In May 2020, the Company completed a public offering of $330.5 million aggregate principal amount of 2.75% unsecured convertible notes that mature, unless earlier converted, redeemed or repurchased, on May 15, 2026 (the “Convertible Notes”) at a price of par. After lender fees and discounts, net proceeds received by the Company were $322.2 million. Interest on the Convertible Notes is payable on May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year, beginning on November 15, 2020.</w:t>
      </w:r>
    </w:p>
    <w:p>
      <w:pPr>
        <w:spacing w:after="0" w:line="161"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The Convertible Notes are convertible into shares of the Company’s common stock at an initial conversion price of $23.40 per share, or 42.7350 shares, per $1,000 principal amount of notes, subject to adjustment if certain corporate events occur. However, in no event will the conversion exceed</w:t>
      </w:r>
    </w:p>
    <w:p>
      <w:pPr>
        <w:ind w:right="180"/>
        <w:spacing w:after="0" w:line="255" w:lineRule="auto"/>
        <w:rPr>
          <w:sz w:val="20"/>
          <w:szCs w:val="20"/>
          <w:color w:val="auto"/>
        </w:rPr>
      </w:pPr>
      <w:r>
        <w:rPr>
          <w:rFonts w:ascii="Arial" w:cs="Arial" w:eastAsia="Arial" w:hAnsi="Arial"/>
          <w:sz w:val="18"/>
          <w:szCs w:val="18"/>
          <w:color w:val="auto"/>
        </w:rPr>
        <w:t>55.5555 shares of common stock per $1,000 principal amount of notes. As of December 31, 2020, the maximum number of shares that could be issued to satisfy the conversion feature of the Convertible Notes is 18,360,815 and the amount by which the Convertible Notes if-converted value exceeded its principal amount was $1,255.3 million.</w:t>
      </w:r>
    </w:p>
    <w:p>
      <w:pPr>
        <w:spacing w:after="0" w:line="21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Prior to February 15, 2026, at their election, holders of the Convertible Notes may convert outstanding notes starting in the fourth quarter of 2020 if the trading price of the Company’s common stock exceeds 130% of the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The Company has the option to redeem the Convertible Notes, in whole or in part, beginning November 20,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20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6"/>
          <w:szCs w:val="16"/>
          <w:color w:val="auto"/>
        </w:rPr>
        <w:t>At December 31, 2020, we had $2,431.6 million in aggregate principal amount of indebtedness, including $1,628.1 million outstanding under our Senior Secured Credit Facilities, $330.5 million outstanding under our Convertible Notes, $400.0 million outstanding under our 5.625% senior unsecured notes, and $73.0 million outstanding in other long-term obligations. No amounts were drawn on our Revolving Credit Facility. We have no debt maturing prior to 2023. As of December 31, 2020 we had conditional obligations under letters of credit issued pursuant to the Senior Secured Credit Facilities with face amounts aggregating to $28.2 million resulting in $671.8 million available borrowing capacity under our Revolving Credit Facility.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w:t>
      </w:r>
    </w:p>
    <w:p>
      <w:pPr>
        <w:spacing w:after="0" w:line="239"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color w:val="auto"/>
        </w:rPr>
        <w:t>Our Senior Secured Credit Facilities and 5.625% Notes require us, among other obligations, to maintain specified financial ratios and to satisfy certain financial tests, including the Maximum Consolidated Total Net Leverage Ratio, Maximum Consolidated Senior Secured Net Leverage Ratio and Minimum Interest Coverage Ratio (as such terms are defined in our Amended 2017 Credit Agreement) as well as the Fixed Charge Coverage Ratio (as defined in the indenture governing our 5.625% Notes). In addition, our Senior Secured Credit Facilities and 5.625% Notes restrict, among other things, our ability to incur additional indebtedness, incur guarantee obligations, amend debt instruments, pay dividends, create liens on assets, make investments, engage in mergers or consolidations, and otherwise restrict corporate activities. As of December 31, 2020, the Company was in compliance with all required financial covenants. When our covenant relief period ends, the Company is subject to and expects to be in compliance with all required financial covenants including</w:t>
      </w:r>
    </w:p>
    <w:p>
      <w:pPr>
        <w:spacing w:after="0" w:line="1" w:lineRule="exact"/>
        <w:rPr>
          <w:sz w:val="20"/>
          <w:szCs w:val="20"/>
          <w:color w:val="auto"/>
        </w:rPr>
      </w:pPr>
    </w:p>
    <w:p>
      <w:pPr>
        <w:ind w:right="700" w:firstLine="8"/>
        <w:spacing w:after="0" w:line="303" w:lineRule="auto"/>
        <w:tabs>
          <w:tab w:leader="none" w:pos="2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Maximum Consolidated Total Net Leverage Ratio; (ii) Maximum Consolidated Senior Secured Net Leverage Ratio; and (iii) Minimum Interest Coverage Ratio (as discussed above) with the Company's submission of its compliance certificate for the quarter ending March 31, 2021.</w:t>
      </w:r>
    </w:p>
    <w:p>
      <w:pPr>
        <w:spacing w:after="0" w:line="167" w:lineRule="exact"/>
        <w:rPr>
          <w:sz w:val="20"/>
          <w:szCs w:val="20"/>
          <w:color w:val="auto"/>
        </w:rPr>
      </w:pPr>
    </w:p>
    <w:p>
      <w:pPr>
        <w:ind w:right="40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3">
        <w:r>
          <w:rPr>
            <w:rFonts w:ascii="Arial" w:cs="Arial" w:eastAsia="Arial" w:hAnsi="Arial"/>
            <w:sz w:val="18"/>
            <w:szCs w:val="18"/>
            <w:u w:val="single" w:color="auto"/>
            <w:color w:val="0000FF"/>
          </w:rPr>
          <w:t>Note 11, “Long-term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our Consolidated Financial Statements for additional information of the Company's debt and other long-term obligations.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Offering</w:t>
      </w:r>
    </w:p>
    <w:p>
      <w:pPr>
        <w:spacing w:after="0" w:line="18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May 14, 2020, the Company completed a public offering of 16,666,667 shares of Penn Common Stock and on May 19, 2020, the underwriters exercised their right to purchase an additional 2,500,000 shares of Penn Common Stock, resulting in an aggregate public offering of 19,166,667 shares of Penn Common Stock. All of the shares were issued at a public offering price of $18.00 per share, resulting in gross proceeds of $345.0 million, and net proceeds of $331.2 million after underwriter fees and discounts of $13.8 million.</w:t>
      </w:r>
    </w:p>
    <w:p>
      <w:pPr>
        <w:spacing w:after="0" w:line="214"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On September 24, 2020, the Company completed a public offering of 14,000,000 shares of Penn Common Stock and on September 25, 2020, the underwriters exercised their right to purchase an additional 2,100,000 shares of Penn Common Stock, resulting in an aggregate public offering of 16,100,000 shares of Penn Common Stock. All of the shares were issued at a public offering price of $61.00 per share, resulting in gross proceeds of $982.1 million, and net proceeds of $957.6 million after underwriter fees and discounts of $24.5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Triple Net Leases</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majority of the real estate assets used in the Company’s operations are subject to triple net master leases; the most significant of which are the Penn Master Lease and the Pinnacle Master Lease. Subsequent to the adoption of ASC 842, the Company’s Master Leases are accounted for as either operating leases, finance leases, or determined to continue to be financing obligations. Prior to the adoption of ASC 842, all components contained within the Master Leases were accounted for as financing obligations. In addition, five of the gaming facilities used in our operations are subject to individual triple net leases. As previously mentioned, we refer to the Penn Master Lease, the Pinnacle Master Lease, the Meadows Lease, the Margaritaville Lease, the Greektown Lease, the Tropicana Lease and the Morgantown Lease, collectively, as our Triple Net Leases.</w:t>
      </w:r>
    </w:p>
    <w:p>
      <w:pPr>
        <w:spacing w:after="0" w:line="137"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Under our Triple Net Leases, in addition to lease payments for the real estate assets, we are required to pay the following, among other things: (1) all facility maintenance; (2) all insurance required in connection with the leased properties and the business conducted on the leased properties; (3) taxes levied on or with respect to the leased properties (other than taxes on the income of the lessor); (4) all tenant capital improvements; and (5) all utilities and other services necessary or appropriate for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94" w:lineRule="auto"/>
        <w:rPr>
          <w:rFonts w:ascii="Arial" w:cs="Arial" w:eastAsia="Arial" w:hAnsi="Arial"/>
          <w:sz w:val="16"/>
          <w:szCs w:val="16"/>
          <w:color w:val="0000FF"/>
        </w:rPr>
      </w:pPr>
      <w:r>
        <w:rPr>
          <w:rFonts w:ascii="Arial" w:cs="Arial" w:eastAsia="Arial" w:hAnsi="Arial"/>
          <w:sz w:val="16"/>
          <w:szCs w:val="16"/>
          <w:color w:val="auto"/>
        </w:rPr>
        <w:t xml:space="preserve">leased properties and the business conducted on the leased properties. As of December 31, 2020, we are required to make annual minimum rent payments </w:t>
      </w:r>
      <w:hyperlink w:anchor="page88">
        <w:r>
          <w:rPr>
            <w:rFonts w:ascii="Arial" w:cs="Arial" w:eastAsia="Arial" w:hAnsi="Arial"/>
            <w:sz w:val="16"/>
            <w:szCs w:val="16"/>
            <w:color w:val="auto"/>
          </w:rPr>
          <w:t xml:space="preserve">of $814.6 million. Additionally, our Triple Net Leases are subject to annual escalators and periodic percentage rent resets, as applicable. See </w:t>
        </w:r>
        <w:r>
          <w:rPr>
            <w:rFonts w:ascii="Arial" w:cs="Arial" w:eastAsia="Arial" w:hAnsi="Arial"/>
            <w:sz w:val="16"/>
            <w:szCs w:val="16"/>
            <w:u w:val="single" w:color="auto"/>
            <w:color w:val="0000FF"/>
          </w:rPr>
          <w:t>Note 12,</w:t>
        </w:r>
      </w:hyperlink>
      <w:r>
        <w:rPr>
          <w:rFonts w:ascii="Arial" w:cs="Arial" w:eastAsia="Arial" w:hAnsi="Arial"/>
          <w:sz w:val="16"/>
          <w:szCs w:val="16"/>
          <w:color w:val="auto"/>
        </w:rPr>
        <w:t xml:space="preserve"> </w:t>
      </w:r>
      <w:hyperlink w:anchor="page88">
        <w:r>
          <w:rPr>
            <w:rFonts w:ascii="Arial" w:cs="Arial" w:eastAsia="Arial" w:hAnsi="Arial"/>
            <w:sz w:val="16"/>
            <w:szCs w:val="16"/>
            <w:u w:val="single" w:color="auto"/>
            <w:color w:val="0000FF"/>
          </w:rPr>
          <w:t>“Leases,”</w:t>
        </w:r>
        <w:r>
          <w:rPr>
            <w:rFonts w:ascii="Arial" w:cs="Arial" w:eastAsia="Arial" w:hAnsi="Arial"/>
            <w:sz w:val="16"/>
            <w:szCs w:val="16"/>
            <w:color w:val="0000FF"/>
          </w:rPr>
          <w:t xml:space="preserve"> </w:t>
        </w:r>
        <w:r>
          <w:rPr>
            <w:rFonts w:ascii="Arial" w:cs="Arial" w:eastAsia="Arial" w:hAnsi="Arial"/>
            <w:sz w:val="16"/>
            <w:szCs w:val="16"/>
            <w:color w:val="000000"/>
          </w:rPr>
          <w:t>in the notes to our Consolidated Financial Statements for further discussion and disclosure related to the Company's leases.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-162560</wp:posOffset>
            </wp:positionV>
            <wp:extent cx="563181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1815" cy="128905"/>
                    </a:xfrm>
                    <a:prstGeom prst="rect">
                      <a:avLst/>
                    </a:prstGeom>
                    <a:noFill/>
                  </pic:spPr>
                </pic:pic>
              </a:graphicData>
            </a:graphic>
          </wp:anchor>
        </w:drawing>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Payments to our REIT Landlords under Triple Net Leases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payments made to our REIT Landlords, GLPI and VICI, inclusive of rent credits utilized, were as follows:</w:t>
      </w:r>
    </w:p>
    <w:p>
      <w:pPr>
        <w:spacing w:after="0" w:line="140"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Penn Master Lease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Pinnacle Master Lease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Meadows Lease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Margaritaville 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Greektown Lease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Morgantown Lease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680" w:type="dxa"/>
            <w:vAlign w:val="bottom"/>
            <w:tcBorders>
              <w:top w:val="single" w:sz="8" w:color="CCEEFF"/>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60" w:hanging="328"/>
        <w:spacing w:after="0" w:line="273" w:lineRule="auto"/>
        <w:tabs>
          <w:tab w:leader="none" w:pos="6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During the twelve months ended December 31, 2020 we utilized rent credits to pay $190.7 million, $135.5 million, $11.0 million and $0.3 million of rent under the Penn Master Lease, Pinnacle Master Lease, Meadows Lease and Morgantown Lease, respectively.</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Cash rent payable under the Tropicana Lease is nominal. Therefore, it has been excluded from the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98"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In January 2019, the Company announced a share repurchase program pursuant to which the Board of Directors authorized the repurchase of up to $200.0 million of the Company’s common stock, which expired on December 31, 2020. During the year ended December 31, 2019, the Company repurchased 1,271,823 shares of its common stock in open market transactions for $24.9 million at an average price of $19.55 per share. All of the repurchased shares were retired. There were no repurchases of the Company’s common stock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Cash Obligations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other contractual cash obligations as of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5"/>
                <w:szCs w:val="15"/>
                <w:color w:val="auto"/>
              </w:rPr>
            </w:pPr>
          </w:p>
        </w:tc>
        <w:tc>
          <w:tcPr>
            <w:tcW w:w="1220" w:type="dxa"/>
            <w:vAlign w:val="bottom"/>
            <w:gridSpan w:val="2"/>
          </w:tcPr>
          <w:p>
            <w:pPr>
              <w:ind w:left="220"/>
              <w:spacing w:after="0" w:line="175" w:lineRule="exact"/>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5"/>
                <w:szCs w:val="15"/>
                <w:color w:val="auto"/>
              </w:rPr>
            </w:pPr>
          </w:p>
        </w:tc>
        <w:tc>
          <w:tcPr>
            <w:tcW w:w="110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2024-2025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w w:val="96"/>
              </w:rPr>
              <w:t>2026 and 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obligations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tcPr>
          <w:p>
            <w:pPr>
              <w:spacing w:after="0" w:line="162" w:lineRule="exact"/>
              <w:rPr>
                <w:sz w:val="20"/>
                <w:szCs w:val="20"/>
                <w:color w:val="auto"/>
              </w:rPr>
            </w:pPr>
            <w:r>
              <w:rPr>
                <w:rFonts w:ascii="Arial" w:cs="Arial" w:eastAsia="Arial" w:hAnsi="Arial"/>
                <w:sz w:val="16"/>
                <w:szCs w:val="16"/>
                <w:color w:val="auto"/>
              </w:rPr>
              <w:t>Other liabilities reflected within our Consolidated</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Balance Sheets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hanging="328"/>
        <w:spacing w:after="0" w:line="273" w:lineRule="auto"/>
        <w:tabs>
          <w:tab w:leader="none" w:pos="6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the liability for unrecognized tax benefits of $38.2 million, as we cannot reasonably estimate the period of cash settlement with the respective taxing authorities. Additionally, it does not include an estimate of the payments associated with our contingent purchase price obligations of $7.3 million as it is not a fixed obligation.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Based on our current level of operations, we believe that cash generated from operations and cash on hand, together with amounts available under our Senior Secured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including the impact of the COVID-19 pandemic. We cannot be certain: (i) of the impact of the operating restrictions to accommodate social distancing and health and safety guidelines on our properties; (ii) of the magnitude and duration of the impact of the COVID-19 pandemic (including reoccurrences) on general economic conditions, capital markets, unemployment and our liquidity, operations, supply chain and personnel, including the potential that some or all of our properties may be forced to close or cease operations for a certain period of time; (iii) that the U.S. economy and our business will recover to levels that existed prior to the COVID-19 pandemic and on what time frame; (iv) that our anticipated earnings projections will be realized; (v) that we will achieve the expected synergies from our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9" w:lineRule="auto"/>
        <w:rPr>
          <w:rFonts w:ascii="Arial" w:cs="Arial" w:eastAsia="Arial" w:hAnsi="Arial"/>
          <w:sz w:val="16"/>
          <w:szCs w:val="16"/>
          <w:color w:val="0000FF"/>
        </w:rPr>
      </w:pPr>
      <w:r>
        <w:rPr>
          <w:rFonts w:ascii="Arial" w:cs="Arial" w:eastAsia="Arial" w:hAnsi="Arial"/>
          <w:sz w:val="16"/>
          <w:szCs w:val="16"/>
          <w:color w:val="auto"/>
        </w:rPr>
        <w:t xml:space="preserve">acquisitions; (vi) that future borrowings will be available under our Senior Secured Credit Facilities or otherwise will be available in the credit markets to enable us to service our indebtedness or to make anticipated capital expenditures. We caution you that the trends seen at our reopened properties (e.g., higher spend per trip) may not continue. In addition, while we anticipated that a significant amount of our future growth would come through the pursuit of opportunities within other distribution channels, such as retail and online sports betting, social gaming, retail gaming, and iGaming; from acquisitions of gaming properties at reasonable valuations; greenfield projects; and jurisdictional expansions and property expansion in under-penetrated markets; there can be no assurance that this will be the case given the uncertainty arising from the COVID-19 pandemic. If we consummate significant acquisitions in the future or undertake any significant property expansions, our cash requirements may increase significantly and we may need to make additional borrowings or complete equity or debt financings to meet these requirements. See “Risk Factors—Risks Related to Our Indebtedness and Capital Structure” within </w:t>
      </w:r>
      <w:hyperlink w:anchor="page15">
        <w:r>
          <w:rPr>
            <w:rFonts w:ascii="Arial" w:cs="Arial" w:eastAsia="Arial" w:hAnsi="Arial"/>
            <w:sz w:val="16"/>
            <w:szCs w:val="16"/>
            <w:u w:val="single" w:color="auto"/>
            <w:color w:val="0000FF"/>
          </w:rPr>
          <w:t>“Item 1A. Risk Factors,”</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this Annual Report on Form 10-K for a discussion of the risks related to our capital structure.</w:t>
      </w:r>
    </w:p>
    <w:p>
      <w:pPr>
        <w:spacing w:after="0" w:line="19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200" w:firstLine="324"/>
        <w:spacing w:after="0" w:line="277" w:lineRule="auto"/>
        <w:rPr>
          <w:rFonts w:ascii="Arial" w:cs="Arial" w:eastAsia="Arial" w:hAnsi="Arial"/>
          <w:sz w:val="18"/>
          <w:szCs w:val="18"/>
          <w:color w:val="0000FF"/>
        </w:rPr>
      </w:pPr>
      <w:hyperlink w:anchor="page69">
        <w:r>
          <w:rPr>
            <w:rFonts w:ascii="Arial" w:cs="Arial" w:eastAsia="Arial" w:hAnsi="Arial"/>
            <w:sz w:val="18"/>
            <w:szCs w:val="18"/>
            <w:color w:val="auto"/>
          </w:rPr>
          <w:t xml:space="preserve">For information on new accounting pronouncements and the impact of these pronouncements on our Consolidated Financial Statements, see </w:t>
        </w:r>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hyperlink w:anchor="page69">
        <w:r>
          <w:rPr>
            <w:rFonts w:ascii="Arial" w:cs="Arial" w:eastAsia="Arial" w:hAnsi="Arial"/>
            <w:sz w:val="18"/>
            <w:szCs w:val="18"/>
            <w:u w:val="single" w:color="auto"/>
            <w:color w:val="0000FF"/>
          </w:rPr>
          <w:t>“New Accounting Pronouncements,”</w:t>
        </w:r>
        <w:r>
          <w:rPr>
            <w:rFonts w:ascii="Arial" w:cs="Arial" w:eastAsia="Arial" w:hAnsi="Arial"/>
            <w:sz w:val="18"/>
            <w:szCs w:val="18"/>
            <w:color w:val="0000FF"/>
          </w:rPr>
          <w:t xml:space="preserve"> </w:t>
        </w:r>
        <w:r>
          <w:rPr>
            <w:rFonts w:ascii="Arial" w:cs="Arial" w:eastAsia="Arial" w:hAnsi="Arial"/>
            <w:sz w:val="18"/>
            <w:szCs w:val="18"/>
            <w:color w:val="000000"/>
          </w:rPr>
          <w:t>in the notes to our Consolidated Financial Statements.</w:t>
        </w:r>
      </w:hyperlink>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preparation of the Consolidated Financial Statements in accordance with GAAP requires us to make estimates and judgments that are subject to an inherent degree of uncertainty. The nature of the estimates and assumptions are material due to the levels of subjectivity and judgment necessary to account for highly uncertain factors or the susceptibility of such factors to change. The development and selection of critical accounting estimates, and the related disclosures, have been reviewed with the Audit Committee of our Board of Directors. 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of December 31, 2020, the Company had $1,157.1 million in goodwill and $1,513.5 million in other intangible assets within its Consolidated Balance Sheet, representing 7.9% and 10.3% of total assets, respectively. The Company’s goodwill and other intangible assets are primarily the result of acquisitions of businesses and payments for gaming licenses. These intangible assets require significant management estimates and judgment pertaining to:</w:t>
      </w:r>
    </w:p>
    <w:p>
      <w:pPr>
        <w:spacing w:after="0" w:line="2" w:lineRule="exact"/>
        <w:rPr>
          <w:sz w:val="20"/>
          <w:szCs w:val="20"/>
          <w:color w:val="auto"/>
        </w:rPr>
      </w:pPr>
    </w:p>
    <w:p>
      <w:pPr>
        <w:ind w:right="580" w:firstLine="8"/>
        <w:spacing w:after="0" w:line="277" w:lineRule="auto"/>
        <w:tabs>
          <w:tab w:leader="none" w:pos="2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valuation in connection with initial purchase price allocations and (ii) the ongoing evaluation for impairment. During the fourth quarter we performed our annual impairment analysis and the fair value of goodwill for all reporting units exceeded the carrying value by a substantial margin. Therefore, none of our reporting units incurred any goodwill impairment charges as a result of the annual assessment.</w:t>
      </w:r>
    </w:p>
    <w:p>
      <w:pPr>
        <w:spacing w:after="0" w:line="13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connection with the Company’s acquisitions, valuations are completed to determine the allocation of the purchase price. The factors considered in the valuations include data gathered as a result of the Company’s due diligence in connection with the acquisitions, projections for future operations, and data obtained from third-party valuation specialists, as deemed appropriate. Goodwill represents the future economic benefits of a business combination measured as the excess purchase price over the fair market value of net assets acquired. Goodwill is tested annually, or more frequently if indicators of impairment exist.</w:t>
      </w:r>
    </w:p>
    <w:p>
      <w:pPr>
        <w:spacing w:after="0" w:line="14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For the quantitative goodwill impairment test, an income approach, in which a discounted cash flow (“DCF”) model is utilized, and a market-based approach using guideline public company multiples of earnings before interest, taxes, depreciation, and amortization from the Company’s peer group are utilized in order to estimate the fair market value of the Company’s reporting units. In determining the carrying amount of each reporting unit that utilizes real estate assets subject to the Triple Net Leases, if and as applicable, (i) the Company allocates each reporting unit their pro-rata portion of the right-of-use (“ROU”) assets, lease liabilities, and/or financing obligations, and (ii) pushes down the carrying amount of the property and equipment subject to such leases. In general, as it pertains to the Master Leases, such amounts are allocated based on the reporting unit’s projected Adjusted EBITDA as a percentage of the aggregate estimated Adjusted EBITDA of all reporting units subject to either of the Master Leases, as applicable. The Company compares the fair value of its reporting units to the carrying amounts. If the carrying amount of the reporting unit exceeds the fair value, an impairment is recorded equal to the amount of the excess (not to exceed the amount of goodwill allocated to the reporting unit).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consider our gaming licenses, trademarks, and certain other intangible assets as indefinite-lived intangible assets that do not require amortization based on our future expectations to operate our gaming properties indefinitely as well as our historical experience in renewing these intangible assets at minimal cost with various state commissions. Rather, these intangible assets are tested annually for impairment, or more frequently if indicators of impairment exist, by comparing the fair value of the recorded assets to their carrying amount. If the carrying amounts of the indefinite-lived intangible assets exceed their fair value, an impairment loss is recognized. We complete the testing of our indefinite-lived intangible assets prior to assessing our goodwill for impairment. Our annual goodwill and other indefinite-lived intangible assets impairment test is performed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w:t>
      </w:r>
    </w:p>
    <w:p>
      <w:pPr>
        <w:spacing w:after="0" w:line="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assess the fair value of our gaming licenses using the Greenfield Method under the income approach, which estimates the fair value of the gaming license using a DCF model assuming we built a new casino with similar utility to that of the existing casino. The method assumes a theoretical start-up company going into business without any assets other than the intangible asset being valued. As such, the value of the gaming license is a function of the following assumptions:</w:t>
      </w:r>
    </w:p>
    <w:p>
      <w:pPr>
        <w:spacing w:after="0" w:line="16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Projected revenues and operating cash flows (including an allocation of the projected payments under any applicable Triple Net Lease);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construction costs and duration;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Pre-opening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assess the fair value of our trademarks using the relief-from-royalty method under the income approach. The principle behind this method is that the value of the trademark is equal to the present value of the after-tax royalty savings attributable to the owned trademark. As such, the value of the trademark is a function of the following assumptions:</w:t>
      </w:r>
    </w:p>
    <w:p>
      <w:pPr>
        <w:spacing w:after="0" w:line="1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Projected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Selection of an appropriate royalty rate to apply to projected revenues;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the after-tax revenue stream associated with the trademark.</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evaluation of goodwill and indefinite-lived intangible assets requires the use of estimates about future operating results of each reporting unit to determine the estimated fair value of the reporting unit and the indefinite-lived intangible assets. The Company must make various assumptions and estimates in performing its impairment testing. The implied fair value includes estimates of future cash flows (including an allocation of the projected payments under any applicable Triple Net Lease) that are based on reasonable and supportable assumptions which represent the Company’s best estimates of the cash flows expected to result from the use of the assets including their eventual disposition.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our ongoing estimates of future cash flows are not met, we may have to record additional impairment charges in future periods. Our estimates of cash flows are based on the current regulatory and economic climates (including as a result of COVID-19), recent operating information and budgets of the various properties where it conducts operations. These estimates could be negatively impacted by changes in federal, state or local regulations, economic downturns, or other events affecting our properties.</w:t>
      </w:r>
    </w:p>
    <w:p>
      <w:pPr>
        <w:spacing w:after="0" w:line="1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7"/>
          <w:szCs w:val="17"/>
          <w:color w:val="auto"/>
        </w:rPr>
        <w:t>Forecasted cash flows (based on our annual operating plan as determined in the fourth quarter) can be significantly impacted by the local economy in which our reporting units operate, as illustrated by the COVID-19 pandemic which caused temporary suspension of our operations pursuant to various orders from state gaming regulatory bodies or governmental authorities. Increases in unemployment rates can also result in decreased customer visitations and/or lower customer spend per visit. In addition, the impact of new legislation which approves gaming in nearby jurisdictions or further expands gaming in jurisdictions where our reporting units currently operate can result in opportunities for us to expand our operations. However, it also has the impact of increasing competition for our established properties which generally will have a negative effect on those locations’ profitability once competitors become established as a certain level of cannibalization occurs absent an overall increase in customer visitations. Additionally, increases in gaming taxes approved by state regulatory bodies can negatively impact forecasted cash flows.</w:t>
      </w:r>
    </w:p>
    <w:p>
      <w:pPr>
        <w:spacing w:after="0" w:line="20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Assumptions and estimates about future cash flow levels and multiples by individual reporting units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its overall value but may be to the detriment of an individual reporting unit.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Once an impairment of goodwill or other intangible asset has been recorded, it cannot be reversed. Since the Company’s goodwill and other indefinite-lived intangible assets are not amortized, there may be volatility in reported net income or loss because impairment losses, if any, are likely to occur irregularly and in varying amounts. Intangible assets that have a definite life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If the carrying amount of the amortizing intangible assets exceed their fair value, an impairment loss is recognized.</w:t>
      </w:r>
    </w:p>
    <w:p>
      <w:pPr>
        <w:spacing w:after="0" w:line="152" w:lineRule="exact"/>
        <w:rPr>
          <w:sz w:val="20"/>
          <w:szCs w:val="20"/>
          <w:color w:val="auto"/>
        </w:rPr>
      </w:pPr>
    </w:p>
    <w:p>
      <w:pPr>
        <w:ind w:right="260" w:firstLine="324"/>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Revenue and earnings streams within our industry can vary significantly based on various circumstances, which in many cases are outside of the Company’s control, and as such are difficult to predict and quantify. We have disclosed several of these circumstances in </w:t>
      </w:r>
      <w:hyperlink w:anchor="page15">
        <w:r>
          <w:rPr>
            <w:rFonts w:ascii="Arial" w:cs="Arial" w:eastAsia="Arial" w:hAnsi="Arial"/>
            <w:sz w:val="16"/>
            <w:szCs w:val="16"/>
            <w:u w:val="single" w:color="auto"/>
            <w:color w:val="0000FF"/>
          </w:rPr>
          <w:t>“Item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 Circumstances include, for instance, temporary property closures as a result of COVID-19, changes in legislation that approves gaming in nearby jurisdictions, further expansion of gaming in jurisdictions where we currently operate, new state legislation that requires the implementation of smoking restrictions at our casinos or any other events outside of our control that make the customer experience less desirable.</w:t>
      </w:r>
    </w:p>
    <w:p>
      <w:pPr>
        <w:spacing w:after="0" w:line="134" w:lineRule="exact"/>
        <w:rPr>
          <w:sz w:val="20"/>
          <w:szCs w:val="20"/>
          <w:color w:val="auto"/>
        </w:rPr>
      </w:pPr>
    </w:p>
    <w:p>
      <w:pPr>
        <w:ind w:firstLine="324"/>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During the first quarter of 2020, we identified an indicator of impairment as a result of the COVID-19 pandemic and recognized impairments on our goodwill, gaming licenses and trademarks, of $113.0 million, $437.0 million and $61.5 million, respectively. Upon reopening of our gaming facilities and throughout the fourth quarter of 2020 we undertook various initiatives to mitigate the impact of regulatory restrictions imposed as a result of the COVID-19 pandemic. We completed our annual assessment for impairment as of October 1, 2020, which did not result in any impairment charges to goodwill, gaming licenses and trademarks. See </w:t>
      </w:r>
      <w:hyperlink w:anchor="page80">
        <w:r>
          <w:rPr>
            <w:rFonts w:ascii="Arial" w:cs="Arial" w:eastAsia="Arial" w:hAnsi="Arial"/>
            <w:sz w:val="16"/>
            <w:szCs w:val="16"/>
            <w:u w:val="single" w:color="auto"/>
            <w:color w:val="0000FF"/>
          </w:rPr>
          <w:t>Note 9, “Goodwill and Other Intangible Assets,”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Under ASC Topic 740, “Income Taxes”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more-likely-than-not that some portion or all of the deferred tax assets will not be realized. The realizability of the net deferred tax assets is evaluated each reporting period by assessing the valuation allowance and by adjusting the amount of the allowance, if necessary. Pursuant to ASC 740, in evaluating the more-likely-than-not standard, we consider all available positive and negative evidence including projected future taxable income and available tax planning strategies that could be implemented to realize the net deferred tax assets. In the event the Company determines that the deferred income tax assets would be realized in the future in excess of their net recorded amount, an adjustment to the valuation allowance would be recorded, which would reduce the provision for income taxes.</w:t>
      </w:r>
    </w:p>
    <w:p>
      <w:pPr>
        <w:spacing w:after="0" w:line="208"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7"/>
          <w:szCs w:val="17"/>
          <w:color w:val="auto"/>
        </w:rPr>
        <w:t>ASC 740 suggests that additional scrutiny should be given to deferred tax assets of an entity with cumulative pre</w:t>
      </w:r>
      <w:r>
        <w:rPr>
          <w:rFonts w:ascii="MS PGothic" w:cs="MS PGothic" w:eastAsia="MS PGothic" w:hAnsi="MS PGothic"/>
          <w:sz w:val="17"/>
          <w:szCs w:val="17"/>
          <w:color w:val="auto"/>
        </w:rPr>
        <w:t>‑</w:t>
      </w:r>
      <w:r>
        <w:rPr>
          <w:rFonts w:ascii="Arial" w:cs="Arial" w:eastAsia="Arial" w:hAnsi="Arial"/>
          <w:sz w:val="17"/>
          <w:szCs w:val="17"/>
          <w:color w:val="auto"/>
        </w:rPr>
        <w:t>tax losses during the three most recent years and is widely considered significant negative evidence that is objective and verifiable and therefore, difficult to overcome. For the year ended December 31, 2020, we have cumulative pre</w:t>
      </w:r>
      <w:r>
        <w:rPr>
          <w:rFonts w:ascii="MS PGothic" w:cs="MS PGothic" w:eastAsia="MS PGothic" w:hAnsi="MS PGothic"/>
          <w:sz w:val="17"/>
          <w:szCs w:val="17"/>
          <w:color w:val="auto"/>
        </w:rPr>
        <w:t>‑</w:t>
      </w:r>
      <w:r>
        <w:rPr>
          <w:rFonts w:ascii="Arial" w:cs="Arial" w:eastAsia="Arial" w:hAnsi="Arial"/>
          <w:sz w:val="17"/>
          <w:szCs w:val="17"/>
          <w:color w:val="auto"/>
        </w:rPr>
        <w:t>tax losses and considered this factor in our analysis of deferred taxes. Additionally, we expect to remain in a three year cumulative loss position in the near future. As a result, the Company has recorded a valuation allowance against its net deferred tax assets, excluding assets that can be realized based on our ability to carry back losses to recoup taxes previously paid and excluding the reversal of deferred tax liabilities related to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intangibles. We intend to continue to maintain a valuation allowance on our net deferred tax assets until there is sufficient positive evidence to support the reversal of all or some portion of these allowances.</w:t>
      </w:r>
    </w:p>
    <w:p>
      <w:pPr>
        <w:spacing w:after="0" w:line="200" w:lineRule="exact"/>
        <w:rPr>
          <w:sz w:val="20"/>
          <w:szCs w:val="20"/>
          <w:color w:val="auto"/>
        </w:rPr>
      </w:pPr>
    </w:p>
    <w:p>
      <w:pPr>
        <w:spacing w:after="0" w:line="2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 ABOUT MARKET RISK</w:t>
      </w:r>
    </w:p>
    <w:p>
      <w:pPr>
        <w:spacing w:after="0" w:line="18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are exposed to market risk from adverse changes in interest rates with respect to the short-term floating interest rate on borrowings under our Senior Secured Credit Facilities. As of December 31, 2020, the Company’s Senior Secured Credit Facilities had a gross outstanding balance of $1,628.1 million, consisting of a $636.9 million Term Loan A Facility and a $991.2 million Term Loan B-1 Facility. As of December 31, 2020, we have $671.8 million of available borrowing capacity under our Revolving Credit Facility.</w:t>
      </w:r>
    </w:p>
    <w:p>
      <w:pPr>
        <w:spacing w:after="0" w:line="160" w:lineRule="exact"/>
        <w:rPr>
          <w:sz w:val="20"/>
          <w:szCs w:val="20"/>
          <w:color w:val="auto"/>
        </w:rPr>
      </w:pPr>
    </w:p>
    <w:p>
      <w:pPr>
        <w:ind w:right="60" w:firstLine="324"/>
        <w:spacing w:after="0" w:line="215" w:lineRule="auto"/>
        <w:rPr>
          <w:sz w:val="20"/>
          <w:szCs w:val="20"/>
          <w:color w:val="auto"/>
        </w:rPr>
      </w:pPr>
      <w:r>
        <w:rPr>
          <w:rFonts w:ascii="Arial" w:cs="Arial" w:eastAsia="Arial" w:hAnsi="Arial"/>
          <w:sz w:val="18"/>
          <w:szCs w:val="18"/>
          <w:color w:val="auto"/>
        </w:rPr>
        <w:t>In May 2020, the Company completed a public offering of $330.5 million aggregate principal amount of 2.75% Convertible Notes that mature on May 15, 2026, unless earlier converted, redeemed or repurchased. Interest on the Convertible Notes is payable on May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year, which began on November 15,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table below provides information as of December 31, 2020 about our long-term debt obligations that are sensitive to changes in interest rates, including the notional amounts maturing during the twelve-month period presented and the related weighted-average interest rates by maturity dates.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418.0</w:t>
            </w:r>
          </w:p>
        </w:tc>
      </w:tr>
      <w:tr>
        <w:trPr>
          <w:trHeight w:val="213"/>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6"/>
                <w:szCs w:val="16"/>
                <w:color w:val="auto"/>
              </w:rPr>
              <w:t>Average interest rate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Fixed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1,274.5</w:t>
            </w:r>
          </w:p>
        </w:tc>
      </w:tr>
      <w:tr>
        <w:trPr>
          <w:trHeight w:val="213"/>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6"/>
                <w:szCs w:val="16"/>
                <w:color w:val="auto"/>
              </w:rPr>
              <w:t>Average interest rate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Variable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1,609.3</w:t>
            </w:r>
          </w:p>
        </w:tc>
      </w:tr>
      <w:tr>
        <w:trPr>
          <w:trHeight w:val="273"/>
        </w:trPr>
        <w:tc>
          <w:tcPr>
            <w:tcW w:w="20" w:type="dxa"/>
            <w:vAlign w:val="bottom"/>
          </w:tcPr>
          <w:p>
            <w:pPr>
              <w:spacing w:after="0"/>
              <w:rPr>
                <w:sz w:val="23"/>
                <w:szCs w:val="23"/>
                <w:color w:val="auto"/>
              </w:rPr>
            </w:pPr>
          </w:p>
        </w:tc>
        <w:tc>
          <w:tcPr>
            <w:tcW w:w="1940" w:type="dxa"/>
            <w:vAlign w:val="bottom"/>
            <w:gridSpan w:val="2"/>
          </w:tcPr>
          <w:p>
            <w:pPr>
              <w:ind w:left="200"/>
              <w:spacing w:after="0"/>
              <w:rPr>
                <w:sz w:val="20"/>
                <w:szCs w:val="20"/>
                <w:color w:val="auto"/>
              </w:rPr>
            </w:pPr>
            <w:r>
              <w:rPr>
                <w:rFonts w:ascii="Arial" w:cs="Arial" w:eastAsia="Arial" w:hAnsi="Arial"/>
                <w:sz w:val="16"/>
                <w:szCs w:val="16"/>
                <w:color w:val="auto"/>
              </w:rPr>
              <w:t xml:space="preserve">Average interest rate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3.65 %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ind w:left="6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60"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Estimated rate, reflective of forward LIBOR December 31, 2020 plus the spread over LIBOR applicable to variable-rate borrowing.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 National Gaming, Inc. and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Penn National Gaming, Inc. and subsidiaries (the “Company”) as of December 31, 2020 and 2019, the related consolidated statements of operations, comprehensive income (loss), changes in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As discussed in Note 2 to the financial statements, effective January 1, 2019, the Company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 - Refer to Notes 2 and 9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goodwill, gaming license, and trademarks are tested annually for impairment, or more frequently if indicators of impairment exist, by comparing the fair value of each reporting unit to their carrying amount for goodwill and by comparing the fair value of each gaming license or trademark to its carrying value. The Company determines the fair value of its reporting units using a combination of income-based and market-based approaches. The Company assesses the fair value of its gaming</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licenses using the Greenfield Method under the income approach, which estimates the fair value using a discounted cash flow model assuming the Company built a casino with similar utility to that of the existing casino. The Company assesses the fair value of its trademarks using the relief-from-royalty method under the income approach. The key inputs in determining the fair value, among others, include projected revenue and operating cash flows discounted to reflect the level of risk associated with receiving future cash flows. As of December 31, 2020, the book value of goodwill is $1,157.1 million, gaming license is $1,246.1 million, and trademarks is $240.9 million.</w:t>
      </w:r>
    </w:p>
    <w:p>
      <w:pPr>
        <w:spacing w:after="0" w:line="2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Auditing the fair value of the Company’s reporting units, gaming licenses, and trademarks involved a high degree of subjectivity in evaluating whether management’s estimates and assumptions of projected revenue and operating cash flows and the selection of the discount rates used to derive the fair value were reasonable, including the need to involve our fair value specialists.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audit procedures related to forecasts of future revenue and operating cash flows and the determination of the discount rates used by management to estimate the fair value of the reporting units, gaming licenses, and trademarks included the following, among others:</w:t>
      </w:r>
    </w:p>
    <w:p>
      <w:pPr>
        <w:spacing w:after="0" w:line="197" w:lineRule="exact"/>
        <w:rPr>
          <w:sz w:val="20"/>
          <w:szCs w:val="20"/>
          <w:color w:val="auto"/>
        </w:rPr>
      </w:pPr>
    </w:p>
    <w:p>
      <w:pPr>
        <w:ind w:left="660" w:right="62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tested the effectiveness of controls over determining the fair value of the Company’s reporting units, gaming licenses, and trademarks, including those over the forecasts of future revenue and operating cash flows and the selection of the discount rates.</w:t>
      </w:r>
    </w:p>
    <w:p>
      <w:pPr>
        <w:spacing w:after="0" w:line="173"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revenues and operating cash flows by comparing actual results to management’s historical forecasts.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and operating cash flow forecasts by comparing the forecasts to:</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Historical results</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184"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Forecasted information included in the Company’s press release as well as in analyst and industry reports for the Company and certain of its peer companies</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impact of changes in the regulatory environment on management’s projections.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rates by:</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Testing the source information underlying the determination of the discount rates and the mathematical accuracy of the calculations.</w:t>
      </w:r>
    </w:p>
    <w:p>
      <w:pPr>
        <w:spacing w:after="0" w:line="196" w:lineRule="exact"/>
        <w:rPr>
          <w:rFonts w:ascii="Arial" w:cs="Arial" w:eastAsia="Arial" w:hAnsi="Arial"/>
          <w:sz w:val="17"/>
          <w:szCs w:val="17"/>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comparing those to the discount rates selected by management.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 NATIONAL GAMING,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4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millions, except share and per share data)</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9"/>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2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Receivables, net of allowance for doubtful accounts of $8.8 and $7.7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Lease right-of-use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14,667.3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5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Current portion of financing obligations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Current portion of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Long-term debt, net of current maturities, debt discount and debt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portion of financing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Long-term portion of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4,670.0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20" w:type="dxa"/>
            <w:vAlign w:val="bottom"/>
            <w:gridSpan w:val="2"/>
          </w:tcPr>
          <w:p>
            <w:pPr>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Commitments and contingencies (Note 13)</w:t>
              </w:r>
            </w:hyperlink>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Series B preferred stock ($0.01 par value, 1,000,000 shares authorized, no shares issued and outstanding)</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Series C preferred stock ($0.01 par value, 18,500 shares authorized, no shares issued and outstanding)</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Series D Preferred stock ($0.01 par value, 5,000 shares authorized, 883 shares issued and outstanding)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4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Common stock ($0.01 par value, 200,000,000 shares authorized, 157,868,227 and 118,125,652 shares issued, and</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155,700,834 and 115,958,259 shares outstanding)</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6"/>
                <w:szCs w:val="16"/>
                <w:color w:val="auto"/>
              </w:rPr>
              <w:t>Treasury stock, at cost, (2,167,393 shares held in both periods)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Retained earnings (accumulated deficit)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Penn National stockholders’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14,667.3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 NATIONAL GAMING,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20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8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3,051.1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4,268.7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2,894.9</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Management service and license fees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management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5,301.4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3,587.9</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1,551.4</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618.9</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Reimbursable management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Recoveries on loan loss and unfunded loan commitments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88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2,953.8</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634.1</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(538.4)</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Penn National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Penn National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70"/>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2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w:t>
            </w: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NATIONAL GAMING,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Accum-</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Total Penn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6"/>
              </w:rPr>
              <w:t>ulated</w:t>
            </w: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4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Preferred Stock</w:t>
            </w:r>
          </w:p>
        </w:tc>
        <w:tc>
          <w:tcPr>
            <w:tcW w:w="182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9"/>
                <w:szCs w:val="9"/>
                <w:color w:val="auto"/>
              </w:rPr>
            </w:pPr>
          </w:p>
        </w:tc>
        <w:tc>
          <w:tcPr>
            <w:tcW w:w="7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National</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Earnings</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Compre-</w:t>
            </w:r>
          </w:p>
        </w:tc>
        <w:tc>
          <w:tcPr>
            <w:tcW w:w="8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Stock-holders’</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Non-</w:t>
            </w: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Treasury</w:t>
            </w:r>
          </w:p>
        </w:tc>
        <w:tc>
          <w:tcPr>
            <w:tcW w:w="100" w:type="dxa"/>
            <w:vAlign w:val="bottom"/>
          </w:tcPr>
          <w:p>
            <w:pPr>
              <w:spacing w:after="0"/>
              <w:rPr>
                <w:sz w:val="4"/>
                <w:szCs w:val="4"/>
                <w:color w:val="auto"/>
              </w:rPr>
            </w:pPr>
          </w:p>
        </w:tc>
        <w:tc>
          <w:tcPr>
            <w:tcW w:w="7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7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9"/>
              </w:rPr>
              <w:t>(Accum-</w:t>
            </w:r>
          </w:p>
        </w:tc>
        <w:tc>
          <w:tcPr>
            <w:tcW w:w="120" w:type="dxa"/>
            <w:vAlign w:val="bottom"/>
          </w:tcPr>
          <w:p>
            <w:pPr>
              <w:spacing w:after="0"/>
              <w:rPr>
                <w:sz w:val="4"/>
                <w:szCs w:val="4"/>
                <w:color w:val="auto"/>
              </w:rPr>
            </w:pPr>
          </w:p>
        </w:tc>
        <w:tc>
          <w:tcPr>
            <w:tcW w:w="72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1"/>
              </w:rPr>
              <w:t>hensive</w:t>
            </w:r>
          </w:p>
        </w:tc>
        <w:tc>
          <w:tcPr>
            <w:tcW w:w="100" w:type="dxa"/>
            <w:vAlign w:val="bottom"/>
          </w:tcPr>
          <w:p>
            <w:pPr>
              <w:spacing w:after="0"/>
              <w:rPr>
                <w:sz w:val="4"/>
                <w:szCs w:val="4"/>
                <w:color w:val="auto"/>
              </w:rPr>
            </w:pPr>
          </w:p>
        </w:tc>
        <w:tc>
          <w:tcPr>
            <w:tcW w:w="7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w w:val="98"/>
              </w:rPr>
              <w:t>Equity</w:t>
            </w:r>
          </w:p>
        </w:tc>
        <w:tc>
          <w:tcPr>
            <w:tcW w:w="100" w:type="dxa"/>
            <w:vAlign w:val="bottom"/>
          </w:tcPr>
          <w:p>
            <w:pPr>
              <w:spacing w:after="0"/>
              <w:rPr>
                <w:sz w:val="4"/>
                <w:szCs w:val="4"/>
                <w:color w:val="auto"/>
              </w:rPr>
            </w:pPr>
          </w:p>
        </w:tc>
        <w:tc>
          <w:tcPr>
            <w:tcW w:w="7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Controlling</w:t>
            </w:r>
          </w:p>
        </w:tc>
        <w:tc>
          <w:tcPr>
            <w:tcW w:w="120" w:type="dxa"/>
            <w:vAlign w:val="bottom"/>
          </w:tcPr>
          <w:p>
            <w:pPr>
              <w:spacing w:after="0"/>
              <w:rPr>
                <w:sz w:val="4"/>
                <w:szCs w:val="4"/>
                <w:color w:val="auto"/>
              </w:rPr>
            </w:pPr>
          </w:p>
        </w:tc>
        <w:tc>
          <w:tcPr>
            <w:tcW w:w="60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gridSpan w:val="2"/>
            <w:vMerge w:val="restart"/>
          </w:tcPr>
          <w:p>
            <w:pPr>
              <w:spacing w:after="0" w:line="142" w:lineRule="exact"/>
              <w:rPr>
                <w:sz w:val="20"/>
                <w:szCs w:val="20"/>
                <w:color w:val="auto"/>
              </w:rPr>
            </w:pPr>
            <w:r>
              <w:rPr>
                <w:rFonts w:ascii="Arial" w:cs="Arial" w:eastAsia="Arial" w:hAnsi="Arial"/>
                <w:sz w:val="13"/>
                <w:szCs w:val="13"/>
                <w:b w:val="1"/>
                <w:bCs w:val="1"/>
                <w:i w:val="1"/>
                <w:iCs w:val="1"/>
                <w:color w:val="auto"/>
              </w:rPr>
              <w:t>(in millions, except share data)</w:t>
            </w:r>
          </w:p>
        </w:tc>
        <w:tc>
          <w:tcPr>
            <w:tcW w:w="840" w:type="dxa"/>
            <w:vAlign w:val="bottom"/>
            <w:gridSpan w:val="2"/>
            <w:vMerge w:val="restart"/>
          </w:tcPr>
          <w:p>
            <w:pPr>
              <w:ind w:left="1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rPr>
              <w:t>Amount</w:t>
            </w:r>
          </w:p>
        </w:tc>
        <w:tc>
          <w:tcPr>
            <w:tcW w:w="980" w:type="dxa"/>
            <w:vAlign w:val="bottom"/>
            <w:gridSpan w:val="2"/>
            <w:vMerge w:val="restart"/>
          </w:tcPr>
          <w:p>
            <w:pPr>
              <w:ind w:left="26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20"/>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Capital</w:t>
            </w:r>
          </w:p>
        </w:tc>
        <w:tc>
          <w:tcPr>
            <w:tcW w:w="8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ulated Deficit)</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Loss</w:t>
            </w: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(Deficit)</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Interest</w:t>
            </w:r>
          </w:p>
        </w:tc>
        <w:tc>
          <w:tcPr>
            <w:tcW w:w="120" w:type="dxa"/>
            <w:vAlign w:val="bottom"/>
          </w:tcPr>
          <w:p>
            <w:pPr>
              <w:spacing w:after="0"/>
              <w:rPr>
                <w:sz w:val="10"/>
                <w:szCs w:val="10"/>
                <w:color w:val="auto"/>
              </w:rPr>
            </w:pPr>
          </w:p>
        </w:tc>
        <w:tc>
          <w:tcPr>
            <w:tcW w:w="600" w:type="dxa"/>
            <w:vAlign w:val="bottom"/>
          </w:tcPr>
          <w:p>
            <w:pPr>
              <w:jc w:val="center"/>
              <w:ind w:right="78"/>
              <w:spacing w:after="0" w:line="122"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as of January 1, 2018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91,225,242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88"/>
              </w:rPr>
              <w:t>(28.4)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1,466,625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arrangements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Pinnacle Acquisition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26,295,439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w w:val="95"/>
              </w:rPr>
              <w:t>Reclassification of accumulated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other comprehensive loss to</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earnings upon termination of</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management contract</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Cumulative-effect adjustment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upon adoption of ASC 606</w:t>
            </w: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Share repurchases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ind w:left="260"/>
              <w:spacing w:after="0"/>
              <w:rPr>
                <w:sz w:val="20"/>
                <w:szCs w:val="20"/>
                <w:color w:val="auto"/>
              </w:rPr>
            </w:pPr>
            <w:r>
              <w:rPr>
                <w:rFonts w:ascii="Arial" w:cs="Arial" w:eastAsia="Arial" w:hAnsi="Arial"/>
                <w:sz w:val="13"/>
                <w:szCs w:val="13"/>
                <w:color w:val="auto"/>
                <w:w w:val="87"/>
              </w:rPr>
              <w:t>(2,299,498)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Arial" w:cs="Arial" w:eastAsia="Arial" w:hAnsi="Arial"/>
                <w:sz w:val="13"/>
                <w:szCs w:val="13"/>
                <w:color w:val="auto"/>
                <w:w w:val="98"/>
              </w:rPr>
              <w:t>Balance as of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116,687,808</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280"/>
              <w:spacing w:after="0"/>
              <w:rPr>
                <w:sz w:val="20"/>
                <w:szCs w:val="20"/>
                <w:color w:val="auto"/>
              </w:rPr>
            </w:pPr>
            <w:r>
              <w:rPr>
                <w:rFonts w:ascii="Arial" w:cs="Arial" w:eastAsia="Arial" w:hAnsi="Arial"/>
                <w:sz w:val="13"/>
                <w:szCs w:val="13"/>
                <w:color w:val="auto"/>
                <w:w w:val="88"/>
              </w:rPr>
              <w:t>(28.4)</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1,726.4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(968.0)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731.2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731.2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Share-based compensation</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542,274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arrangements</w:t>
            </w: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Cumulative-effect adjustment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1,085.7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1,085.7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1,085.7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upon adoption of ASC 842</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Share repurchases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260"/>
              <w:spacing w:after="0"/>
              <w:rPr>
                <w:sz w:val="20"/>
                <w:szCs w:val="20"/>
                <w:color w:val="auto"/>
              </w:rPr>
            </w:pPr>
            <w:r>
              <w:rPr>
                <w:rFonts w:ascii="Arial" w:cs="Arial" w:eastAsia="Arial" w:hAnsi="Arial"/>
                <w:sz w:val="13"/>
                <w:szCs w:val="13"/>
                <w:color w:val="auto"/>
                <w:w w:val="87"/>
              </w:rPr>
              <w:t>(1,271,823)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8"/>
              </w:rPr>
              <w:t>Balance as of December 31,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115,958,259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8"/>
              </w:rPr>
              <w:t>(28.4)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4,475,908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arrangements</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w w:val="99"/>
              </w:rPr>
              <w:t>Common stock offerings (Note</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35,266,667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1,288.4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1,288.8</w:t>
            </w:r>
          </w:p>
        </w:tc>
        <w:tc>
          <w:tcPr>
            <w:tcW w:w="0" w:type="dxa"/>
            <w:vAlign w:val="bottom"/>
          </w:tcPr>
          <w:p>
            <w:pPr>
              <w:spacing w:after="0"/>
              <w:rPr>
                <w:sz w:val="1"/>
                <w:szCs w:val="1"/>
                <w:color w:val="auto"/>
              </w:rPr>
            </w:pPr>
          </w:p>
        </w:tc>
      </w:tr>
      <w:tr>
        <w:trPr>
          <w:trHeight w:val="176"/>
        </w:trPr>
        <w:tc>
          <w:tcPr>
            <w:tcW w:w="1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w w:val="98"/>
              </w:rPr>
              <w:t>Convertible debt offering (Note</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88.2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88.2</w:t>
            </w:r>
          </w:p>
        </w:tc>
        <w:tc>
          <w:tcPr>
            <w:tcW w:w="0" w:type="dxa"/>
            <w:vAlign w:val="bottom"/>
          </w:tcPr>
          <w:p>
            <w:pPr>
              <w:spacing w:after="0"/>
              <w:rPr>
                <w:sz w:val="1"/>
                <w:szCs w:val="1"/>
                <w:color w:val="auto"/>
              </w:rPr>
            </w:pPr>
          </w:p>
        </w:tc>
      </w:tr>
      <w:tr>
        <w:trPr>
          <w:trHeight w:val="168"/>
        </w:trPr>
        <w:tc>
          <w:tcPr>
            <w:tcW w:w="1640" w:type="dxa"/>
            <w:vAlign w:val="bottom"/>
            <w:gridSpan w:val="2"/>
          </w:tcPr>
          <w:p>
            <w:pPr>
              <w:ind w:left="220"/>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w w:val="91"/>
              </w:rPr>
              <w:t>Barstool Sports investment (Note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75"/>
        </w:trPr>
        <w:tc>
          <w:tcPr>
            <w:tcW w:w="1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7)</w:t>
            </w:r>
          </w:p>
        </w:tc>
        <w:tc>
          <w:tcPr>
            <w:tcW w:w="3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200"/>
              <w:spacing w:after="0" w:line="122" w:lineRule="exact"/>
              <w:rPr>
                <w:sz w:val="20"/>
                <w:szCs w:val="20"/>
                <w:color w:val="auto"/>
              </w:rPr>
            </w:pPr>
            <w:r>
              <w:rPr>
                <w:rFonts w:ascii="Arial" w:cs="Arial" w:eastAsia="Arial" w:hAnsi="Arial"/>
                <w:sz w:val="13"/>
                <w:szCs w:val="13"/>
                <w:color w:val="auto"/>
              </w:rPr>
              <w:t>Cumulative-effect adjustment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w w:val="97"/>
              </w:rPr>
              <w:t>upon adoption of ASU 2016-13</w:t>
            </w: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Other</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8"/>
              </w:rPr>
              <w:t>Balance as of December 31,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155,700,834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8"/>
              </w:rPr>
              <w:t>(28.4)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 NATIONAL GAMING,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items charged to 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Noncash operating lease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values of contingent purchase price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Holding gain on equity securities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Loss (gain) on sale or disposal of property and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Noncash rent and interest expense related to the utilization of rent credits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Return on investment from unconsolidated affiliates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Impairment losses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Recoveries on loan loss and unfunded loan commitments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140" w:type="dxa"/>
            <w:vAlign w:val="bottom"/>
            <w:gridSpan w:val="2"/>
            <w:shd w:val="clear" w:color="auto" w:fill="CCEEFF"/>
          </w:tcPr>
          <w:p>
            <w:pPr>
              <w:ind w:left="340"/>
              <w:spacing w:after="0" w:line="169" w:lineRule="exact"/>
              <w:rPr>
                <w:sz w:val="20"/>
                <w:szCs w:val="20"/>
                <w:color w:val="auto"/>
              </w:rPr>
            </w:pPr>
            <w:r>
              <w:rPr>
                <w:rFonts w:ascii="Arial" w:cs="Arial" w:eastAsia="Arial" w:hAnsi="Arial"/>
                <w:sz w:val="16"/>
                <w:szCs w:val="16"/>
                <w:color w:val="auto"/>
                <w:w w:val="92"/>
              </w:rPr>
              <w:t>Reclassification of accumulated other comprehensive loss to earnings upon termination of management</w:t>
            </w:r>
          </w:p>
        </w:tc>
        <w:tc>
          <w:tcPr>
            <w:tcW w:w="2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contract</w:t>
            </w:r>
          </w:p>
        </w:tc>
        <w:tc>
          <w:tcPr>
            <w:tcW w:w="2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Loss on early extinguishment of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 net of businesses acquired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Other current and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Dispositions of property and equipment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Hurricane Laura insurance proceeds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Consideration paid for Barstool Sports investment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Consideration paid for acquisitions of businesses, net of cash acquired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sale-and-leaseback transactions in conjunction with acquisitions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Cash received for the sale of the Divested Properties and Belterra Park</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Consideration paid for gaming licenses and other intangible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Acquisition of equity securities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Additional contributions from (to) joint ventures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6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2"/>
            <w:vMerge w:val="restart"/>
          </w:tcPr>
          <w:p>
            <w:pPr>
              <w:ind w:left="340"/>
              <w:spacing w:after="0"/>
              <w:rPr>
                <w:sz w:val="20"/>
                <w:szCs w:val="20"/>
                <w:color w:val="auto"/>
              </w:rPr>
            </w:pPr>
            <w:r>
              <w:rPr>
                <w:rFonts w:ascii="Arial" w:cs="Arial" w:eastAsia="Arial" w:hAnsi="Arial"/>
                <w:sz w:val="16"/>
                <w:szCs w:val="16"/>
                <w:color w:val="auto"/>
              </w:rPr>
              <w:t>Proceeds from sale of loan</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Receipts applied against non-accrual loan</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Repayments on revolving credit facility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issuance of long-term debt, net of discounts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Prepayment penalties and modification payments incurred with debt refinancing</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Debt and equity issuance costs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Payments of other long-term obligations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Principal payments on financing obligations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Principal payments on 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Proceeds from the sale of real estate assets in conjunction with acquisitions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Proceeds from common stock offerings, net of discounts and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Proceeds from exercise of options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6"/>
                <w:szCs w:val="16"/>
                <w:color w:val="auto"/>
              </w:rPr>
              <w:t>Proceeds from insurance financing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Payments on insurance financing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Change in cash, cash equivalents, and restricted cash</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the beginning of the year</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the end of the year</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79"/>
              <w:spacing w:after="0" w:line="175" w:lineRule="exact"/>
              <w:rPr>
                <w:sz w:val="20"/>
                <w:szCs w:val="20"/>
                <w:color w:val="auto"/>
              </w:rPr>
            </w:pPr>
            <w:r>
              <w:rPr>
                <w:rFonts w:ascii="Arial" w:cs="Arial" w:eastAsia="Arial" w:hAnsi="Arial"/>
                <w:sz w:val="16"/>
                <w:szCs w:val="16"/>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1,853.8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479.6</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Restricted cash included in Other current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Restricted cash included in Other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Arial" w:cs="Arial" w:eastAsia="Arial" w:hAnsi="Arial"/>
                <w:sz w:val="16"/>
                <w:szCs w:val="16"/>
                <w:color w:val="auto"/>
              </w:rPr>
              <w:t>Cash paid for interest, net of amounts capitalized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528.1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530.4</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payments (refunds) related to income taxes, 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Arial" w:cs="Arial" w:eastAsia="Arial" w:hAnsi="Arial"/>
                <w:sz w:val="16"/>
                <w:szCs w:val="16"/>
                <w:color w:val="auto"/>
              </w:rPr>
              <w:t>Rent credits received upon sale of Tropicana land and buildings and Morgantown land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Commencement of 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Arial" w:cs="Arial" w:eastAsia="Arial" w:hAnsi="Arial"/>
                <w:sz w:val="16"/>
                <w:szCs w:val="16"/>
                <w:color w:val="auto"/>
              </w:rPr>
              <w:t>Commencement of finance leases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Accrued capital expenditures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Arial" w:cs="Arial" w:eastAsia="Arial" w:hAnsi="Arial"/>
                <w:sz w:val="16"/>
                <w:szCs w:val="16"/>
                <w:color w:val="auto"/>
              </w:rPr>
              <w:t>Acquisition of equity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 NATIONAL GAMING,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189" w:lineRule="exact"/>
        <w:rPr>
          <w:sz w:val="20"/>
          <w:szCs w:val="20"/>
          <w:color w:val="auto"/>
        </w:rPr>
      </w:pPr>
    </w:p>
    <w:p>
      <w:pPr>
        <w:ind w:right="20" w:firstLine="324"/>
        <w:spacing w:after="0" w:line="245"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Penn National Gaming, Inc., together with its subsidiaries (“Penn National,” the “Company,” “we,” “our,” or “us”), is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diversified, multi-jurisdictional owner and manager of gaming and racing properties, retail and online sports betting operations, and video gaming terminal (“VGT”) operations. Our wholly-owned interactive division, Penn Interactive Ventures, LLC (“Penn Interactive”), operates retail sports betting across the Company’s portfolio, as well as online sports betting, online social casino, bingo and online casinos (“iGaming”). In February 2020, the Company acquired 36% (inclusive of 1% on a delayed basis) equity interest in Barstool Sports, Inc. (“Barstool Sports”), a leading digital sports, entertainment, lifestyle and media company, and entered into a strategic relationship with Barstool Sports, whereby Barstool Sports will exclusively promote the Company's land-based retail sportsbooks, iGaming products and online sports betting products, including the Barstool Sportsbook mobile app, to its national audience. We launched an online sports betting app called Barstool Sports in Pennsylvania in September 2020 and in Michigan in January 2021. We also operate iGaming in Pennsylvania and Michigan. Our MYCHOICE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loyalty program (the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currently has over 20 million members and provides such members with various benefits, including complimentary goods and/or services. The Company’s strategy has continued to evolve from an owner and manager of gaming and racing properties into an omni-channel provider of retail and online gaming, live racing and sports betting entertainment.</w:t>
      </w:r>
    </w:p>
    <w:p>
      <w:pPr>
        <w:spacing w:after="0" w:line="220" w:lineRule="exact"/>
        <w:rPr>
          <w:sz w:val="20"/>
          <w:szCs w:val="20"/>
          <w:color w:val="auto"/>
        </w:rPr>
      </w:pPr>
    </w:p>
    <w:p>
      <w:pPr>
        <w:ind w:right="180" w:firstLine="324"/>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As of December 31, 2020, we owned, managed, or had ownership interests in 41 gaming and racing properties in 19 states and were licensed to offer live sports betting at our properties in Colorado, Illinois, Indiana, Iowa, Michigan, Mississippi, Nevada, Pennsylvania and West Virginia. The majority of the real estate assets (i.e., land and buildings) used in our operations are subject to triple net master leases; the most significant of which are the Penn Master Lease and the Pinnacle Master Lease (as such terms are defined in </w:t>
      </w:r>
      <w:hyperlink w:anchor="page88">
        <w:r>
          <w:rPr>
            <w:rFonts w:ascii="Arial" w:cs="Arial" w:eastAsia="Arial" w:hAnsi="Arial"/>
            <w:sz w:val="17"/>
            <w:szCs w:val="17"/>
            <w:u w:val="single" w:color="auto"/>
            <w:color w:val="0000FF"/>
          </w:rPr>
          <w:t>Note 12, “Leases,”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collectively referred to as the “Master Leases”), with Gaming and Leisure Properties, Inc. (Nasdaq: GLPI) (“GLPI”), a real estate investment trust (“REIT”).</w:t>
      </w:r>
    </w:p>
    <w:p>
      <w:pPr>
        <w:spacing w:after="0" w:line="149" w:lineRule="exact"/>
        <w:rPr>
          <w:sz w:val="20"/>
          <w:szCs w:val="20"/>
          <w:color w:val="auto"/>
        </w:rPr>
      </w:pPr>
    </w:p>
    <w:p>
      <w:pPr>
        <w:ind w:firstLine="324"/>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In May 2019, we acquired Greektown Casino-Hotel (“Greektown”), in Detroit, Michigan, subject to a triple net lease with VICI Properties Inc. (NYSE: VICI) (“VICI”, a REIT and collectively with GLPI, our “REIT Landlords”) (the “Greektown Lease”) and, in January 2019, we acquired </w:t>
      </w:r>
      <w:hyperlink w:anchor="page88">
        <w:r>
          <w:rPr>
            <w:rFonts w:ascii="Arial" w:cs="Arial" w:eastAsia="Arial" w:hAnsi="Arial"/>
            <w:sz w:val="18"/>
            <w:szCs w:val="18"/>
            <w:color w:val="auto"/>
          </w:rPr>
          <w:t xml:space="preserve">Margaritaville Casino Resort (“Margaritaville”) in Bossier City, Louisiana, subject to a triple net lease with VICI (the “Margaritaville Lease”). See </w:t>
        </w:r>
        <w:r>
          <w:rPr>
            <w:rFonts w:ascii="Arial" w:cs="Arial" w:eastAsia="Arial" w:hAnsi="Arial"/>
            <w:sz w:val="18"/>
            <w:szCs w:val="18"/>
            <w:u w:val="single" w:color="auto"/>
            <w:color w:val="0000FF"/>
          </w:rPr>
          <w:t>Note 12,</w:t>
        </w:r>
      </w:hyperlink>
      <w:r>
        <w:rPr>
          <w:rFonts w:ascii="Arial" w:cs="Arial" w:eastAsia="Arial" w:hAnsi="Arial"/>
          <w:sz w:val="18"/>
          <w:szCs w:val="18"/>
          <w:color w:val="auto"/>
        </w:rPr>
        <w:t xml:space="preserve"> </w:t>
      </w:r>
      <w:hyperlink w:anchor="page88">
        <w:r>
          <w:rPr>
            <w:rFonts w:ascii="Arial" w:cs="Arial" w:eastAsia="Arial" w:hAnsi="Arial"/>
            <w:sz w:val="18"/>
            <w:szCs w:val="18"/>
            <w:u w:val="single" w:color="auto"/>
            <w:color w:val="0000FF"/>
          </w:rPr>
          <w:t>“Leases,”</w:t>
        </w:r>
        <w:r>
          <w:rPr>
            <w:rFonts w:ascii="Arial" w:cs="Arial" w:eastAsia="Arial" w:hAnsi="Arial"/>
            <w:sz w:val="18"/>
            <w:szCs w:val="18"/>
            <w:color w:val="0000FF"/>
          </w:rPr>
          <w:t xml:space="preserve"> </w:t>
        </w:r>
        <w:r>
          <w:rPr>
            <w:rFonts w:ascii="Arial" w:cs="Arial" w:eastAsia="Arial" w:hAnsi="Arial"/>
            <w:sz w:val="18"/>
            <w:szCs w:val="18"/>
            <w:color w:val="000000"/>
          </w:rPr>
          <w:t>In October 2018, the Company completed the acquisition of Pinnacle Entertainment, Inc. (“Pinnacle”), a leading regional gaming operator (the</w:t>
        </w:r>
      </w:hyperlink>
      <w:r>
        <w:rPr>
          <w:rFonts w:ascii="Arial" w:cs="Arial" w:eastAsia="Arial" w:hAnsi="Arial"/>
          <w:sz w:val="18"/>
          <w:szCs w:val="18"/>
          <w:color w:val="0000FF"/>
        </w:rPr>
        <w:t xml:space="preserve"> </w:t>
      </w:r>
      <w:hyperlink w:anchor="page73">
        <w:r>
          <w:rPr>
            <w:rFonts w:ascii="Arial" w:cs="Arial" w:eastAsia="Arial" w:hAnsi="Arial"/>
            <w:sz w:val="18"/>
            <w:szCs w:val="18"/>
            <w:color w:val="000000"/>
          </w:rPr>
          <w:t xml:space="preserve">“Pinnacle Acquisition”), which added 12 gaming properties to our holdings. For more information on our acquisitions, see </w:t>
        </w:r>
        <w:r>
          <w:rPr>
            <w:rFonts w:ascii="Arial" w:cs="Arial" w:eastAsia="Arial" w:hAnsi="Arial"/>
            <w:sz w:val="18"/>
            <w:szCs w:val="18"/>
            <w:u w:val="single" w:color="auto"/>
            <w:color w:val="0000FF"/>
          </w:rPr>
          <w:t>Note 6, “Acquisitions and</w:t>
        </w:r>
      </w:hyperlink>
      <w:r>
        <w:rPr>
          <w:rFonts w:ascii="Arial" w:cs="Arial" w:eastAsia="Arial" w:hAnsi="Arial"/>
          <w:sz w:val="18"/>
          <w:szCs w:val="18"/>
          <w:color w:val="000000"/>
        </w:rPr>
        <w:t xml:space="preserve"> </w:t>
      </w:r>
      <w:hyperlink w:anchor="page73">
        <w:r>
          <w:rPr>
            <w:rFonts w:ascii="Arial" w:cs="Arial" w:eastAsia="Arial" w:hAnsi="Arial"/>
            <w:sz w:val="18"/>
            <w:szCs w:val="18"/>
            <w:u w:val="single" w:color="auto"/>
            <w:color w:val="0000FF"/>
          </w:rPr>
          <w:t>Dispositions.”</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441960</wp:posOffset>
            </wp:positionH>
            <wp:positionV relativeFrom="paragraph">
              <wp:posOffset>-393065</wp:posOffset>
            </wp:positionV>
            <wp:extent cx="656653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6535" cy="128905"/>
                    </a:xfrm>
                    <a:prstGeom prst="rect">
                      <a:avLst/>
                    </a:prstGeom>
                    <a:noFill/>
                  </pic:spPr>
                </pic:pic>
              </a:graphicData>
            </a:graphic>
          </wp:anchor>
        </w:drawing>
      </w:r>
    </w:p>
    <w:p>
      <w:pPr>
        <w:spacing w:after="0" w:line="129" w:lineRule="exact"/>
        <w:rPr>
          <w:rFonts w:ascii="Arial" w:cs="Arial" w:eastAsia="Arial" w:hAnsi="Arial"/>
          <w:sz w:val="18"/>
          <w:szCs w:val="18"/>
          <w:color w:val="0000FF"/>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Impact of the COVID-19 Pandemic and Company Response: </w:t>
      </w:r>
      <w:r>
        <w:rPr>
          <w:rFonts w:ascii="Arial" w:cs="Arial" w:eastAsia="Arial" w:hAnsi="Arial"/>
          <w:sz w:val="18"/>
          <w:szCs w:val="18"/>
          <w:color w:val="auto"/>
        </w:rPr>
        <w:t>On March 11, 2020, the World Health Organization declared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novel coronavirus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(known as “COVID-19”) outbreak to be </w:t>
      </w:r>
      <w:r>
        <w:rPr>
          <w:rFonts w:ascii="Arial" w:cs="Arial" w:eastAsia="Arial" w:hAnsi="Arial"/>
          <w:sz w:val="18"/>
          <w:szCs w:val="18"/>
          <w:color w:val="000000"/>
        </w:rPr>
        <w:t>a global pandemic.</w:t>
      </w:r>
      <w:r>
        <w:rPr>
          <w:rFonts w:ascii="Arial" w:cs="Arial" w:eastAsia="Arial" w:hAnsi="Arial"/>
          <w:sz w:val="18"/>
          <w:szCs w:val="18"/>
          <w:color w:val="212529"/>
        </w:rPr>
        <w:t xml:space="preserve"> We began temporarily suspending the operations of all of our properties between March 13, 2020 and March 19, 2020 pursuant to various orders from state gaming regulatory bodies or governmental authorities to combat the rapid spread of COVID-19. We began reopening our properties on May 18, 2020 with reduced gaming and hotel capacity and limited food and beverage offerings in order to accommodate comprehensive social distancing and health and safety protocols.</w:t>
      </w:r>
    </w:p>
    <w:p>
      <w:pPr>
        <w:spacing w:after="0" w:line="147" w:lineRule="exact"/>
        <w:rPr>
          <w:rFonts w:ascii="Arial" w:cs="Arial" w:eastAsia="Arial" w:hAnsi="Arial"/>
          <w:sz w:val="18"/>
          <w:szCs w:val="18"/>
          <w:color w:val="0000FF"/>
        </w:rPr>
      </w:pPr>
    </w:p>
    <w:p>
      <w:pPr>
        <w:ind w:right="60" w:firstLine="324"/>
        <w:spacing w:after="0" w:line="254" w:lineRule="auto"/>
        <w:rPr>
          <w:sz w:val="20"/>
          <w:szCs w:val="20"/>
          <w:color w:val="auto"/>
        </w:rPr>
      </w:pPr>
      <w:r>
        <w:rPr>
          <w:rFonts w:ascii="Arial" w:cs="Arial" w:eastAsia="Arial" w:hAnsi="Arial"/>
          <w:sz w:val="18"/>
          <w:szCs w:val="18"/>
          <w:color w:val="auto"/>
        </w:rPr>
        <w:t xml:space="preserve">During the fourth quarter of 2020, our properties temporarily suspended operations in Pennsylvania, Michigan and Illinois and were subject to increased operational restrictions in Ohio and Massachusetts (among other states). </w:t>
      </w:r>
      <w:r>
        <w:rPr>
          <w:rFonts w:ascii="Arial" w:cs="Arial" w:eastAsia="Arial" w:hAnsi="Arial"/>
          <w:sz w:val="18"/>
          <w:szCs w:val="18"/>
          <w:color w:val="212529"/>
        </w:rPr>
        <w:t>Our Michigan property was temporarily closed on November 17, 2020</w:t>
      </w:r>
      <w:r>
        <w:rPr>
          <w:rFonts w:ascii="Arial" w:cs="Arial" w:eastAsia="Arial" w:hAnsi="Arial"/>
          <w:sz w:val="18"/>
          <w:szCs w:val="18"/>
          <w:color w:val="auto"/>
        </w:rPr>
        <w:t xml:space="preserve"> </w:t>
      </w:r>
      <w:r>
        <w:rPr>
          <w:rFonts w:ascii="Arial" w:cs="Arial" w:eastAsia="Arial" w:hAnsi="Arial"/>
          <w:sz w:val="18"/>
          <w:szCs w:val="18"/>
          <w:color w:val="212529"/>
        </w:rPr>
        <w:t xml:space="preserve">and reopened December 23, 2020. Our Pennsylvania properties were temporarily closed on December 12, 2020 and reopened on January 4, 2021. Our Illinois properties were temporarily closed on November 20, 2020 and began reopening with limited hours of operations beginning January 16, 2021 and throughout the week. The property closures were pursuant to various orders from state gaming regulatory bodies or governmental authorities to combat the rapid spread of COVID-19. As of </w:t>
      </w:r>
      <w:r>
        <w:rPr>
          <w:rFonts w:ascii="Arial" w:cs="Arial" w:eastAsia="Arial" w:hAnsi="Arial"/>
          <w:sz w:val="18"/>
          <w:szCs w:val="18"/>
          <w:color w:val="000000"/>
        </w:rPr>
        <w:t>February 26, 2021</w:t>
      </w:r>
      <w:r>
        <w:rPr>
          <w:rFonts w:ascii="Arial" w:cs="Arial" w:eastAsia="Arial" w:hAnsi="Arial"/>
          <w:sz w:val="18"/>
          <w:szCs w:val="18"/>
          <w:color w:val="212529"/>
        </w:rPr>
        <w:t>, all of our properties were open to the public with the exception of Zia Park and Valley Race Park, which remain closed.</w:t>
      </w:r>
    </w:p>
    <w:p>
      <w:pPr>
        <w:spacing w:after="0" w:line="168" w:lineRule="exact"/>
        <w:rPr>
          <w:rFonts w:ascii="Arial" w:cs="Arial" w:eastAsia="Arial" w:hAnsi="Arial"/>
          <w:sz w:val="18"/>
          <w:szCs w:val="18"/>
          <w:color w:val="0000FF"/>
        </w:rPr>
      </w:pPr>
    </w:p>
    <w:p>
      <w:pPr>
        <w:ind w:right="60" w:firstLine="324"/>
        <w:spacing w:after="0" w:line="271" w:lineRule="auto"/>
        <w:rPr>
          <w:sz w:val="20"/>
          <w:szCs w:val="20"/>
          <w:color w:val="auto"/>
        </w:rPr>
      </w:pPr>
      <w:r>
        <w:rPr>
          <w:rFonts w:ascii="Arial" w:cs="Arial" w:eastAsia="Arial" w:hAnsi="Arial"/>
          <w:sz w:val="16"/>
          <w:szCs w:val="16"/>
          <w:color w:val="auto"/>
        </w:rPr>
        <w:t>Between March 13, 2020 and December 31, 2020, we entered into a series of transactions to improve our financial position and liquidity in light of the COVID-19 pandemic, including: (i) on March 13, 2020, we provided notice to our lenders to borrow the remaining available amount of $430.0 million under our Revolving Credit Facility; (ii) on March 27, 2020, we entered into a binding term sheet with GLPI (the “Term Sheet”) whereby GLPI agreed to</w:t>
      </w:r>
    </w:p>
    <w:p>
      <w:pPr>
        <w:ind w:right="20" w:firstLine="8"/>
        <w:spacing w:after="0" w:line="23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the real estate assets associated with Tropicana Las Vegas (“Tropicana”) in exchange for rent credits of $307.5 million, which closed on April 16, 2020, and (b) a sale-leaseback of the land underlying our Hollywood Casino Morgantown (“Morgantown”) development project in Morgantown, Pennsylvania, in exchange for rent credits of $30.0 million, which closed on October 1, 2020; (iii) on May 14, 2020 (May 19, 2020 with respect to the underwriters’ exercising their options to acquire additional 2.75% Convertible Notes), we completed a public offering of $330.5 million aggregate principal amount of 2.75% Convertible Notes; (iv) on May 14, 2020 (May 19, 2020 with respect to the underwriters’ exercising their options to purchase additional shares), we completed a</w:t>
      </w:r>
    </w:p>
    <w:p>
      <w:pPr>
        <w:spacing w:after="0" w:line="200" w:lineRule="exact"/>
        <w:rPr>
          <w:rFonts w:ascii="Arial" w:cs="Arial" w:eastAsia="Arial" w:hAnsi="Arial"/>
          <w:sz w:val="18"/>
          <w:szCs w:val="18"/>
          <w:color w:val="0000FF"/>
        </w:rPr>
      </w:pPr>
    </w:p>
    <w:p>
      <w:pPr>
        <w:spacing w:after="0" w:line="326"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public offering of 19,166,667 aggregate shares of common stock, par value of $0.01 per share, of the Company (“Penn Common Stock”) for gross proceeds of $345.0 million; and (v) on September 24, 2020 (September 25, 2020 with respect to the underwriters’ exercising their options to purchase additional shares), we completed a public offering of 16,100,000 aggregate shares of Penn Common Stock for gross proceeds of $982.1 million. In addition, on April 14, 2020, the Company entered into an amendment to its Credit Agreement, which, among other things, provides it with relief from its financial covenants for a period of up to one year. On September 30, 2020, the Company fully repaid $670.0 million of outstanding borrowings under its Revolving Credit Facility. Further, on November 12, 2020 the Company prepaid $115.0 million of outstanding borrowings on its Term Loan B-1 Facility. The terms “Revolving Credit Facility,” “Convertible Notes”, “Credit Agreement” and "Term Loan B-1" are defined in </w:t>
      </w:r>
      <w:hyperlink w:anchor="page83">
        <w:r>
          <w:rPr>
            <w:rFonts w:ascii="Arial" w:cs="Arial" w:eastAsia="Arial" w:hAnsi="Arial"/>
            <w:sz w:val="16"/>
            <w:szCs w:val="16"/>
            <w:u w:val="single" w:color="auto"/>
            <w:color w:val="0000FF"/>
          </w:rPr>
          <w:t>Note 11, “Long-term Debt.”</w:t>
        </w:r>
      </w:hyperlink>
    </w:p>
    <w:p>
      <w:pPr>
        <w:spacing w:after="0" w:line="19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COVID-19 pandemic caused significant disruptions to our business and had a material adverse impact on our financial condition, results of operations and cash flows, the magnitude of which continues to develop based on (i) the timing and extent of the recovery in visitation and consumer spending at our properties; (ii) the continued impact of implementing social distancing and health and safety guidelines at our properties, including reductions in gaming, hotel capacity, limiting the number of food and beverage options and limiting other amenities; and (iii) whether any of our properties will be required to again temporarily suspend operations in the event that the pandemic significantly worsens. We are currently unable to determine whether, when or how the conditions surrounding the COVID-19 pandemic will change or whether the recovery in visitation and consumer spending is sustainable.</w:t>
      </w:r>
    </w:p>
    <w:p>
      <w:pPr>
        <w:spacing w:after="0" w:line="15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could experience other potential adverse impacts as a result of the COVID-19 pandemic, including, but not limited to, further charges from adjustments to the carrying amount of goodwill and other intangible assets, long-lived asset impairment charges, or impairments of investments in joint ventures. In addition, the negative impacts of the COVID-19 pandemic may result in further changes in the amount of valuation allowance required. Actual results may differ materially from the Company’s current estimates as the scope of the COVID-19 pandemic evolves, depending largely, though not exclusively, on the impact of required capacity reductions, social distancing and health and safety guidelines, and the sustainability of current trends in recovery at our reopened properties.</w:t>
      </w:r>
    </w:p>
    <w:p>
      <w:pPr>
        <w:spacing w:after="0" w:line="16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2020, the Company has a strong balance sheet and sufficient liquidity in place, including total cash and cash equivalents, excluding restricted cash, of $1.9 billion and available borrowing capacity of $0.7 billion.</w:t>
      </w:r>
    </w:p>
    <w:p>
      <w:pPr>
        <w:spacing w:after="0" w:line="13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Consolidated Financial Statements of the Company have been prepared in accordance with generally accepted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principles in the United States (“GAAP”) and with the rules and regulations of the U.S. Securities and Exchange Commission (the “SEC”).</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Penn National Gaming, Inc.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reclassifications have been made to conform the prior period presentation.</w:t>
      </w:r>
    </w:p>
    <w:p>
      <w:pPr>
        <w:spacing w:after="0" w:line="185" w:lineRule="exact"/>
        <w:rPr>
          <w:sz w:val="20"/>
          <w:szCs w:val="20"/>
          <w:color w:val="auto"/>
        </w:rPr>
      </w:pPr>
    </w:p>
    <w:p>
      <w:pPr>
        <w:ind w:right="200" w:firstLine="324"/>
        <w:spacing w:after="0" w:line="288"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as of the date of the Consolidated Financial Statements that affect (i) the reported amounts of assets and liabilities, (ii) the disclosure of contingent assets and liabilities at the date of the Consolidated Financial Statements, and (iii) the reported amounts of revenues and expenses during the reporting period. Estimates used by us include, among other things, the useful lives for depreciable and amortizable assets, the allowance for doubtful accounts receivable, income tax provisions, the evaluation of the future realization of deferred tax assets, determining the adequacy of reserves for self-insured liabilities, the liabilities associated with 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the initial measurements of financing obligations associated with the Master Leases, projected cash flows in assessing the recoverability of long-lived assets, asset impairments, goodwill and other intangible assets, projected cash flows in assessing the initial valuation of intangible assets in conjunction with acquisitions, the initial selection of useful lives for depreciable and amortizable assets in conjunction with acquisitions, contingencies and litigation, and stock-based compensation expense. We applied estimation methods consistently for all periods presented within our Consolidated Financial Statements.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324"/>
        <w:spacing w:after="0" w:line="259" w:lineRule="auto"/>
        <w:rPr>
          <w:rFonts w:ascii="Arial" w:cs="Arial" w:eastAsia="Arial" w:hAnsi="Arial"/>
          <w:sz w:val="18"/>
          <w:szCs w:val="18"/>
          <w:color w:val="0000FF"/>
        </w:rPr>
      </w:pPr>
      <w:r>
        <w:rPr>
          <w:rFonts w:ascii="Arial" w:cs="Arial" w:eastAsia="Arial" w:hAnsi="Arial"/>
          <w:sz w:val="18"/>
          <w:szCs w:val="18"/>
          <w:b w:val="1"/>
          <w:bCs w:val="1"/>
          <w:i w:val="1"/>
          <w:iCs w:val="1"/>
          <w:color w:val="auto"/>
        </w:rPr>
        <w:t xml:space="preserve">Segment Information: </w:t>
      </w:r>
      <w:r>
        <w:rPr>
          <w:rFonts w:ascii="Arial" w:cs="Arial" w:eastAsia="Arial" w:hAnsi="Arial"/>
          <w:sz w:val="18"/>
          <w:szCs w:val="18"/>
          <w:color w:val="auto"/>
        </w:rPr>
        <w:t>We view each of our gaming and racing properties as an operating segment with the exception of our two properties in Jackpot,</w:t>
      </w:r>
      <w:r>
        <w:rPr>
          <w:rFonts w:ascii="Arial" w:cs="Arial" w:eastAsia="Arial" w:hAnsi="Arial"/>
          <w:sz w:val="18"/>
          <w:szCs w:val="18"/>
          <w:b w:val="1"/>
          <w:bCs w:val="1"/>
          <w:i w:val="1"/>
          <w:iCs w:val="1"/>
          <w:color w:val="auto"/>
        </w:rPr>
        <w:t xml:space="preserve"> </w:t>
      </w:r>
      <w:hyperlink w:anchor="page102">
        <w:r>
          <w:rPr>
            <w:rFonts w:ascii="Arial" w:cs="Arial" w:eastAsia="Arial" w:hAnsi="Arial"/>
            <w:sz w:val="18"/>
            <w:szCs w:val="18"/>
            <w:color w:val="auto"/>
          </w:rPr>
          <w:t xml:space="preserve">Nevada, which we view as one operating segment. We consider our combined VGT operations, by state, to be separate operating segments. See </w:t>
        </w:r>
        <w:r>
          <w:rPr>
            <w:rFonts w:ascii="Arial" w:cs="Arial" w:eastAsia="Arial" w:hAnsi="Arial"/>
            <w:sz w:val="18"/>
            <w:szCs w:val="18"/>
            <w:u w:val="single" w:color="auto"/>
            <w:color w:val="0000FF"/>
          </w:rPr>
          <w:t>Note 18,</w:t>
        </w:r>
      </w:hyperlink>
      <w:r>
        <w:rPr>
          <w:rFonts w:ascii="Arial" w:cs="Arial" w:eastAsia="Arial" w:hAnsi="Arial"/>
          <w:sz w:val="18"/>
          <w:szCs w:val="18"/>
          <w:color w:val="auto"/>
        </w:rPr>
        <w:t xml:space="preserve"> </w:t>
      </w:r>
      <w:hyperlink w:anchor="page102">
        <w:r>
          <w:rPr>
            <w:rFonts w:ascii="Arial" w:cs="Arial" w:eastAsia="Arial" w:hAnsi="Arial"/>
            <w:sz w:val="18"/>
            <w:szCs w:val="18"/>
            <w:u w:val="single" w:color="auto"/>
            <w:color w:val="0000FF"/>
          </w:rPr>
          <w:t>“Segment Information,”</w:t>
        </w:r>
        <w:r>
          <w:rPr>
            <w:rFonts w:ascii="Arial" w:cs="Arial" w:eastAsia="Arial" w:hAnsi="Arial"/>
            <w:sz w:val="18"/>
            <w:szCs w:val="18"/>
            <w:color w:val="0000FF"/>
          </w:rPr>
          <w:t xml:space="preserve"> </w:t>
        </w:r>
        <w:r>
          <w:rPr>
            <w:rFonts w:ascii="Arial" w:cs="Arial" w:eastAsia="Arial" w:hAnsi="Arial"/>
            <w:sz w:val="18"/>
            <w:szCs w:val="18"/>
            <w:color w:val="000000"/>
          </w:rPr>
          <w:t>for further information. For financial reporting purposes, we aggregate our operating segments into the following four reportable</w:t>
        </w:r>
      </w:hyperlink>
      <w:r>
        <w:rPr>
          <w:rFonts w:ascii="Arial" w:cs="Arial" w:eastAsia="Arial" w:hAnsi="Arial"/>
          <w:sz w:val="18"/>
          <w:szCs w:val="18"/>
          <w:color w:val="0000FF"/>
        </w:rPr>
        <w:t xml:space="preserve"> </w:t>
      </w:r>
      <w:r>
        <w:rPr>
          <w:rFonts w:ascii="Arial" w:cs="Arial" w:eastAsia="Arial" w:hAnsi="Arial"/>
          <w:sz w:val="18"/>
          <w:szCs w:val="18"/>
          <w:color w:val="000000"/>
        </w:rPr>
        <w:t>segments: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72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Location</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1"/>
              </w:rPr>
              <w:t>Real Estate Assets Lease or Ownership</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6"/>
              </w:rPr>
              <w:t>Structure</w:t>
            </w:r>
          </w:p>
        </w:tc>
        <w:tc>
          <w:tcPr>
            <w:tcW w:w="0" w:type="dxa"/>
            <w:vAlign w:val="bottom"/>
          </w:tcPr>
          <w:p>
            <w:pPr>
              <w:spacing w:after="0"/>
              <w:rPr>
                <w:sz w:val="1"/>
                <w:szCs w:val="1"/>
                <w:color w:val="auto"/>
              </w:rPr>
            </w:pPr>
          </w:p>
        </w:tc>
      </w:tr>
      <w:tr>
        <w:trPr>
          <w:trHeight w:val="170"/>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Northeast segment</w:t>
            </w:r>
          </w:p>
        </w:tc>
        <w:tc>
          <w:tcPr>
            <w:tcW w:w="2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Ameristar East Chicago</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East Chicago, Indiana</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Greektown Casino-Hotel</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Detroit, Michigan</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Greektown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Bangor</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Bangor, Maine</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at Charles Town Races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Charles Town, West Virginia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Columbus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Columbus, Ohio</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Lawrenceburg</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Lawrenceburg, Indiana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at Penn National Race Course</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Grantville, Pennsylvania</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Toledo</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Toledo, Ohio</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Gaming at Dayton Raceway</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Dayton, Ohio</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Gaming at Mahoning Valley Race Course</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Youngstown, Ohio</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9"/>
        </w:trPr>
        <w:tc>
          <w:tcPr>
            <w:tcW w:w="576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Marquee by Penn </w:t>
            </w:r>
            <w:r>
              <w:rPr>
                <w:rFonts w:ascii="Arial" w:cs="Arial" w:eastAsia="Arial" w:hAnsi="Arial"/>
                <w:sz w:val="18"/>
                <w:szCs w:val="18"/>
                <w:color w:val="auto"/>
                <w:vertAlign w:val="superscript"/>
              </w:rPr>
              <w:t>(1)</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Pennsylvania</w:t>
            </w:r>
          </w:p>
        </w:tc>
        <w:tc>
          <w:tcPr>
            <w:tcW w:w="27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Meadows Racetrack and Casino</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Pennsylvania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Meadows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Plainridge Park Casino</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Plainville, Massachusetts</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20"/>
              <w:spacing w:after="0" w:line="189" w:lineRule="exact"/>
              <w:rPr>
                <w:sz w:val="20"/>
                <w:szCs w:val="20"/>
                <w:color w:val="auto"/>
              </w:rPr>
            </w:pPr>
            <w:r>
              <w:rPr>
                <w:rFonts w:ascii="Arial" w:cs="Arial" w:eastAsia="Arial" w:hAnsi="Arial"/>
                <w:sz w:val="14"/>
                <w:szCs w:val="14"/>
                <w:b w:val="1"/>
                <w:bCs w:val="1"/>
                <w:i w:val="1"/>
                <w:iCs w:val="1"/>
                <w:color w:val="auto"/>
              </w:rPr>
              <w:t xml:space="preserve">South segment </w:t>
            </w:r>
            <w:r>
              <w:rPr>
                <w:rFonts w:ascii="Arial" w:cs="Arial" w:eastAsia="Arial" w:hAnsi="Arial"/>
                <w:sz w:val="18"/>
                <w:szCs w:val="18"/>
                <w:b w:val="1"/>
                <w:bCs w:val="1"/>
                <w:i w:val="1"/>
                <w:iCs w:val="1"/>
                <w:color w:val="auto"/>
                <w:vertAlign w:val="superscript"/>
              </w:rPr>
              <w:t>(2)</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Jackpot Casino</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Tunica, Mississippi</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Ameristar Vicksburg</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Vicksburg, Mississippi</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Boomtown Biloxi</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Biloxi, Mississippi</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Boomtown Bossier City</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Bossier City, Louisiana</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Boomtown New Orleans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New Orleans, Louisiana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Gulf Coast</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Bay St. Louis, Mississippi</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Tunica</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Tunica, Mississippi</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L’Auberge Baton Rouge</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Baton Rouge, Louisiana</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L’Auberge Lake Charles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 Charles, Louisiana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Margaritaville Resort Casino</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Bossier City, Louisiana</w:t>
            </w:r>
          </w:p>
        </w:tc>
        <w:tc>
          <w:tcPr>
            <w:tcW w:w="2760" w:type="dxa"/>
            <w:vAlign w:val="bottom"/>
          </w:tcPr>
          <w:p>
            <w:pPr>
              <w:jc w:val="center"/>
              <w:spacing w:after="0"/>
              <w:rPr>
                <w:sz w:val="20"/>
                <w:szCs w:val="20"/>
                <w:color w:val="auto"/>
              </w:rPr>
            </w:pPr>
            <w:r>
              <w:rPr>
                <w:rFonts w:ascii="Arial" w:cs="Arial" w:eastAsia="Arial" w:hAnsi="Arial"/>
                <w:sz w:val="14"/>
                <w:szCs w:val="14"/>
                <w:color w:val="auto"/>
                <w:w w:val="95"/>
              </w:rPr>
              <w:t>Margaritaville Lease</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West segment</w:t>
            </w: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Ameristar Black Hawk</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Hawk, Colorado</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Cactus Petes and Horseshu</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Jackpot, Nevada</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 Resort</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Henderson, Nevada</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Tropicana Las Vegas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Las Vegas, Nevada</w:t>
            </w:r>
          </w:p>
        </w:tc>
        <w:tc>
          <w:tcPr>
            <w:tcW w:w="2760" w:type="dxa"/>
            <w:vAlign w:val="bottom"/>
          </w:tcPr>
          <w:p>
            <w:pPr>
              <w:jc w:val="center"/>
              <w:spacing w:after="0"/>
              <w:rPr>
                <w:sz w:val="20"/>
                <w:szCs w:val="20"/>
                <w:color w:val="auto"/>
              </w:rPr>
            </w:pPr>
            <w:r>
              <w:rPr>
                <w:rFonts w:ascii="Arial" w:cs="Arial" w:eastAsia="Arial" w:hAnsi="Arial"/>
                <w:sz w:val="14"/>
                <w:szCs w:val="14"/>
                <w:color w:val="auto"/>
                <w:w w:val="92"/>
              </w:rPr>
              <w:t>Tropicana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Zia Park Casino</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Hobbs, New Mexico</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Midwest segment</w:t>
            </w:r>
          </w:p>
        </w:tc>
        <w:tc>
          <w:tcPr>
            <w:tcW w:w="2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Ameristar Council Bluffs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Council Bluffs, Iowa</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Argosy Casino Alton </w:t>
            </w:r>
            <w:r>
              <w:rPr>
                <w:rFonts w:ascii="Arial" w:cs="Arial" w:eastAsia="Arial" w:hAnsi="Arial"/>
                <w:sz w:val="18"/>
                <w:szCs w:val="18"/>
                <w:color w:val="auto"/>
                <w:vertAlign w:val="superscript"/>
              </w:rPr>
              <w:t>(3)</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Alton, Illinois</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Argosy Casino Riverside</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Riverside, Missouri</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Hollywood Casino Aurora</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Aurora, Illinois</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Joliet</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Joliet, Illinois</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Hollywood Casino at Kansas Speedway </w:t>
            </w:r>
            <w:r>
              <w:rPr>
                <w:rFonts w:ascii="Arial" w:cs="Arial" w:eastAsia="Arial" w:hAnsi="Arial"/>
                <w:sz w:val="18"/>
                <w:szCs w:val="18"/>
                <w:color w:val="auto"/>
                <w:vertAlign w:val="superscript"/>
              </w:rPr>
              <w:t>(4)</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Kansas City, Kansas</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Owned - JV</w:t>
            </w:r>
          </w:p>
        </w:tc>
        <w:tc>
          <w:tcPr>
            <w:tcW w:w="0" w:type="dxa"/>
            <w:vAlign w:val="bottom"/>
          </w:tcPr>
          <w:p>
            <w:pPr>
              <w:spacing w:after="0"/>
              <w:rPr>
                <w:sz w:val="1"/>
                <w:szCs w:val="1"/>
                <w:color w:val="auto"/>
              </w:rPr>
            </w:pPr>
          </w:p>
        </w:tc>
      </w:tr>
      <w:tr>
        <w:trPr>
          <w:trHeight w:val="186"/>
        </w:trPr>
        <w:tc>
          <w:tcPr>
            <w:tcW w:w="5760" w:type="dxa"/>
            <w:vAlign w:val="bottom"/>
          </w:tcPr>
          <w:p>
            <w:pPr>
              <w:ind w:left="220"/>
              <w:spacing w:after="0"/>
              <w:rPr>
                <w:sz w:val="20"/>
                <w:szCs w:val="20"/>
                <w:color w:val="auto"/>
              </w:rPr>
            </w:pPr>
            <w:r>
              <w:rPr>
                <w:rFonts w:ascii="Arial" w:cs="Arial" w:eastAsia="Arial" w:hAnsi="Arial"/>
                <w:sz w:val="14"/>
                <w:szCs w:val="14"/>
                <w:color w:val="auto"/>
              </w:rPr>
              <w:t>Hollywood Casino St. Louis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Maryland Heights, Missouri</w:t>
            </w:r>
          </w:p>
        </w:tc>
        <w:tc>
          <w:tcPr>
            <w:tcW w:w="2760" w:type="dxa"/>
            <w:vAlign w:val="bottom"/>
          </w:tcPr>
          <w:p>
            <w:pPr>
              <w:jc w:val="center"/>
              <w:spacing w:after="0"/>
              <w:rPr>
                <w:sz w:val="20"/>
                <w:szCs w:val="20"/>
                <w:color w:val="auto"/>
              </w:rPr>
            </w:pPr>
            <w:r>
              <w:rPr>
                <w:rFonts w:ascii="Arial" w:cs="Arial" w:eastAsia="Arial" w:hAnsi="Arial"/>
                <w:sz w:val="14"/>
                <w:szCs w:val="14"/>
                <w:color w:val="auto"/>
                <w:w w:val="90"/>
              </w:rPr>
              <w:t>Penn Master Lease</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Prairie State Gaming </w:t>
            </w:r>
            <w:r>
              <w:rPr>
                <w:rFonts w:ascii="Arial" w:cs="Arial" w:eastAsia="Arial" w:hAnsi="Arial"/>
                <w:sz w:val="18"/>
                <w:szCs w:val="18"/>
                <w:color w:val="auto"/>
                <w:vertAlign w:val="superscript"/>
              </w:rPr>
              <w:t>(1)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Illinois</w:t>
            </w:r>
          </w:p>
        </w:tc>
        <w:tc>
          <w:tcPr>
            <w:tcW w:w="2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5760" w:type="dxa"/>
            <w:vAlign w:val="bottom"/>
          </w:tcPr>
          <w:p>
            <w:pPr>
              <w:ind w:left="220"/>
              <w:spacing w:after="0"/>
              <w:rPr>
                <w:sz w:val="20"/>
                <w:szCs w:val="20"/>
                <w:color w:val="auto"/>
              </w:rPr>
            </w:pPr>
            <w:r>
              <w:rPr>
                <w:rFonts w:ascii="Arial" w:cs="Arial" w:eastAsia="Arial" w:hAnsi="Arial"/>
                <w:sz w:val="14"/>
                <w:szCs w:val="14"/>
                <w:color w:val="auto"/>
              </w:rPr>
              <w:t>River City Casino</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St. Louis, Missouri</w:t>
            </w: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Pinnacle Master Lease</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VGT route operations</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Resorts Casino Tunica ceased operations on June 30, 2019, but remains subject to the Penn Master Lease.</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riverboat is owned by us and not subject to the Penn Master Lease.</w:t>
      </w:r>
    </w:p>
    <w:p>
      <w:pPr>
        <w:spacing w:after="0" w:line="55" w:lineRule="exact"/>
        <w:rPr>
          <w:rFonts w:ascii="Arial" w:cs="Arial" w:eastAsia="Arial" w:hAnsi="Arial"/>
          <w:sz w:val="14"/>
          <w:szCs w:val="14"/>
          <w:color w:val="auto"/>
        </w:rPr>
      </w:pPr>
    </w:p>
    <w:p>
      <w:pPr>
        <w:ind w:left="660" w:right="340" w:hanging="328"/>
        <w:spacing w:after="0" w:line="273" w:lineRule="auto"/>
        <w:tabs>
          <w:tab w:leader="none" w:pos="65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Pursuant to a joint venture (“JV”) with NASCAR and includes the Company’s 50% investment in Kansas Entertainment, LLC (“Kansas Entertainment”), which owns Hollywood Casino at Kansas Speedway.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 considers all cash balances and highly-liquid investments with original maturities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date of purchase to be cash and cash equivalents.</w:t>
      </w:r>
    </w:p>
    <w:p>
      <w:pPr>
        <w:spacing w:after="0" w:line="13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The Company has bank deposits and overnight repurchase agreements that exceed federally-insured limits.</w:t>
      </w:r>
    </w:p>
    <w:p>
      <w:pPr>
        <w:spacing w:after="0" w:line="14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Concentration of credit risk, with respect to casino receivables, is limited through the Company’s credit evaluation process. The Company issues markers to approved casino customers following investigations of creditworthiness.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receivables as of December 31, 2020 and 2019 primarily consisted of the following:</w:t>
      </w:r>
    </w:p>
    <w:p>
      <w:pPr>
        <w:spacing w:after="0" w:line="140"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Markers issued to customers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Credit card receivables and other advances to customers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from ATM and cash kiosk transactions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Hotel and banquet receivables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Racing settlements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Receivables due from platform providers for social casino games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Receivable - Hurricane Laura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adopted Accounting Standards Codification (“ASC”) No. 2016-13 (“ASC 2016-13”), “Financial Instruments - Credit Losses (Topic</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326): Measurements of Credit Losses on Financial Instruments” during the first quarter of 2020 which utilizes a forward-looking current expected credit loss model to measure the allowance for doubtful accounts. Prior to the adoption of ASC 2016-13, accounts were written off when management determined that an account was uncollectible. Recoveries of accounts previously written off were recorded when received. Historically, the Company has not incurred any significant credit-related losses.</w:t>
      </w:r>
    </w:p>
    <w:p>
      <w:pPr>
        <w:spacing w:after="0" w:line="20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Property and equipment are stated at cost, less accumulated depreciation. Capital expenditures are accounted for as either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 capital or maintenance (replacement) capital expenditures. Project capital expenditures are for fixed asset additions that expand an existing facility or create a new facility. Maintenance capital expenditures are expenditures to replace existing fixed assets with a useful life greater than one year that are obsolete, worn out or no longer cost-effective to repair.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12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estimated useful lives of property and equipment are determined based on the nature of the assets as well as the Company’s current operating strategy. Depreciation of property and equipment is recorded using the straight-line method over the shorter of the estimated useful life of the asset or the related lease term, if any,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 to 31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 to 35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 to 31</w:t>
            </w:r>
          </w:p>
        </w:tc>
      </w:tr>
    </w:tbl>
    <w:p>
      <w:pPr>
        <w:spacing w:after="0" w:line="25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All costs funded by the Company considered to be an improvement to the real estate assets subject to any of our Triple Net Leases are recorded as leasehold improvements. Leasehold improvements are depreciated over the shorter of the estimated useful life of the improvement or the related lease term.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324"/>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The Company reviews the carrying amount of its property and equipment for possible impairment whenever events or changes in circumstances indicate that the carrying amount of an asset may not be recoverable based on undiscounted estimated future cash flows expected to result from its use and eventual disposition. The factors considered by the Company in performing this assessment include current operating results, trends and prospects, as well as the effect of obsolescence, demand, competition and other regulatory and economic factors. For purposes of recognizing and measuring impairment, assets are grouped at the individual property level representing the lowest level for which identifiable cash flows are largely independent of the cash flows of other assets. In assessing the recoverability of the carrying amount of property and equipment, we must make assumptions regarding future cash flows and other factors. If these estimates or the related assumptions change in the future, we may be required to record an impairment loss for these assets. Such an impairment loss would be recognized as a non-cash component of operating income. See </w:t>
      </w:r>
      <w:hyperlink w:anchor="page79">
        <w:r>
          <w:rPr>
            <w:rFonts w:ascii="Arial" w:cs="Arial" w:eastAsia="Arial" w:hAnsi="Arial"/>
            <w:sz w:val="16"/>
            <w:szCs w:val="16"/>
            <w:u w:val="single" w:color="auto"/>
            <w:color w:val="0000FF"/>
          </w:rPr>
          <w:t>Note 8, “Property and Equipment.”</w:t>
        </w:r>
      </w:hyperlink>
    </w:p>
    <w:p>
      <w:pPr>
        <w:spacing w:after="0" w:line="125" w:lineRule="exact"/>
        <w:rPr>
          <w:sz w:val="20"/>
          <w:szCs w:val="20"/>
          <w:color w:val="auto"/>
        </w:rPr>
      </w:pPr>
    </w:p>
    <w:p>
      <w:pPr>
        <w:ind w:right="200" w:firstLine="324"/>
        <w:spacing w:after="0" w:line="269" w:lineRule="auto"/>
        <w:rPr>
          <w:sz w:val="20"/>
          <w:szCs w:val="20"/>
          <w:color w:val="auto"/>
        </w:rPr>
      </w:pPr>
      <w:r>
        <w:rPr>
          <w:rFonts w:ascii="Arial" w:cs="Arial" w:eastAsia="Arial" w:hAnsi="Arial"/>
          <w:sz w:val="17"/>
          <w:szCs w:val="17"/>
          <w:b w:val="1"/>
          <w:bCs w:val="1"/>
          <w:i w:val="1"/>
          <w:iCs w:val="1"/>
          <w:color w:val="auto"/>
        </w:rPr>
        <w:t xml:space="preserve">Goodwill and Other Intangible Assets: </w:t>
      </w:r>
      <w:r>
        <w:rPr>
          <w:rFonts w:ascii="Arial" w:cs="Arial" w:eastAsia="Arial" w:hAnsi="Arial"/>
          <w:sz w:val="17"/>
          <w:szCs w:val="17"/>
          <w:color w:val="auto"/>
        </w:rPr>
        <w:t>Goodwill represents the future economic benefits of a business combination measured as the excess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price over the fair value of net assets acquired and has been allocated to our reporting units. Goodwill is tested annually, or more frequently if indicators of impairment exist. For the quantitative goodwill impairment test, an income approach, in which a discounted cash flow (“DCF”) model is utilized, and a market-based approach using guideline public company multiples of earnings before interest, taxes, depreciation, and amortization (“EBITDA”) from the Company’s peer group are utilized in order to estimate the fair market value of the Company’s reporting units. In determining the carrying amount of each reporting unit that utilizes real estate assets subject to our Triple Net Leases, if and as applicable, (i) the Company allocates each reporting unit their pro-rata portion of the right-of-use (“ROU”) assets, lease liabilities, and/or financing obligations, and (ii) pushes down the carrying amount of the property and equipment subject to such leases. The Company compares the fair value of its reporting units to the carrying amounts. If the carrying amount of the reporting unit exceeds the fair value, an impairment is recorded equal to the amount of the excess (not to exceed the amount of goodwill allocated to the reporting unit).</w:t>
      </w:r>
    </w:p>
    <w:p>
      <w:pPr>
        <w:spacing w:after="0" w:line="15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consider our gaming licenses, trademarks, and certain other intangible assets to be indefinite-lived based on our future expectations to operate our gaming properties indefinitely as well as our historical experience in renewing these intangible assets at minimal cost with various state commissions. Indefinite-lived intangible assets are tested annually for impairment, or more frequently if indicators of impairment exist, by comparing the fair value of the recorded assets to their carrying amount. If the carrying amounts of the indefinite-lived intangible assets exceed their fair value, an impairment is recognized. The Company completes its testing of its indefinite-lived intangible assets prior to assessing the realizability of its goodwill.</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assesses the fair value of its gaming licenses using the Greenfield Method under the income approach, which estimates the fair value using a DCF model assuming the Company built a casino with similar utility to that of the existing casino. The method assumes a theoretical start-up company going into business without any assets other than the intangible asset being valued. The Company assesses the fair value of its trademarks using the relief-from-royalty method under the income approach. The principle behind this method is that the value of the trademark is equal to the present value of the after-tax royalty savings attributable to the owned trademark.</w:t>
      </w:r>
    </w:p>
    <w:p>
      <w:pPr>
        <w:spacing w:after="0" w:line="147" w:lineRule="exact"/>
        <w:rPr>
          <w:sz w:val="20"/>
          <w:szCs w:val="20"/>
          <w:color w:val="auto"/>
        </w:rPr>
      </w:pPr>
    </w:p>
    <w:p>
      <w:pPr>
        <w:ind w:right="60" w:firstLine="324"/>
        <w:spacing w:after="0" w:line="279" w:lineRule="auto"/>
        <w:rPr>
          <w:rFonts w:ascii="Arial" w:cs="Arial" w:eastAsia="Arial" w:hAnsi="Arial"/>
          <w:sz w:val="16"/>
          <w:szCs w:val="16"/>
          <w:color w:val="auto"/>
        </w:rPr>
      </w:pPr>
      <w:r>
        <w:rPr>
          <w:rFonts w:ascii="Arial" w:cs="Arial" w:eastAsia="Arial" w:hAnsi="Arial"/>
          <w:sz w:val="16"/>
          <w:szCs w:val="16"/>
          <w:color w:val="auto"/>
        </w:rPr>
        <w:t>Our annual goodwill and other indefinite-lived intangible assets impairment test is performed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Once an impairment of goodwill or other intangible asset has been recorded, it cannot be reversed. Other intangible assets that have a definite-life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If the carrying amount of the amortizing intangible assets exceed their fair value, an impairment is recognized. See </w:t>
      </w:r>
      <w:hyperlink w:anchor="page80">
        <w:r>
          <w:rPr>
            <w:rFonts w:ascii="Arial" w:cs="Arial" w:eastAsia="Arial" w:hAnsi="Arial"/>
            <w:sz w:val="16"/>
            <w:szCs w:val="16"/>
            <w:u w:val="single" w:color="auto"/>
            <w:color w:val="0000FF"/>
          </w:rPr>
          <w:t>Note 9, “Goodwill and Other Intangible Assets.”</w:t>
        </w:r>
      </w:hyperlink>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Equity Securities: </w:t>
      </w:r>
      <w:r>
        <w:rPr>
          <w:rFonts w:ascii="Arial" w:cs="Arial" w:eastAsia="Arial" w:hAnsi="Arial"/>
          <w:sz w:val="18"/>
          <w:szCs w:val="18"/>
          <w:color w:val="auto"/>
        </w:rPr>
        <w:t>The Company’s equity securities (including warrants) are measured at fair value each reporting period with unrealized holding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included in current period earnings. During the year ended December 31, 2020, the Company recognized a holding gain of $106.7 million related to equity securities, which is included in “Other,” as reported in “Other income (expenses)” within our Consolidated Statements of Operations and Comprehensive Income (Loss).</w:t>
      </w:r>
    </w:p>
    <w:p>
      <w:pPr>
        <w:spacing w:after="0" w:line="146" w:lineRule="exact"/>
        <w:rPr>
          <w:sz w:val="20"/>
          <w:szCs w:val="20"/>
          <w:color w:val="auto"/>
        </w:rPr>
      </w:pPr>
    </w:p>
    <w:p>
      <w:pPr>
        <w:ind w:right="20" w:firstLine="324"/>
        <w:spacing w:after="0" w:line="25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Convertible Debt: </w:t>
      </w:r>
      <w:r>
        <w:rPr>
          <w:rFonts w:ascii="Arial" w:cs="Arial" w:eastAsia="Arial" w:hAnsi="Arial"/>
          <w:sz w:val="18"/>
          <w:szCs w:val="18"/>
          <w:color w:val="auto"/>
        </w:rPr>
        <w:t>Under ASC 470-20, “Debt with Conversion and Other Options” (“ASC 470-20”), an entity must separately account for the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equity components of convertible debt instruments that may be settled entirely or partially in cash upon conversion in a manner that reflects the issuer’s economic interest. The effect of ASC 470-20 on the accounting for our Convertible Notes is that the equity component is required to be included in “Additional paid-in capital” within our Consolidated Balance Sheets at the issuance date and the value of the equity component is treated as a debt discount. See </w:t>
      </w:r>
      <w:hyperlink w:anchor="page83">
        <w:r>
          <w:rPr>
            <w:rFonts w:ascii="Arial" w:cs="Arial" w:eastAsia="Arial" w:hAnsi="Arial"/>
            <w:sz w:val="18"/>
            <w:szCs w:val="18"/>
            <w:u w:val="single" w:color="auto"/>
            <w:color w:val="0000FF"/>
          </w:rPr>
          <w:t>Note 11, “Long-term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4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b w:val="1"/>
          <w:bCs w:val="1"/>
          <w:i w:val="1"/>
          <w:iCs w:val="1"/>
          <w:color w:val="auto"/>
        </w:rPr>
        <w:t xml:space="preserve">Financing Obligations: </w:t>
      </w:r>
      <w:r>
        <w:rPr>
          <w:rFonts w:ascii="Arial" w:cs="Arial" w:eastAsia="Arial" w:hAnsi="Arial"/>
          <w:sz w:val="18"/>
          <w:szCs w:val="18"/>
          <w:color w:val="auto"/>
        </w:rPr>
        <w:t>Subsequent to the adoption of ASC 842, “Leases” (“ASC 842”) on January 1, 2019, certain of the components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Master Leases (primarily buildings) are accounted for as financing obligations, rather than leases. Prior to the adoption of ASC 842, our Master Leases, in their entirety, were accounted for as financing obligations.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November 1, 2013, the Company spun-off its real estate assets into GLPI (the “Spin-Off”) and entered into the Penn Master Lease. This transaction did not meet all of the requirements for sale-leaseback accounting treatment under ASC 840, “Leases,” (“ASC 840”); specifically, the Penn Master Lease contains provisions that indicate the Company has prohibited forms of continuing involvement in the leased assets, which are not a normal</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leaseback. Accordingly, at lease inception, we calculated a financing obligation based on the future minimum lease payments discounted at our estimated incremental borrowing rate at lease inception over the lease term of 35 years, which was determined to be 9.7%. The lease term included renewal options that were reasonably assured of being exercised and the funded construction of certain leased assets in development at the commencement of the Penn Master Lease.</w:t>
      </w:r>
    </w:p>
    <w:p>
      <w:pPr>
        <w:spacing w:after="0" w:line="15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October 15, 2018, in connection with the Pinnacle Acquisition, we assumed the Pinnacle Master Lease. Within a business combination, an arrangement that previously did not meet all of the requirements for sale-leaseback accounting treatment (and is accounted for as a financing obligation by the acquiree) retains its classification as a financing obligation on the acquiring entity’s consolidated balance sheets at the business combination date. As of the date of acquisition, we calculated the financing obligation based on the future minimum lease payments discounted at a rate determined to be fair value at the business combination date, which was determined to be 7.3%, over the remaining lease term of 32.5 years. The remaining lease term included renewal options that were reasonably assured of being exercised. Furthermore, in conjunction with the Pinnacle Acquisition, GLPI acquired the real estate assets associated with Plainridge Park Casino and leased back such assets to the Company pursuant to an amendment to the Pinnacle Master Lease (the “Plainridge Park Casino Sale-Leaseback”). The effective yield used to determine the financing obligation associated with the Plainridge Park Casino Sale-Leaseback was 9.6%.</w:t>
      </w:r>
    </w:p>
    <w:p>
      <w:pPr>
        <w:spacing w:after="0" w:line="154" w:lineRule="exact"/>
        <w:rPr>
          <w:sz w:val="20"/>
          <w:szCs w:val="20"/>
          <w:color w:val="auto"/>
        </w:rPr>
      </w:pPr>
    </w:p>
    <w:p>
      <w:pPr>
        <w:ind w:right="120" w:firstLine="324"/>
        <w:spacing w:after="0" w:line="271" w:lineRule="auto"/>
        <w:rPr>
          <w:rFonts w:ascii="Arial" w:cs="Arial" w:eastAsia="Arial" w:hAnsi="Arial"/>
          <w:sz w:val="17"/>
          <w:szCs w:val="17"/>
          <w:color w:val="0000FF"/>
        </w:rPr>
      </w:pPr>
      <w:r>
        <w:rPr>
          <w:rFonts w:ascii="Arial" w:cs="Arial" w:eastAsia="Arial" w:hAnsi="Arial"/>
          <w:sz w:val="17"/>
          <w:szCs w:val="17"/>
          <w:color w:val="auto"/>
        </w:rPr>
        <w:t xml:space="preserve">Subsequent to the adoption of ASC 842, minimum lease payments under our Master Lease are allocated between components that continue to be financing obligations (primarily buildings) and operating lease components (primarily land). Minimum lease payments related to financing obligations are recorded to interest expense and, in part, as repayments of principal reducing the associated financing obligations. Contingent payments are recorded as interest expense as incurred. The real estate assets subject to the Master Leases and which are accounted for as failed sales, are included in “Property and equipment, net” within the Company’s Consolidated Balance Sheets and are depreciated over the shorter of their remaining useful lives or lease term. Principal payments associated with financing obligations are presented as financing cash outflows and interest payments associated with financing </w:t>
      </w:r>
      <w:hyperlink w:anchor="page79">
        <w:r>
          <w:rPr>
            <w:rFonts w:ascii="Arial" w:cs="Arial" w:eastAsia="Arial" w:hAnsi="Arial"/>
            <w:sz w:val="17"/>
            <w:szCs w:val="17"/>
            <w:color w:val="auto"/>
          </w:rPr>
          <w:t xml:space="preserve">obligations are presented as operating cash outflows within our Consolidated Statements of Cash Flows. For more information, see </w:t>
        </w:r>
        <w:r>
          <w:rPr>
            <w:rFonts w:ascii="Arial" w:cs="Arial" w:eastAsia="Arial" w:hAnsi="Arial"/>
            <w:sz w:val="17"/>
            <w:szCs w:val="17"/>
            <w:u w:val="single" w:color="auto"/>
            <w:color w:val="0000FF"/>
          </w:rPr>
          <w:t>Note 8, “Property and</w:t>
        </w:r>
      </w:hyperlink>
      <w:r>
        <w:rPr>
          <w:rFonts w:ascii="Arial" w:cs="Arial" w:eastAsia="Arial" w:hAnsi="Arial"/>
          <w:sz w:val="17"/>
          <w:szCs w:val="17"/>
          <w:color w:val="auto"/>
        </w:rPr>
        <w:t xml:space="preserve"> </w:t>
      </w:r>
      <w:hyperlink w:anchor="page79">
        <w:r>
          <w:rPr>
            <w:rFonts w:ascii="Arial" w:cs="Arial" w:eastAsia="Arial" w:hAnsi="Arial"/>
            <w:sz w:val="17"/>
            <w:szCs w:val="17"/>
            <w:u w:val="single" w:color="auto"/>
            <w:color w:val="0000FF"/>
          </w:rPr>
          <w:t>Equipment,”</w:t>
        </w:r>
        <w:r>
          <w:rPr>
            <w:rFonts w:ascii="Arial" w:cs="Arial" w:eastAsia="Arial" w:hAnsi="Arial"/>
            <w:sz w:val="17"/>
            <w:szCs w:val="17"/>
            <w:color w:val="0000FF"/>
          </w:rPr>
          <w:t xml:space="preserve"> </w:t>
        </w:r>
        <w:r>
          <w:rPr>
            <w:rFonts w:ascii="Arial" w:cs="Arial" w:eastAsia="Arial" w:hAnsi="Arial"/>
            <w:sz w:val="17"/>
            <w:szCs w:val="17"/>
            <w:color w:val="000000"/>
          </w:rPr>
          <w:t>and</w:t>
        </w:r>
        <w:r>
          <w:rPr>
            <w:rFonts w:ascii="Arial" w:cs="Arial" w:eastAsia="Arial" w:hAnsi="Arial"/>
            <w:sz w:val="17"/>
            <w:szCs w:val="17"/>
            <w:color w:val="0000FF"/>
          </w:rPr>
          <w:t xml:space="preserve"> </w:t>
        </w:r>
      </w:hyperlink>
      <w:hyperlink w:anchor="page88">
        <w:r>
          <w:rPr>
            <w:rFonts w:ascii="Arial" w:cs="Arial" w:eastAsia="Arial" w:hAnsi="Arial"/>
            <w:sz w:val="17"/>
            <w:szCs w:val="17"/>
            <w:u w:val="single" w:color="auto"/>
            <w:color w:val="0000FF"/>
          </w:rPr>
          <w:t>Note 12, “Leases”</w:t>
        </w:r>
      </w:hyperlink>
      <w:hyperlink w:anchor="page79">
        <w:r>
          <w:rPr>
            <w:rFonts w:ascii="Arial" w:cs="Arial" w:eastAsia="Arial" w:hAnsi="Arial"/>
            <w:sz w:val="17"/>
            <w:szCs w:val="17"/>
            <w:color w:val="000000"/>
          </w:rPr>
          <w:t>.</w:t>
        </w:r>
      </w:hyperlink>
    </w:p>
    <w:p>
      <w:pPr>
        <w:spacing w:after="0" w:line="138" w:lineRule="exact"/>
        <w:rPr>
          <w:rFonts w:ascii="Arial" w:cs="Arial" w:eastAsia="Arial" w:hAnsi="Arial"/>
          <w:sz w:val="17"/>
          <w:szCs w:val="17"/>
          <w:color w:val="0000FF"/>
        </w:rPr>
      </w:pPr>
    </w:p>
    <w:p>
      <w:pPr>
        <w:ind w:right="260" w:firstLine="324"/>
        <w:spacing w:after="0" w:line="308" w:lineRule="auto"/>
        <w:rPr>
          <w:sz w:val="20"/>
          <w:szCs w:val="20"/>
          <w:color w:val="auto"/>
        </w:rPr>
      </w:pPr>
      <w:r>
        <w:rPr>
          <w:rFonts w:ascii="Arial" w:cs="Arial" w:eastAsia="Arial" w:hAnsi="Arial"/>
          <w:sz w:val="16"/>
          <w:szCs w:val="16"/>
          <w:color w:val="auto"/>
        </w:rPr>
        <w:t>On October 1, 2020, we sold the land underlying our Morgantown development project to GLPI in exchange for rent credits of $30.0 million. Contemporaneous with the sale, the Company entered into a triple net lease with GLPI for the land underlying Morgantown (as defined and discussed in</w:t>
      </w:r>
    </w:p>
    <w:p>
      <w:pPr>
        <w:spacing w:after="0"/>
        <w:rPr>
          <w:rFonts w:ascii="Arial" w:cs="Arial" w:eastAsia="Arial" w:hAnsi="Arial"/>
          <w:sz w:val="17"/>
          <w:szCs w:val="17"/>
          <w:color w:val="0000FF"/>
        </w:rPr>
      </w:pPr>
      <w:hyperlink w:anchor="page88">
        <w:r>
          <w:rPr>
            <w:rFonts w:ascii="Arial" w:cs="Arial" w:eastAsia="Arial" w:hAnsi="Arial"/>
            <w:sz w:val="17"/>
            <w:szCs w:val="17"/>
            <w:u w:val="single" w:color="auto"/>
            <w:color w:val="0000FF"/>
          </w:rPr>
          <w:t>Note 12, “Leases.”</w:t>
        </w:r>
      </w:hyperlink>
      <w:r>
        <w:rPr>
          <w:rFonts w:ascii="Arial" w:cs="Arial" w:eastAsia="Arial" w:hAnsi="Arial"/>
          <w:sz w:val="17"/>
          <w:szCs w:val="17"/>
          <w:color w:val="000000"/>
        </w:rPr>
        <w:t>). The sale-leaseback transaction did not meet the requirements for sale accounting as control of the underlying asset as defined in</w:t>
      </w:r>
    </w:p>
    <w:p>
      <w:pPr>
        <w:spacing w:after="0" w:line="61" w:lineRule="exact"/>
        <w:rPr>
          <w:rFonts w:ascii="Arial" w:cs="Arial" w:eastAsia="Arial" w:hAnsi="Arial"/>
          <w:sz w:val="17"/>
          <w:szCs w:val="17"/>
          <w:color w:val="0000FF"/>
        </w:rPr>
      </w:pPr>
    </w:p>
    <w:p>
      <w:pPr>
        <w:jc w:val="both"/>
        <w:ind w:right="100"/>
        <w:spacing w:after="0" w:line="263" w:lineRule="auto"/>
        <w:rPr>
          <w:sz w:val="20"/>
          <w:szCs w:val="20"/>
          <w:color w:val="auto"/>
        </w:rPr>
      </w:pPr>
      <w:r>
        <w:rPr>
          <w:rFonts w:ascii="Arial" w:cs="Arial" w:eastAsia="Arial" w:hAnsi="Arial"/>
          <w:sz w:val="18"/>
          <w:szCs w:val="18"/>
          <w:color w:val="auto"/>
        </w:rPr>
        <w:t>accordance with ASC 842 remains with the Company. Accordingly, at lease inception, we calculated a financing obligation based on the future minimum lease payments discounted at our estimated incremental borrowing rate over the lease term of 50 years, which was determined to be 11.4%. The lease term included renewal options that were reasonably assured of being exercised.</w:t>
      </w:r>
    </w:p>
    <w:p>
      <w:pPr>
        <w:spacing w:after="0" w:line="211" w:lineRule="exact"/>
        <w:rPr>
          <w:rFonts w:ascii="Arial" w:cs="Arial" w:eastAsia="Arial" w:hAnsi="Arial"/>
          <w:sz w:val="17"/>
          <w:szCs w:val="17"/>
          <w:color w:val="0000FF"/>
        </w:rPr>
      </w:pPr>
    </w:p>
    <w:p>
      <w:pPr>
        <w:ind w:right="340" w:firstLine="324"/>
        <w:spacing w:after="0" w:line="301" w:lineRule="auto"/>
        <w:rPr>
          <w:sz w:val="20"/>
          <w:szCs w:val="20"/>
          <w:color w:val="auto"/>
        </w:rPr>
      </w:pPr>
      <w:r>
        <w:rPr>
          <w:rFonts w:ascii="Arial" w:cs="Arial" w:eastAsia="Arial" w:hAnsi="Arial"/>
          <w:sz w:val="16"/>
          <w:szCs w:val="16"/>
          <w:b w:val="1"/>
          <w:bCs w:val="1"/>
          <w:i w:val="1"/>
          <w:iCs w:val="1"/>
          <w:color w:val="auto"/>
        </w:rPr>
        <w:t xml:space="preserve">Operating and Finance Leases: </w:t>
      </w:r>
      <w:r>
        <w:rPr>
          <w:rFonts w:ascii="Arial" w:cs="Arial" w:eastAsia="Arial" w:hAnsi="Arial"/>
          <w:sz w:val="16"/>
          <w:szCs w:val="16"/>
          <w:color w:val="auto"/>
        </w:rPr>
        <w:t>The Company determines if a contract is or contains a leasing element at contract inception or the date in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modification of an existing contract occurs. In order for a contract to be considered a lease, the contract must transfer the right to control the use of an identified asset for a period of time in exchange for consideration. Control is determined to have occurred if the lessee has the right to (i) obtain substantially all of the economic benefits from the use of the identified asset throughout the period of use and (ii) direct the use of the identified asset.</w:t>
      </w:r>
    </w:p>
    <w:p>
      <w:pPr>
        <w:spacing w:after="0" w:line="117" w:lineRule="exact"/>
        <w:rPr>
          <w:rFonts w:ascii="Arial" w:cs="Arial" w:eastAsia="Arial" w:hAnsi="Arial"/>
          <w:sz w:val="17"/>
          <w:szCs w:val="17"/>
          <w:color w:val="0000FF"/>
        </w:rPr>
      </w:pPr>
    </w:p>
    <w:p>
      <w:pPr>
        <w:ind w:firstLine="324"/>
        <w:spacing w:after="0" w:line="259" w:lineRule="auto"/>
        <w:rPr>
          <w:sz w:val="20"/>
          <w:szCs w:val="20"/>
          <w:color w:val="auto"/>
        </w:rPr>
      </w:pPr>
      <w:r>
        <w:rPr>
          <w:rFonts w:ascii="Arial" w:cs="Arial" w:eastAsia="Arial" w:hAnsi="Arial"/>
          <w:sz w:val="18"/>
          <w:szCs w:val="18"/>
          <w:color w:val="auto"/>
        </w:rPr>
        <w:t>Upon adoption of ASC 842, we elected the following policies: (a) to account for lease and non-lease components as a single component for all classes of underlying assets and (b) to not recognize short-term leases (i.e., leases that are less than 12 months and do not contain purchase options) within the Consolidated Balance Sheets, with the expense related to these short-term leases recorded in total operating expenses within the Consolidated Statements of Operations and Comprehensive Income (Loss).</w:t>
      </w:r>
    </w:p>
    <w:p>
      <w:pPr>
        <w:spacing w:after="0" w:line="160" w:lineRule="exact"/>
        <w:rPr>
          <w:rFonts w:ascii="Arial" w:cs="Arial" w:eastAsia="Arial" w:hAnsi="Arial"/>
          <w:sz w:val="17"/>
          <w:szCs w:val="17"/>
          <w:color w:val="0000FF"/>
        </w:rPr>
      </w:pPr>
    </w:p>
    <w:p>
      <w:pPr>
        <w:ind w:right="20" w:firstLine="324"/>
        <w:spacing w:after="0" w:line="271" w:lineRule="auto"/>
        <w:rPr>
          <w:sz w:val="20"/>
          <w:szCs w:val="20"/>
          <w:color w:val="auto"/>
        </w:rPr>
      </w:pPr>
      <w:r>
        <w:rPr>
          <w:rFonts w:ascii="Arial" w:cs="Arial" w:eastAsia="Arial" w:hAnsi="Arial"/>
          <w:sz w:val="17"/>
          <w:szCs w:val="17"/>
          <w:color w:val="auto"/>
        </w:rPr>
        <w:t>The Company has leasing arrangements that contain both lease and non-lease components. We account for both the lease and non-lease components as a single component for all classes of underlying assets. In determining the present value of lease payments at lease commencement date, the Company utilizes its incremental borrowing rate based on the information available, unless the rate implicit in the lease is readily determinable. The liability for operating and finance leases is based on the present value of future lease payments. Operating lease expenses are recorded as rent expense, which is included within general and administrative expense, within the Consolidated Statements of Operations and Comprehensive Income (Loss) and presented as operating cash outflows within the Consolidated Statements of Cash Flows. Finance lease expenses are recorded as depreciation expense, which is included within depreciation and amortization expense within the Consolidated Statements of Operations and Comprehensive Income (Loss) and interest expense over the lease term. Principal payments associated with finance leases are</w:t>
      </w:r>
    </w:p>
    <w:p>
      <w:pPr>
        <w:spacing w:after="0" w:line="200" w:lineRule="exact"/>
        <w:rPr>
          <w:rFonts w:ascii="Arial" w:cs="Arial" w:eastAsia="Arial" w:hAnsi="Arial"/>
          <w:sz w:val="17"/>
          <w:szCs w:val="17"/>
          <w:color w:val="0000FF"/>
        </w:rPr>
      </w:pPr>
    </w:p>
    <w:p>
      <w:pPr>
        <w:spacing w:after="0" w:line="200" w:lineRule="exact"/>
        <w:rPr>
          <w:rFonts w:ascii="Arial" w:cs="Arial" w:eastAsia="Arial" w:hAnsi="Arial"/>
          <w:sz w:val="17"/>
          <w:szCs w:val="17"/>
          <w:color w:val="0000FF"/>
        </w:rPr>
      </w:pPr>
    </w:p>
    <w:p>
      <w:pPr>
        <w:spacing w:after="0" w:line="291" w:lineRule="exact"/>
        <w:rPr>
          <w:rFonts w:ascii="Arial" w:cs="Arial" w:eastAsia="Arial" w:hAnsi="Arial"/>
          <w:sz w:val="17"/>
          <w:szCs w:val="17"/>
          <w:color w:val="0000FF"/>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presented as financing cash outflows and interest payments associated with finance leases are presented as operating cash outflows within our Consolidated Statements of Cash Flows.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Debt Discount and Debt Issuance Costs: </w:t>
      </w:r>
      <w:r>
        <w:rPr>
          <w:rFonts w:ascii="Arial" w:cs="Arial" w:eastAsia="Arial" w:hAnsi="Arial"/>
          <w:sz w:val="18"/>
          <w:szCs w:val="18"/>
          <w:color w:val="auto"/>
        </w:rPr>
        <w:t>Debt issuance costs that are incurred by the Company in connection with the issuance of debt are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amortized to interest expense using the effective interest method over the contractual term of the underlying indebtedness. These costs are classified as a direct reduction of long-term debt within the Company’s Consolidated Balance Sheets.</w:t>
      </w:r>
    </w:p>
    <w:p>
      <w:pPr>
        <w:spacing w:after="0" w:line="157"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The Company is self-insured for employee health coverage, general liability and workers’ compensation up to certain stop-loss amounts (for general liability and workers’ compensation). We use a reserve method for each reported claim plus an allowance for claims incurred but not yet reported to a fully-developed claims reserve method based on an actuarial computation of ultimate liability. Self-insurance reserves are included in “Accrued expenses and other current liabilities” within the Company’s Consolidated Balance Sheets.</w:t>
      </w:r>
    </w:p>
    <w:p>
      <w:pPr>
        <w:spacing w:after="0" w:line="13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Contingent Purchase Price: </w:t>
      </w:r>
      <w:r>
        <w:rPr>
          <w:rFonts w:ascii="Arial" w:cs="Arial" w:eastAsia="Arial" w:hAnsi="Arial"/>
          <w:sz w:val="17"/>
          <w:szCs w:val="17"/>
          <w:color w:val="auto"/>
        </w:rPr>
        <w:t>The consideration for the Company’s acquisitions may include future payments that are contingent upon the occurrence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particular event. We record an obligation for such contingent payments at fair value as of the acquisition date. We revalue our contingent purchase price obligations each reporting period. Changes in the fair value of the contingent purchase price obligation can result from changes to one or multiple inputs, including adjustments to the discount rate and changes in the assumed probabilities of successful achievement of certain financial targets. The changes in the fair value of contingent purchase price are recognized within our Consolidated Statements of Operations and Comprehensive Income (Loss) as a component of “General and administrative” expense.</w:t>
      </w:r>
    </w:p>
    <w:p>
      <w:pPr>
        <w:spacing w:after="0" w:line="124" w:lineRule="exact"/>
        <w:rPr>
          <w:sz w:val="20"/>
          <w:szCs w:val="20"/>
          <w:color w:val="auto"/>
        </w:rPr>
      </w:pPr>
    </w:p>
    <w:p>
      <w:pPr>
        <w:ind w:right="60" w:firstLine="324"/>
        <w:spacing w:after="0" w:line="24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Under ASC 740, “Income Taxes” (“ASC 740”), deferred tax assets and liabilities are determined based on the differences between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more-likely-than-not (a greater than 50% probability) that some portion or all of the deferred tax assets will not be realized.</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realizability of the net deferred tax assets is evaluated quarterly by assessing the valuation allowance and by adjusting the amount of the allowance, if necessary. The Company considers all available positive and negative evidence including projected future taxable income and available tax planning strategies that could be implemented to realize the net deferred tax assets. The evaluation of both positive and negative evidence is a requirement pursuant to ASC 740 in determining more-likely-than-not the net deferred tax assets will be realized. In the event the Company determines that the deferred income tax assets would be realized in the future in excess of their net recorded amount, an adjustment to the valuation allowance would be recorded, which would reduce the provision for income taxes.</w:t>
      </w:r>
    </w:p>
    <w:p>
      <w:pPr>
        <w:spacing w:after="0" w:line="219" w:lineRule="exact"/>
        <w:rPr>
          <w:sz w:val="20"/>
          <w:szCs w:val="20"/>
          <w:color w:val="auto"/>
        </w:rPr>
      </w:pPr>
    </w:p>
    <w:p>
      <w:pPr>
        <w:ind w:right="180"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See </w:t>
      </w:r>
      <w:hyperlink w:anchor="page94">
        <w:r>
          <w:rPr>
            <w:rFonts w:ascii="Arial" w:cs="Arial" w:eastAsia="Arial" w:hAnsi="Arial"/>
            <w:sz w:val="18"/>
            <w:szCs w:val="18"/>
            <w:u w:val="single" w:color="auto"/>
            <w:color w:val="0000FF"/>
          </w:rPr>
          <w:t>Note 14, “Income Taxes.”</w:t>
        </w:r>
      </w:hyperlink>
    </w:p>
    <w:p>
      <w:pPr>
        <w:spacing w:after="0" w:line="214" w:lineRule="exact"/>
        <w:rPr>
          <w:sz w:val="20"/>
          <w:szCs w:val="20"/>
          <w:color w:val="auto"/>
        </w:rPr>
      </w:pPr>
    </w:p>
    <w:p>
      <w:pPr>
        <w:ind w:firstLine="324"/>
        <w:spacing w:after="0" w:line="275" w:lineRule="auto"/>
        <w:rPr>
          <w:rFonts w:ascii="Arial" w:cs="Arial" w:eastAsia="Arial" w:hAnsi="Arial"/>
          <w:sz w:val="17"/>
          <w:szCs w:val="17"/>
          <w:color w:val="0000FF"/>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Our revenue from contracts with customers consists of gaming wagers, food and beverage transactions, retail transactions, hotel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room sales, racing wagers, sports betting wagers, and management services related to the management of external casinos and reimbursable costs associated with management contracts. In May 2018, our management contract was terminated for Hollywood Casino-Jamul San Diego, which is located in </w:t>
      </w:r>
      <w:hyperlink w:anchor="page71">
        <w:r>
          <w:rPr>
            <w:rFonts w:ascii="Arial" w:cs="Arial" w:eastAsia="Arial" w:hAnsi="Arial"/>
            <w:sz w:val="17"/>
            <w:szCs w:val="17"/>
            <w:color w:val="auto"/>
          </w:rPr>
          <w:t xml:space="preserve">San Diego, California. In addition, our management contract was terminated for Casino Rama, which is located in Ontario, Canada, in July 2018. See </w:t>
        </w:r>
        <w:r>
          <w:rPr>
            <w:rFonts w:ascii="Arial" w:cs="Arial" w:eastAsia="Arial" w:hAnsi="Arial"/>
            <w:sz w:val="17"/>
            <w:szCs w:val="17"/>
            <w:u w:val="single" w:color="auto"/>
            <w:color w:val="0000FF"/>
          </w:rPr>
          <w:t>Note</w:t>
        </w:r>
      </w:hyperlink>
      <w:r>
        <w:rPr>
          <w:rFonts w:ascii="Arial" w:cs="Arial" w:eastAsia="Arial" w:hAnsi="Arial"/>
          <w:sz w:val="17"/>
          <w:szCs w:val="17"/>
          <w:color w:val="auto"/>
        </w:rPr>
        <w:t xml:space="preserve"> </w:t>
      </w:r>
      <w:hyperlink w:anchor="page71">
        <w:r>
          <w:rPr>
            <w:rFonts w:ascii="Arial" w:cs="Arial" w:eastAsia="Arial" w:hAnsi="Arial"/>
            <w:sz w:val="17"/>
            <w:szCs w:val="17"/>
            <w:u w:val="single" w:color="auto"/>
            <w:color w:val="0000FF"/>
          </w:rPr>
          <w:t>5, “Revenue Disaggregation,”</w:t>
        </w:r>
        <w:r>
          <w:rPr>
            <w:rFonts w:ascii="Arial" w:cs="Arial" w:eastAsia="Arial" w:hAnsi="Arial"/>
            <w:sz w:val="17"/>
            <w:szCs w:val="17"/>
            <w:color w:val="0000FF"/>
          </w:rPr>
          <w:t xml:space="preserve"> </w:t>
        </w:r>
        <w:r>
          <w:rPr>
            <w:rFonts w:ascii="Arial" w:cs="Arial" w:eastAsia="Arial" w:hAnsi="Arial"/>
            <w:sz w:val="17"/>
            <w:szCs w:val="17"/>
            <w:color w:val="000000"/>
          </w:rPr>
          <w:t>for information on our revenue by type and geographic location.</w:t>
        </w:r>
      </w:hyperlink>
    </w:p>
    <w:p>
      <w:pPr>
        <w:spacing w:after="0" w:line="14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transaction price for a gaming wagering contract is the difference between gaming wins and losses, not the total amount wagered. The transaction price for food and beverage, hotel and retail contracts is the net amount collected from the customer for such goods and services. Sales tax and other taxes collected on behalf of governmental authorities are accounted for on the net basis and are not included in revenues or expenses. The transaction price for our racing operations, inclusive of live racing events conducted at our racing facilities and our import and export arrangements, is the commission received from the pari-mutuel pool less contractual fees and obligations primarily consisting of purse funding requirements, simulcasting fees, tote fees and certain pari-mutuel taxes that are directly related to the racing operations. The transaction price for our former management service contracts was the amount collected for services rendered in accordance with the contractual terms. The transaction price for the reimbursable costs associated with our former management contracts was the gross amount of the reimbursable expenditure, which primarily consisted of payroll costs incurred by the Company for the benefit of the managed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entity. Since the Company was the controlling entity to the arrangement, the reimbursement was recorded on a gross basis with an offsetting amount charged to operating expense.</w:t>
      </w:r>
    </w:p>
    <w:p>
      <w:pPr>
        <w:spacing w:after="0" w:line="12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Gaming revenue contracts involve two performance obligations for those customers earning points under our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and a single performance obligation for customers that do not participate in the my</w:t>
      </w:r>
      <w:r>
        <w:rPr>
          <w:rFonts w:ascii="Arial" w:cs="Arial" w:eastAsia="Arial" w:hAnsi="Arial"/>
          <w:sz w:val="17"/>
          <w:szCs w:val="17"/>
          <w:b w:val="1"/>
          <w:bCs w:val="1"/>
          <w:color w:val="auto"/>
        </w:rPr>
        <w:t>choice</w:t>
      </w:r>
      <w:r>
        <w:rPr>
          <w:rFonts w:ascii="Arial" w:cs="Arial" w:eastAsia="Arial" w:hAnsi="Arial"/>
          <w:sz w:val="17"/>
          <w:szCs w:val="17"/>
          <w:color w:val="auto"/>
        </w:rPr>
        <w:t xml:space="preserve"> program. The Company applies a practical expedient by accounting for its gaming contracts on a portfolio basis as opposed to an individual wagering contract. For purposes of allocating the transaction price in a gaming contract between the wagering performance obligation and the obligation associated with the loyalty points earned, we allocate an amount to the loyalty point contract liability based on the standalone selling price (“SSP”) of the points earned, which is determined by the value of a point that can be redeemed for slot play and complimentaries such as, food and beverage at our restaurants, lodging at our hotels and products offered at our retail stores, less estimated breakage. The allocated revenue for gaming wagers is recognized when the wagering occurs as all such wagers settle immediately. The liability associated with the loyalty points is deferred and recognized as revenue when the customer redeems the loyalty points for slot play and complimentaries and such goods and services are delivered to the customer.</w:t>
      </w:r>
    </w:p>
    <w:p>
      <w:pPr>
        <w:spacing w:after="0" w:line="151" w:lineRule="exact"/>
        <w:rPr>
          <w:sz w:val="20"/>
          <w:szCs w:val="20"/>
          <w:color w:val="auto"/>
        </w:rPr>
      </w:pPr>
    </w:p>
    <w:p>
      <w:pPr>
        <w:ind w:right="240" w:firstLine="324"/>
        <w:spacing w:after="0" w:line="284" w:lineRule="auto"/>
        <w:rPr>
          <w:sz w:val="20"/>
          <w:szCs w:val="20"/>
          <w:color w:val="auto"/>
        </w:rPr>
      </w:pPr>
      <w:r>
        <w:rPr>
          <w:rFonts w:ascii="Arial" w:cs="Arial" w:eastAsia="Arial" w:hAnsi="Arial"/>
          <w:sz w:val="16"/>
          <w:szCs w:val="16"/>
          <w:color w:val="auto"/>
        </w:rPr>
        <w:t>Food and beverage, hotel and retail services have been determined to be separate, standalone performance obligations and the transaction price for such contracts is recorded as revenue as the good or service is transferred to the customer over their stay at the hotel or when the delivery is made for the food and beverage or retail product. Cancellation fees for hotel and meeting space services are recognized upon cancellation by the customer and are included in food, beverage, hotel and other revenue within our Consolidated Statements of Operations and Comprehensive Income (Loss).</w:t>
      </w:r>
    </w:p>
    <w:p>
      <w:pPr>
        <w:spacing w:after="0" w:line="18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Racing revenue contracts, inclusive of our (i) host racing facilities, (ii) import arrangements that permit us to simulcast in live racing events occurring at other racetracks, and (iii) export arrangements that permit our live racing events to be simulcast at other racetracks, provide access to and the processing of wagers into the pari-mutuel pool. The Company has concluded it is not the controlling entity to the arrangement, but rather functions as an agent to the pari-mutuel pool. Commissions earned from the pari-mutuel pool less contractual fees and obligations are recognized on a net basis, which is included within food, beverage, hotel and other revenues within our Consolidated Statements of Operations and Comprehensive Income (Loss).</w:t>
      </w:r>
    </w:p>
    <w:p>
      <w:pPr>
        <w:spacing w:after="0" w:line="186"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Management services have been determined to be separate, standalone performance obligations and the transaction price for such contracts was recorded as services were performed. The Company recorded revenues on a monthly basis calculated by applying the contractual rate called for in the contracts.</w:t>
      </w:r>
    </w:p>
    <w:p>
      <w:pPr>
        <w:spacing w:after="0" w:line="143"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In addition to sports betting and iGaming revenues, Penn Interactive generates in-app purchase and advertising revenues from free-to-play social casino games, which can be downloaded to mobile phones and tablets from digital storefronts. Players can purchase virtual playing credits within our social casino games, which allows for increased playing opportunities and functionality. Penn Interactive records deferred revenue from the sale of virtual playing credits and recognizes this revenue over the average redemption period of the credits, which is approximately three days. Advertising revenues are recognized in the period when the advertising impression, click or install delivery occurs.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Complimentaries Associated with Gaming Contracts</w:t>
      </w:r>
    </w:p>
    <w:p>
      <w:pPr>
        <w:spacing w:after="0" w:line="18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Food and beverage, hotel, and other services furnished to patrons for free as an inducement to gamble or through the redemption of our customers’ loyalty points are recorded as food and beverage, hotel, and other revenues, at their estimated SSPs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For the year ended December 31,</w:t>
            </w:r>
          </w:p>
        </w:tc>
        <w:tc>
          <w:tcPr>
            <w:tcW w:w="114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5"/>
                <w:szCs w:val="15"/>
                <w:color w:val="auto"/>
              </w:rPr>
            </w:pPr>
          </w:p>
        </w:tc>
        <w:tc>
          <w:tcPr>
            <w:tcW w:w="1260" w:type="dxa"/>
            <w:vAlign w:val="bottom"/>
          </w:tcPr>
          <w:p>
            <w:pPr>
              <w:jc w:val="right"/>
              <w:ind w:right="55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50"/>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55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Hotel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Total complimentaries associated with gaming contracts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Customer-related Liabilities</w:t>
      </w:r>
    </w:p>
    <w:p>
      <w:pPr>
        <w:spacing w:after="0" w:line="181"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The Company has three general types of liabilities related to contracts with customers: (i) the obligation associated with its my</w:t>
      </w:r>
      <w:r>
        <w:rPr>
          <w:rFonts w:ascii="Arial" w:cs="Arial" w:eastAsia="Arial" w:hAnsi="Arial"/>
          <w:sz w:val="18"/>
          <w:szCs w:val="18"/>
          <w:b w:val="1"/>
          <w:bCs w:val="1"/>
          <w:color w:val="auto"/>
        </w:rPr>
        <w:t>choice</w:t>
      </w:r>
      <w:r>
        <w:rPr>
          <w:rFonts w:ascii="Arial" w:cs="Arial" w:eastAsia="Arial" w:hAnsi="Arial"/>
          <w:sz w:val="18"/>
          <w:szCs w:val="18"/>
          <w:color w:val="auto"/>
        </w:rPr>
        <w:t xml:space="preserve"> program (loyalty points and tier status benefits), (ii) advance payments on goods and services yet to be provided 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unpaid wagers, and (iii) deferred revenue associated with third-party sports betting operators for online sports betting and related iGaming market access.</w:t>
      </w:r>
    </w:p>
    <w:p>
      <w:pPr>
        <w:spacing w:after="0" w:line="12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allows members to utilize their reward membership cards to earn loyalty points that are redeemable for slot play and complimentaries, such as food and beverage at our restaurants, lodging at our hotels and products offered at our retail stores across the vast majority of our properties. In addition, members of the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earn credit toward tier status, which entitles them to receive certain other benefits, such as gifts. The obligation associated with 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which is included in “Accrued expenses and other current liabilities” within our Consolidated Balance Sheets, was $35.8 million and $36.2 million as of December 31, 2020 and 2019, respectively, and consisted principally of the obligation associated with the loyalty points. Our loyalty point obligations are generally settled within six months of issuance; however, as a result of the COVID-19 pandemic and resulting temporary closures, loyalty point obligations may take longer to settle. Changes between the opening and closing balances primarily relate to the timing of our customers’ election to redeem loyalty points as well as the timing of when our customers receive their earned tier status benefits.</w:t>
      </w:r>
    </w:p>
    <w:p>
      <w:pPr>
        <w:spacing w:after="0" w:line="13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outstanding tickets generated by slot machine play or pari-mutuel wagering, (iv) outstanding chip liabilities, (v) unclaimed jackpots, and (vi) gift cards redeemable at our properties. Unpaid wagers primarily relate to the Company’s obligation to settle outstanding slot tickets, pari-mutuel racing tickets and gaming chips with customers and generally represent obligations stemming from prior wagering events, of which revenue was previously recognized. The Company’s advance payments on goods and services yet to be provided and for unpaid wagers were $47.1 million and $42.2 million as of December 31, 2020 and 2019, respectively, of which $0.5 million and $0.6 million were classified as long-term in both periods. The current portion and long-term portion of our advance payments on goods and services yet to be provided and for unpaid wagers are included in “Accrued expenses and other current liabilities” and “Other long-term liabilities” within our Consolidated Balance Sheets, respectively.</w:t>
      </w:r>
    </w:p>
    <w:p>
      <w:pPr>
        <w:spacing w:after="0" w:line="12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Penn Interactive enters into multi-year agreements with sports betting operators for online sports betting and related iGaming market access across our portfolio of properties, from which we received cash and equity securities, including ordinary shares and warrants, specific to two operator agreements. During the fourth quarter of 2019, certain of the operations contemplated by these agreements commenced, resulting in the recognition of $5.6 million and $0.6 million of revenue (most of which was previously deferred) during the year ended December 31, 2020 and 2019, respectively. Deferred revenue associated with third-party sports betting operators for online sports betting and related iGaming market access, which is included in “Other long-term liabilities” within our Consolidated Balance Sheets was $52.7 million and $43.6 million as of December 31, 2020 and 2019, respectively.</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b w:val="1"/>
          <w:bCs w:val="1"/>
          <w:i w:val="1"/>
          <w:iCs w:val="1"/>
          <w:color w:val="auto"/>
        </w:rPr>
        <w:t xml:space="preserve">Gaming and Racing Taxes: </w:t>
      </w:r>
      <w:r>
        <w:rPr>
          <w:rFonts w:ascii="Arial" w:cs="Arial" w:eastAsia="Arial" w:hAnsi="Arial"/>
          <w:sz w:val="17"/>
          <w:szCs w:val="17"/>
          <w:color w:val="auto"/>
        </w:rPr>
        <w:t>We are subject to gaming and pari-mutuel taxes based on gross gaming revenue and pari-mutuel revenue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in which we operate. The Company primarily recognizes gaming and pari-mutuel tax expense based on the statutorily required percentage of revenue that is required to be paid to state and local jurisdictions in the states where or in which wagering occurs. For the years ended December 31, 2020, 2019 and 2018, these expenses, which were recorded primarily in gaming expense within the Consolidated Statements of Operations and Comprehensive Income (Loss), were $1,098.9 million, $1,590.0 million, and $1,102.3 million, respectively.</w:t>
      </w:r>
    </w:p>
    <w:p>
      <w:pPr>
        <w:spacing w:after="0" w:line="149" w:lineRule="exact"/>
        <w:rPr>
          <w:sz w:val="20"/>
          <w:szCs w:val="20"/>
          <w:color w:val="auto"/>
        </w:rPr>
      </w:pPr>
    </w:p>
    <w:p>
      <w:pPr>
        <w:ind w:right="60" w:firstLine="324"/>
        <w:spacing w:after="0" w:line="291"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The cost of employee services received in exchange for an award of equity instruments is based on the grant-date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value of the award and the expense is recognized ratably over the requisite service period. The Company accounts for forfeitures in the period in which they occur based on actual amounts. The fair value of stock options is estimated at the grant date using the Black-Scholes option-pricing model, which requires us to make assumptions, including the expected term, which is based on the contractual term of the stock option and historical exercise data of the Company’s employees; the risk-free interest rate, which is based on the U.S. Treasury spot rate with a term equal to the expected term assumed at the grant date; the expected volatility, which is estimated based on the historical volatility of the Company’s stock price over the expected term assumed at the grant date; and the expected dividend yield, which is zero since we have not historically paid dividends. See </w:t>
      </w:r>
      <w:hyperlink w:anchor="page98">
        <w:r>
          <w:rPr>
            <w:rFonts w:ascii="Arial" w:cs="Arial" w:eastAsia="Arial" w:hAnsi="Arial"/>
            <w:sz w:val="16"/>
            <w:szCs w:val="16"/>
            <w:u w:val="single" w:color="auto"/>
            <w:color w:val="0000FF"/>
          </w:rPr>
          <w:t>Note 16, “Stock-based Compensation.”</w:t>
        </w:r>
      </w:hyperlink>
    </w:p>
    <w:p>
      <w:pPr>
        <w:spacing w:after="0" w:line="126"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b w:val="1"/>
          <w:bCs w:val="1"/>
          <w:i w:val="1"/>
          <w:iCs w:val="1"/>
          <w:color w:val="auto"/>
        </w:rPr>
        <w:t xml:space="preserve">Earnings Per Share: </w:t>
      </w:r>
      <w:r>
        <w:rPr>
          <w:rFonts w:ascii="Arial" w:cs="Arial" w:eastAsia="Arial" w:hAnsi="Arial"/>
          <w:sz w:val="17"/>
          <w:szCs w:val="17"/>
          <w:color w:val="auto"/>
        </w:rPr>
        <w:t>Basic earnings per share (“EPS”) is computed by dividing net income (loss) applicable to common stock by the weighted-average number of common shares outstanding during the period. Diluted EPS reflects the additional dilution, if any, for all potentially-dilutive securities such as stock options, unvested restricted stock awards (“RSAs”), outstanding convertible preferred stock and convertible debt.</w:t>
      </w:r>
    </w:p>
    <w:p>
      <w:pPr>
        <w:spacing w:after="0" w:line="125" w:lineRule="exact"/>
        <w:rPr>
          <w:sz w:val="20"/>
          <w:szCs w:val="20"/>
          <w:color w:val="auto"/>
        </w:rPr>
      </w:pPr>
    </w:p>
    <w:p>
      <w:pPr>
        <w:ind w:right="80"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Holders of the Company’s Series D Preferred Stock (as defined in </w:t>
      </w:r>
      <w:hyperlink w:anchor="page77">
        <w:r>
          <w:rPr>
            <w:rFonts w:ascii="Arial" w:cs="Arial" w:eastAsia="Arial" w:hAnsi="Arial"/>
            <w:sz w:val="18"/>
            <w:szCs w:val="18"/>
            <w:u w:val="single" w:color="auto"/>
            <w:color w:val="0000FF"/>
          </w:rPr>
          <w:t>Note 7, “Investments in and Advances to Unconsolidated Affiliates”</w:t>
        </w:r>
      </w:hyperlink>
      <w:r>
        <w:rPr>
          <w:rFonts w:ascii="Arial" w:cs="Arial" w:eastAsia="Arial" w:hAnsi="Arial"/>
          <w:sz w:val="18"/>
          <w:szCs w:val="18"/>
          <w:color w:val="auto"/>
        </w:rPr>
        <w:t>) are entitled to participate equally and ratably in all dividends and distributions paid to holders of Penn Common Stock irrespective of any vesting requirement. Accordingly, the Series D Preferred Stock shares are considered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participating security and the Company is required to apply the two-class method to consider the impact of the preferred shares on the calculation of basic and diluted EPS. The holders of the Company’s Series D Preferred Stock are not obligated to absorb losses; therefore, in reporting periods where the Company is in a net loss position, it does not apply the two-class method. In reporting periods where the Company is in a net income position, the two-class method is applied by allocating all earnings during the period to common shares and preferred shares. See </w:t>
      </w:r>
      <w:hyperlink w:anchor="page101">
        <w:r>
          <w:rPr>
            <w:rFonts w:ascii="Arial" w:cs="Arial" w:eastAsia="Arial" w:hAnsi="Arial"/>
            <w:sz w:val="18"/>
            <w:szCs w:val="18"/>
            <w:u w:val="single" w:color="auto"/>
            <w:color w:val="0000FF"/>
          </w:rPr>
          <w:t>Note 17, “Earnings (Loss)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215" w:lineRule="exact"/>
        <w:rPr>
          <w:sz w:val="20"/>
          <w:szCs w:val="20"/>
          <w:color w:val="auto"/>
        </w:rPr>
      </w:pPr>
    </w:p>
    <w:p>
      <w:pPr>
        <w:ind w:right="240" w:firstLine="324"/>
        <w:spacing w:after="0" w:line="29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Application of Business Combination Accounting: </w:t>
      </w:r>
      <w:r>
        <w:rPr>
          <w:rFonts w:ascii="Arial" w:cs="Arial" w:eastAsia="Arial" w:hAnsi="Arial"/>
          <w:sz w:val="16"/>
          <w:szCs w:val="16"/>
          <w:color w:val="auto"/>
        </w:rPr>
        <w:t>We utilize the acquisition method of accounting in accordance with ASC 805,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Combinations,” which requires us to allocate the purchase price to tangible and identifiable intangible assets based on their fair values. The excess of the purchase price over the fair value ascribed to tangible and identifiable intangible assets is recorded as goodwill. If the fair value ascribed to tangible and identifiable intangible assets changes during the measurement period (due to additional information being available and related Company analysis), the measurement period adjustment is recognized in the reporting period in which the adjustment amount is determined and offset against goodwill. The measurement period for our acquisitions are no more than one year in duration. See </w:t>
      </w:r>
      <w:hyperlink w:anchor="page73">
        <w:r>
          <w:rPr>
            <w:rFonts w:ascii="Arial" w:cs="Arial" w:eastAsia="Arial" w:hAnsi="Arial"/>
            <w:sz w:val="16"/>
            <w:szCs w:val="16"/>
            <w:u w:val="single" w:color="auto"/>
            <w:color w:val="0000FF"/>
          </w:rPr>
          <w:t>Note 6, “Acquisitions and Dispositions.”</w:t>
        </w:r>
      </w:hyperlink>
    </w:p>
    <w:p>
      <w:pPr>
        <w:spacing w:after="0" w:line="124" w:lineRule="exact"/>
        <w:rPr>
          <w:sz w:val="20"/>
          <w:szCs w:val="20"/>
          <w:color w:val="auto"/>
        </w:rPr>
      </w:pPr>
    </w:p>
    <w:p>
      <w:pPr>
        <w:ind w:firstLine="324"/>
        <w:spacing w:after="0" w:line="271"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Voting Interest Entities and Variable Interest Entities: </w:t>
      </w:r>
      <w:r>
        <w:rPr>
          <w:rFonts w:ascii="Arial" w:cs="Arial" w:eastAsia="Arial" w:hAnsi="Arial"/>
          <w:sz w:val="17"/>
          <w:szCs w:val="17"/>
          <w:color w:val="auto"/>
        </w:rPr>
        <w:t>The Company consolidates all subsidiaries or other entities in which it has a controlling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financial interest. The consolidation guidance requires an analysis to determine if an entity should be evaluated for consolidation using the VOE model or the VIE model. Under the VOE model, controlling financial interest is generally defined as a majority ownership of voting rights. Under the VIE model, controlling financial interest is defined as (i) the power to direct activities that most significantly impact the economic performance of the entity and (ii) the obligation to absorb losses of or the right to receive benefits from the entity that could potentially be significant to the entity. For those entities that qualify as a VIE, the primary beneficiary is generally defined as the party who has a controlling financial interest in the VIE. The Company consolidates the financial position and results of operations of every VOE in which it has a controlling financial interest and VIEs in which it is considered to be the primary beneficiary. See </w:t>
      </w:r>
      <w:hyperlink w:anchor="page77">
        <w:r>
          <w:rPr>
            <w:rFonts w:ascii="Arial" w:cs="Arial" w:eastAsia="Arial" w:hAnsi="Arial"/>
            <w:sz w:val="17"/>
            <w:szCs w:val="17"/>
            <w:u w:val="single" w:color="auto"/>
            <w:color w:val="0000FF"/>
          </w:rPr>
          <w:t>Note 7, “Investments in and Advances to Unconsolidated Affiliates.”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3—New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Implemented in 2020</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 - Credit Losses (Topic 326): Measurements of Credit Losses on Financial Instruments” (“ASU 2016-13”), which sets forth a “current expected credit loss” (referred to as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We adopted ASU 2016-13 during the first quarter of 2020 using a modified retrospective approach, which resulted in a cumulative-effect adjustment to retained earnings of $0.6 million as of January 1, 2020.</w:t>
      </w:r>
    </w:p>
    <w:p>
      <w:pPr>
        <w:spacing w:after="0" w:line="15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August 2018, the FASB issued ASU No. 2018-15, “Customer’s Accounting for Implementation Cost Incurred in a Cloud Computing Arrangement That Is a Service Contract” (“ASU 2018-15”). Under the new guidance, customers apply the same criteria for capitalizing implementation costs as they would 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We adopted ASU 2018-15 during the first quarter of 2020 using a prospective approach, which did not have a material impact on our Consolidated Financial Statements.</w:t>
      </w:r>
    </w:p>
    <w:p>
      <w:pPr>
        <w:spacing w:after="0" w:line="13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December 2019, the FASB issued ASU No. 2019-12, “Simplifying the Accounting for Income Taxes” (“ASU 2019-12”), which intends to simplify the guidance by removing certain exceptions to the general principles and clarifying or amending existing guidance. ASU 2019-12 is effective for fiscal years beginning after December 15, 2020, including interim periods within those fiscal years. We elected to early adopt ASU 2019-12 during the third quarter of 2020 on a prospective basis, which did not have a material impact on our Consolidated Financial Statements.</w:t>
      </w:r>
    </w:p>
    <w:p>
      <w:pPr>
        <w:spacing w:after="0" w:line="131" w:lineRule="exact"/>
        <w:rPr>
          <w:sz w:val="20"/>
          <w:szCs w:val="20"/>
          <w:color w:val="auto"/>
        </w:rPr>
      </w:pPr>
    </w:p>
    <w:p>
      <w:pPr>
        <w:ind w:right="240" w:firstLine="324"/>
        <w:spacing w:after="0" w:line="276" w:lineRule="auto"/>
        <w:rPr>
          <w:sz w:val="20"/>
          <w:szCs w:val="20"/>
          <w:color w:val="auto"/>
        </w:rPr>
      </w:pPr>
      <w:r>
        <w:rPr>
          <w:rFonts w:ascii="Arial" w:cs="Arial" w:eastAsia="Arial" w:hAnsi="Arial"/>
          <w:sz w:val="16"/>
          <w:szCs w:val="16"/>
          <w:color w:val="auto"/>
        </w:rPr>
        <w:t>In January 2020, the FASB issued ASU No. 2020-01, “Investments - Equity Securities (Topic 321), Investments - Equity Method and Joint Ventures (Topic 323), and Derivatives and Hedging (Topic 815) - Clarifying the Interactions between Topic 321, Topic 323, and Topic 815” (“ASU 2020-01”), which made targeted improvements to accounting for financial instruments, including providing an entity the ability to measure certain equity securities without a readily determinable fair value at cost, less any impairment, plus or minus changes resulting from observable price changes in orderly transactions for the identical or a similar investment of the same issuer. Among other topics, ASU 2020-01 clarifies that an entity should consider observable transactions that require it to either apply or discontinue the equity method of accounting. ASU 2020-01 is effective for fiscal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years beginning after December 15, 2020, and interim periods within those fiscal years with early adoption permitted. The Company's early adoption of ASU 2020-01 did not have a material impact on our Consolidated Financial Statements.</w:t>
      </w:r>
    </w:p>
    <w:p>
      <w:pPr>
        <w:spacing w:after="0" w:line="130" w:lineRule="exact"/>
        <w:rPr>
          <w:sz w:val="20"/>
          <w:szCs w:val="20"/>
          <w:color w:val="auto"/>
        </w:rPr>
      </w:pPr>
    </w:p>
    <w:p>
      <w:pPr>
        <w:ind w:right="220" w:firstLine="324"/>
        <w:spacing w:after="0" w:line="243" w:lineRule="auto"/>
        <w:rPr>
          <w:sz w:val="20"/>
          <w:szCs w:val="20"/>
          <w:color w:val="auto"/>
        </w:rPr>
      </w:pPr>
      <w:r>
        <w:rPr>
          <w:rFonts w:ascii="Arial" w:cs="Arial" w:eastAsia="Arial" w:hAnsi="Arial"/>
          <w:sz w:val="18"/>
          <w:szCs w:val="18"/>
          <w:color w:val="auto"/>
        </w:rPr>
        <w:t>In October 2020, the FASB issued ASU No. 2020-10, “Codification Improvements,” (“ASU 2020-10”) which updates various codification topics by clarifying or improving disclosure requirements to align with the SEC’s regulations. ASU 2020-10 is effective for fiscal years beginning after December 15, 2020 with early adoption permitted. The Company's early adoption of ASU 2020-10 did not have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to be Implemented</w:t>
      </w:r>
    </w:p>
    <w:p>
      <w:pPr>
        <w:spacing w:after="0" w:line="185" w:lineRule="exact"/>
        <w:rPr>
          <w:sz w:val="20"/>
          <w:szCs w:val="20"/>
          <w:color w:val="auto"/>
        </w:rPr>
      </w:pPr>
    </w:p>
    <w:p>
      <w:pPr>
        <w:ind w:firstLine="324"/>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In March 2020, the FASB issued ASU No. 2020-04, “Reference Rate Reform (Topic 848): Facilitation of the Effects of Reference Rate Reform on Financial Reporting” (“ASU 2020-04”). ASU 2020-04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interest rates associated with the Company’s borrowings under its Senior Secured Credit Facilities (as defined in </w:t>
      </w:r>
      <w:hyperlink w:anchor="page83">
        <w:r>
          <w:rPr>
            <w:rFonts w:ascii="Arial" w:cs="Arial" w:eastAsia="Arial" w:hAnsi="Arial"/>
            <w:sz w:val="17"/>
            <w:szCs w:val="17"/>
            <w:u w:val="single" w:color="auto"/>
            <w:color w:val="0000FF"/>
          </w:rPr>
          <w:t>Note 11, “Long-term Debt”</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are tied to LIBOR. The Company is currently evaluating the impact of the adoption of ASU 2020-04 on our Consolidated</w:t>
      </w:r>
      <w:r>
        <w:rPr>
          <w:rFonts w:ascii="Arial" w:cs="Arial" w:eastAsia="Arial" w:hAnsi="Arial"/>
          <w:sz w:val="17"/>
          <w:szCs w:val="17"/>
          <w:color w:val="0000FF"/>
        </w:rPr>
        <w:t xml:space="preserve"> </w:t>
      </w:r>
      <w:r>
        <w:rPr>
          <w:rFonts w:ascii="Arial" w:cs="Arial" w:eastAsia="Arial" w:hAnsi="Arial"/>
          <w:sz w:val="17"/>
          <w:szCs w:val="17"/>
          <w:color w:val="000000"/>
        </w:rPr>
        <w:t>Financial Statements.</w:t>
      </w:r>
    </w:p>
    <w:p>
      <w:pPr>
        <w:spacing w:after="0" w:line="14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August 2020, The FASB issued ASU No. 2020-06, “Debt—Debt with Conversion and Other Options (Topic 470) and Derivatives and Hedging— 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effort to increase financial reporting transparency. ASU 2020-06 will be effective for fiscal years beginning after December 15, 2021, including interim periods within those fiscal years. Early adoption is permitted. The Company is currently evaluating the impact of the adoption of ASU 2020-06 on our Consolidated Financial Statements.</w:t>
      </w:r>
    </w:p>
    <w:p>
      <w:pPr>
        <w:spacing w:after="0" w:line="15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 variety of proposed or otherwise potential accounting standards are currently being studied by standard-setting organizations and certain regulatory agencies. Because of the tentative and preliminary nature of such proposed standards, we have not yet determined the effect, if any, that the implementation of such proposed standards would have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4—Hurricane Laura</w:t>
      </w:r>
    </w:p>
    <w:p>
      <w:pPr>
        <w:spacing w:after="0" w:line="256"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On August 27, 2020, Hurricane Laura made landfall in Lake Charles, Louisiana, which caused significant damage to our L’Auberge Lake Charles property and closure of the property for approximately two weeks. The Company maintains insurance, subject to certain deductibles and coinsurance, for the repair or replacement of assets that suffered loss and provides coverage for interruption to our business, including lost profits.</w:t>
      </w:r>
    </w:p>
    <w:p>
      <w:pPr>
        <w:spacing w:after="0" w:line="1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of December 31, 2020, the Company recorded a receivable of $23.0 million relating to our estimate of repairs and maintenance costs which have been incurred as well as identified property and equipment which have been written off for which we deem the recovery of such costs from our insurers to be probable. The insurance recovery receivable is included in “Receivables” within the Consolidated Balance Sheets. As we deem it is probable that the proceeds to be recovered from our insurers exceeds the total of our insurance recovery recorded and our insurers’ deductible and coinsurance, we did not record any loss associated with the impact of this natural disaster.</w:t>
      </w:r>
    </w:p>
    <w:p>
      <w:pPr>
        <w:spacing w:after="0" w:line="147"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Additionally as of December 31, 2020, we continue to be in the process of performing our due diligence in an effort to quantify the claim amount under the policy that will be submitted to the insurers. During the fourth quarter we received $47.5 million of insurance proceeds from our insurers representing upfront payments related to our anticipated policy claim. Timing differences are likely to exist between the recognition of (i) impairment losses and capital expenditures made to repair or restore the assets and (ii) the receipt of insurance proceeds within the Consolidated Financial Statements.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will record proceeds in excess of the recognized losses and lost profits under our business interruption insurance as a gain contingency in accordance with ASC 450, “Contingencies,” which we expect to recognize at the time of final settlement or when nonrefundable cash advances are made in a period subsequent to December 31,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financial impact of Hurricane Laura related matters: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For the year ended</w:t>
            </w:r>
          </w:p>
        </w:tc>
      </w:tr>
      <w:tr>
        <w:trPr>
          <w:trHeight w:val="189"/>
        </w:trPr>
        <w:tc>
          <w:tcPr>
            <w:tcW w:w="2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96"/>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5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Deductible</w:t>
            </w:r>
          </w:p>
        </w:tc>
        <w:tc>
          <w:tcPr>
            <w:tcW w:w="5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Coinsurance</w:t>
            </w:r>
          </w:p>
        </w:tc>
        <w:tc>
          <w:tcPr>
            <w:tcW w:w="5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Clean-up and Restoration Costs</w:t>
            </w:r>
          </w:p>
        </w:tc>
        <w:tc>
          <w:tcPr>
            <w:tcW w:w="5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 Write-off</w:t>
            </w:r>
          </w:p>
        </w:tc>
        <w:tc>
          <w:tcPr>
            <w:tcW w:w="5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Inventory Write-off</w:t>
            </w:r>
          </w:p>
        </w:tc>
        <w:tc>
          <w:tcPr>
            <w:tcW w:w="5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Receivable</w:t>
            </w:r>
          </w:p>
        </w:tc>
        <w:tc>
          <w:tcPr>
            <w:tcW w:w="5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9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140" w:type="dxa"/>
            <w:vAlign w:val="bottom"/>
          </w:tcPr>
          <w:p>
            <w:pPr>
              <w:jc w:val="right"/>
              <w:ind w:right="32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5—Revenue Disaggregation</w:t>
      </w:r>
    </w:p>
    <w:p>
      <w:pPr>
        <w:spacing w:after="0" w:line="189" w:lineRule="exact"/>
        <w:rPr>
          <w:sz w:val="20"/>
          <w:szCs w:val="20"/>
          <w:color w:val="auto"/>
        </w:rPr>
      </w:pPr>
    </w:p>
    <w:p>
      <w:pPr>
        <w:ind w:right="340"/>
        <w:spacing w:after="0" w:line="279" w:lineRule="auto"/>
        <w:rPr>
          <w:rFonts w:ascii="Arial" w:cs="Arial" w:eastAsia="Arial" w:hAnsi="Arial"/>
          <w:sz w:val="16"/>
          <w:szCs w:val="16"/>
          <w:color w:val="0000FF"/>
        </w:rPr>
      </w:pPr>
      <w:r>
        <w:rPr>
          <w:rFonts w:ascii="Arial" w:cs="Arial" w:eastAsia="Arial" w:hAnsi="Arial"/>
          <w:sz w:val="16"/>
          <w:szCs w:val="16"/>
          <w:color w:val="auto"/>
        </w:rPr>
        <w:t xml:space="preserve">We generate revenues at our owned, managed or operated properties principally by providing the following types of services: (i) gaming, including iGaming and online sportsbook; (ii) food and beverage; (iii) hotel; (iv) reimbursable management costs; and (v) other. Other revenues are principally comprised of ancillary gaming-related activities, such as commissions received on ATM transactions, racing, and Penn Interactive’s social gaming. In </w:t>
      </w:r>
      <w:hyperlink w:anchor="page102">
        <w:r>
          <w:rPr>
            <w:rFonts w:ascii="Arial" w:cs="Arial" w:eastAsia="Arial" w:hAnsi="Arial"/>
            <w:sz w:val="16"/>
            <w:szCs w:val="16"/>
            <w:color w:val="auto"/>
          </w:rPr>
          <w:t xml:space="preserve">addition, we assess our revenues based on geographic location of the related properties, which is consistent with our reportable segments (see </w:t>
        </w:r>
        <w:r>
          <w:rPr>
            <w:rFonts w:ascii="Arial" w:cs="Arial" w:eastAsia="Arial" w:hAnsi="Arial"/>
            <w:sz w:val="16"/>
            <w:szCs w:val="16"/>
            <w:u w:val="single" w:color="auto"/>
            <w:color w:val="0000FF"/>
          </w:rPr>
          <w:t>Note 18,</w:t>
        </w:r>
      </w:hyperlink>
      <w:r>
        <w:rPr>
          <w:rFonts w:ascii="Arial" w:cs="Arial" w:eastAsia="Arial" w:hAnsi="Arial"/>
          <w:sz w:val="16"/>
          <w:szCs w:val="16"/>
          <w:color w:val="auto"/>
        </w:rPr>
        <w:t xml:space="preserve"> </w:t>
      </w:r>
      <w:hyperlink w:anchor="page102">
        <w:r>
          <w:rPr>
            <w:rFonts w:ascii="Arial" w:cs="Arial" w:eastAsia="Arial" w:hAnsi="Arial"/>
            <w:sz w:val="16"/>
            <w:szCs w:val="16"/>
            <w:u w:val="single" w:color="auto"/>
            <w:color w:val="0000FF"/>
          </w:rPr>
          <w:t>“Segment Information,”</w:t>
        </w:r>
        <w:r>
          <w:rPr>
            <w:rFonts w:ascii="Arial" w:cs="Arial" w:eastAsia="Arial" w:hAnsi="Arial"/>
            <w:sz w:val="16"/>
            <w:szCs w:val="16"/>
            <w:color w:val="0000FF"/>
          </w:rPr>
          <w:t xml:space="preserve"> </w:t>
        </w:r>
        <w:r>
          <w:rPr>
            <w:rFonts w:ascii="Arial" w:cs="Arial" w:eastAsia="Arial" w:hAnsi="Arial"/>
            <w:sz w:val="16"/>
            <w:szCs w:val="16"/>
            <w:color w:val="000000"/>
          </w:rPr>
          <w:t>for further information). Our revenue disaggregation by type of revenue and geographic location was as follows:</w:t>
        </w:r>
      </w:hyperlink>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8"/>
                <w:szCs w:val="18"/>
                <w:b w:val="1"/>
                <w:bCs w:val="1"/>
                <w:color w:val="auto"/>
                <w:w w:val="99"/>
              </w:rPr>
              <w:t>For the year ended December 31, 2020</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5"/>
              </w:rPr>
              <w:t>Northeast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South</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West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Midwest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260"/>
              <w:spacing w:after="0" w:line="169" w:lineRule="exact"/>
              <w:rPr>
                <w:sz w:val="20"/>
                <w:szCs w:val="20"/>
                <w:color w:val="auto"/>
              </w:rPr>
            </w:pPr>
            <w:r>
              <w:rPr>
                <w:rFonts w:ascii="Arial" w:cs="Arial" w:eastAsia="Arial" w:hAnsi="Arial"/>
                <w:sz w:val="18"/>
                <w:szCs w:val="18"/>
                <w:b w:val="1"/>
                <w:bCs w:val="1"/>
                <w:color w:val="auto"/>
                <w:w w:val="93"/>
              </w:rPr>
              <w:t>Intersegment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Eliminations </w:t>
            </w:r>
            <w:r>
              <w:rPr>
                <w:rFonts w:ascii="Arial" w:cs="Arial" w:eastAsia="Arial" w:hAnsi="Arial"/>
                <w:sz w:val="21"/>
                <w:szCs w:val="21"/>
                <w:b w:val="1"/>
                <w:bCs w:val="1"/>
                <w:color w:val="auto"/>
                <w:vertAlign w:val="superscript"/>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1,495.1</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684.0</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194.2</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8"/>
                <w:szCs w:val="18"/>
                <w:b w:val="1"/>
                <w:bCs w:val="1"/>
                <w:color w:val="auto"/>
                <w:w w:val="99"/>
              </w:rPr>
              <w:t>For the year ended December 31,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5"/>
              </w:rPr>
              <w:t>Northeast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South</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West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Midwest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260"/>
              <w:spacing w:after="0" w:line="169" w:lineRule="exact"/>
              <w:rPr>
                <w:sz w:val="20"/>
                <w:szCs w:val="20"/>
                <w:color w:val="auto"/>
              </w:rPr>
            </w:pPr>
            <w:r>
              <w:rPr>
                <w:rFonts w:ascii="Arial" w:cs="Arial" w:eastAsia="Arial" w:hAnsi="Arial"/>
                <w:sz w:val="18"/>
                <w:szCs w:val="18"/>
                <w:b w:val="1"/>
                <w:bCs w:val="1"/>
                <w:color w:val="auto"/>
                <w:w w:val="93"/>
              </w:rPr>
              <w:t>Intersegment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Eliminations </w:t>
            </w:r>
            <w:r>
              <w:rPr>
                <w:rFonts w:ascii="Arial" w:cs="Arial" w:eastAsia="Arial" w:hAnsi="Arial"/>
                <w:sz w:val="21"/>
                <w:szCs w:val="21"/>
                <w:b w:val="1"/>
                <w:bCs w:val="1"/>
                <w:color w:val="auto"/>
                <w:vertAlign w:val="superscript"/>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2,117.1</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831.1</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tcPr>
          <w:p>
            <w:pPr>
              <w:ind w:left="4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2,399.9</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3"/>
          </w:tcPr>
          <w:p>
            <w:pPr>
              <w:spacing w:after="0"/>
              <w:rPr>
                <w:sz w:val="20"/>
                <w:szCs w:val="20"/>
                <w:color w:val="auto"/>
              </w:rPr>
            </w:pPr>
            <w:r>
              <w:rPr>
                <w:rFonts w:ascii="Arial" w:cs="Arial" w:eastAsia="Arial" w:hAnsi="Arial"/>
                <w:sz w:val="18"/>
                <w:szCs w:val="18"/>
                <w:b w:val="1"/>
                <w:bCs w:val="1"/>
                <w:color w:val="auto"/>
                <w:w w:val="94"/>
              </w:rPr>
              <w:t>For the year ended December 31, 2018</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340"/>
              <w:spacing w:after="0" w:line="182" w:lineRule="exact"/>
              <w:rPr>
                <w:sz w:val="20"/>
                <w:szCs w:val="20"/>
                <w:color w:val="auto"/>
              </w:rPr>
            </w:pPr>
            <w:r>
              <w:rPr>
                <w:rFonts w:ascii="Arial" w:cs="Arial" w:eastAsia="Arial" w:hAnsi="Arial"/>
                <w:sz w:val="18"/>
                <w:szCs w:val="18"/>
                <w:b w:val="1"/>
                <w:bCs w:val="1"/>
                <w:color w:val="auto"/>
                <w:w w:val="95"/>
              </w:rPr>
              <w:t>Northeast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South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West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220"/>
              <w:spacing w:after="0" w:line="182" w:lineRule="exact"/>
              <w:rPr>
                <w:sz w:val="20"/>
                <w:szCs w:val="20"/>
                <w:color w:val="auto"/>
              </w:rPr>
            </w:pPr>
            <w:r>
              <w:rPr>
                <w:rFonts w:ascii="Arial" w:cs="Arial" w:eastAsia="Arial" w:hAnsi="Arial"/>
                <w:sz w:val="18"/>
                <w:szCs w:val="18"/>
                <w:b w:val="1"/>
                <w:bCs w:val="1"/>
                <w:color w:val="auto"/>
              </w:rPr>
              <w:t>Midwest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500"/>
              <w:spacing w:after="0" w:line="182"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30"/>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1,644.2</w:t>
            </w:r>
          </w:p>
        </w:tc>
        <w:tc>
          <w:tcPr>
            <w:tcW w:w="100" w:type="dxa"/>
            <w:vAlign w:val="bottom"/>
          </w:tcPr>
          <w:p>
            <w:pPr>
              <w:spacing w:after="0"/>
              <w:rPr>
                <w:sz w:val="19"/>
                <w:szCs w:val="19"/>
                <w:color w:val="auto"/>
              </w:rPr>
            </w:pPr>
          </w:p>
        </w:tc>
        <w:tc>
          <w:tcPr>
            <w:tcW w:w="30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228.0</w:t>
            </w:r>
          </w:p>
        </w:tc>
        <w:tc>
          <w:tcPr>
            <w:tcW w:w="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color w:val="auto"/>
              </w:rPr>
              <w:t>Hotel</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Reimbursable management costs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60" w:right="100" w:hanging="328"/>
        <w:spacing w:after="0" w:line="273" w:lineRule="auto"/>
        <w:tabs>
          <w:tab w:leader="none" w:pos="684"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elimination of intersegment revenues associated with our Barstool-branded and internally-branded retail sportsbooks, which are operated by Penn Interactive, and our live and televised poker tournament series that operates under the trade name, Heartland Poker Tour (“HPT”).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6—Acquisitions and Dispositions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Greektown Casino-Hotel</w:t>
      </w:r>
    </w:p>
    <w:p>
      <w:pPr>
        <w:spacing w:after="0" w:line="198" w:lineRule="exact"/>
        <w:rPr>
          <w:sz w:val="20"/>
          <w:szCs w:val="20"/>
          <w:color w:val="auto"/>
        </w:rPr>
      </w:pPr>
    </w:p>
    <w:p>
      <w:pPr>
        <w:ind w:right="140" w:firstLine="324"/>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 May 23, 2019, the Company acquired all of the membership interests of Greektown Holdings, L.L.C., for a net purchase price of $320.3 million, after working capital and other adjustments, pursuant to a transaction agreement among the Company, VICI Properties L.P., a wholly-owned subsidiary of VICI, and Greektown Mothership LLC. In connection with the acquisition, the real estate assets relating to Greektown were acquired by a subsidiary of VICI for an aggregate sales price of $700.0 million and the Company entered into the Greektown Lease, which has an initial annual rent of $55.6 million and an initial term of 15 years, with four five-year renewal options. The acquisition of the operations was financed through a combination of cash on hand and incremental borrowings under the Company’s Revolving Credit Facility (as defined in </w:t>
      </w:r>
      <w:hyperlink w:anchor="page83">
        <w:r>
          <w:rPr>
            <w:rFonts w:ascii="Arial" w:cs="Arial" w:eastAsia="Arial" w:hAnsi="Arial"/>
            <w:sz w:val="16"/>
            <w:szCs w:val="16"/>
            <w:u w:val="single" w:color="auto"/>
            <w:color w:val="0000FF"/>
          </w:rPr>
          <w:t>Note 11, “Long-term Debt”</w:t>
        </w:r>
      </w:hyperlink>
      <w:r>
        <w:rPr>
          <w:rFonts w:ascii="Arial" w:cs="Arial" w:eastAsia="Arial" w:hAnsi="Arial"/>
          <w:sz w:val="16"/>
          <w:szCs w:val="16"/>
          <w:color w:val="auto"/>
        </w:rPr>
        <w:t>).</w:t>
      </w:r>
    </w:p>
    <w:p>
      <w:pPr>
        <w:spacing w:after="0" w:line="124"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During the first quarter of 2020, the Company finalized the allocation of the purchase price to the tangible and identifiable intangible assets acquired and liabilities assumed which resulted in no measurement period adjustments for the year ended December 31, 2020. The fair value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6"/>
                <w:szCs w:val="16"/>
                <w:color w:val="auto"/>
              </w:rPr>
            </w:pPr>
          </w:p>
        </w:tc>
        <w:tc>
          <w:tcPr>
            <w:tcW w:w="1700" w:type="dxa"/>
            <w:vAlign w:val="bottom"/>
          </w:tcPr>
          <w:p>
            <w:pPr>
              <w:jc w:val="right"/>
              <w:ind w:right="612"/>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6"/>
                <w:szCs w:val="16"/>
                <w:color w:val="auto"/>
              </w:rPr>
              <w:t>Receivables, prepaid expenses, and other current assets</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20" w:type="dxa"/>
            <w:vAlign w:val="bottom"/>
          </w:tcPr>
          <w:p>
            <w:pPr>
              <w:spacing w:after="0"/>
              <w:rPr>
                <w:sz w:val="19"/>
                <w:szCs w:val="19"/>
                <w:color w:val="auto"/>
              </w:rPr>
            </w:pPr>
          </w:p>
        </w:tc>
        <w:tc>
          <w:tcPr>
            <w:tcW w:w="896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20" w:type="dxa"/>
            <w:vAlign w:val="bottom"/>
            <w:shd w:val="clear" w:color="auto" w:fill="CCEEFF"/>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960" w:type="dxa"/>
            <w:vAlign w:val="bottom"/>
            <w:gridSpan w:val="2"/>
          </w:tcPr>
          <w:p>
            <w:pPr>
              <w:ind w:left="200"/>
              <w:spacing w:after="0"/>
              <w:rPr>
                <w:sz w:val="20"/>
                <w:szCs w:val="20"/>
                <w:color w:val="auto"/>
              </w:rPr>
            </w:pPr>
            <w:r>
              <w:rPr>
                <w:rFonts w:ascii="Arial" w:cs="Arial" w:eastAsia="Arial" w:hAnsi="Arial"/>
                <w:sz w:val="16"/>
                <w:szCs w:val="16"/>
                <w:color w:val="auto"/>
              </w:rPr>
              <w:t>Gaming license</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30"/>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Trademark</w:t>
            </w: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20" w:type="dxa"/>
            <w:vAlign w:val="bottom"/>
          </w:tcPr>
          <w:p>
            <w:pPr>
              <w:spacing w:after="0"/>
              <w:rPr>
                <w:sz w:val="19"/>
                <w:szCs w:val="19"/>
                <w:color w:val="auto"/>
              </w:rPr>
            </w:pPr>
          </w:p>
        </w:tc>
        <w:tc>
          <w:tcPr>
            <w:tcW w:w="8960" w:type="dxa"/>
            <w:vAlign w:val="bottom"/>
            <w:gridSpan w:val="2"/>
          </w:tcPr>
          <w:p>
            <w:pPr>
              <w:ind w:left="200"/>
              <w:spacing w:after="0"/>
              <w:rPr>
                <w:sz w:val="20"/>
                <w:szCs w:val="20"/>
                <w:color w:val="auto"/>
              </w:rPr>
            </w:pPr>
            <w:r>
              <w:rPr>
                <w:rFonts w:ascii="Arial" w:cs="Arial" w:eastAsia="Arial" w:hAnsi="Arial"/>
                <w:sz w:val="16"/>
                <w:szCs w:val="16"/>
                <w:color w:val="auto"/>
              </w:rPr>
              <w:t>Customer relationships</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r>
      <w:tr>
        <w:trPr>
          <w:trHeight w:val="230"/>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6"/>
                <w:szCs w:val="16"/>
                <w:color w:val="auto"/>
              </w:rPr>
              <w:t>Finance lease right-of-use assets</w:t>
            </w: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20" w:type="dxa"/>
            <w:vAlign w:val="bottom"/>
            <w:tcBorders>
              <w:bottom w:val="single" w:sz="8" w:color="CCEEFF"/>
            </w:tcBorders>
          </w:tcPr>
          <w:p>
            <w:pPr>
              <w:spacing w:after="0"/>
              <w:rPr>
                <w:sz w:val="17"/>
                <w:szCs w:val="17"/>
                <w:color w:val="auto"/>
              </w:rPr>
            </w:pPr>
          </w:p>
        </w:tc>
        <w:tc>
          <w:tcPr>
            <w:tcW w:w="8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b w:val="1"/>
                <w:bCs w:val="1"/>
                <w:color w:val="auto"/>
              </w:rPr>
              <w:t>Total assets</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w:t>
            </w:r>
          </w:p>
        </w:tc>
      </w:tr>
      <w:tr>
        <w:trPr>
          <w:trHeight w:val="199"/>
        </w:trPr>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6"/>
                <w:szCs w:val="16"/>
                <w:color w:val="auto"/>
              </w:rPr>
              <w:t>Accounts payable, accrued expenses and other current liabilities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20" w:type="dxa"/>
            <w:vAlign w:val="bottom"/>
            <w:shd w:val="clear" w:color="auto" w:fill="CCEEFF"/>
          </w:tcPr>
          <w:p>
            <w:pPr>
              <w:spacing w:after="0"/>
              <w:rPr>
                <w:sz w:val="19"/>
                <w:szCs w:val="19"/>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r>
      <w:tr>
        <w:trPr>
          <w:trHeight w:val="229"/>
        </w:trPr>
        <w:tc>
          <w:tcPr>
            <w:tcW w:w="20" w:type="dxa"/>
            <w:vAlign w:val="bottom"/>
            <w:tcBorders>
              <w:bottom w:val="single" w:sz="8" w:color="CCEEFF"/>
            </w:tcBorders>
          </w:tcPr>
          <w:p>
            <w:pPr>
              <w:spacing w:after="0"/>
              <w:rPr>
                <w:sz w:val="19"/>
                <w:szCs w:val="19"/>
                <w:color w:val="auto"/>
              </w:rPr>
            </w:pPr>
          </w:p>
        </w:tc>
        <w:tc>
          <w:tcPr>
            <w:tcW w:w="8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Finance lease liabilities</w:t>
            </w: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07"/>
        </w:trPr>
        <w:tc>
          <w:tcPr>
            <w:tcW w:w="20" w:type="dxa"/>
            <w:vAlign w:val="bottom"/>
            <w:shd w:val="clear" w:color="auto" w:fill="CCEEFF"/>
          </w:tcPr>
          <w:p>
            <w:pPr>
              <w:spacing w:after="0"/>
              <w:rPr>
                <w:sz w:val="17"/>
                <w:szCs w:val="17"/>
                <w:color w:val="auto"/>
              </w:rPr>
            </w:pPr>
          </w:p>
        </w:tc>
        <w:tc>
          <w:tcPr>
            <w:tcW w:w="89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535.4</w:t>
            </w:r>
          </w:p>
        </w:tc>
      </w:tr>
      <w:tr>
        <w:trPr>
          <w:trHeight w:val="213"/>
        </w:trPr>
        <w:tc>
          <w:tcPr>
            <w:tcW w:w="20" w:type="dxa"/>
            <w:vAlign w:val="bottom"/>
          </w:tcPr>
          <w:p>
            <w:pPr>
              <w:spacing w:after="0"/>
              <w:rPr>
                <w:sz w:val="18"/>
                <w:szCs w:val="18"/>
                <w:color w:val="auto"/>
              </w:rPr>
            </w:pPr>
          </w:p>
        </w:tc>
        <w:tc>
          <w:tcPr>
            <w:tcW w:w="89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 assets acquired</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goodwill has been assigned to our Northeast segment. The entire $67.4 million goodwill amount is deductible for tax purposes.</w:t>
      </w:r>
    </w:p>
    <w:p>
      <w:pPr>
        <w:spacing w:after="0" w:line="200" w:lineRule="exact"/>
        <w:rPr>
          <w:sz w:val="20"/>
          <w:szCs w:val="20"/>
          <w:color w:val="auto"/>
        </w:rPr>
      </w:pPr>
    </w:p>
    <w:p>
      <w:pPr>
        <w:spacing w:after="0" w:line="29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used the income, market, or cost approach (or a combination thereof) for the valuation, as appropriate, and used valuation inputs in these models and analyses that were based on market participant assumptions. Market participants are considered to be buyers and sellers unrelated to the Company in the principal or most advantageous market for the asset or liability. Property and equipment acquired consists of non-REIT assets (e.g., equipment for use in gaming operations, furniture and other equipment). We determined that the land and buildings subject to the Greektown Lease, which was entered into at the time of the acquisition, represented operating lease ROU assets with a corresponding operating lease liability calculated based on the present value of the future lease payments at the acquisition date in accordance with GAAP. Management determined the fair value of its office equipment, computer equipment and slot machine gaming devices based on the market approach and other personal property based on the cost approach, supported where available by observable market data, which includes consideration of obsolescence.</w:t>
      </w:r>
    </w:p>
    <w:p>
      <w:pPr>
        <w:spacing w:after="0" w:line="13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Acquired identifiable intangible assets consist of a gaming license and a trademark, which are both indefinite-lived intangible assets, and customer relationships, which is an amortizing intangible asset with an assigned useful life of 2 years. Management valued (i) the gaming license using the Greenfield Method under the income approach; (ii) the trademark using the relief-from-royalty method under the income approach; and (iii) customer relationships (rated player databases) using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with-and-without method of the income approach. All valuation methods are forms of the income approach supported by observable market data for peer casino operator companies. See </w:t>
      </w:r>
      <w:hyperlink w:anchor="page61">
        <w:r>
          <w:rPr>
            <w:rFonts w:ascii="Arial" w:cs="Arial" w:eastAsia="Arial" w:hAnsi="Arial"/>
            <w:sz w:val="18"/>
            <w:szCs w:val="18"/>
            <w:u w:val="single" w:color="auto"/>
            <w:color w:val="0000FF"/>
          </w:rPr>
          <w:t>Note 2,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includes the financial results of Greektown from the acquisition date through December 31, 2019, which is included within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 for the year ended December 31,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Period from May 23, 2019</w:t>
            </w:r>
          </w:p>
        </w:tc>
      </w:tr>
      <w:tr>
        <w:trPr>
          <w:trHeight w:val="189"/>
        </w:trPr>
        <w:tc>
          <w:tcPr>
            <w:tcW w:w="20" w:type="dxa"/>
            <w:vAlign w:val="bottom"/>
          </w:tcPr>
          <w:p>
            <w:pPr>
              <w:spacing w:after="0"/>
              <w:rPr>
                <w:sz w:val="16"/>
                <w:szCs w:val="16"/>
                <w:color w:val="auto"/>
              </w:rPr>
            </w:pPr>
          </w:p>
        </w:tc>
        <w:tc>
          <w:tcPr>
            <w:tcW w:w="9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18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w w:val="91"/>
              </w:rPr>
              <w:t>through 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30"/>
        </w:trPr>
        <w:tc>
          <w:tcPr>
            <w:tcW w:w="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Margaritaville Resort Casino</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1, 2019, the Company acquired the operations of Margaritaville for a net purchase price of $122.9 million, after working capital and other adjustments, pursuant to (i) an agreement and plan of merger (the “Margaritaville Merger Agreement”) among the Company, VICI, Bossier Casino Venture (HoldCo), Inc. (“Holdco”), and Silver Slipper Gaming, LLC, and (ii) a membership interest purchase agreement (the “MIPA”) among VICI and the Company.</w:t>
      </w:r>
    </w:p>
    <w:p>
      <w:pPr>
        <w:spacing w:after="0" w:line="16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Pursuant to the MIPA, HoldCo sold its interests in its sole direct subsidiary and owner of the Margaritaville operating assets, to the Company. In connection with the acquisition, the real estate assets used in the operations of Margaritaville were acquired by VICI for $261.1 million and the Company entered into the Margaritaville Lease, which has an initial annual rent of $23.2 million and an initial term of 15 years, with four five-year renewal options. The acquisition of the operations was financed through incremental borrowings under the Company’s Revolving Credit Facility.</w:t>
      </w:r>
    </w:p>
    <w:p>
      <w:pPr>
        <w:spacing w:after="0" w:line="13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fourth quarter of 2019, the Company finalized the allocation of the purchase price to the tangible and identifiable intangible assets acquired and liabilities assumed, with the excess recorded as goodwill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Pr>
          <w:p>
            <w:pPr>
              <w:spacing w:after="0"/>
              <w:rPr>
                <w:sz w:val="16"/>
                <w:szCs w:val="16"/>
                <w:color w:val="auto"/>
              </w:rPr>
            </w:pPr>
          </w:p>
        </w:tc>
        <w:tc>
          <w:tcPr>
            <w:tcW w:w="1800" w:type="dxa"/>
            <w:vAlign w:val="bottom"/>
          </w:tcPr>
          <w:p>
            <w:pPr>
              <w:jc w:val="right"/>
              <w:ind w:right="673"/>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6"/>
                <w:szCs w:val="16"/>
                <w:color w:val="auto"/>
              </w:rPr>
              <w:t>Receivables, prepaid expenses, and other current assets</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20" w:type="dxa"/>
            <w:vAlign w:val="bottom"/>
            <w:shd w:val="clear" w:color="auto" w:fill="CCEEFF"/>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980" w:type="dxa"/>
            <w:vAlign w:val="bottom"/>
            <w:gridSpan w:val="2"/>
          </w:tcPr>
          <w:p>
            <w:pPr>
              <w:ind w:left="200"/>
              <w:spacing w:after="0"/>
              <w:rPr>
                <w:sz w:val="20"/>
                <w:szCs w:val="20"/>
                <w:color w:val="auto"/>
              </w:rPr>
            </w:pPr>
            <w:r>
              <w:rPr>
                <w:rFonts w:ascii="Arial" w:cs="Arial" w:eastAsia="Arial" w:hAnsi="Arial"/>
                <w:sz w:val="16"/>
                <w:szCs w:val="16"/>
                <w:color w:val="auto"/>
              </w:rPr>
              <w:t>Gaming license</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lease right-of-use assets</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r>
      <w:tr>
        <w:trPr>
          <w:trHeight w:val="206"/>
        </w:trPr>
        <w:tc>
          <w:tcPr>
            <w:tcW w:w="20" w:type="dxa"/>
            <w:vAlign w:val="bottom"/>
            <w:shd w:val="clear" w:color="auto" w:fill="CCEEFF"/>
          </w:tcPr>
          <w:p>
            <w:pPr>
              <w:spacing w:after="0"/>
              <w:rPr>
                <w:sz w:val="17"/>
                <w:szCs w:val="17"/>
                <w:color w:val="auto"/>
              </w:rPr>
            </w:pPr>
          </w:p>
        </w:tc>
        <w:tc>
          <w:tcPr>
            <w:tcW w:w="898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Total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w:t>
            </w: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 accrued expenses and other current liabilities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lease liabilities</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r>
      <w:tr>
        <w:trPr>
          <w:trHeight w:val="207"/>
        </w:trPr>
        <w:tc>
          <w:tcPr>
            <w:tcW w:w="20" w:type="dxa"/>
            <w:vAlign w:val="bottom"/>
            <w:shd w:val="clear" w:color="auto" w:fill="CCEEFF"/>
          </w:tcPr>
          <w:p>
            <w:pPr>
              <w:spacing w:after="0"/>
              <w:rPr>
                <w:sz w:val="17"/>
                <w:szCs w:val="17"/>
                <w:color w:val="auto"/>
              </w:rPr>
            </w:pPr>
          </w:p>
        </w:tc>
        <w:tc>
          <w:tcPr>
            <w:tcW w:w="898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w:t>
            </w: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r>
      <w:tr>
        <w:trPr>
          <w:trHeight w:val="213"/>
        </w:trPr>
        <w:tc>
          <w:tcPr>
            <w:tcW w:w="20" w:type="dxa"/>
            <w:vAlign w:val="bottom"/>
          </w:tcPr>
          <w:p>
            <w:pPr>
              <w:spacing w:after="0"/>
              <w:rPr>
                <w:sz w:val="18"/>
                <w:szCs w:val="18"/>
                <w:color w:val="auto"/>
              </w:rPr>
            </w:pPr>
          </w:p>
        </w:tc>
        <w:tc>
          <w:tcPr>
            <w:tcW w:w="898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 assets acquired</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goodwill has been assigned to our South segment. The entire $44.2 million goodwill amount is deductible for tax purposes.</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The Company used the income, market, or cost approach (or a combination thereof) for the valuation, as appropriate, and used valuation inputs in these models and analyses that were based on market participant assumptions. Market participants are considered to be buyers and sellers unrelated to the Company in the principal or most advantageous market for the asset or liability. Property and equipment acquired consists of non-REIT assets (e.g., equipment for use in gaming operations, furniture and other equipment). We determined that the land and buildings subject to the Margaritaville Lease, which was entered into at the time of the acquisition, represented operating lease ROU assets with a corresponding operating lease liability calculated based on the present value of the future lease payments at the acquisition date in accordance with GAAP. Management determined the fair value of its office equipment, computer equipment and slot machine gaming devices based on the market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approach and other personal property based on the cost approach, supported where available by observable market data, which includes consideration of obsolescence.</w:t>
      </w:r>
    </w:p>
    <w:p>
      <w:pPr>
        <w:spacing w:after="0" w:line="238" w:lineRule="exact"/>
        <w:rPr>
          <w:sz w:val="20"/>
          <w:szCs w:val="20"/>
          <w:color w:val="auto"/>
        </w:rPr>
      </w:pPr>
    </w:p>
    <w:p>
      <w:pPr>
        <w:ind w:right="120"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Acquired identifiable intangible assets consist of a gaming license, which is an indefinite-lived intangible asset, and a customer relationship, which is an amortizing intangible asset with an assigned useful life of 2 years. Management valued (i) the gaming license using the Greenfield Method under the income approach and (ii) the customer relationships using the with-and-without method of the income approach. All valuation methods are forms of the income approach supported by observable market data for peer casino operator companies. See </w:t>
      </w:r>
      <w:hyperlink w:anchor="page61">
        <w:r>
          <w:rPr>
            <w:rFonts w:ascii="Arial" w:cs="Arial" w:eastAsia="Arial" w:hAnsi="Arial"/>
            <w:sz w:val="18"/>
            <w:szCs w:val="18"/>
            <w:u w:val="single" w:color="auto"/>
            <w:color w:val="0000FF"/>
          </w:rPr>
          <w:t>Note 2,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includes the financial results of Margaritaville from the acquisition date through December 31, 2019, which is included within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 for the year ended December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For the year ended</w:t>
            </w:r>
          </w:p>
        </w:tc>
      </w:tr>
      <w:tr>
        <w:trPr>
          <w:trHeight w:val="189"/>
        </w:trPr>
        <w:tc>
          <w:tcPr>
            <w:tcW w:w="20" w:type="dxa"/>
            <w:vAlign w:val="bottom"/>
          </w:tcPr>
          <w:p>
            <w:pPr>
              <w:spacing w:after="0"/>
              <w:rPr>
                <w:sz w:val="16"/>
                <w:szCs w:val="16"/>
                <w:color w:val="auto"/>
              </w:rPr>
            </w:pPr>
          </w:p>
        </w:tc>
        <w:tc>
          <w:tcPr>
            <w:tcW w:w="9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96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w w:val="97"/>
              </w:rPr>
              <w:t>December 31,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30"/>
        </w:trPr>
        <w:tc>
          <w:tcPr>
            <w:tcW w:w="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Pinnacle Acquisition</w:t>
      </w:r>
    </w:p>
    <w:p>
      <w:pPr>
        <w:spacing w:after="0" w:line="185" w:lineRule="exact"/>
        <w:rPr>
          <w:sz w:val="20"/>
          <w:szCs w:val="20"/>
          <w:color w:val="auto"/>
        </w:rPr>
      </w:pPr>
    </w:p>
    <w:p>
      <w:pPr>
        <w:ind w:right="40" w:firstLine="324"/>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October 15, 2018, the Company acquired all of the outstanding shares of Pinnacle, for a total purchase price of $2,816.2 million, which consisted of (i) a cash payment of $20.00 per share of Pinnacle common stock, totaling $1,252.2 million; (ii) issuance of Penn National common stock in the amount of $749.7 million; and (iii) the retirement of $814.3 million of Pinnacle debt obligations. In conjunction with the Pinnacle Acquisition, the Company divested the membership interests of certain Pinnacle subsidiaries, which operated the casinos known as Ameristar St. Charles, Ameristar Kansas City, Belterra Resort and Belterra Park (referred to collectively as the “Divested Properties”), to Boyd Gaming Corporation (NYSE: BYD). Additionally, as a part of the transaction, GLPI acquired the real estate assets associated with Plainridge Park Casino, and concurrently leased back such assets to the Company. In connection with the sale of the Divested Properties and the Plainridge Park Casino Sale-Leaseback, the Pinnacle Master Lease, which was assumed by the Company concurrent with the closing of the Pinnacle Acquisition, was amended. The Pinnacle Acquisition added 12 gaming properties to our holdings and provided us with greater operational scale and geographic diversity. For more information on the Pinnacle Master Lease and related amendment, see </w:t>
      </w:r>
      <w:hyperlink w:anchor="page88">
        <w:r>
          <w:rPr>
            <w:rFonts w:ascii="Arial" w:cs="Arial" w:eastAsia="Arial" w:hAnsi="Arial"/>
            <w:sz w:val="17"/>
            <w:szCs w:val="17"/>
            <w:u w:val="single" w:color="auto"/>
            <w:color w:val="0000FF"/>
          </w:rPr>
          <w:t>Note 12, “Leases.”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third quarter of 2019, the Company finalized the allocation of the purchase price to the tangible and identifiable intangible assets acquired and liabilities assumed, with the excess recorded as goodwill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restricted cash</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6"/>
                <w:szCs w:val="16"/>
                <w:color w:val="auto"/>
              </w:rPr>
              <w:t>Assets held for sale</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667.5</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30"/>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6"/>
                <w:szCs w:val="16"/>
                <w:color w:val="auto"/>
              </w:rPr>
              <w:t>Property and equipment - non-Pinnacle Master Lease</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 xml:space="preserve">Property and equipment - Pinnacle Master Lease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3,954.9</w:t>
            </w: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(2)</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16"/>
        </w:trPr>
        <w:tc>
          <w:tcPr>
            <w:tcW w:w="20" w:type="dxa"/>
            <w:vAlign w:val="bottom"/>
            <w:shd w:val="clear" w:color="auto" w:fill="CCEEFF"/>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420" w:type="dxa"/>
            <w:vAlign w:val="bottom"/>
            <w:gridSpan w:val="2"/>
          </w:tcPr>
          <w:p>
            <w:pPr>
              <w:ind w:left="200"/>
              <w:spacing w:after="0"/>
              <w:rPr>
                <w:sz w:val="20"/>
                <w:szCs w:val="20"/>
                <w:color w:val="auto"/>
              </w:rPr>
            </w:pPr>
            <w:r>
              <w:rPr>
                <w:rFonts w:ascii="Arial" w:cs="Arial" w:eastAsia="Arial" w:hAnsi="Arial"/>
                <w:sz w:val="16"/>
                <w:szCs w:val="16"/>
                <w:color w:val="auto"/>
              </w:rPr>
              <w:t>Gaming licenses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Trademarks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r>
      <w:tr>
        <w:trPr>
          <w:trHeight w:val="230"/>
        </w:trPr>
        <w:tc>
          <w:tcPr>
            <w:tcW w:w="20" w:type="dxa"/>
            <w:vAlign w:val="bottom"/>
          </w:tcPr>
          <w:p>
            <w:pPr>
              <w:spacing w:after="0"/>
              <w:rPr>
                <w:sz w:val="19"/>
                <w:szCs w:val="19"/>
                <w:color w:val="auto"/>
              </w:rPr>
            </w:pPr>
          </w:p>
        </w:tc>
        <w:tc>
          <w:tcPr>
            <w:tcW w:w="9420" w:type="dxa"/>
            <w:vAlign w:val="bottom"/>
            <w:gridSpan w:val="2"/>
          </w:tcPr>
          <w:p>
            <w:pPr>
              <w:ind w:left="200"/>
              <w:spacing w:after="0"/>
              <w:rPr>
                <w:sz w:val="20"/>
                <w:szCs w:val="20"/>
                <w:color w:val="auto"/>
              </w:rPr>
            </w:pPr>
            <w:r>
              <w:rPr>
                <w:rFonts w:ascii="Arial" w:cs="Arial" w:eastAsia="Arial" w:hAnsi="Arial"/>
                <w:sz w:val="16"/>
                <w:szCs w:val="16"/>
                <w:color w:val="auto"/>
              </w:rPr>
              <w:t>Customer relationships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07"/>
        </w:trPr>
        <w:tc>
          <w:tcPr>
            <w:tcW w:w="20" w:type="dxa"/>
            <w:vAlign w:val="bottom"/>
            <w:tcBorders>
              <w:bottom w:val="single" w:sz="8" w:color="CCEEFF"/>
            </w:tcBorders>
          </w:tcPr>
          <w:p>
            <w:pPr>
              <w:spacing w:after="0"/>
              <w:rPr>
                <w:sz w:val="17"/>
                <w:szCs w:val="17"/>
                <w:color w:val="auto"/>
              </w:rPr>
            </w:pPr>
          </w:p>
        </w:tc>
        <w:tc>
          <w:tcPr>
            <w:tcW w:w="9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6,811.4</w:t>
            </w:r>
          </w:p>
        </w:tc>
      </w:tr>
      <w:tr>
        <w:trPr>
          <w:trHeight w:val="213"/>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Long-term financing obligation, including current portion </w:t>
            </w:r>
            <w:r>
              <w:rPr>
                <w:rFonts w:ascii="Arial" w:cs="Arial" w:eastAsia="Arial" w:hAnsi="Arial"/>
                <w:sz w:val="21"/>
                <w:szCs w:val="21"/>
                <w:color w:val="auto"/>
                <w:vertAlign w:val="superscript"/>
              </w:rPr>
              <w:t>(3)</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3,432.5</w:t>
            </w:r>
          </w:p>
        </w:tc>
      </w:tr>
      <w:tr>
        <w:trPr>
          <w:trHeight w:val="230"/>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7"/>
        </w:trPr>
        <w:tc>
          <w:tcPr>
            <w:tcW w:w="20" w:type="dxa"/>
            <w:vAlign w:val="bottom"/>
            <w:tcBorders>
              <w:bottom w:val="single" w:sz="8" w:color="CCEEFF"/>
            </w:tcBorders>
          </w:tcPr>
          <w:p>
            <w:pPr>
              <w:spacing w:after="0"/>
              <w:rPr>
                <w:sz w:val="17"/>
                <w:szCs w:val="17"/>
                <w:color w:val="auto"/>
              </w:rPr>
            </w:pPr>
          </w:p>
        </w:tc>
        <w:tc>
          <w:tcPr>
            <w:tcW w:w="9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3,995.2</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Net assets acquired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60" w:right="440" w:hanging="328"/>
        <w:spacing w:after="0" w:line="303" w:lineRule="auto"/>
        <w:tabs>
          <w:tab w:leader="none" w:pos="652"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buildings, boats, vessels, barges, and implied land and land use rights. Land use rights represent the intangible value of the Company’s ability to utilize and access land associated with long term ground lease agreements that give the Company the exclusive rights to operate the casino gaming facilities associated with such agreements.</w:t>
      </w: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w:t>
      </w:r>
      <w:hyperlink w:anchor="page80">
        <w:r>
          <w:rPr>
            <w:rFonts w:ascii="Arial" w:cs="Arial" w:eastAsia="Arial" w:hAnsi="Arial"/>
            <w:sz w:val="14"/>
            <w:szCs w:val="14"/>
            <w:u w:val="single" w:color="auto"/>
            <w:color w:val="0000FF"/>
          </w:rPr>
          <w:t>Note 9, “Goodwill and Other Intangible Assets,”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details on the impact to each reportable segment.</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Long-term financing obligation, including current portion represents the financing obligation associated with Pinnacle Master Lease,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 Greektown, Margaritaville, and Pinnacle</w:t>
      </w:r>
    </w:p>
    <w:p>
      <w:pPr>
        <w:spacing w:after="0" w:line="18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following table includes unaudited pro forma consolidated financial information assuming our acquisitions of Greektown and Margaritaville had occurred as of January 1, 2018 and Pinnacle had occurred as of January 1, 2017. The pro forma financial information does not represent the anticipated future results of the combined company. The pro forma amounts include the historical operating results of Penn National, Greektown, Margaritaville, and Pinnacle, prior to the acquisition, with adjustments directly attributable to the acquisitions, inclusive of adjustments for acquisition costs. The below pro forma results do not include any adjustments related to synergies.</w:t>
      </w:r>
    </w:p>
    <w:p>
      <w:pPr>
        <w:spacing w:after="0" w:line="10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w:t>
            </w:r>
          </w:p>
        </w:tc>
        <w:tc>
          <w:tcPr>
            <w:tcW w:w="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23"/>
          <w:szCs w:val="23"/>
          <w:b w:val="1"/>
          <w:bCs w:val="1"/>
          <w:i w:val="1"/>
          <w:iCs w:val="1"/>
          <w:color w:val="auto"/>
          <w:vertAlign w:val="superscript"/>
        </w:rPr>
        <w:t>st</w:t>
      </w:r>
      <w:r>
        <w:rPr>
          <w:rFonts w:ascii="Arial" w:cs="Arial" w:eastAsia="Arial" w:hAnsi="Arial"/>
          <w:sz w:val="18"/>
          <w:szCs w:val="18"/>
          <w:b w:val="1"/>
          <w:bCs w:val="1"/>
          <w:i w:val="1"/>
          <w:iCs w:val="1"/>
          <w:color w:val="auto"/>
        </w:rPr>
        <w:t xml:space="preserve"> Jackpot Casino and Resorts Casino Tunica</w:t>
      </w:r>
    </w:p>
    <w:p>
      <w:pPr>
        <w:spacing w:after="0" w:line="127" w:lineRule="exact"/>
        <w:rPr>
          <w:sz w:val="20"/>
          <w:szCs w:val="20"/>
          <w:color w:val="auto"/>
        </w:rPr>
      </w:pPr>
    </w:p>
    <w:p>
      <w:pPr>
        <w:ind w:right="160" w:firstLine="369"/>
        <w:spacing w:after="0" w:line="228" w:lineRule="auto"/>
        <w:rPr>
          <w:sz w:val="20"/>
          <w:szCs w:val="20"/>
          <w:color w:val="auto"/>
        </w:rPr>
      </w:pPr>
      <w:r>
        <w:rPr>
          <w:rFonts w:ascii="Arial" w:cs="Arial" w:eastAsia="Arial" w:hAnsi="Arial"/>
          <w:sz w:val="17"/>
          <w:szCs w:val="17"/>
          <w:color w:val="auto"/>
        </w:rPr>
        <w:t>On May 1, 2017, the Company acquired the operations of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Jackpot Casino and Resorts Casino Tunica, for a net purchase price of $47.0 million. In connection with the acquisitions, the real estate assets relating to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Jackpot Casino and Resorts Casino Tunica were acquired by GLPI for an aggregate sales price of $82.6 million and included in the Penn Master Lease. Resorts Casino Tunica ceased operations on June 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Jamul Indian Village Development Corporation</w:t>
      </w:r>
    </w:p>
    <w:p>
      <w:pPr>
        <w:spacing w:after="0" w:line="19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April 2013, the Company and the Jamul Tribe, a federally recognized Indian Tribe holding a government-to-government relationship with the U.S., entered into definitive agreements to assist the Jamul Tribe in the development of a Hollywood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Casino-branded casino on the Jamul Tribe’s trust land in San Diego County, California. In addition, the definitive agreements and a related loan commitment letter set forth the terms and conditions under which the Company would provide loans to the Jamul Indian Village Development Corporation (the “JIVDC”) to fund certain development costs. Following the opening, the Company also managed the property.</w:t>
      </w:r>
    </w:p>
    <w:p>
      <w:pPr>
        <w:spacing w:after="0" w:line="12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October 2016, the JIVDC obtained long-term secured financing, consisting of a revolving credit facility, a term loan B facility and a term loan C facility (the “Term Loan C Facility” and collectively with the revolving credit facility and the term loan B facility, the “Credit Facilities”) totaling approximately $460.0 million. The Company was the lender under the Term Loan C Facility in the amount of $98.0 million.</w:t>
      </w:r>
    </w:p>
    <w:p>
      <w:pPr>
        <w:spacing w:after="0" w:line="13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of December 31, 2017, the JIVDC breached one of the financial covenants contained within the Credit Facilities, resulting in default. Consequently, the Company performed an analysis of the expected future cash flows it would receive based on forecasted operations of the property, discounted at the Term Loan C Facility’s effective interest rate, as well as any concessions it would grant to the JIVDC. As a result of such analysis, the Company recorded a charge of $86.0 million for the year ended December 31, 2017, of which $64.0 million pertained to the Term Loan C Facility and $22.0 million was a reserve for unfunded loan commitments. In addition, the Company recorded charges of $3.8 million related to certain advances made to the JIVDC.</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2018, the Company and the Jamul Tribe mutually agreed that the Company would no longer manage the property nor provide branding and development services as of May 28, 2018. On May 25, 2018, the Company entered into a purchase agreement with the senior lender under the Credit Facilities for the property to sell them all of the Company’s outstanding rights and obligations under the Term Loan C Facility and the JIVDC commitments. As a result, the Company received cash proceeds of $15.2 million from the sale and was relieved of all rights and obligations with respect to the JIVDC. The sale of the loan resulted in a recovery of loan losses and unfunded loan commitments of $17.0 million for the year ended December 31,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 Las Vegas</w:t>
      </w:r>
    </w:p>
    <w:p>
      <w:pPr>
        <w:spacing w:after="0" w:line="185" w:lineRule="exact"/>
        <w:rPr>
          <w:sz w:val="20"/>
          <w:szCs w:val="20"/>
          <w:color w:val="auto"/>
        </w:rPr>
      </w:pPr>
    </w:p>
    <w:p>
      <w:pPr>
        <w:ind w:right="20" w:firstLine="324"/>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 April 16, 2020, we sold the real estate assets associated with our Tropicana property to GLPI in exchange for rent credits of $307.5 million that we began utilizing to pay rent under our existing Master Leases and the Meadows Lease in May 2020. Contemporaneous with the sale, the Company entered into the Tropicana Lease (as defined and discussed in </w:t>
      </w:r>
      <w:hyperlink w:anchor="page88">
        <w:r>
          <w:rPr>
            <w:rFonts w:ascii="Arial" w:cs="Arial" w:eastAsia="Arial" w:hAnsi="Arial"/>
            <w:sz w:val="16"/>
            <w:szCs w:val="16"/>
            <w:u w:val="single" w:color="auto"/>
            <w:color w:val="0000FF"/>
          </w:rPr>
          <w:t>Note 12, “Leases”</w:t>
        </w:r>
      </w:hyperlink>
      <w:r>
        <w:rPr>
          <w:rFonts w:ascii="Arial" w:cs="Arial" w:eastAsia="Arial" w:hAnsi="Arial"/>
          <w:sz w:val="16"/>
          <w:szCs w:val="16"/>
          <w:color w:val="auto"/>
        </w:rPr>
        <w:t>). Pursuant to the purchase agreement, GLPI will conduct a sale process with respect to both the real estate assets and the operations of Tropicana for up to 24 months (the “Sale Period”), with the Company receiving (i) 75% of the proceeds above $307.5 million plus certain taxes, expenses and costs if an agreement for such sale is signed in the first 12 months of the Sale Period or (ii) 50% of the proceeds above $307.5 million plus certain taxes, expenses and costs if an agreement for such sale is signed in the remainder of the Sale Period.</w:t>
      </w:r>
    </w:p>
    <w:p>
      <w:pPr>
        <w:spacing w:after="0" w:line="1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recognized a gain on this transaction of $29.8 million during the year ended December 31, 2020, which is included in “General and administrative” within our Consolidated Statements of Operations and Comprehensive Income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Morgantown</w:t>
      </w:r>
    </w:p>
    <w:p>
      <w:pPr>
        <w:spacing w:after="0" w:line="185" w:lineRule="exact"/>
        <w:rPr>
          <w:sz w:val="20"/>
          <w:szCs w:val="20"/>
          <w:color w:val="auto"/>
        </w:rPr>
      </w:pPr>
    </w:p>
    <w:p>
      <w:pPr>
        <w:ind w:right="240" w:firstLine="324"/>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On October 1, 2020, we sold the land underlying our Morgantown development project to GLPI in exchange for rent credits of $30.0 million. Contemporaneous with the sale, the Company entered into a triple net lease with GLPI for the land underlying Morgantown (as defined and discussed in </w:t>
      </w:r>
      <w:hyperlink w:anchor="page88">
        <w:r>
          <w:rPr>
            <w:rFonts w:ascii="Arial" w:cs="Arial" w:eastAsia="Arial" w:hAnsi="Arial"/>
            <w:sz w:val="18"/>
            <w:szCs w:val="18"/>
            <w:u w:val="single" w:color="auto"/>
            <w:color w:val="0000FF"/>
          </w:rPr>
          <w:t>Note 12, “Leases”</w:t>
        </w:r>
      </w:hyperlink>
      <w:r>
        <w:rPr>
          <w:rFonts w:ascii="Arial" w:cs="Arial" w:eastAsia="Arial" w:hAnsi="Arial"/>
          <w:sz w:val="18"/>
          <w:szCs w:val="18"/>
          <w:color w:val="000000"/>
        </w:rPr>
        <w:t>).</w:t>
      </w:r>
    </w:p>
    <w:p>
      <w:pPr>
        <w:spacing w:after="0" w:line="143" w:lineRule="exact"/>
        <w:rPr>
          <w:sz w:val="20"/>
          <w:szCs w:val="20"/>
          <w:color w:val="auto"/>
        </w:rPr>
      </w:pPr>
    </w:p>
    <w:p>
      <w:pPr>
        <w:ind w:right="20"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of December 31, 2020, we had utilized all of the rent credits pertaining to the Tropicana and Morgantown transactions which totaled $337.5 million (see </w:t>
      </w:r>
      <w:hyperlink w:anchor="page88">
        <w:r>
          <w:rPr>
            <w:rFonts w:ascii="Arial" w:cs="Arial" w:eastAsia="Arial" w:hAnsi="Arial"/>
            <w:sz w:val="18"/>
            <w:szCs w:val="18"/>
            <w:u w:val="single" w:color="auto"/>
            <w:color w:val="0000FF"/>
          </w:rPr>
          <w:t>Note 12, “Leases”</w:t>
        </w:r>
      </w:hyperlink>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Hollywood Casino Perryville</w:t>
      </w:r>
    </w:p>
    <w:p>
      <w:pPr>
        <w:spacing w:after="0" w:line="185"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On December 15, 2020, the Company entered into a definitive agreement with GLPI to purchase the operations of Hollywood Casino Perryville for $31.1 million. The transaction is expected to close during the second or third quarter of 2021, subject to approval of the Maryland Lottery and Gaming Control Commission and other customary closing conditions. Simultaneous with the closing of the transaction, we would lease the real estate assets associated with Hollywood Casino Perryville from GLPI with initial annual rent of $7.8 million per year subject to escalation.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and Advances to Unconsolidated Affiliates</w:t>
      </w:r>
    </w:p>
    <w:p>
      <w:pPr>
        <w:spacing w:after="0" w:line="18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As of December 31, 2020 and 2019, investments in and advances to unconsolidated affiliates primarily consisted of the Company’s approximate 36% interest in Barstool Sports; its 50% investment in Kansas Entertainment, the JV with NASCAR that owns Hollywood Casino at Kansas Speedway; its 50% interest in Freehold Raceway; and its 50% JV with MAXXAM, Inc. (“MAXXAM”) that owns and operates racetracks in Texas.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Barstool Sports</w:t>
      </w:r>
    </w:p>
    <w:p>
      <w:pPr>
        <w:spacing w:after="0" w:line="18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February 2020, we closed on our investment in Barstool Sports pursuant to a stock purchase agreement with Barstool Sports and certain stockholders of Barstool Sports, in which we purchased 36% (inclusive of 1% on a delayed basis) of the common stock, par value $0.0001 per share, of Barstool Sports for a purchase price of $161.2 million. The purchase price primarily consisted of $135.0 million in cash and $23.1 million in shares of a new class of non-voting convertible preferred stock of the Company (as discussed below). Within the three years after the closing of the transaction or earlier at our election, we will increase our ownership in Barstool Sports to approximately 50% by purchasing approximately $62.0 million worth of additional shares of Barstool Sports common stock, consistent with the implied valuation at the time of the initial investment, which was $450.0 million. With respect to the remaining Barstool Sports shares, we have immediately exercisable call rights, and the existing Barstool Sports stockholders have put rights exercisable beginning three years after closing, all based on a fair market value calculation at the time of exercise (subject to a cap of $650.0 million and a floor of 2.25 times the annualized revenue of Barstool Sports, all subject to various adjustments).</w:t>
      </w:r>
    </w:p>
    <w:p>
      <w:pPr>
        <w:spacing w:after="0" w:line="140"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On February 20, 2020, the Company issued 883 shares of Series D Preferred Stock, par value $0.01 per share (the “Series D Preferred Stock”) to certain individual stockholders affiliated with Barstool Sports. 1/1,000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a share of Series D Preferred Stock is convertible into one share of Penn Common Stock. The Series D Preferred Stock will be entitled to participate equally and ratably in all dividends and distributions paid to holders of Penn Common Stock based on the number of shares of Penn Common Stock into which such Series D Preferred Stock could convert. Series D Preferred Stock is nonvoting stock. The Series D Preferred Stock issued to certain individual stockholders affiliated with Barstool Sports will be available for conversion into Penn Common Stock in tranches over the next four years as stipulated in the stock purchase agreement, with the first 20% tranche available for conversion into Penn Common Stock in the first quarter of 2021. As of December 31, 2020, none of the Series D Preferred Stock can be converted into Penn Common Stock.</w:t>
      </w:r>
    </w:p>
    <w:p>
      <w:pPr>
        <w:spacing w:after="0" w:line="17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 part of the stock purchase agreement, we entered into a commercial agreement that provides us with access to Barstool Sports’ customer list and exclusive advertising on the Barstool Sports platform over the term of the agreement. The initial term of the commercial agreement is ten years and, unless earlier terminated and subject to certain exceptions, will automatically renew for three additional ten-year terms (a total of 40 years assuming all renewals are exercised). As of December 31, 2020 we have an amortizing intangible asset pertaining to the customer list of $1.6 million and a prepaid expense pertaining to the advertising in the amount of $16.5 million, of which $15.4 million is classified as long-term. The long-term portion of the prepaid advertising expense is included in “Other assets” within our Consolidated Balance Sheets.</w:t>
      </w:r>
    </w:p>
    <w:p>
      <w:pPr>
        <w:spacing w:after="0" w:line="1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December 31, 2020, our investment in Barstool Sports was $147.5 million, which is inclusive of $3.4 million of costs we incurred to close the transaction. We record our proportionate share of Barstool Sports’ net income or loss one quarter in arrears.</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Company determined that Barstool Sports qualified as a VIE as of December 31, 2020. The Company did not consolidate its investment in Barstool Sports as of and for the year ended December 31, 2020 as the Company determined that it did not qualify as the primary beneficiary of Barstool Sports either at the commencement date of its investment or for the subsequent period ended December 31, 2020, primarily as a result of the Company not having the power to direct the activities of the VIE that most significantly affect Barstool Sports’ economic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Kansas Joint Venture</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2020 and 2019, our investment in Kansas Entertainment was $85.2 million and $90.8 million, respectively. During the years ended December 31, 2020, 2019 and 2018, the Company received distributions from Kansas Entertainment totaling $20.0 million, $29.0 million and $27.0 million, respectively, which the Company deemed to be returns on its investment based on the source of those cash flows from the normal business operations of Kansas Entertainment.</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the years ended December 31, 2020 and 2019, we determined that Kansas Entertainment does not qualify as a VIE. Using the guidance for entities that are not VIEs, the Company determined that it did not have a controlling financial interest in the JV as of and for the years ended December 31, 2020 and 2019, primarily as it did not have the ability to direct the activities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JV that most significantly impacted the JV’s economic performance without the input of NASCAR. Therefore, the Company did not consolidate its investment in the JV as of and for the years ended December 31, 2020 and 2019.</w:t>
      </w:r>
    </w:p>
    <w:p>
      <w:pPr>
        <w:spacing w:after="0" w:line="13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provides summarized balance sheet and results of operations information related to Kansas Entertainment and our share of income from unconsolidated affiliates from our investment in Kansas Entertainment:</w:t>
      </w:r>
    </w:p>
    <w:p>
      <w:pPr>
        <w:spacing w:after="0" w:line="180"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30"/>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10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Net income attributable to Penn National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and New Jersey Joint Ventures</w:t>
      </w:r>
    </w:p>
    <w:p>
      <w:pPr>
        <w:spacing w:after="0" w:line="19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The Company has a 50% interest in a JV with MAXXAM, which owns and operates the Sam Houston Race Park in Houston, Texas and the Valley Race Park in Harlingen, Texas, and holds a license for a racetrack in Austin, Texas. During the first quarter of 2020, principally due to on-going negative operating results of these racetracks, we recorded an other-than-temporary impairment on our investment in the JV of $4.6 million, which is included in “Impairment losses” within our Consolidated Statements of Operations and Comprehensive Income (Loss). Sam Houston Race Park hosts thoroughbred and quarter-horse racing and offers daily simulcast operations, and Valley Race Park features dog racing and simulcasting. In addition, through a separate arrangement, the Company has a 50% interest in a JV with Greenwood, which owns and operates Freehold Raceway, in Freehold, New Jersey. The property features a half-mile standardbred racetrack and a grandstand.</w:t>
      </w:r>
    </w:p>
    <w:p>
      <w:pPr>
        <w:spacing w:after="0" w:line="13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December 31, 2020 and 2019, we determined that neither our Texas JV nor our New Jersey JV qualify as a VIE. Using the guidance for entities that are not VIEs, in both cases, the Company determined that it did not have a controlling financial interest in either of the JVs as of and for the years ended December 31, 2020 and 2019, primarily as it did not have the ability to direct the activities of either of the JVs that most significantly impacted the JVs’ economic performance without the input of MAXXAM or Greenwood, respectively. Therefore, the Company did not consolidate either of its investment in the JVs 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8—Property and Equipment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40"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 Not Subject to Master Leases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Land and improvements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353.2</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Building, vessels and improvements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1,598.3</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2,614.8</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Less: Accumulated depreciation</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(1,548.3)</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r>
      <w:tr>
        <w:trPr>
          <w:trHeight w:val="210"/>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 Subject to Master Leases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w:t>
            </w: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Building, vessels and improvements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5,190.5</w:t>
            </w: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3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4,053.7</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5,120.2</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On April 16, 2020, we sold real estate assets associated with our Tropicana property to GLPI. See </w:t>
      </w:r>
      <w:hyperlink w:anchor="page73">
        <w:r>
          <w:rPr>
            <w:rFonts w:ascii="Arial" w:cs="Arial" w:eastAsia="Arial" w:hAnsi="Arial"/>
            <w:sz w:val="14"/>
            <w:szCs w:val="14"/>
            <w:u w:val="single" w:color="auto"/>
            <w:color w:val="0000FF"/>
          </w:rPr>
          <w:t>Note 6, Acquisitions and Dispositions.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as follows:</w:t>
      </w:r>
    </w:p>
    <w:p>
      <w:pPr>
        <w:spacing w:after="0" w:line="140"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2019</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r>
    </w:tbl>
    <w:p>
      <w:pPr>
        <w:spacing w:after="0" w:line="130"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Of such amounts, $156.1 million, $158.9 million, and $112.1 million, respectively, pertained to real estate assets subject to either of our Master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Hurricane Laura</w:t>
      </w:r>
    </w:p>
    <w:p>
      <w:pPr>
        <w:spacing w:after="0" w:line="185" w:lineRule="exact"/>
        <w:rPr>
          <w:sz w:val="20"/>
          <w:szCs w:val="20"/>
          <w:color w:val="auto"/>
        </w:rPr>
      </w:pPr>
    </w:p>
    <w:p>
      <w:pPr>
        <w:jc w:val="both"/>
        <w:ind w:right="40" w:firstLine="324"/>
        <w:spacing w:after="0" w:line="270" w:lineRule="auto"/>
        <w:rPr>
          <w:sz w:val="20"/>
          <w:szCs w:val="20"/>
          <w:color w:val="auto"/>
        </w:rPr>
      </w:pPr>
      <w:r>
        <w:rPr>
          <w:rFonts w:ascii="Arial" w:cs="Arial" w:eastAsia="Arial" w:hAnsi="Arial"/>
          <w:sz w:val="17"/>
          <w:szCs w:val="17"/>
          <w:color w:val="auto"/>
        </w:rPr>
        <w:t>In August 2020, Hurricane Laura made landfall in Lake Charles, Louisiana, which caused significant damage to our L’Auberge Lake Charles property. As a result, we wrote off property and equipment with a net book value of $23.2 million of which $2.1 million and $21.1 million was included in Property and equipment – Not subject to Master Lease, and Property and equipment – Subject to Master Leases,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Tropicana</w:t>
      </w:r>
    </w:p>
    <w:p>
      <w:pPr>
        <w:spacing w:after="0" w:line="1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2020, we recorded $7.3 million of impairment on the property and equipment associated with Tropicana, relating to the operating assets, which is included in “Impairment losses” within our Consolidated Statements of Operations and Comprehensive Income (Loss). The charge was the result of an impairment assessment performed after reviewing the projected results of this property over the remaining lease term contained within the Tropicana Lease.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9—Goodwill and Other Intangible Assets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goodwill and accumulated goodwill impairment losses, by reportable segment,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Northeast</w:t>
            </w:r>
          </w:p>
        </w:tc>
        <w:tc>
          <w:tcPr>
            <w:tcW w:w="2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South</w:t>
            </w:r>
          </w:p>
        </w:tc>
        <w:tc>
          <w:tcPr>
            <w:tcW w:w="24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West</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Midwest</w:t>
            </w:r>
          </w:p>
        </w:tc>
        <w:tc>
          <w:tcPr>
            <w:tcW w:w="2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Goodwill,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2,510.2</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goodwill impairment losses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(1,281.8)</w:t>
            </w:r>
          </w:p>
        </w:tc>
      </w:tr>
      <w:tr>
        <w:trPr>
          <w:trHeight w:val="223"/>
        </w:trPr>
        <w:tc>
          <w:tcPr>
            <w:tcW w:w="20" w:type="dxa"/>
            <w:vAlign w:val="bottom"/>
          </w:tcPr>
          <w:p>
            <w:pPr>
              <w:spacing w:after="0"/>
              <w:rPr>
                <w:sz w:val="19"/>
                <w:szCs w:val="19"/>
                <w:color w:val="auto"/>
              </w:rPr>
            </w:pPr>
          </w:p>
        </w:tc>
        <w:tc>
          <w:tcPr>
            <w:tcW w:w="4060" w:type="dxa"/>
            <w:vAlign w:val="bottom"/>
            <w:gridSpan w:val="2"/>
          </w:tcPr>
          <w:p>
            <w:pPr>
              <w:ind w:left="460"/>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1,228.4</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 during year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Impairment losses during year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2019</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gross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2,640.5</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Accumulated goodwill impairment losses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Goodwill,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Impairment losses during year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gross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2,639.9</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Accumulated goodwill impairment losses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Goodwill,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relate to adjustments made to the preliminary purchase price allocation of Pinnacle during the year ended December 31, 2019, prior to it being finalized.</w:t>
      </w:r>
    </w:p>
    <w:p>
      <w:pPr>
        <w:spacing w:after="0" w:line="55" w:lineRule="exact"/>
        <w:rPr>
          <w:rFonts w:ascii="Arial" w:cs="Arial" w:eastAsia="Arial" w:hAnsi="Arial"/>
          <w:sz w:val="14"/>
          <w:szCs w:val="14"/>
          <w:color w:val="auto"/>
        </w:rPr>
      </w:pPr>
    </w:p>
    <w:p>
      <w:pPr>
        <w:ind w:left="660" w:right="40" w:hanging="328"/>
        <w:spacing w:after="0" w:line="273" w:lineRule="auto"/>
        <w:tabs>
          <w:tab w:leader="none" w:pos="652"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relate to the write-off of goodwill related to the land sale at Sanford Orlando Kennel Club which discontinued our racing operations. The write-off of this goodwill balance is included as a component of the gain calculation recorded on the sale.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Annual and Interim Assessment for Impairment</w:t>
      </w:r>
    </w:p>
    <w:p>
      <w:pPr>
        <w:spacing w:after="0" w:line="18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During the first quarter of 2020, we identified an indicator of impairment on our goodwill and other intangible assets due to the COVID-19 pandemic. As a result of the COVID-19 pandemic, we revised our cash flow projections to reflect the current economic environment, including the uncertainty surrounding the nature, timing and extent of reopening our gaming properties. As a result of the interim assessment for impairment, during the first quarter of 2020, we recognized impairments on our goodwill, gaming licenses and trademarks of $113.0 million, $437.0 million and $61.5 million, respectively. The estimated fair values of the reporting units were determined through a combination of a discounted cash flow model and a market-based approach, which utilized Level 3 inputs. The estimated fair values of the gaming licenses and trademarks were determined by using discounted cash flow models, which utilized Level 3 inputs.</w:t>
      </w:r>
    </w:p>
    <w:p>
      <w:pPr>
        <w:spacing w:after="0" w:line="16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noted in the table above, the goodwill impairments pertained to our Northeast, South and Midwest segments, in the amounts of $43.5 million, $9.0 million and $60.5 million, respectively. The gaming license impairments pertained to our Northeast, South and Midwest segments in the amounts of $177.0 million, $166.0 million and $94.0 million, respectively. The trademark impairments pertained to our Northeast, South, Midwest and West segments, in the amounts of $17.0 million, $17.0 million, $15.0 million and $12.5 million, respectively.</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Upon reopening of our gaming facilities and throughout the fourth quarter of 2020 we undertook various initiatives to mitigate the impact of regulatory restrictions imposed as a result of the COVID-19 pandemic. We completed our annual assessment for impairment as of October 1, 2020, which did not result in any impairment charges to goodwill, gaming licenses and trademarks. The estimated fair values of the reporting units were determined through a combination of discounted cash flow models and a market-based approach, which utilized Level 3 inputs. The estimated fair values of the gaming licenses and trademarks were determined by using discounted cash flow models, which utilized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Annual Assessment for Impairment</w:t>
      </w:r>
    </w:p>
    <w:p>
      <w:pPr>
        <w:spacing w:after="0" w:line="198"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As a result of our 2019 annual assessment for impairment, we recognized impairments on our goodwill, gaming licenses, and trademarks, of $88.0 million, $62.6 million, and $20.0 million, respectively. The impairments of goodwill were largely driven by increases in the carrying amount of certain of our reporting units as a result of decreases in the allocated amount of the financing obligation to such reporting units, which was driven by the adoption of ASC 842. The impairments of gaming licenses and trademarks were largely driven by reductions in the long-term projections for certain of our properties where competition has increased due to expansion of gaming legislation, primarily within the Northeast segment. The estimated fair values of the reporting units were determined through a combination of discounted cash flow models and a market-based approach, which utilized Level 3 inputs. The estimated fair values of the gaming licenses and trademarks were determined by using discounted cash flow models, which utilized Level 3 inputs.</w:t>
      </w:r>
    </w:p>
    <w:p>
      <w:pPr>
        <w:spacing w:after="0" w:line="1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noted in the table above, the goodwill impairments pertained to our Northeast, South and Midwest segments, in the amounts of $10.3 million, $17.4 million and $60.3 million, respectively. The gaming license impairments pertained to our Northeast and South segments in the amounts of $55.1 million and $7.5 million, respectively. The trademark impairments pertained to our Northeast, South and Midwest segments, in the amounts of $11.5 million, $6.5 million and $2.0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Annual Assessment for Impairment</w:t>
      </w:r>
    </w:p>
    <w:p>
      <w:pPr>
        <w:spacing w:after="0" w:line="18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During the year ended December 31, 2018, the Company completed its 2018 annual assessment for impairment, which did not result in any impairment charges to goodwill or other intangible assets.</w:t>
      </w:r>
    </w:p>
    <w:p>
      <w:pPr>
        <w:spacing w:after="0" w:line="143" w:lineRule="exact"/>
        <w:rPr>
          <w:sz w:val="20"/>
          <w:szCs w:val="20"/>
          <w:color w:val="auto"/>
        </w:rPr>
      </w:pPr>
    </w:p>
    <w:p>
      <w:pPr>
        <w:ind w:right="160"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aforementioned impairments for the years ended December 31, 2020 and 2019 are included in “Impairment losses” within our Consolidated Statements of Operations and Comprehensive Income (Loss). See </w:t>
      </w:r>
      <w:hyperlink w:anchor="page104">
        <w:r>
          <w:rPr>
            <w:rFonts w:ascii="Arial" w:cs="Arial" w:eastAsia="Arial" w:hAnsi="Arial"/>
            <w:sz w:val="18"/>
            <w:szCs w:val="18"/>
            <w:u w:val="single" w:color="auto"/>
            <w:color w:val="0000FF"/>
          </w:rPr>
          <w:t>Note 19, “Fair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quantitative information about the significant unobservable inputs used in the fair value measurements of other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Carrying Values of Goodwill and Other Intangible Assets</w:t>
      </w:r>
    </w:p>
    <w:p>
      <w:pPr>
        <w:spacing w:after="0" w:line="18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 of October 1, 2020, the date of the most recent annual impairment test, seven reporting units had negative carrying amounts. The amount of goodwill at these reporting units was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Northeast segment</w:t>
            </w:r>
          </w:p>
        </w:tc>
        <w:tc>
          <w:tcPr>
            <w:tcW w:w="3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Hollywood Casino at Charles Town Races</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Hollywood Casino Toledo</w:t>
            </w:r>
          </w:p>
        </w:tc>
        <w:tc>
          <w:tcPr>
            <w:tcW w:w="3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Plainridge Park Casino</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South segment</w:t>
            </w:r>
          </w:p>
        </w:tc>
        <w:tc>
          <w:tcPr>
            <w:tcW w:w="38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Ameristar Vicksburg</w:t>
            </w:r>
          </w:p>
        </w:tc>
        <w:tc>
          <w:tcPr>
            <w:tcW w:w="3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Boomtown New Orleans</w:t>
            </w:r>
          </w:p>
        </w:tc>
        <w:tc>
          <w:tcPr>
            <w:tcW w:w="3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West segment</w:t>
            </w:r>
          </w:p>
        </w:tc>
        <w:tc>
          <w:tcPr>
            <w:tcW w:w="38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Cactus Petes and Horseshu</w:t>
            </w:r>
          </w:p>
        </w:tc>
        <w:tc>
          <w:tcPr>
            <w:tcW w:w="3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Midwest segment</w:t>
            </w:r>
          </w:p>
        </w:tc>
        <w:tc>
          <w:tcPr>
            <w:tcW w:w="38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Ameristar Council Bluffs</w:t>
            </w:r>
          </w:p>
        </w:tc>
        <w:tc>
          <w:tcPr>
            <w:tcW w:w="3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the gross carrying amount, accumulated amortization, and net carrying amount of each major class of other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4"/>
              </w:rPr>
              <w:t>Net Carrying</w:t>
            </w:r>
          </w:p>
        </w:tc>
        <w:tc>
          <w:tcPr>
            <w:tcW w:w="180" w:type="dxa"/>
            <w:vAlign w:val="bottom"/>
          </w:tcPr>
          <w:p>
            <w:pPr>
              <w:spacing w:after="0"/>
              <w:rPr>
                <w:sz w:val="14"/>
                <w:szCs w:val="14"/>
                <w:color w:val="auto"/>
              </w:rPr>
            </w:pPr>
          </w:p>
        </w:tc>
        <w:tc>
          <w:tcPr>
            <w:tcW w:w="10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06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6"/>
                <w:szCs w:val="16"/>
                <w:color w:val="auto"/>
              </w:rPr>
            </w:pPr>
          </w:p>
        </w:tc>
        <w:tc>
          <w:tcPr>
            <w:tcW w:w="1020" w:type="dxa"/>
            <w:vAlign w:val="bottom"/>
          </w:tcPr>
          <w:p>
            <w:pPr>
              <w:jc w:val="right"/>
              <w:ind w:right="210"/>
              <w:spacing w:after="0" w:line="189" w:lineRule="exact"/>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Gaming 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Trademarks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Amortizing intangible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year ended December 31, 2020 we paid $1.3 million for online and retail sports betting licenses. During the year ended December 31, 2019, we paid $10.0 million for online and retail sports betting licenses in Pennsylvania. During the year ended December 31, 2018, we purchased two Category</w:t>
      </w:r>
    </w:p>
    <w:p>
      <w:pPr>
        <w:ind w:right="40"/>
        <w:spacing w:after="0" w:line="255" w:lineRule="auto"/>
        <w:rPr>
          <w:sz w:val="20"/>
          <w:szCs w:val="20"/>
          <w:color w:val="auto"/>
        </w:rPr>
      </w:pPr>
      <w:r>
        <w:rPr>
          <w:rFonts w:ascii="Arial" w:cs="Arial" w:eastAsia="Arial" w:hAnsi="Arial"/>
          <w:sz w:val="18"/>
          <w:szCs w:val="18"/>
          <w:color w:val="auto"/>
        </w:rPr>
        <w:t>4 gaming licenses to operate up to 750 slot machines and initially up to 30 table games, under each license, in York County, Pennsylvania for $50.1 million and in Berks County, Pennsylvania for $7.5 million, and iGaming and sports betting licenses in Pennsylvania for $20.0 million, all of which have been classified as indefinite-lived intangible assets.</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Amortization expense related to our amortizing intangible assets was $21.7 million, $24.7 million, and $17.1 million for the years ended December 31, 2020, 2019 and 2018, respectively. The following table presents the estimated amortization expense based on our amortizing intangible assets as of December 31, 2020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840" w:type="dxa"/>
            <w:vAlign w:val="bottom"/>
          </w:tcPr>
          <w:p>
            <w:pPr>
              <w:ind w:left="2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9840" w:type="dxa"/>
            <w:vAlign w:val="bottom"/>
          </w:tcPr>
          <w:p>
            <w:pPr>
              <w:ind w:left="2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9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10—Accrued Expenses and Other Current Liabilities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27"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9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Accrued gaming, pari-mutuel, property, and other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7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9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Other accrued expenses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79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23"/>
        </w:trPr>
        <w:tc>
          <w:tcPr>
            <w:tcW w:w="790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right="240" w:hanging="328"/>
        <w:spacing w:after="0" w:line="257" w:lineRule="auto"/>
        <w:tabs>
          <w:tab w:leader="none" w:pos="6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as of December 31, 2020 and 2019 include $40.8 million and $38.3 million, respectively, pertaining to the Company’s accrued progressive jackpot liability. Additionally, amounts include the obligation associated with its my</w:t>
      </w:r>
      <w:r>
        <w:rPr>
          <w:rFonts w:ascii="Arial" w:cs="Arial" w:eastAsia="Arial" w:hAnsi="Arial"/>
          <w:sz w:val="14"/>
          <w:szCs w:val="14"/>
          <w:b w:val="1"/>
          <w:bCs w:val="1"/>
          <w:color w:val="auto"/>
        </w:rPr>
        <w:t>choice</w:t>
      </w:r>
      <w:r>
        <w:rPr>
          <w:rFonts w:ascii="Arial" w:cs="Arial" w:eastAsia="Arial" w:hAnsi="Arial"/>
          <w:sz w:val="14"/>
          <w:szCs w:val="14"/>
          <w:color w:val="auto"/>
        </w:rPr>
        <w:t xml:space="preserve"> program and the current portion of advance payments on goods and services yet to be provided and for unpaid wagers, which are discussed in </w:t>
      </w:r>
      <w:hyperlink w:anchor="page61">
        <w:r>
          <w:rPr>
            <w:rFonts w:ascii="Arial" w:cs="Arial" w:eastAsia="Arial" w:hAnsi="Arial"/>
            <w:sz w:val="14"/>
            <w:szCs w:val="14"/>
            <w:u w:val="single" w:color="auto"/>
            <w:color w:val="0000FF"/>
          </w:rPr>
          <w:t>Note 2, “Significant Accounting Policies.”</w:t>
        </w:r>
      </w:hyperlink>
    </w:p>
    <w:p>
      <w:pPr>
        <w:spacing w:after="0" w:line="22" w:lineRule="exact"/>
        <w:rPr>
          <w:rFonts w:ascii="Arial" w:cs="Arial" w:eastAsia="Arial" w:hAnsi="Arial"/>
          <w:sz w:val="14"/>
          <w:szCs w:val="14"/>
          <w:color w:val="auto"/>
        </w:rPr>
      </w:pPr>
    </w:p>
    <w:p>
      <w:pPr>
        <w:ind w:left="660" w:right="100" w:hanging="328"/>
        <w:spacing w:after="0" w:line="273" w:lineRule="auto"/>
        <w:tabs>
          <w:tab w:leader="none" w:pos="652"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as of December 31, 2020 and 2019 include $86.3 million and $80.1 million, respectively, pertaining to the Company’s non-qualified deferred compensation plan that covers management and other highly-compensated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11—Long-term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net of current maturities, was as follows: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Facilities: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 due 2023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 Loan A Facility due 2023</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Term Loan B-1 Facility due 2025</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1,117.5</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5.625% Notes due 2027</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2.75% Convertible Notes due 2026</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2,419.0</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3"/>
              </w:rPr>
              <w:t>(81.4)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Less: Debt discount</w:t>
            </w:r>
          </w:p>
        </w:tc>
        <w:tc>
          <w:tcPr>
            <w:tcW w:w="340" w:type="dxa"/>
            <w:vAlign w:val="bottom"/>
          </w:tcPr>
          <w:p>
            <w:pPr>
              <w:spacing w:after="0"/>
              <w:rPr>
                <w:sz w:val="19"/>
                <w:szCs w:val="19"/>
                <w:color w:val="auto"/>
              </w:rPr>
            </w:pPr>
          </w:p>
        </w:tc>
        <w:tc>
          <w:tcPr>
            <w:tcW w:w="1180" w:type="dxa"/>
            <w:vAlign w:val="bottom"/>
            <w:gridSpan w:val="2"/>
          </w:tcPr>
          <w:p>
            <w:pPr>
              <w:jc w:val="center"/>
              <w:ind w:left="610"/>
              <w:spacing w:after="0"/>
              <w:rPr>
                <w:sz w:val="20"/>
                <w:szCs w:val="20"/>
                <w:color w:val="auto"/>
              </w:rPr>
            </w:pPr>
            <w:r>
              <w:rPr>
                <w:rFonts w:ascii="Arial" w:cs="Arial" w:eastAsia="Arial" w:hAnsi="Arial"/>
                <w:sz w:val="18"/>
                <w:szCs w:val="18"/>
                <w:color w:val="auto"/>
                <w:w w:val="93"/>
              </w:rPr>
              <w:t>(86.2)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610"/>
              <w:spacing w:after="0"/>
              <w:rPr>
                <w:sz w:val="20"/>
                <w:szCs w:val="20"/>
                <w:color w:val="auto"/>
              </w:rPr>
            </w:pPr>
            <w:r>
              <w:rPr>
                <w:rFonts w:ascii="Arial" w:cs="Arial" w:eastAsia="Arial" w:hAnsi="Arial"/>
                <w:sz w:val="18"/>
                <w:szCs w:val="18"/>
                <w:color w:val="auto"/>
                <w:w w:val="93"/>
              </w:rPr>
              <w:t>(32.8)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660" w:type="dxa"/>
            <w:vAlign w:val="bottom"/>
            <w:gridSpan w:val="6"/>
          </w:tcPr>
          <w:p>
            <w:pPr>
              <w:ind w:left="320"/>
              <w:spacing w:after="0"/>
              <w:rPr>
                <w:sz w:val="20"/>
                <w:szCs w:val="20"/>
                <w:color w:val="auto"/>
              </w:rPr>
            </w:pPr>
            <w:r>
              <w:rPr>
                <w:rFonts w:ascii="Arial" w:cs="Arial" w:eastAsia="Arial" w:hAnsi="Arial"/>
                <w:sz w:val="18"/>
                <w:szCs w:val="18"/>
                <w:color w:val="auto"/>
              </w:rPr>
              <w:t>The following is a schedule of future minimum repayments of long-term debt as of December 31, 2020 (in millions):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7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0" w:type="dxa"/>
            <w:vAlign w:val="bottom"/>
            <w:shd w:val="clear" w:color="auto" w:fill="CCEEFF"/>
          </w:tcPr>
          <w:p>
            <w:pPr>
              <w:spacing w:after="0"/>
              <w:rPr>
                <w:sz w:val="19"/>
                <w:szCs w:val="19"/>
                <w:color w:val="auto"/>
              </w:rPr>
            </w:pPr>
          </w:p>
        </w:tc>
      </w:tr>
      <w:tr>
        <w:trPr>
          <w:trHeight w:val="229"/>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7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40" w:type="dxa"/>
            <w:vAlign w:val="bottom"/>
          </w:tcPr>
          <w:p>
            <w:pPr>
              <w:spacing w:after="0"/>
              <w:rPr>
                <w:sz w:val="19"/>
                <w:szCs w:val="19"/>
                <w:color w:val="auto"/>
              </w:rPr>
            </w:pPr>
          </w:p>
        </w:tc>
      </w:tr>
      <w:tr>
        <w:trPr>
          <w:trHeight w:val="229"/>
        </w:trPr>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7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40" w:type="dxa"/>
            <w:vAlign w:val="bottom"/>
            <w:shd w:val="clear" w:color="auto" w:fill="CCEEFF"/>
          </w:tcPr>
          <w:p>
            <w:pPr>
              <w:spacing w:after="0"/>
              <w:rPr>
                <w:sz w:val="19"/>
                <w:szCs w:val="19"/>
                <w:color w:val="auto"/>
              </w:rPr>
            </w:pPr>
          </w:p>
        </w:tc>
      </w:tr>
      <w:tr>
        <w:trPr>
          <w:trHeight w:val="230"/>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2024</w:t>
            </w:r>
          </w:p>
        </w:tc>
        <w:tc>
          <w:tcPr>
            <w:tcW w:w="7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9"/>
                <w:szCs w:val="19"/>
                <w:color w:val="auto"/>
              </w:rPr>
            </w:pPr>
          </w:p>
        </w:tc>
      </w:tr>
      <w:tr>
        <w:trPr>
          <w:trHeight w:val="229"/>
        </w:trPr>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7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4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4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minimum payments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2,431.6</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8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 January 19, 2017, the Company entered into an agreement to amend and restate its Amended 2013 Credit Agreement (the “Credit Agreement”), which provided for: (i) a five-year $700.0 million revolving credit facility (the “Revolving Credit Facility”); (ii) a five-year $300.0 million Term Loan A facility (the “Term Loan A Facility”); and (iii) a seven-year $500.0 million Term Loan B facility (the “Term Loan B Facility” and collectively with the Revolving Credit Facility and the Term Loan A Facility, the “Senior Secured Credit Facilities”).</w:t>
      </w:r>
    </w:p>
    <w:p>
      <w:pPr>
        <w:spacing w:after="0" w:line="160" w:lineRule="exact"/>
        <w:rPr>
          <w:sz w:val="20"/>
          <w:szCs w:val="20"/>
          <w:color w:val="auto"/>
        </w:rPr>
      </w:pPr>
    </w:p>
    <w:p>
      <w:pPr>
        <w:ind w:right="180" w:firstLine="324"/>
        <w:spacing w:after="0" w:line="288" w:lineRule="auto"/>
        <w:rPr>
          <w:sz w:val="20"/>
          <w:szCs w:val="20"/>
          <w:color w:val="auto"/>
        </w:rPr>
      </w:pPr>
      <w:r>
        <w:rPr>
          <w:rFonts w:ascii="Arial" w:cs="Arial" w:eastAsia="Arial" w:hAnsi="Arial"/>
          <w:sz w:val="16"/>
          <w:szCs w:val="16"/>
          <w:color w:val="auto"/>
        </w:rPr>
        <w:t>On October 15, 2018, in connection with the Pinnacle Acquisition, we entered into an incremental joinder agreement (the “Incremental Joinder”), which amended the Credit Agreement (the “Amended 2017 Credit Agreement”). The Incremental Joinder provided for an additional $430.2 million of incremental loans having the same terms as the existing Term Loan A Facility, with the exception of extending the maturity date, and an additional $1,128.8 million of loans as a new tranche having new terms (the “Term Loan B-1 Facility”). The proceeds resulting from the Incremental Joinder were used; together with cash on hand and proceeds received from (i) newly-issued shares of the Company’s common stock, (ii) the sale of the Divested Properties, (iii) the Plainridge Park Casino Sale-Leaseback, and (iv) the sale of the real estate assets associated with Belterra Park; to (a) acquire all of the issued and outstanding equity interests of Pinnacle, (b) repay in full Pinnacle’s existing senior secured credit facilities at the time of the acquisition, (c) redeem, repurchase, defease or satisfy and discharge in full Pinnacle’s outstanding 5.625% senior notes due 2024, (d) repay in full the Company’s outstanding borrowings under its Term Loan B Facility at the time of the acquisition, and (e) pay fees, costs and expenses associated with the foregoing. With the exception of extending the maturity date, the Incremental Joinder did not impact the Revolving Credit Facility.</w:t>
      </w:r>
    </w:p>
    <w:p>
      <w:pPr>
        <w:spacing w:after="0" w:line="128" w:lineRule="exact"/>
        <w:rPr>
          <w:sz w:val="20"/>
          <w:szCs w:val="20"/>
          <w:color w:val="auto"/>
        </w:rPr>
      </w:pPr>
    </w:p>
    <w:p>
      <w:pPr>
        <w:ind w:right="220" w:firstLine="324"/>
        <w:spacing w:after="0" w:line="241" w:lineRule="auto"/>
        <w:rPr>
          <w:sz w:val="20"/>
          <w:szCs w:val="20"/>
          <w:color w:val="auto"/>
        </w:rPr>
      </w:pPr>
      <w:r>
        <w:rPr>
          <w:rFonts w:ascii="Arial" w:cs="Arial" w:eastAsia="Arial" w:hAnsi="Arial"/>
          <w:sz w:val="18"/>
          <w:szCs w:val="18"/>
          <w:color w:val="auto"/>
        </w:rPr>
        <w:t>The final maturity dates for the Term Loan A Facility and Term Loan B-1 Facility are October 19, 2023 and October 15, 2025, respectively. The applicable margin for the Term Loan A Facility ranges from 1.25% to 3.00% per annum for LIBOR loans and 0.25% to 2.00% per annum for base rate loans, in each case depending on the Consolidated Total Net Leverage Ratio (as defined in the Amended 2017 Credit Agreement) as of the most recent fiscal quarter. The applicable margin for the Term Loan B-1 Facility is 2.25% per annum for LIBOR loans and 1.25% per annum for base rate loans. The Term Loan B-1 Facility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is subject to a LIBOR “floor” of 0.75%. Prior to the Amended 2017 Credit Agreement and related extinguishment of the Term Loan B Facility, the applicable margin for the Term Loan B Facility was 2.50% per annum for LIBOR loans and 1.50% per annum for base rate loans. In addition, we pay a commitment fee on the unused portion of the commitments under the Revolving Credit Facility at a rate that ranges from 0.20% to 0.50% per annum, depending on the Consolidated Total Net Leverage Ratio as of the most recent fiscal quarter.</w:t>
      </w:r>
    </w:p>
    <w:p>
      <w:pPr>
        <w:spacing w:after="0" w:line="21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 xml:space="preserve">On April 14, 2020, the Company entered into a second amendment to its </w:t>
      </w:r>
      <w:r>
        <w:rPr>
          <w:rFonts w:ascii="Arial" w:cs="Arial" w:eastAsia="Arial" w:hAnsi="Arial"/>
          <w:sz w:val="18"/>
          <w:szCs w:val="18"/>
          <w:color w:val="212529"/>
        </w:rPr>
        <w:t>Credit Agreement with its various lenders (</w:t>
      </w:r>
      <w:r>
        <w:rPr>
          <w:rFonts w:ascii="Arial" w:cs="Arial" w:eastAsia="Arial" w:hAnsi="Arial"/>
          <w:sz w:val="18"/>
          <w:szCs w:val="18"/>
          <w:color w:val="auto"/>
        </w:rPr>
        <w:t>the “Second Amendment”) to provide for certain modifications. During the period beginning on April 14, 2020 and ending on the earlier of (x) the date that is two business days after the date on which the Company delivers a covenant relief period termination notice to the administrative agent and (y) the date on which the administrative agent receives a compliance certificate for the quarter ending March 31, 2021 (the “Covenant Relief Period”), the Company will not have to comply with any Maximum Leverage Ratio or Minimum Interest Coverage Ratio (as such terms are defined in the Amended 2017 Credit Agreement). During the Covenant Relief Period, the Company will be subject to a minimum liquidity covenant that requires cash and cash equivalents and availability under its Revolving Credit Facility to be (i) at least $400.0 million through April 30, 2020; (ii) $350.0 million during the period from May 1, 2020 through May 31, 2020; (iii) $300.0 million during the period from June 1, 2020 through June 30, 2020; and (iv) $225.0 million during the period from July 1, 2020 through March 31, 2021. We are required to maintain specified financial ratios and to satisfy certain financial tests when our covenant relief period terminates on March 31, 2021.</w:t>
      </w:r>
    </w:p>
    <w:p>
      <w:pPr>
        <w:spacing w:after="0" w:line="154" w:lineRule="exact"/>
        <w:rPr>
          <w:sz w:val="20"/>
          <w:szCs w:val="20"/>
          <w:color w:val="auto"/>
        </w:rPr>
      </w:pPr>
    </w:p>
    <w:p>
      <w:pPr>
        <w:ind w:right="500" w:firstLine="324"/>
        <w:spacing w:after="0" w:line="291" w:lineRule="auto"/>
        <w:rPr>
          <w:sz w:val="20"/>
          <w:szCs w:val="20"/>
          <w:color w:val="auto"/>
        </w:rPr>
      </w:pPr>
      <w:r>
        <w:rPr>
          <w:rFonts w:ascii="Arial" w:cs="Arial" w:eastAsia="Arial" w:hAnsi="Arial"/>
          <w:sz w:val="16"/>
          <w:szCs w:val="16"/>
          <w:color w:val="auto"/>
        </w:rPr>
        <w:t>The Second Amendment also amended the financial covenants that are applicable after the Covenant Relief Period to permit the Company to (i) maintain a maximum consolidated total net leverage ratio of up to a ratio that varies by quarter, ranging between 5.50:1.00 and 4.50:1.00 in 2021 and</w:t>
      </w:r>
    </w:p>
    <w:p>
      <w:pPr>
        <w:jc w:val="both"/>
        <w:ind w:right="100"/>
        <w:spacing w:after="0" w:line="255" w:lineRule="auto"/>
        <w:rPr>
          <w:sz w:val="20"/>
          <w:szCs w:val="20"/>
          <w:color w:val="auto"/>
        </w:rPr>
      </w:pPr>
      <w:r>
        <w:rPr>
          <w:rFonts w:ascii="Arial" w:cs="Arial" w:eastAsia="Arial" w:hAnsi="Arial"/>
          <w:sz w:val="18"/>
          <w:szCs w:val="18"/>
          <w:color w:val="auto"/>
        </w:rPr>
        <w:t>4.25:1.00 thereafter, tested quarterly on a pro forma trailing twelve month (“PF TTM”) basis; (ii) maintain a maximum senior secured net leverage ratio of up to a ratio that varies by quarter, ranging between 4.50:1.00 and 3.50:1.00 in 2021 and 3.00:1.00 thereafter, tested quarterly on a PF TTM basis; and (iii) maintain an interest coverage ratio of 2.50:1.00, tested quarterly on a PF TTM basis.</w:t>
      </w:r>
    </w:p>
    <w:p>
      <w:pPr>
        <w:spacing w:after="0" w:line="16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addition, the Second Amendment (i) provides that, during the Covenant Relief Period, loans under the Revolving Credit Facility and the Term Loan A Facility shall bear interest at either a base rate or an adjusted LIBOR rate, in each case, plus an applicable margin, in the case of base rate loans, of</w:t>
      </w:r>
    </w:p>
    <w:p>
      <w:pPr>
        <w:ind w:right="20"/>
        <w:spacing w:after="0" w:line="253" w:lineRule="auto"/>
        <w:rPr>
          <w:sz w:val="20"/>
          <w:szCs w:val="20"/>
          <w:color w:val="auto"/>
        </w:rPr>
      </w:pPr>
      <w:r>
        <w:rPr>
          <w:rFonts w:ascii="Arial" w:cs="Arial" w:eastAsia="Arial" w:hAnsi="Arial"/>
          <w:sz w:val="18"/>
          <w:szCs w:val="18"/>
          <w:color w:val="auto"/>
        </w:rPr>
        <w:t>2.00%, and in the case of adjusted LIBOR rate loans, of 3.00%; (ii) provides that, during the Covenant Relief Period, the Company shall pay a commitment fee on the unused portion of the commitments under the Revolving Credit Facility at a rate of 0.50% per annum; (iii) provides for a 0.75% LIBOR floor applicable to all LIBOR loans under the Senior Secured Credit Facilities; (iv) carves out COVID-19 related effects from certain terms of the Senior Secured Credit Facilities during the Covenant Relief Period; and (v) makes certain other changes to the covenants and other provisions of the Credit Agreement.</w:t>
      </w:r>
    </w:p>
    <w:p>
      <w:pPr>
        <w:spacing w:after="0" w:line="150"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As of December 31, 2020 and 2019, the Company had conditional obligations under letters of credit issued pursuant to the Senior Secured Credit Facilities with face amounts aggregating to $28.2 million and $30.0 million, respectively, resulting in $671.8 million and $530.0 million of available borrowing capacity under the Revolving Credit Facility, respectively.</w:t>
      </w:r>
    </w:p>
    <w:p>
      <w:pPr>
        <w:spacing w:after="0" w:line="14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fourth quarter of 2020, in connection with a prepayment of $115.0 million of outstanding borrowings on our Term Loan B-1 Facility, we recorded a $1.2 million loss on early extinguishment of debt, related to the write-off of debt issuance costs and debt discounts.</w:t>
      </w:r>
    </w:p>
    <w:p>
      <w:pPr>
        <w:spacing w:after="0" w:line="14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year ended December 31, 2018, in connection with the debt financing transactions relating to the Pinnacle Acquisition and principal repayments on the Term Loan B Facility, the Company recorded $5.5 million in refinancing costs and a $21.0 million loss on early extinguishment of debt, related to refinancing costs on the extinguishment of the Term Loan B Facility and the write-off of debt issuance costs and the discount on the Term Loan B Facility. The refinancing costs are included in “Other,” as reported in “Other income (expenses)” within our Consolidated Statements of Operations and Comprehensive Income (Loss).</w:t>
      </w:r>
    </w:p>
    <w:p>
      <w:pPr>
        <w:spacing w:after="0" w:line="147"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The payment and performance of obligations under the Senior Secured Credit Facilities are guaranteed by a lien on and security interest in substantially all of the assets (other than excluded property, such as gaming licenses)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5.625% Senior Unsecured Notes</w:t>
      </w:r>
    </w:p>
    <w:p>
      <w:pPr>
        <w:spacing w:after="0" w:line="252"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January 19, 2017, the Company completed an offering of $400.0 million aggregate principal amount of 5.625% senior unsecured notes that mature on January 15, 2027 (the “5.625% Notes”) at a price of par. Interest on the 5.625% Notes is payable on January 15th and July 15th of each year. The 5.625% Notes are not guaranteed by any of the Company’s subsidiaries except in the event that the Company in the future issues certain subsidiary-guaranteed debt securities. The Company may redeem the 5.625% Notes at any time on or after January 15, 2022, at the declining redemption premiums set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forth in the indenture governing the 5.625% Notes, and, prior to January 15, 2022, at a “make-whole” redemption premium set forth in the indenture governing the 5.625%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2.75% Unsecured Convertible Notes</w:t>
      </w:r>
    </w:p>
    <w:p>
      <w:pPr>
        <w:spacing w:after="0" w:line="185"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In May 2020, the Company completed a public offering of $330.5 million aggregate principal amount of 2.75% unsecured convertible notes that mature, unless earlier converted, redeemed or repurchased, on May 15, 2026 (the “Convertible Notes”) at a price of par. After lender fees and discounts, net proceeds received by the Company were $322.2 million. Interest on the Convertible Notes is payable on May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and November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year, beginning on November 15, 2020.</w:t>
      </w:r>
    </w:p>
    <w:p>
      <w:pPr>
        <w:spacing w:after="0" w:line="175"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The Convertible Notes are convertible into shares of the Company’s common stock at an initial conversion price of $23.40 per share, or 42.7350 shares, per $1,000 principal amount of notes, subject to adjustment if certain corporate events occur. However, in no event will the conversion exceed</w:t>
      </w:r>
    </w:p>
    <w:p>
      <w:pPr>
        <w:ind w:right="180"/>
        <w:spacing w:after="0" w:line="255" w:lineRule="auto"/>
        <w:rPr>
          <w:sz w:val="20"/>
          <w:szCs w:val="20"/>
          <w:color w:val="auto"/>
        </w:rPr>
      </w:pPr>
      <w:r>
        <w:rPr>
          <w:rFonts w:ascii="Arial" w:cs="Arial" w:eastAsia="Arial" w:hAnsi="Arial"/>
          <w:sz w:val="18"/>
          <w:szCs w:val="18"/>
          <w:color w:val="auto"/>
        </w:rPr>
        <w:t>55.5555 shares of common stock per $1,000 principal amount of notes. As of December 31, 2020, the maximum number of shares that could be issued to satisfy the conversion feature of the Convertible Notes is 18,360,815 and the amount by which the Convertible Notes if-converted value exceeded its principal amount was $1,255.3 million.</w:t>
      </w:r>
    </w:p>
    <w:p>
      <w:pPr>
        <w:spacing w:after="0" w:line="14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Prior to February 15, 2026, at their election, holders of the Convertible Notes may convert outstanding notes starting in the fourth quarter of 2020 if the trading price of the Company’s common stock exceeds 130% of the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The Company has the option to redeem the Convertible Notes, in whole or in part, beginning November 20, 2023.</w:t>
      </w:r>
    </w:p>
    <w:p>
      <w:pPr>
        <w:spacing w:after="0" w:line="12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14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Convertible Notes contain a cash conversion feature, and as a result, the Company has separated it into liability and equity components. The Company valued the liability component based on its borrowing rate for a similar debt instrument that does not contain a conversion feature. The equity component, which is recognized as debt discount, was valued as the difference between the face value of the Convertible Notes and the fair value of the liability component. The equity component was valued at $91.8 million upon issuance of the Convertible Notes.</w:t>
      </w:r>
    </w:p>
    <w:p>
      <w:pPr>
        <w:spacing w:after="0" w:line="19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connection with the Convertible Notes issuance, the Company incurred debt issuance costs of $10.2 million, which were allocated on a pro rata basis to the liability component and the equity component in the amounts of $6.6 million and $3.6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Notes consisted of the following components: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189"/>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1680" w:type="dxa"/>
            <w:vAlign w:val="bottom"/>
          </w:tcPr>
          <w:p>
            <w:pPr>
              <w:jc w:val="right"/>
              <w:ind w:right="710"/>
              <w:spacing w:after="0" w:line="189" w:lineRule="exact"/>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240" w:type="dxa"/>
            <w:vAlign w:val="bottom"/>
            <w:gridSpan w:val="2"/>
          </w:tcPr>
          <w:p>
            <w:pPr>
              <w:ind w:left="200"/>
              <w:spacing w:after="0"/>
              <w:rPr>
                <w:sz w:val="20"/>
                <w:szCs w:val="20"/>
                <w:color w:val="auto"/>
              </w:rPr>
            </w:pPr>
            <w:r>
              <w:rPr>
                <w:rFonts w:ascii="Arial" w:cs="Arial" w:eastAsia="Arial" w:hAnsi="Arial"/>
                <w:sz w:val="18"/>
                <w:szCs w:val="18"/>
                <w:color w:val="auto"/>
              </w:rPr>
              <w:t>Principal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330.5</w:t>
            </w: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Unamortized debt discount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30"/>
        </w:trPr>
        <w:tc>
          <w:tcPr>
            <w:tcW w:w="20" w:type="dxa"/>
            <w:vAlign w:val="bottom"/>
            <w:tcBorders>
              <w:bottom w:val="single" w:sz="8" w:color="CCEEFF"/>
            </w:tcBorders>
          </w:tcPr>
          <w:p>
            <w:pPr>
              <w:spacing w:after="0"/>
              <w:rPr>
                <w:sz w:val="19"/>
                <w:szCs w:val="19"/>
                <w:color w:val="auto"/>
              </w:rPr>
            </w:pPr>
          </w:p>
        </w:tc>
        <w:tc>
          <w:tcPr>
            <w:tcW w:w="9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c>
          <w:tcPr>
            <w:tcW w:w="108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r>
      <w:tr>
        <w:trPr>
          <w:trHeight w:val="230"/>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related to the Convertible Notes was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Coupon interest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issuance costs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Convertible Notes interest expense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 the year ended</w:t>
      </w:r>
    </w:p>
    <w:p>
      <w:pPr>
        <w:ind w:left="260"/>
        <w:spacing w:after="0"/>
        <w:rPr>
          <w:sz w:val="20"/>
          <w:szCs w:val="20"/>
          <w:color w:val="auto"/>
        </w:rPr>
      </w:pPr>
      <w:r>
        <w:rPr>
          <w:rFonts w:ascii="Arial" w:cs="Arial" w:eastAsia="Arial" w:hAnsi="Arial"/>
          <w:sz w:val="18"/>
          <w:szCs w:val="18"/>
          <w:b w:val="1"/>
          <w:bCs w:val="1"/>
          <w:color w:val="auto"/>
        </w:rPr>
        <w:t>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720"/>
            <w:col w:w="1980"/>
          </w:cols>
          <w:pgMar w:left="320" w:top="125" w:right="339" w:bottom="1440" w:gutter="0" w:footer="0" w:header="0"/>
          <w:type w:val="continuous"/>
        </w:sectPr>
      </w:pPr>
    </w:p>
    <w:p>
      <w:pPr>
        <w:spacing w:after="0" w:line="56"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 debt discount and the debt issuance costs attributable to the liability component are being amortized to interest expense over the term of the Convertible Notes at an effective interest rate of 9.23%. The remaining term of the Convertible Notes was 5.4 years as of December 31,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Senior Secured Credit Facilities and 5.625% Notes require us, among other obligations, to maintain specified financial ratios and to satisfy certain financial tests. In addition, our Senior Secured Credit Facilities and 5.625%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Penn Master Lease and the Pinnacle Master Lease, each with GLPI. If we are unable to meet our financial covenants or in the event of a cross-default, it could trigger an acceleration of payment terms. As of December 31, 2020, the Company was in compliance with all required financial covenants. When our covenant relief period ends, the Company is subject to and expects to be in compliance with all required financial covenants including (i) Maximum Consolidated Total Net Leverage Ratio; (ii) Maximum Consolidated Senior Secured Net Leverage Ratio; and (iii) Minimum Interest Coverage Ratio (as discussed above) with the Company's submission of its compliance certificate for the quarter ending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Relocation Fees</w:t>
      </w:r>
    </w:p>
    <w:p>
      <w:pPr>
        <w:spacing w:after="0" w:line="18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December 31, 2020 and 2019, other long-term obligations included $60.9 million and $76.4 million, respectively, related to the relocation fees for Dayton and Mahoning Valley, which opened in August 2014 and September 2014, respectively. In June 2013, we finalized the terms of our memorandum of understanding with the State of Ohio, which included an agreement for us to pay a relocation fee in return for being able to relocate our existing racetracks in Toledo and Grove City to Dayton and Mahoning Valley, respectively. Upon opening Dayton and Mahoning Valley, each relocation fee was recorded at the present value of the contractual obligation, which was calculated as $75.0 million based on the 5.0% discount rate included in the agreement. Each relocation fee is payable as follows: $7.5 million upon opening and eighteen semi-annual payments of $4.8 million beginning one year after opening. This obligation is accreted to interest expense at an effective yield of 5.0%. The amount included in interest expense related to this obligation was $3.4 million, $4.1 million and $4.8 million for the years ended December 31, 2020, 2019 and 2018,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Center</w:t>
      </w:r>
    </w:p>
    <w:p>
      <w:pPr>
        <w:spacing w:after="0" w:line="19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of December 31, 2020 and 2019, other long-term obligations included $12.0 million and $12.6 million, respectively, related to the repayment obligation of a hotel and event center located less than a mile away from Hollywood Casino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Lawrenceburg, which was constructed by the City of Lawrenceburg Department of Redevelopment. Effective in January 2015, by contractual agreement, we assumed a repayment obligation for the hotel and event center in the amount of $15.3 million, which was financed through a loan with the City of Lawrenceburg Department of Redevelopment, in exchange for conveyance of the property. Beginning in January 2016, the Company was obligated to make annual payments on the loan of $1.0 million for 20 years. This obligation is accreted to interest expense at its effective yield of 3.0%. The amount included in interest expense related to this obligation was $0.4 million for each of the years ended December 31, 2020,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Leases</w:t>
      </w:r>
    </w:p>
    <w:p>
      <w:pPr>
        <w:spacing w:after="0" w:line="1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components contained within the Master Leases are accounted for as either (i) operating leases, (ii) finance leases, or (iii) financing obligations. Changes to future lease payments under the Master Leases (i.e., when future escalators become known or future variable rent resets occur), which are discussed below, require the Company to either (i) increase both the ROU assets and corresponding lease liabilities with respect to operating and finance leases or (ii) record the incremental variable payment associated with the financing obligation to interest expense. In addition, monthly rent associated with Hollywood Casino Columbus (“Columbus”) and monthly rent in excess of the Hollywood Casino Toledo (“Toledo”) rent floor, which are discussed below, are considered contingent rent.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payment structure under the Penn Master Lease includes a fixed component, a portion of which is subject to an annual escalator of up to 2%, depending on the Adjusted Revenue to Rent Ratio (as defined in the Penn Master Lease) of 1.8:1, and a component that is based on the performance, which is prospectively adjusted (i) every five years by an amount equal to 4% of the average change in net revenues of all properties under the Penn Master Lease (other than Columbus and Toledo) compared to a contractual baseline during the preceding five years (“Penn Percentage Rent”) and (ii) monthly by an amount equal to 20% of the net revenues of Columbus and Toledo in excess of a contractual baseline and subject to a rent floor specific to Toledo (see below).</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did not incur an annual escalator on November 1, 2020 for the lease year ended October 31, 2020. The next annual escalator test date is scheduled to occur effective November 1, 2021. As a result of the annual escalator, effective as of November 1, 2019 and 2018, the fixed component of rent increased by $5.5 million and $5.4 million, for each respective year. As a result of the annual escalator effective November 1, 2019, an additional ROU asset and corresponding lease liability of $34.4 million were recognized associated with operating lease components and an additional ROU asset and corresponding lease liability of $3.1 million were recognized associated with finance lease components. Additionally, effective November 1, 2018, the Penn Percentage Rent reset resulted in an annual rent reduction of $11.3 million, which will be in effect until the next Penn Percentage Rent reset, occurring on November 1, 2023.</w:t>
      </w:r>
    </w:p>
    <w:p>
      <w:pPr>
        <w:spacing w:after="0" w:line="16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acquisition of Greektown on May 23, 2019 activated a competition clause within the Penn Master Lease, which introduced a rent floor specific to Toledo. As a result, an additional ROU asset and corresponding lease liability of $151.2 million were recognized associated with operating lease components. Lease payments resulting from the rent floor associated with components determined to continue to be financing obligations are included in “Interest expense, net” within our Consolidated Statements of Operations and Comprehensive Income (Loss).</w:t>
      </w:r>
    </w:p>
    <w:p>
      <w:pPr>
        <w:spacing w:after="0" w:line="1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Monthly rent associated with Columbus and monthly rent in excess of the Toledo rent floor are variable and considered contingent rent. Expense related to operating lease components associated with Columbus and Toledo are included in “General and administrative” within our Consolidated Statements of Operations and Comprehensive Income (Loss) and the variable expense related to the financing obligation component is included in “Interest expense, net” within our Consolidated Statements of Operations and Comprehensive Income (Loss). The entire variable expense related to the year ended December 31, 2018 was included in “Interest expense, net” pursuant to the failed sale-leaseback accounting treatment under ASC 840. Total monthly variable expenses were as follows:</w:t>
      </w:r>
    </w:p>
    <w:p>
      <w:pPr>
        <w:spacing w:after="0" w:line="10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expenses included in “General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Variable expenses included in “Interest expense, net”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variable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Pinnacle Master Lease</w:t>
      </w:r>
    </w:p>
    <w:p>
      <w:pPr>
        <w:spacing w:after="0" w:line="18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connection with the Pinnacle Acquisition, we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spacing w:after="0" w:line="13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the performance of the properties, which is prospectively adjusted every two years by an amount equal to 4% of the average change in net revenues compared to a contractual baseline during the preceding two years (“Pinnacle Percentage Rent”).</w:t>
      </w:r>
    </w:p>
    <w:p>
      <w:pPr>
        <w:spacing w:after="0" w:line="1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did not incur an annual escalator on May 1, 2020 for the lease year ended April 30, 2020. As a result of the annual escalator, effective as of May 1, 2019 for the lease year ended April 30, 2019, the fixed component of rent increased by $1.0 million and an additional ROU asset and corresponding lease liability of $3.8 million were recognized associated with operating lease components of the Pinnacle Master Lease. The next annual escalator test date is scheduled to occur on May 1, 2021.</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May 1, 2020, the Pinnacle Percentage Rent resulted in an annual rent reduction of $5.0 million, which will be in effect until the next Pinnacle Percentage Rent reset, scheduled to occur on May 1, 2022. Upon reset of the Pinnacle Percentage Rent, effective May 1, 2020, we recognized an additional operating lease ROU asset and corresponding lease liability of $14.9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185" w:lineRule="exact"/>
        <w:rPr>
          <w:sz w:val="20"/>
          <w:szCs w:val="20"/>
          <w:color w:val="auto"/>
        </w:rPr>
      </w:pPr>
    </w:p>
    <w:p>
      <w:pPr>
        <w:jc w:val="both"/>
        <w:ind w:right="660" w:firstLine="324"/>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On October 1, 2020, the Company entered into a triple net lease with a subsidiary of GLPI for the land underlying our development project in Morgantown, Pennsylvania (“Morgantown Lease”) in exchange for $30.0 million in rent credits to be utilized to pay rent under the Master Leases, Meadows Lease, and the Morgantown Lease, as discussed in </w:t>
      </w:r>
      <w:hyperlink w:anchor="page73">
        <w:r>
          <w:rPr>
            <w:rFonts w:ascii="Arial" w:cs="Arial" w:eastAsia="Arial" w:hAnsi="Arial"/>
            <w:sz w:val="17"/>
            <w:szCs w:val="17"/>
            <w:u w:val="single" w:color="auto"/>
            <w:color w:val="0000FF"/>
          </w:rPr>
          <w:t>Note 6, “Acquisitions and Dispositions.”</w:t>
        </w:r>
      </w:hyperlink>
    </w:p>
    <w:p>
      <w:pPr>
        <w:spacing w:after="0" w:line="21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initial term of the Morgantown Lease is twenty years with six subsequent, five-year renewal periods, exercisable at the Company’s option. Annual rent under the Morgantown Lease will be $3.0 million and is subject to 1.50% fixed annual escalation in each of the first three years subsequent to the facility opening, and thereafter will be subject to an annual escalator consisting of either (i) 1.25% or (ii) zero depending upon the consumer price index being greater or less than 0.50%. All improvements made on the land, including the building currently being constructed, will be owned by the Company while the lease is in effect, however, on the expiration or termination of the Morgantown Lease, ownership of all tenant improvements on the land will transfer to GLPI. We determined the transaction to be a financing arrangement and upon execution of the Morgantown Lease, recorded a $30.0 million financing obligation which is included in “Long-term portion of financing obligations” within our Consolidated Balance Sheets. Lease payments are included in “Interest expense, net” within our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6"/>
          <w:szCs w:val="16"/>
          <w:color w:val="auto"/>
        </w:rPr>
        <w:t>In addition to the operating lease components contained within the Master Leases (primary land), the Company’s operating leases consist mainly of (i) individual triple net leases with GLPI for the real estate assets used in the operations of Tropicana Las Vegas (the “Tropicana Lease”) and Meadows Racetrack and Casino (the “Meadows Lease”), (ii) individual triple net leases with VICI for the real estate assets used in the operations of Margaritaville (the “Margaritaville Lease”) and Greektown (the “Greektown Lease” and collectively with the Master Leases operating lease components (primarily the land), the Meadows Lease, the Margaritaville Lease and the Tropicana Lease, the “Triple Net Operating Leases”), (iii) ground and levee leases to landlords which were not assumed by our REIT Landlords and remain an obligation of the Company, and (iv) building and equipment not subject to the Master Leases.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Tropicana Lease</w:t>
      </w:r>
    </w:p>
    <w:p>
      <w:pPr>
        <w:spacing w:after="0" w:line="19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April 16, 2020, we entered into the Tropicana Lease with a subsidiary of GLPI for the real estate assets used in the operations of Tropicana for nominal cash rent and will continue to operate the Tropicana for two years (subject to three one-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9" w:lineRule="auto"/>
        <w:rPr>
          <w:rFonts w:ascii="Arial" w:cs="Arial" w:eastAsia="Arial" w:hAnsi="Arial"/>
          <w:sz w:val="18"/>
          <w:szCs w:val="18"/>
          <w:color w:val="0000FF"/>
        </w:rPr>
      </w:pPr>
      <w:hyperlink w:anchor="page73">
        <w:r>
          <w:rPr>
            <w:rFonts w:ascii="Arial" w:cs="Arial" w:eastAsia="Arial" w:hAnsi="Arial"/>
            <w:sz w:val="18"/>
            <w:szCs w:val="18"/>
            <w:color w:val="auto"/>
          </w:rPr>
          <w:t xml:space="preserve">year extensions at GLPI’s option) or until the real estate assets and the operations of the Tropicana are earlier sold, as discussed in </w:t>
        </w:r>
        <w:r>
          <w:rPr>
            <w:rFonts w:ascii="Arial" w:cs="Arial" w:eastAsia="Arial" w:hAnsi="Arial"/>
            <w:sz w:val="18"/>
            <w:szCs w:val="18"/>
            <w:u w:val="single" w:color="auto"/>
            <w:color w:val="0000FF"/>
          </w:rPr>
          <w:t>Note 6, “Acquisitions</w:t>
        </w:r>
      </w:hyperlink>
      <w:r>
        <w:rPr>
          <w:rFonts w:ascii="Arial" w:cs="Arial" w:eastAsia="Arial" w:hAnsi="Arial"/>
          <w:sz w:val="18"/>
          <w:szCs w:val="18"/>
          <w:color w:val="auto"/>
        </w:rPr>
        <w:t xml:space="preserve"> </w:t>
      </w:r>
      <w:hyperlink w:anchor="page73">
        <w:r>
          <w:rPr>
            <w:rFonts w:ascii="Arial" w:cs="Arial" w:eastAsia="Arial" w:hAnsi="Arial"/>
            <w:sz w:val="18"/>
            <w:szCs w:val="18"/>
            <w:u w:val="single" w:color="auto"/>
            <w:color w:val="0000FF"/>
          </w:rPr>
          <w:t>and Dispositions.”</w:t>
        </w:r>
        <w:r>
          <w:rPr>
            <w:rFonts w:ascii="Arial" w:cs="Arial" w:eastAsia="Arial" w:hAnsi="Arial"/>
            <w:sz w:val="18"/>
            <w:szCs w:val="18"/>
            <w:color w:val="0000FF"/>
          </w:rPr>
          <w:t xml:space="preserve"> </w:t>
        </w:r>
        <w:r>
          <w:rPr>
            <w:rFonts w:ascii="Arial" w:cs="Arial" w:eastAsia="Arial" w:hAnsi="Arial"/>
            <w:sz w:val="18"/>
            <w:szCs w:val="18"/>
            <w:color w:val="000000"/>
          </w:rPr>
          <w:t>In the event that GLPI sells the real estate assets used in the operations of Tropicana, the Tropicana Lease will automatically terminate.</w:t>
        </w:r>
      </w:hyperlink>
      <w:r>
        <w:rPr>
          <w:rFonts w:ascii="Arial" w:cs="Arial" w:eastAsia="Arial" w:hAnsi="Arial"/>
          <w:sz w:val="18"/>
          <w:szCs w:val="18"/>
          <w:color w:val="0000FF"/>
        </w:rPr>
        <w:t xml:space="preserve"> </w:t>
      </w:r>
      <w:r>
        <w:rPr>
          <w:rFonts w:ascii="Arial" w:cs="Arial" w:eastAsia="Arial" w:hAnsi="Arial"/>
          <w:sz w:val="18"/>
          <w:szCs w:val="18"/>
          <w:color w:val="000000"/>
        </w:rPr>
        <w:t>Upon execution of the Tropicana Lease, we recorded an operating lease ROU asset of $61.6 million, which is included in “Lease right-of-use assets” within the Consolidated Balance Sheets.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Meadows Lease</w:t>
      </w:r>
    </w:p>
    <w:p>
      <w:pPr>
        <w:spacing w:after="0" w:line="19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connection with the Pinnacle Acquisition, we assumed the Meadows Lease, originally effective September 9, 2016. Upon assumption of the Meadows Lease, there were eight years remaining of the initial ten-year term, with three subsequent, five-year renewal options followed by one four-year renewal option on the same terms and conditions, exercisable at the Company’s option. The payment structure under the Meadows Lease includes a fixed component (“Meadows Base Rent”), which is subject to an annual escalator of up to 5% for the initial term or until the lease year in which Meadows Base Rent plus Meadows Percentage Rent (as defined below) is a total of $31.0 million, subject to certain adjustments, and up to 2% thereafter, subject to an Adjusted Revenue to Rent Ratio (as defined in the Meadows Lease) of 2.0:1. The “Meadows Percentage Rent” is based on performance, which is prospectively adjusted for the next two-year period equal to 4.0% of the average annual net revenues of the property during the trailing two-year period.</w:t>
      </w:r>
    </w:p>
    <w:p>
      <w:pPr>
        <w:spacing w:after="0" w:line="12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did not incur an annual escalator on October 1, 2020 for the lease year ended September 30, 2020. Effective October 1, 2019, as a result of the annual escalator for the lease year ended September 30, 2019, which was determined to be $0.8 million, an additional operating ROU asset and corresponding operating lease liability of $4.3 million were recognized.</w:t>
      </w:r>
    </w:p>
    <w:p>
      <w:pPr>
        <w:spacing w:after="0" w:line="143"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Effective October 1, 2020, the Meadows Percentage Rent resulted in an annual rent reduction of $2.1 million, which will be in effect until the next Meadows Percentage Rent reset, scheduled to occur on October 1, 2022. Upon reset of the Meadows Percentage Rent, effective October 1, 2020, we recognized an additional operating lease ROU asset and corresponding lease liability of $17.1 million.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Margaritaville Lease</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Margaritaville Lease has an initial term of 15 years, with four subsequent five-year renewal options on the same terms and conditions, exercisable at the Company’s option. The payment structure under the Margaritaville Lease includes a fixed component, a portion which was originally subject to an annual escalator of up to 2% depending on an Adjusted Revenue to Rent Ratio (as defined in the Margaritaville Lease) of 1.9:1, and a component that is based on performance, which is prospectively adjusted every two years by an amount equal to 4% of the average change in net revenues of the property compared to a contractual baseline during the preceding two years (“Margaritaville Percentage Rent”). On February 1, 2020, the Margaritaville Lease was amended to provide for a change in the measurement of the annual escalator from an Adjusted Revenue to Rent Ratio of 1.9:1 to a minimum coverage floor ratio of Net Revenue to Rent of 6.1:1.</w:t>
      </w:r>
    </w:p>
    <w:p>
      <w:pPr>
        <w:spacing w:after="0" w:line="15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a result of the annual escalator, which was determined to be $0.3 million, effective February 1, 2020 for the lease year ended January 31, 2020, an additional operating lease ROU asset and corresponding operating lease liability of $3.1 million were recognized. The first percentage rent reset is scheduled to occur on February 1, 2021.</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Greektown Lease</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Greektown Lease has an initial term of 15 years, with four subsequent five-year renewal options on the same terms and conditions, exercisable at the Company’s option. The payment structure under the Greektown Lease includes a fixed component, a portion subject to an annual escalator of up to 2% depending on an Adjusted Revenue to Rent Ratio (as defined in the Greektown Lease) of 1.85:1, and a component that is based on performance, which is prospectively adjusted every two years by an amount equal to 4% of the average change in net revenues of the property compared to a contractual baseline during the preceding two years (“Greektown Percentage Rent”).</w:t>
      </w:r>
    </w:p>
    <w:p>
      <w:pPr>
        <w:spacing w:after="0" w:line="147"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We did not incur an annual escalator on June 1, 2020 for the lease year ended May 31, 2020. In May 2020, the lease was amended to remove the escalator for the lease years ending May 31, 2021 and 2022 and to provide for a Net Revenue to Rent coverage floor to be mutually agreed upon prior to the commencement of the fourth lease year (June 1, 2022). The first Greektown Percentage Rent reset is scheduled to occur on June 1,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160" w:type="dxa"/>
            <w:vAlign w:val="bottom"/>
          </w:tcPr>
          <w:p>
            <w:pPr>
              <w:spacing w:after="0"/>
              <w:rPr>
                <w:sz w:val="20"/>
                <w:szCs w:val="20"/>
                <w:color w:val="auto"/>
              </w:rPr>
            </w:pPr>
          </w:p>
        </w:tc>
      </w:tr>
      <w:tr>
        <w:trPr>
          <w:trHeight w:val="770"/>
        </w:trPr>
        <w:tc>
          <w:tcPr>
            <w:tcW w:w="9060" w:type="dxa"/>
            <w:vAlign w:val="bottom"/>
          </w:tcPr>
          <w:p>
            <w:pPr>
              <w:ind w:left="340"/>
              <w:spacing w:after="0"/>
              <w:rPr>
                <w:sz w:val="20"/>
                <w:szCs w:val="20"/>
                <w:color w:val="auto"/>
              </w:rPr>
            </w:pPr>
            <w:r>
              <w:rPr>
                <w:rFonts w:ascii="Arial" w:cs="Arial" w:eastAsia="Arial" w:hAnsi="Arial"/>
                <w:sz w:val="18"/>
                <w:szCs w:val="18"/>
                <w:color w:val="auto"/>
              </w:rPr>
              <w:t>Information related to lease term and discount rate was as follows:</w:t>
            </w:r>
          </w:p>
        </w:tc>
        <w:tc>
          <w:tcPr>
            <w:tcW w:w="2160" w:type="dxa"/>
            <w:vAlign w:val="bottom"/>
          </w:tcPr>
          <w:p>
            <w:pPr>
              <w:spacing w:after="0"/>
              <w:rPr>
                <w:sz w:val="24"/>
                <w:szCs w:val="24"/>
                <w:color w:val="auto"/>
              </w:rPr>
            </w:pPr>
          </w:p>
        </w:tc>
      </w:tr>
      <w:tr>
        <w:trPr>
          <w:trHeight w:val="351"/>
        </w:trPr>
        <w:tc>
          <w:tcPr>
            <w:tcW w:w="906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2160" w:type="dxa"/>
            <w:vAlign w:val="bottom"/>
            <w:shd w:val="clear" w:color="auto" w:fill="CCEEFF"/>
          </w:tcPr>
          <w:p>
            <w:pPr>
              <w:spacing w:after="0"/>
              <w:rPr>
                <w:sz w:val="18"/>
                <w:szCs w:val="18"/>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160" w:type="dxa"/>
            <w:vAlign w:val="bottom"/>
          </w:tcPr>
          <w:p>
            <w:pPr>
              <w:jc w:val="right"/>
              <w:spacing w:after="0"/>
              <w:rPr>
                <w:sz w:val="20"/>
                <w:szCs w:val="20"/>
                <w:color w:val="auto"/>
              </w:rPr>
            </w:pPr>
            <w:r>
              <w:rPr>
                <w:rFonts w:ascii="Arial" w:cs="Arial" w:eastAsia="Arial" w:hAnsi="Arial"/>
                <w:sz w:val="18"/>
                <w:szCs w:val="18"/>
                <w:color w:val="auto"/>
              </w:rPr>
              <w:t>26.7 years</w:t>
            </w: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years</w:t>
            </w: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Financing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29.5 years</w:t>
            </w:r>
          </w:p>
        </w:tc>
      </w:tr>
      <w:tr>
        <w:trPr>
          <w:trHeight w:val="257"/>
        </w:trPr>
        <w:tc>
          <w:tcPr>
            <w:tcW w:w="906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160" w:type="dxa"/>
            <w:vAlign w:val="bottom"/>
          </w:tcPr>
          <w:p>
            <w:pPr>
              <w:spacing w:after="0"/>
              <w:rPr>
                <w:sz w:val="19"/>
                <w:szCs w:val="19"/>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16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obligations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on Consolidated Statements of Operations and</w:t>
            </w: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For the year ended 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vMerge w:val="restart"/>
          </w:tcPr>
          <w:p>
            <w:pPr>
              <w:jc w:val="right"/>
              <w:ind w:right="61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vMerge w:val="restart"/>
          </w:tcPr>
          <w:p>
            <w:pPr>
              <w:jc w:val="right"/>
              <w:ind w:right="610"/>
              <w:spacing w:after="0" w:line="19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1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Comprehensive Income (Loss)</w:t>
            </w:r>
          </w:p>
        </w:tc>
        <w:tc>
          <w:tcPr>
            <w:tcW w:w="3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Lease Costs</w:t>
            </w:r>
          </w:p>
        </w:tc>
        <w:tc>
          <w:tcPr>
            <w:tcW w:w="4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Rent expense associated with triple net</w:t>
            </w:r>
          </w:p>
        </w:tc>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1"/>
              </w:rPr>
              <w:t>General and administrative</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41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(2)</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Primarily General and administrative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Short-term lease cost</w:t>
            </w:r>
          </w:p>
        </w:tc>
        <w:tc>
          <w:tcPr>
            <w:tcW w:w="4120" w:type="dxa"/>
            <w:vAlign w:val="bottom"/>
          </w:tcPr>
          <w:p>
            <w:pPr>
              <w:jc w:val="center"/>
              <w:spacing w:after="0"/>
              <w:rPr>
                <w:sz w:val="20"/>
                <w:szCs w:val="20"/>
                <w:color w:val="auto"/>
              </w:rPr>
            </w:pPr>
            <w:r>
              <w:rPr>
                <w:rFonts w:ascii="Arial" w:cs="Arial" w:eastAsia="Arial" w:hAnsi="Arial"/>
                <w:sz w:val="18"/>
                <w:szCs w:val="18"/>
                <w:color w:val="auto"/>
                <w:w w:val="90"/>
              </w:rPr>
              <w:t>Primarily Gaming expense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(2)</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Primarily Gaming expense</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4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3"/>
                <w:szCs w:val="23"/>
                <w:color w:val="auto"/>
                <w:vertAlign w:val="superscript"/>
              </w:rPr>
              <w:t>(3)</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3"/>
                <w:szCs w:val="23"/>
                <w:color w:val="auto"/>
                <w:vertAlign w:val="superscript"/>
              </w:rPr>
              <w:t>(3)</w:t>
            </w:r>
          </w:p>
        </w:tc>
        <w:tc>
          <w:tcPr>
            <w:tcW w:w="4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Depreciation and amortization</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w:t>
            </w:r>
          </w:p>
        </w:tc>
        <w:tc>
          <w:tcPr>
            <w:tcW w:w="4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Obligation Costs</w:t>
            </w:r>
          </w:p>
        </w:tc>
        <w:tc>
          <w:tcPr>
            <w:tcW w:w="4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(4)</w:t>
            </w:r>
          </w:p>
        </w:tc>
        <w:tc>
          <w:tcPr>
            <w:tcW w:w="4120" w:type="dxa"/>
            <w:vAlign w:val="bottom"/>
          </w:tcPr>
          <w:p>
            <w:pPr>
              <w:jc w:val="center"/>
              <w:spacing w:after="0"/>
              <w:rPr>
                <w:sz w:val="20"/>
                <w:szCs w:val="20"/>
                <w:color w:val="auto"/>
              </w:rPr>
            </w:pPr>
            <w:r>
              <w:rPr>
                <w:rFonts w:ascii="Arial" w:cs="Arial" w:eastAsia="Arial" w:hAnsi="Arial"/>
                <w:sz w:val="18"/>
                <w:szCs w:val="18"/>
                <w:color w:val="auto"/>
                <w:w w:val="88"/>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660" w:right="20" w:hanging="328"/>
        <w:spacing w:after="0" w:line="273" w:lineRule="auto"/>
        <w:tabs>
          <w:tab w:leader="none" w:pos="6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Pertains to the operating lease components contained within the Master Leases (primarily land), the Meadows Lease, the Margaritaville Lease, the Greektown Lease, and the Tropicana Lease, inclusive of the variable expense associated with Columbus and Toledo for the operating lease components (the land).</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Excludes the operating lease costs and variable lease costs pertaining to our Triple Net Leases with our REIT landlords classified as operating leases, discussed in footnote (1) above.</w:t>
      </w:r>
    </w:p>
    <w:p>
      <w:pPr>
        <w:spacing w:after="0" w:line="66" w:lineRule="exact"/>
        <w:rPr>
          <w:rFonts w:ascii="Arial" w:cs="Arial" w:eastAsia="Arial" w:hAnsi="Arial"/>
          <w:sz w:val="13"/>
          <w:szCs w:val="13"/>
          <w:color w:val="auto"/>
        </w:rPr>
      </w:pPr>
    </w:p>
    <w:p>
      <w:pPr>
        <w:ind w:left="640" w:hanging="308"/>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Primarily pertains to the Dayton and Mahoning Valley finance leases.</w:t>
      </w:r>
    </w:p>
    <w:p>
      <w:pPr>
        <w:spacing w:after="0" w:line="55" w:lineRule="exact"/>
        <w:rPr>
          <w:rFonts w:ascii="Arial" w:cs="Arial" w:eastAsia="Arial" w:hAnsi="Arial"/>
          <w:sz w:val="14"/>
          <w:szCs w:val="14"/>
          <w:color w:val="auto"/>
        </w:rPr>
      </w:pPr>
    </w:p>
    <w:p>
      <w:pPr>
        <w:ind w:left="660" w:right="120" w:hanging="328"/>
        <w:spacing w:after="0" w:line="273" w:lineRule="auto"/>
        <w:tabs>
          <w:tab w:leader="none" w:pos="6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Pertains to the components contained within the Master Leases (primarily buildings) and Morgantown Lease determined to be financing obligations, inclusive of the variable expense associated with Columbus and Toledo for the finance lease components (the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80" w:firstLine="243"/>
        <w:spacing w:after="0" w:line="277" w:lineRule="auto"/>
        <w:rPr>
          <w:sz w:val="20"/>
          <w:szCs w:val="20"/>
          <w:color w:val="auto"/>
        </w:rPr>
      </w:pPr>
      <w:r>
        <w:rPr>
          <w:rFonts w:ascii="Arial" w:cs="Arial" w:eastAsia="Arial" w:hAnsi="Arial"/>
          <w:sz w:val="18"/>
          <w:szCs w:val="18"/>
          <w:color w:val="auto"/>
        </w:rPr>
        <w:t>Total rent expense under all operating lease agreements pursuant to the accounting treatment under ASC 840 was $58.1 million for the year ended December 31, 2018.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35"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40" w:type="dxa"/>
            <w:vAlign w:val="bottom"/>
            <w:tcBorders>
              <w:top w:val="single" w:sz="8" w:color="auto"/>
            </w:tcBorders>
          </w:tcPr>
          <w:p>
            <w:pPr>
              <w:jc w:val="right"/>
              <w:ind w:right="70"/>
              <w:spacing w:after="0" w:line="182" w:lineRule="exact"/>
              <w:rPr>
                <w:sz w:val="20"/>
                <w:szCs w:val="20"/>
                <w:color w:val="auto"/>
              </w:rPr>
            </w:pPr>
            <w:r>
              <w:rPr>
                <w:rFonts w:ascii="Arial" w:cs="Arial" w:eastAsia="Arial" w:hAnsi="Arial"/>
                <w:sz w:val="18"/>
                <w:szCs w:val="18"/>
                <w:b w:val="1"/>
                <w:bCs w:val="1"/>
                <w:color w:val="auto"/>
              </w:rPr>
              <w:t>2020</w:t>
            </w: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Cash paid for amounts included in the measurement of lease liabilities</w:t>
            </w:r>
            <w:r>
              <w:rPr>
                <w:rFonts w:ascii="Arial" w:cs="Arial" w:eastAsia="Arial" w:hAnsi="Arial"/>
                <w:sz w:val="23"/>
                <w:szCs w:val="23"/>
                <w:b w:val="1"/>
                <w:bCs w:val="1"/>
                <w:color w:val="auto"/>
                <w:vertAlign w:val="superscript"/>
              </w:rPr>
              <w:t>(1)</w:t>
            </w:r>
          </w:p>
        </w:tc>
        <w:tc>
          <w:tcPr>
            <w:tcW w:w="1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80" w:type="dxa"/>
            <w:vAlign w:val="bottom"/>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30"/>
        </w:trPr>
        <w:tc>
          <w:tcPr>
            <w:tcW w:w="20" w:type="dxa"/>
            <w:vAlign w:val="bottom"/>
          </w:tcPr>
          <w:p>
            <w:pPr>
              <w:spacing w:after="0"/>
              <w:rPr>
                <w:sz w:val="20"/>
                <w:szCs w:val="20"/>
                <w:color w:val="auto"/>
              </w:rPr>
            </w:pPr>
          </w:p>
        </w:tc>
        <w:tc>
          <w:tcPr>
            <w:tcW w:w="7500" w:type="dxa"/>
            <w:vAlign w:val="bottom"/>
            <w:gridSpan w:val="2"/>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50"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related to the year ended December 31, 2020 are inclusive of utilized rent credits.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payments made under the Triple Net Leases, inclusive of rent credits utilized, were as follows:</w:t>
      </w:r>
    </w:p>
    <w:p>
      <w:pPr>
        <w:spacing w:after="0" w:line="140"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730"/>
              <w:spacing w:after="0" w:line="182" w:lineRule="exact"/>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Penn Master Lease </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Pinnacle Master Lease </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328.6</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Meadows Lease </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Margaritaville Lease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Greektown Lease</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Morgantown Lease </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8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60" w:right="20" w:hanging="328"/>
        <w:spacing w:after="0" w:line="273" w:lineRule="auto"/>
        <w:tabs>
          <w:tab w:leader="none" w:pos="6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the twelve months ended December 31, 2020 we utilized rent credits to pay $190.7 million, $135.5 million, $11.0 million and $0.3 million of rent under the Penn Master Lease, Pinnacle Master Lease, Meadows Lease and Morgantown Lease, respectively.</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Cash rent payable under the Tropicana Lease is nominal. Therefore, it has been excluded from the table above.</w:t>
      </w: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maturity analysis of our operating leases, finance leases and financing obligations as of December 31,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9"/>
              </w:rPr>
              <w:t>Operating Leases</w:t>
            </w:r>
          </w:p>
        </w:tc>
        <w:tc>
          <w:tcPr>
            <w:tcW w:w="140" w:type="dxa"/>
            <w:vAlign w:val="bottom"/>
          </w:tcPr>
          <w:p>
            <w:pPr>
              <w:spacing w:after="0"/>
              <w:rPr>
                <w:sz w:val="18"/>
                <w:szCs w:val="18"/>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Financing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0"/>
              <w:spacing w:after="0" w:line="189" w:lineRule="exact"/>
              <w:rPr>
                <w:sz w:val="20"/>
                <w:szCs w:val="20"/>
                <w:color w:val="auto"/>
              </w:rPr>
            </w:pPr>
            <w:r>
              <w:rPr>
                <w:rFonts w:ascii="Arial" w:cs="Arial" w:eastAsia="Arial" w:hAnsi="Arial"/>
                <w:sz w:val="18"/>
                <w:szCs w:val="18"/>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2021</w:t>
            </w:r>
          </w:p>
        </w:tc>
        <w:tc>
          <w:tcPr>
            <w:tcW w:w="56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29"/>
        </w:trPr>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5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30"/>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2023</w:t>
            </w:r>
          </w:p>
        </w:tc>
        <w:tc>
          <w:tcPr>
            <w:tcW w:w="5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30"/>
        </w:trPr>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5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30"/>
        </w:trPr>
        <w:tc>
          <w:tcPr>
            <w:tcW w:w="760" w:type="dxa"/>
            <w:vAlign w:val="bottom"/>
            <w:gridSpan w:val="2"/>
          </w:tcPr>
          <w:p>
            <w:pPr>
              <w:ind w:left="220"/>
              <w:spacing w:after="0"/>
              <w:rPr>
                <w:sz w:val="20"/>
                <w:szCs w:val="20"/>
                <w:color w:val="auto"/>
              </w:rPr>
            </w:pPr>
            <w:r>
              <w:rPr>
                <w:rFonts w:ascii="Arial" w:cs="Arial" w:eastAsia="Arial" w:hAnsi="Arial"/>
                <w:sz w:val="18"/>
                <w:szCs w:val="18"/>
                <w:color w:val="auto"/>
              </w:rPr>
              <w:t>2025</w:t>
            </w:r>
          </w:p>
        </w:tc>
        <w:tc>
          <w:tcPr>
            <w:tcW w:w="5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10,947.2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Present value of future lease payments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lease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Long-term portion of lease obligations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85"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Company leases its hotel rooms to patrons and records the corresponding lessor revenue in “Food, beverage, hotel and other revenues” within our Consolidated Statements of Operations and Comprehensive Income (Loss). For the years ended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December 31, 2020, 2019, and 2018, the Company recognized $146.8 million, $311.0 million, and $163.6 million, of lessor revenues related to the rental of hotel rooms, respectively. Hotel leasing arrangements vary in duration, but are short-term in nature. The cost and accumulated depreciation of property and equipment associated with hotel rooms is included in “Property and equipment, net” within our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is adequate insurance coverage to mitigate the risk of loss pertaining to covered matters, legal and administrative proceedings can be costly, time-consuming and unpredictable. The Company believes that it has meritorious defenses, claims and/or counter-claims with respect to these proceedings, and intends to vigorously defend itself or pursue its claims.</w:t>
      </w:r>
    </w:p>
    <w:p>
      <w:pPr>
        <w:spacing w:after="0" w:line="147"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Although no assurance can be given, the Company does not believe that the final outcome of these matters, including costs to defend itself in such matters, will have a material adverse effect on the Company’s Consolidated Financial Statements. Further, no assurance can be given that the amount or scope of existing insurance coverage will be sufficient to cover losses arising from such matters.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Share Agreements</w:t>
      </w:r>
    </w:p>
    <w:p>
      <w:pPr>
        <w:spacing w:after="0" w:line="19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Prairie State Gaming (“PSG”) enters into location share agreements with bar and retail establishments in Illinois. These agreements are contracts which allow PSG to place VGTs in the bar or retail establishment in exchange for a percentage of the variable revenue generated by the VGTs. PSG holds the gaming license with the state of Illinois and the location share percentage is determined by the state of Illinois. For the years ended December 31, 2020, 2019 and 2018, the total location share payments made by PSG, which are recorded within our Consolidated Statements of Operations and Comprehensive Income (Loss) as gaming expenses, were $20.2 million, $33.1 million, and $34.7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has obligations to purchase various goods and services totaling $149.1 million as of December 31, 2020, of which $59.7 million will be incurred in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Commitments</w:t>
      </w:r>
    </w:p>
    <w:p>
      <w:pPr>
        <w:spacing w:after="0" w:line="185" w:lineRule="exact"/>
        <w:rPr>
          <w:sz w:val="20"/>
          <w:szCs w:val="20"/>
          <w:color w:val="auto"/>
        </w:rPr>
      </w:pPr>
    </w:p>
    <w:p>
      <w:pPr>
        <w:ind w:right="80"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Pursuant to each of our Triple Net Leases with the exception of our Morgantown Lease (which is a land lease we entered into on October 1, 2020 with GLPI as discussed in </w:t>
      </w:r>
      <w:hyperlink w:anchor="page88">
        <w:r>
          <w:rPr>
            <w:rFonts w:ascii="Arial" w:cs="Arial" w:eastAsia="Arial" w:hAnsi="Arial"/>
            <w:sz w:val="18"/>
            <w:szCs w:val="18"/>
            <w:u w:val="single" w:color="auto"/>
            <w:color w:val="0000FF"/>
          </w:rPr>
          <w:t>Note 12 "Leases"</w:t>
        </w:r>
      </w:hyperlink>
      <w:r>
        <w:rPr>
          <w:rFonts w:ascii="Arial" w:cs="Arial" w:eastAsia="Arial" w:hAnsi="Arial"/>
          <w:sz w:val="18"/>
          <w:szCs w:val="18"/>
          <w:color w:val="auto"/>
        </w:rPr>
        <w:t>), we are obligated to spend a minimum of 1% of annual net revenues, in the aggregate under each lease, on the maintenance of such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9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Company maintains a qualified retirement plan under the provisions of Section 401(k) of the Internal Revenue Code of 1986, as amended, which covers all eligible employees (the “Penn 401(k) Plan”). The Penn 401(k) Plan enables participating employees to defer a portion of their salary in a retirement fund to be administered by the Company. The Company makes a discretionary match contribution, where applicable, of 50% of employees’ elective salary deferrals, up to a maximum of 6% of eligible employee compensation. The matching contributions to the Penn 401(k) Plan for the years ended December 31, 2020, 2019 and 2018 were $6.0 million, $11.7 million, and $6.5 million, respectively.</w:t>
      </w:r>
    </w:p>
    <w:p>
      <w:pPr>
        <w:spacing w:after="0" w:line="13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maintain a non-qualified deferred compensation plan (the “EDC Plan”) that covers most management and other highly-compensated employees. The EDC Plan was effective beginning March 1, 2001. The EDC Plan allows the participants to defer, on a pre-tax basis, a portion of their base annual salary and/or their annual bonus and earn tax-deferred earnings on these deferrals. The EDC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EDC Plan for the years ended December 31, 2020, 2019 and 2018 were $2.6 million, $2.3 million, and $2.3 million, respectively. Our deferred compensation liability, which is included in “Accrued expenses and other current liabilities” within the Consolidated Balance Sheets, was $86.3 million and $80.1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part of our initiative to reduce our cost structure while our properties were temporarily closed due to the COVID-19 pandemic, we suspended our matching contributions to the Penn 401(k) Plan and the EDC Plan from April 1, 2020 to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Agreements</w:t>
      </w:r>
    </w:p>
    <w:p>
      <w:pPr>
        <w:spacing w:after="0" w:line="19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are required to have agreements with the horsemen at the majority of our racetracks to conduct our live racing and/or simulcasting activities. In addition, in order to operate gaming machines and table games in West Virginia, the Company must maintain agreements with each of the Charles Town horsemen, pari-mutuel clerks and breeders. As of December 31, 2020, we had 38 collective bargaining agreements covering approximately 2,779 active employees. Nine collective bargaining agreements are scheduled to expire in 2021, and we are currently renegotiating three collective bargaining agreements that expired in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following table summarizes the tax effects of temporary differences between the Consolidated Financial Statements carrying amount of assets and liabilities and their respective tax basis, which are recorded at the prevailing enacted tax rate that will be in effect when these differences are settled or realized. These temporary differences result in taxable or deductible amounts in future years. The Company assessed all available positive and negative evidence to estimate whether sufficient future taxable income will be generated to realize our existing net deferred tax assets. For the year ended December 31, 2020, the Company made a reclassification within the below table to separate the right of use asset from the financing and operating lease obligations. This reclassification change was also made to 2019 for transparency, which has no impact to the net deferred tax amount.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deferred tax assets and liabilities were as follows:</w:t>
      </w:r>
    </w:p>
    <w:p>
      <w:pPr>
        <w:spacing w:after="0" w:line="140"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Financing and operating leasing obligations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2,178.0</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Unrecognized tax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Net operating losses, interest limitation and tax credit carryforwards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3"/>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2,322.6</w:t>
            </w: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2,268.4</w:t>
            </w: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and equipment, not subject to the Master Leases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subject to the Master Leases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(1,088.9)</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and advances to unconsolidated affiliates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Discount on convertible notes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Undistributed foreign earnings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(287.3)</w:t>
            </w:r>
          </w:p>
        </w:tc>
      </w:tr>
      <w:tr>
        <w:trPr>
          <w:trHeight w:val="230"/>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 right of use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(1,080.4)</w:t>
            </w:r>
          </w:p>
        </w:tc>
      </w:tr>
      <w:tr>
        <w:trPr>
          <w:trHeight w:val="223"/>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deferred tax assets (liabilities),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The realizability of the net deferred tax assets is evaluated quarterly by assessing the need for a valuation allowance and by adjusting the amount of the allowance, if necessary. The Company gives appropriate consideration to all available positive and negative evidence including statutory carryback periods, projected future taxable income and available tax planning strategies that could be implemented to realize the net deferred tax assets. The evaluation of both positive and negative evidence is a requirement pursuant to ASC 740 in determining if the net deferred tax assets will be realized. ASC 740 suggests that additional scrutiny should be given to deferred taxes of an entity with cumulative pre</w:t>
      </w:r>
      <w:r>
        <w:rPr>
          <w:rFonts w:ascii="MS PGothic" w:cs="MS PGothic" w:eastAsia="MS PGothic" w:hAnsi="MS PGothic"/>
          <w:sz w:val="16"/>
          <w:szCs w:val="16"/>
          <w:color w:val="auto"/>
        </w:rPr>
        <w:t>‑</w:t>
      </w:r>
      <w:r>
        <w:rPr>
          <w:rFonts w:ascii="Arial" w:cs="Arial" w:eastAsia="Arial" w:hAnsi="Arial"/>
          <w:sz w:val="16"/>
          <w:szCs w:val="16"/>
          <w:color w:val="auto"/>
        </w:rPr>
        <w:t>tax book losses during the three most recent years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and is widely considered significant negative evidence that is objective and verifiable and therefore, difficult to overcome. Due to the financial results during the year ended December 31, 2020, the Company has a cumulative pre</w:t>
      </w:r>
      <w:r>
        <w:rPr>
          <w:rFonts w:ascii="MS PGothic" w:cs="MS PGothic" w:eastAsia="MS PGothic" w:hAnsi="MS PGothic"/>
          <w:sz w:val="18"/>
          <w:szCs w:val="18"/>
          <w:color w:val="auto"/>
        </w:rPr>
        <w:t>‑</w:t>
      </w:r>
      <w:r>
        <w:rPr>
          <w:rFonts w:ascii="Arial" w:cs="Arial" w:eastAsia="Arial" w:hAnsi="Arial"/>
          <w:sz w:val="18"/>
          <w:szCs w:val="18"/>
          <w:color w:val="auto"/>
        </w:rPr>
        <w:t>tax book loss of $658.2 million, which is significant negative evidence used in our assessment.</w:t>
      </w:r>
    </w:p>
    <w:p>
      <w:pPr>
        <w:spacing w:after="0" w:line="231" w:lineRule="exact"/>
        <w:rPr>
          <w:sz w:val="20"/>
          <w:szCs w:val="20"/>
          <w:color w:val="auto"/>
        </w:rPr>
      </w:pPr>
    </w:p>
    <w:p>
      <w:pPr>
        <w:ind w:firstLine="324"/>
        <w:spacing w:after="0" w:line="218" w:lineRule="exact"/>
        <w:rPr>
          <w:sz w:val="20"/>
          <w:szCs w:val="20"/>
          <w:color w:val="auto"/>
        </w:rPr>
      </w:pPr>
      <w:r>
        <w:rPr>
          <w:rFonts w:ascii="Arial" w:cs="Arial" w:eastAsia="Arial" w:hAnsi="Arial"/>
          <w:sz w:val="16"/>
          <w:szCs w:val="16"/>
          <w:color w:val="auto"/>
        </w:rPr>
        <w:t>Additionally, the Company expects to remain in a three year cumulative loss position in the near future. As a result of these facts, the Company has recorded a valuation allowance against its net deferred tax assets, excluding net operating losses ("NOLs") that can be realized based on statutory carryback periods and the reversal of net deferred taxes related to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intangibles. The Company intends to continue to maintain a valuation allowance on its net deferred tax assets until there is sufficient objectively verifiable positive evidence to support the realization of all or some portion of these deferred tax assets. In the event the Company determines that the deferred income tax assets would be realized in the future in excess of their net recorded amount, an adjustment to the valuation allowance would be recorded, which would reduce the provision for income taxes.</w:t>
      </w:r>
    </w:p>
    <w:p>
      <w:pPr>
        <w:spacing w:after="0" w:line="23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year ended December 31, 2020, the Company increased the valuation allowance by $46.8 million, primarily related to federal and state NOL carryforwards, which substantially increased in the current year as a result of the global pandemic.</w:t>
      </w:r>
    </w:p>
    <w:p>
      <w:pPr>
        <w:spacing w:after="0" w:line="19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Following the ownership changes of the Tropicana, the Company has $120.3 million of total gross federal NOL carryforwards that will expire on various dates through 2035. All acquired tax attributes are subject to limitations under the Internal Revenue Code and underlying Treasury Regulations. During the year ended December 31, 2020, the Company increased its federal NOL carryforward by $148.1 million due to the current year loss, which resulted in an indefinite federal NOL carryforward. The utilization of the indefinite federal NOL carryforward is limited to 80% of taxable income in any given year.</w:t>
      </w:r>
    </w:p>
    <w:p>
      <w:pPr>
        <w:spacing w:after="0" w:line="2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state income tax reporting, as of December 31, 2020, the Company had gross state NOL carryforwards aggregating $1,332.0 million available to reduce future state income taxes, primarily for the Commonwealth of Pennsylvania and the States of Colorado, Iowa, Louisiana, Missouri, New Mexico and Ohio localities. The tax benefit associated with these NOL carryforwards was $78.3 million. Due to statutorily limited NOL carryforwards and income and loss projections in the applicable jurisdictions, a valuation allowance has been recorded to reflect the NOLs which are not presently expected to be realized in the amount of $60.2 million. If not used, the majority of the carryforwards will expire at various dates from December 31, 2021 through December 31, 2040.</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domestic and foreign components of income (loss) before income taxes for the years ended December 31, 2020, 2019 and 2018 were as follows:</w:t>
      </w:r>
    </w:p>
    <w:p>
      <w:pPr>
        <w:spacing w:after="0" w:line="16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benefit (expense) for the years ended December 31, 2020, 2019 and 2018 were as follows:</w:t>
      </w:r>
    </w:p>
    <w:p>
      <w:pPr>
        <w:spacing w:after="0" w:line="140"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tax benefit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40" w:type="dxa"/>
            <w:vAlign w:val="bottom"/>
            <w:gridSpan w:val="2"/>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current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0"/>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Deferred tax benefit (expense)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20" w:type="dxa"/>
            <w:vAlign w:val="bottom"/>
          </w:tcPr>
          <w:p>
            <w:pPr>
              <w:spacing w:after="0"/>
              <w:rPr>
                <w:sz w:val="19"/>
                <w:szCs w:val="19"/>
                <w:color w:val="auto"/>
              </w:rPr>
            </w:pPr>
          </w:p>
        </w:tc>
        <w:tc>
          <w:tcPr>
            <w:tcW w:w="6740" w:type="dxa"/>
            <w:vAlign w:val="bottom"/>
            <w:gridSpan w:val="2"/>
          </w:tcPr>
          <w:p>
            <w:pPr>
              <w:ind w:left="20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deferred</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reconciles the statutory federal income tax rate to the actual effective income tax rate, and related amounts of income tax benefit (expense), for the years ended December 31, 2020, 2019 and 2018:</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3"/>
              </w:rPr>
              <w:t>For the 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840" w:type="dxa"/>
            <w:vAlign w:val="bottom"/>
          </w:tcPr>
          <w:p>
            <w:pPr>
              <w:spacing w:after="0"/>
              <w:rPr>
                <w:sz w:val="18"/>
                <w:szCs w:val="18"/>
                <w:color w:val="auto"/>
              </w:rPr>
            </w:pPr>
          </w:p>
        </w:tc>
        <w:tc>
          <w:tcPr>
            <w:tcW w:w="15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86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tax rates)</w:t>
            </w:r>
          </w:p>
        </w:tc>
        <w:tc>
          <w:tcPr>
            <w:tcW w:w="1240" w:type="dxa"/>
            <w:vAlign w:val="bottom"/>
            <w:tcBorders>
              <w:top w:val="single" w:sz="8" w:color="auto"/>
            </w:tcBorders>
            <w:gridSpan w:val="2"/>
          </w:tcPr>
          <w:p>
            <w:pPr>
              <w:ind w:left="300"/>
              <w:spacing w:after="0" w:line="172" w:lineRule="exact"/>
              <w:rPr>
                <w:sz w:val="20"/>
                <w:szCs w:val="20"/>
                <w:color w:val="auto"/>
              </w:rPr>
            </w:pPr>
            <w:r>
              <w:rPr>
                <w:rFonts w:ascii="Arial" w:cs="Arial" w:eastAsia="Arial" w:hAnsi="Arial"/>
                <w:sz w:val="16"/>
                <w:szCs w:val="16"/>
                <w:b w:val="1"/>
                <w:bCs w:val="1"/>
                <w:color w:val="auto"/>
              </w:rPr>
              <w:t>Percent</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39"/>
              <w:spacing w:after="0" w:line="172"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4"/>
                <w:szCs w:val="14"/>
                <w:color w:val="auto"/>
              </w:rPr>
            </w:pPr>
          </w:p>
        </w:tc>
        <w:tc>
          <w:tcPr>
            <w:tcW w:w="1240" w:type="dxa"/>
            <w:vAlign w:val="bottom"/>
            <w:tcBorders>
              <w:top w:val="single" w:sz="8" w:color="auto"/>
            </w:tcBorders>
            <w:gridSpan w:val="2"/>
          </w:tcPr>
          <w:p>
            <w:pPr>
              <w:ind w:left="300"/>
              <w:spacing w:after="0" w:line="172" w:lineRule="exact"/>
              <w:rPr>
                <w:sz w:val="20"/>
                <w:szCs w:val="20"/>
                <w:color w:val="auto"/>
              </w:rPr>
            </w:pPr>
            <w:r>
              <w:rPr>
                <w:rFonts w:ascii="Arial" w:cs="Arial" w:eastAsia="Arial" w:hAnsi="Arial"/>
                <w:sz w:val="16"/>
                <w:szCs w:val="16"/>
                <w:b w:val="1"/>
                <w:bCs w:val="1"/>
                <w:color w:val="auto"/>
              </w:rPr>
              <w:t>Percent</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59"/>
              <w:spacing w:after="0" w:line="172" w:lineRule="exact"/>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4"/>
                <w:szCs w:val="14"/>
                <w:color w:val="auto"/>
              </w:rPr>
            </w:pPr>
          </w:p>
        </w:tc>
        <w:tc>
          <w:tcPr>
            <w:tcW w:w="1240" w:type="dxa"/>
            <w:vAlign w:val="bottom"/>
            <w:tcBorders>
              <w:top w:val="single" w:sz="8" w:color="auto"/>
            </w:tcBorders>
            <w:gridSpan w:val="2"/>
          </w:tcPr>
          <w:p>
            <w:pPr>
              <w:ind w:left="300"/>
              <w:spacing w:after="0" w:line="172" w:lineRule="exact"/>
              <w:rPr>
                <w:sz w:val="20"/>
                <w:szCs w:val="20"/>
                <w:color w:val="auto"/>
              </w:rPr>
            </w:pPr>
            <w:r>
              <w:rPr>
                <w:rFonts w:ascii="Arial" w:cs="Arial" w:eastAsia="Arial" w:hAnsi="Arial"/>
                <w:sz w:val="16"/>
                <w:szCs w:val="16"/>
                <w:b w:val="1"/>
                <w:bCs w:val="1"/>
                <w:color w:val="auto"/>
              </w:rPr>
              <w:t>Percent</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39"/>
              <w:spacing w:after="0" w:line="172" w:lineRule="exact"/>
              <w:rPr>
                <w:sz w:val="20"/>
                <w:szCs w:val="20"/>
                <w:color w:val="auto"/>
              </w:rPr>
            </w:pPr>
            <w:r>
              <w:rPr>
                <w:rFonts w:ascii="Arial" w:cs="Arial" w:eastAsia="Arial" w:hAnsi="Arial"/>
                <w:sz w:val="16"/>
                <w:szCs w:val="16"/>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Percent and amount of pretax income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Arial" w:cs="Arial" w:eastAsia="Arial" w:hAnsi="Arial"/>
                <w:sz w:val="16"/>
                <w:szCs w:val="16"/>
                <w:color w:val="auto"/>
              </w:rPr>
              <w:t>Federal statutory rate</w:t>
            </w:r>
          </w:p>
        </w:tc>
        <w:tc>
          <w:tcPr>
            <w:tcW w:w="1120" w:type="dxa"/>
            <w:vAlign w:val="bottom"/>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175.2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State and local income taxes, net of federal benefits</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2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Arial" w:cs="Arial" w:eastAsia="Arial" w:hAnsi="Arial"/>
                <w:sz w:val="16"/>
                <w:szCs w:val="16"/>
                <w:color w:val="auto"/>
              </w:rPr>
              <w:t>Nondeductible expenses</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Goodwill impairment losses</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Arial" w:cs="Arial" w:eastAsia="Arial" w:hAnsi="Arial"/>
                <w:sz w:val="16"/>
                <w:szCs w:val="16"/>
                <w:color w:val="auto"/>
              </w:rPr>
              <w:t>Compensation</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Arial" w:cs="Arial" w:eastAsia="Arial" w:hAnsi="Arial"/>
                <w:sz w:val="16"/>
                <w:szCs w:val="16"/>
                <w:color w:val="auto"/>
              </w:rPr>
              <w:t>Federal valuation allowance</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 credits</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3"/>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effective tax rate and income tax benefit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Unrecognized tax</w:t>
            </w:r>
          </w:p>
        </w:tc>
      </w:tr>
      <w:tr>
        <w:trPr>
          <w:trHeight w:val="175"/>
        </w:trPr>
        <w:tc>
          <w:tcPr>
            <w:tcW w:w="20" w:type="dxa"/>
            <w:vAlign w:val="bottom"/>
          </w:tcPr>
          <w:p>
            <w:pPr>
              <w:spacing w:after="0"/>
              <w:rPr>
                <w:sz w:val="15"/>
                <w:szCs w:val="15"/>
                <w:color w:val="auto"/>
              </w:rPr>
            </w:pPr>
          </w:p>
        </w:tc>
        <w:tc>
          <w:tcPr>
            <w:tcW w:w="9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500" w:type="dxa"/>
            <w:vAlign w:val="bottom"/>
          </w:tcPr>
          <w:p>
            <w:pPr>
              <w:jc w:val="right"/>
              <w:ind w:right="479"/>
              <w:spacing w:after="0" w:line="175" w:lineRule="exact"/>
              <w:rPr>
                <w:sz w:val="20"/>
                <w:szCs w:val="20"/>
                <w:color w:val="auto"/>
              </w:rPr>
            </w:pPr>
            <w:r>
              <w:rPr>
                <w:rFonts w:ascii="Arial" w:cs="Arial" w:eastAsia="Arial" w:hAnsi="Arial"/>
                <w:sz w:val="16"/>
                <w:szCs w:val="16"/>
                <w:b w:val="1"/>
                <w:bCs w:val="1"/>
                <w:color w:val="auto"/>
              </w:rPr>
              <w:t>benefits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Unrecognized tax benefits as of January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6"/>
                <w:szCs w:val="16"/>
                <w:color w:val="auto"/>
              </w:rPr>
              <w:t>Additions based on prior year positions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Decreases due to settlements and/or reduction in reserves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20" w:type="dxa"/>
            <w:vAlign w:val="bottom"/>
          </w:tcPr>
          <w:p>
            <w:pPr>
              <w:spacing w:after="0"/>
              <w:rPr>
                <w:sz w:val="17"/>
                <w:szCs w:val="17"/>
                <w:color w:val="auto"/>
              </w:rPr>
            </w:pPr>
          </w:p>
        </w:tc>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Unrecognized tax benefits as of December 31, 2018</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9"/>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Additions based on prior year positions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20" w:type="dxa"/>
            <w:vAlign w:val="bottom"/>
            <w:tcBorders>
              <w:bottom w:val="single" w:sz="8" w:color="CCEEFF"/>
            </w:tcBorders>
          </w:tcPr>
          <w:p>
            <w:pPr>
              <w:spacing w:after="0"/>
              <w:rPr>
                <w:sz w:val="18"/>
                <w:szCs w:val="18"/>
                <w:color w:val="auto"/>
              </w:rPr>
            </w:pPr>
          </w:p>
        </w:tc>
        <w:tc>
          <w:tcPr>
            <w:tcW w:w="95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Decreases due to settlements and/or reduction in reserves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Unrecognized tax benefits as of December 31, 2019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20" w:type="dxa"/>
            <w:vAlign w:val="bottom"/>
          </w:tcPr>
          <w:p>
            <w:pPr>
              <w:spacing w:after="0"/>
              <w:rPr>
                <w:sz w:val="18"/>
                <w:szCs w:val="18"/>
                <w:color w:val="auto"/>
              </w:rPr>
            </w:pPr>
          </w:p>
        </w:tc>
        <w:tc>
          <w:tcPr>
            <w:tcW w:w="9540" w:type="dxa"/>
            <w:vAlign w:val="bottom"/>
            <w:gridSpan w:val="2"/>
          </w:tcPr>
          <w:p>
            <w:pPr>
              <w:ind w:left="200"/>
              <w:spacing w:after="0"/>
              <w:rPr>
                <w:sz w:val="20"/>
                <w:szCs w:val="20"/>
                <w:color w:val="auto"/>
              </w:rPr>
            </w:pPr>
            <w:r>
              <w:rPr>
                <w:rFonts w:ascii="Arial" w:cs="Arial" w:eastAsia="Arial" w:hAnsi="Arial"/>
                <w:sz w:val="16"/>
                <w:szCs w:val="16"/>
                <w:color w:val="auto"/>
              </w:rPr>
              <w:t>Additions based on prior year positions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20" w:type="dxa"/>
            <w:vAlign w:val="bottom"/>
            <w:shd w:val="clear" w:color="auto" w:fill="CCEEFF"/>
          </w:tcPr>
          <w:p>
            <w:pPr>
              <w:spacing w:after="0"/>
              <w:rPr>
                <w:sz w:val="18"/>
                <w:szCs w:val="18"/>
                <w:color w:val="auto"/>
              </w:rPr>
            </w:pPr>
          </w:p>
        </w:tc>
        <w:tc>
          <w:tcPr>
            <w:tcW w:w="95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Decreases due to settlements and/or reduction in reserves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6"/>
                <w:szCs w:val="16"/>
                <w:b w:val="1"/>
                <w:bCs w:val="1"/>
                <w:color w:val="auto"/>
              </w:rPr>
              <w:t>Unrecognized tax benefits 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year ended December 31, 2020, we did not record any new tax reserves, and accrued interest or penalties related to current year uncertain tax positions. Regarding prior year tax positions, we recorded $1.9 million of tax reserves and accrued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and reversed $1.0 million of previously recorded tax reserves and accrued interest for uncertain tax positions. As of December 31, 2020 and 2019, unrecognized tax benefits, inclusive of accruals for income tax related penalties and interest, of $38.2 million and $37.2 million, respectively, were included in “Other long-term liabilities” within the Company’s Consolidated Balance Sheets. Overall, the Company recorded a net tax expense of $0.9 million in connection with its uncertain tax positions for the year ended December 31, 2020.</w:t>
      </w:r>
    </w:p>
    <w:p>
      <w:pPr>
        <w:spacing w:after="0" w:line="21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liability for unrecognized tax benefits as of December 31, 2020 and 2019 included $30.2 million and $29.4 million, respectively, of tax positions that, if reversed, would affect the effective tax rate. During the years ended December 31, 2020, 2019 and 2018, we recognized $0.5 million, $0.1 million and $0.5 million, respectively, of interest and penalties, net of deferred taxes. In addition, due to settlements and/or reductions in previously recorded liabilities, the Company had reductions in previously accrued interest and penalties of $0.1 million, net of deferred taxes. The Company had no reductions in previously accrued interest and penalties for the year ended December 31, 2019. We classify any income tax related penalties and interest accrued related to unrecognized tax benefits in “Income tax benefit (expense)” within the Consolidated Statements of Operations and Comprehensive Income (Loss).</w:t>
      </w:r>
    </w:p>
    <w:p>
      <w:pPr>
        <w:spacing w:after="0" w:line="19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is currently in various stages of the examination process in connection with its open audits. Generally, it is difficult to determine when these examinations will be closed, but the Company reasonably expects that its ASC 740 liabilities will not significantly change over the next twelve months. As of December 31, 2020, the Company has open tax years 2017 through 2019 that could be subject to examination for U.S. federal income taxes. In addition, we are subject to state and local income tax examinations for various tax years in the taxing jurisdictions in which we operate. Such audits could result in increased tax liabilities, interest and penalties. While the Company believes its tax positions are appropriate, we cannot assure the outcome will remain consistent with our expectation. The Company believes we have adequately reserved for potential audit exposures of uncertain tax positions. In the event the final outcome of these matters is different than the amounts recorded, such differences will impact our income tax provision in the period in which the determination is made. As of December 31, 2020 and 2019, prepaid income taxes of $52.7 million and $22.2 million, respectively, were included in “Prepaid expenses” within the Company’s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9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May 14, 2020, the Company completed a public offering of 16,666,667 shares of Penn Common Stock and on May 19, 2020, the underwriters exercised their right to purchase an additional 2,500,000 shares of Penn Common Stock, resulting in an aggregate public offering of 19,166,667 shares of Penn Common Stock. All of the shares were issued at a public offering price of $18.00 per share, resulting in gross proceeds of $345.0 million, and net proceeds of $331.2 million after underwriter fees and discounts of $13.8 million.</w:t>
      </w:r>
    </w:p>
    <w:p>
      <w:pPr>
        <w:spacing w:after="0" w:line="146"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On September 24, 2020, the Company completed a public offering of 14,000,000 shares of Penn Common Stock and on September 25, 2020, the underwriters exercised their right to purchase an additional 2,100,000 shares of Penn Common Stock, resulting in an aggregate public offering of 16,100,000 shares of Penn Common Stock. All of the shares were issued at a public offering price of $61.00 per share, resulting in gross proceeds of $982.1 million, and net proceeds of $957.6 million after underwriter fees and discounts of $24.5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98"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In January 2019, the Company announced a share repurchase program pursuant to which the Board of Directors authorized the repurchase of up to $200.0 million of the Company’s common stock, which expired on December 31, 2020. During the year ended December 31, 2019, the Company repurchased 1,271,823 shares of its common stock in open market transactions for $24.9 million at an average price of $19.55 per share. All of the repurchased shares were retired. There were no repurchases of the Company’s common stock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80" w:firstLine="324"/>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On February 20, 2020, the Company issued 883 shares of Series D Preferred Stock, par value $0.01 per share (the “Series D Preferred Stock”), to certain individual stockholders affiliated with Barstool Sports as discussed in </w:t>
      </w:r>
      <w:hyperlink w:anchor="page77">
        <w:r>
          <w:rPr>
            <w:rFonts w:ascii="Arial" w:cs="Arial" w:eastAsia="Arial" w:hAnsi="Arial"/>
            <w:sz w:val="17"/>
            <w:szCs w:val="17"/>
            <w:u w:val="single" w:color="auto"/>
            <w:color w:val="0000FF"/>
          </w:rPr>
          <w:t>"Note 7—Investments in and Advances to Unconsolidated Affiliates."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There were 5,000 shares authorized of Series D Preferred Stock and 883 shares outstanding as of December 31, 2020.</w:t>
      </w:r>
    </w:p>
    <w:p>
      <w:pPr>
        <w:spacing w:after="0" w:line="13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Company previously issued two series of preferred stock, Series B and Series C, each with a par value of $0.01 per share. As of December 31, 2020 and 2019, there were 1,000,000 and 18,500 shares authorized of our Series B and Series C preferred stock, respectively. There were no shares outstanding of either Series B or Series C preferred stock as of December 31,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Long Term Incentive Compensation Plan</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Company’s 2018 Long Term Incentive Compensation Plan, as amended (the “2018 Plan”) permits it to issue stock options (incentive and/or non-qualified), stock appreciation rights (“SARs”), restricted stock awards (“RSAs”), phantom stock units (“PSUs”) and other equity and cash awards to employees. Non-employee directors and the chairman emeritus are eligible to receive all such awards, other than incentive stock options. Pursuant to the 2018 Plan, 12,700,000 shares of the Company’s common stock are reserved for issuance. For purposes of determining the number of shares available for issuance under the 2018 Plan, stock options and SARs count against the 12,700,000 limit as one share of common stock for each share granted and restricted stock or any other full value stock award count as issuing 2.30 shares of common stock for each share granted. Any awards that are not settled in shares of common stock are not counted against the limit. As of December 31, 2020, there were 7,612,054 shares available for future grants under the 2018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Long Term Incentive Compensation Plan</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November 2008, the Company’s shareholders approved the 2008 Long Term Incentive Compensation Plan (the “2008 Plan”), which permitted the Company to issue stock options (incentive and/or non-qualified), SARs, RSAs, PSUs and other equity and cash awards to employees. Non-employee directors were eligible to receive all such awards, other than incentive stock options. Upon approval of the 2018 Plan, awards were no longer available to be granted under the 2008 Plan. However, the 2008 Plan remains in place until all of the awards previously granted thereunder have been paid, forfeited or expired.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Stock-based compensation expense, which pertains principally to our stock options and RSAs, for the years ended December 31, 2020, 2019 and 2018 totaled $14.5 million, $14.9 million and $12.0 million, respectively, and is included within the Consolidated Statements of Operations and Comprehensive Income (Loss) under “General and administrative.”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Stock options that expire between February 21, 2021 and October 31, 2030 have been granted to officers, directors, employees, and predecessor employees to purchase common stock at prices ranging from $12.65 to $55.74 per share. All options were granted at the fair market value of the common stock on the grant date (as defined in the respective plan document) and have contractual lives ranging from four to ten years. The Company issues new authorized common shares to satisfy stock option exercises.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information about our stock options: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6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8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Number of Option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Weighted-Average</w:t>
            </w:r>
          </w:p>
        </w:tc>
        <w:tc>
          <w:tcPr>
            <w:tcW w:w="19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9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5"/>
                <w:szCs w:val="15"/>
                <w:color w:val="auto"/>
              </w:rPr>
            </w:pPr>
          </w:p>
        </w:tc>
        <w:tc>
          <w:tcPr>
            <w:tcW w:w="16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0"/>
              </w:rPr>
              <w:t>Intrinsic Value</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1860" w:type="dxa"/>
            <w:vAlign w:val="bottom"/>
          </w:tcPr>
          <w:p>
            <w:pPr>
              <w:jc w:val="right"/>
              <w:ind w:right="5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9"/>
                <w:szCs w:val="19"/>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2020</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7,817,436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652,733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(508,326)</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3,599,189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as of December 31, 2020</w:t>
            </w: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line="20" w:lineRule="exact"/>
              <w:rPr>
                <w:sz w:val="1"/>
                <w:szCs w:val="1"/>
                <w:color w:val="auto"/>
              </w:rPr>
            </w:pPr>
          </w:p>
        </w:tc>
      </w:tr>
      <w:tr>
        <w:trPr>
          <w:trHeight w:val="204"/>
        </w:trPr>
        <w:tc>
          <w:tcPr>
            <w:tcW w:w="3420" w:type="dxa"/>
            <w:vAlign w:val="bottom"/>
            <w:vMerge w:val="continue"/>
          </w:tcPr>
          <w:p>
            <w:pPr>
              <w:spacing w:after="0"/>
              <w:rPr>
                <w:sz w:val="17"/>
                <w:szCs w:val="17"/>
                <w:color w:val="auto"/>
              </w:rPr>
            </w:pPr>
          </w:p>
        </w:tc>
        <w:tc>
          <w:tcPr>
            <w:tcW w:w="1860" w:type="dxa"/>
            <w:vAlign w:val="bottom"/>
          </w:tcPr>
          <w:p>
            <w:pPr>
              <w:jc w:val="right"/>
              <w:spacing w:after="0" w:line="204" w:lineRule="exact"/>
              <w:rPr>
                <w:sz w:val="20"/>
                <w:szCs w:val="20"/>
                <w:color w:val="auto"/>
              </w:rPr>
            </w:pPr>
            <w:r>
              <w:rPr>
                <w:rFonts w:ascii="Arial" w:cs="Arial" w:eastAsia="Arial" w:hAnsi="Arial"/>
                <w:sz w:val="18"/>
                <w:szCs w:val="18"/>
                <w:color w:val="auto"/>
              </w:rPr>
              <w:t>1,343,421</w:t>
            </w:r>
          </w:p>
        </w:tc>
        <w:tc>
          <w:tcPr>
            <w:tcW w:w="260" w:type="dxa"/>
            <w:vAlign w:val="bottom"/>
            <w:gridSpan w:val="2"/>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2019 and 2018 were $8.62, $6.39 and $9.88, respectively. The aggregate intrinsic value of stock options exercised during the years ended December 31, 2020, 2019 and 2018 was $128.9 million, $2.0 million and $28.7 million, respectively. The total fair value of stock options that vested during the years ended December 31, 2020, 2019 and 2018 was $9.6 million, $6.2 million and $5.9 million,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our outstanding stock options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Exercise Price Range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$12.65 to</w:t>
            </w:r>
          </w:p>
        </w:tc>
        <w:tc>
          <w:tcPr>
            <w:tcW w:w="220" w:type="dxa"/>
            <w:vAlign w:val="bottom"/>
          </w:tcPr>
          <w:p>
            <w:pPr>
              <w:spacing w:after="0"/>
              <w:rPr>
                <w:sz w:val="14"/>
                <w:szCs w:val="14"/>
                <w:color w:val="auto"/>
              </w:rPr>
            </w:pPr>
          </w:p>
        </w:tc>
        <w:tc>
          <w:tcPr>
            <w:tcW w:w="128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$18.81 to</w:t>
            </w:r>
          </w:p>
        </w:tc>
        <w:tc>
          <w:tcPr>
            <w:tcW w:w="220" w:type="dxa"/>
            <w:vAlign w:val="bottom"/>
          </w:tcPr>
          <w:p>
            <w:pPr>
              <w:spacing w:after="0"/>
              <w:rPr>
                <w:sz w:val="14"/>
                <w:szCs w:val="14"/>
                <w:color w:val="auto"/>
              </w:rPr>
            </w:pPr>
          </w:p>
        </w:tc>
        <w:tc>
          <w:tcPr>
            <w:tcW w:w="128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rPr>
              <w:t>$30.74 to</w:t>
            </w:r>
          </w:p>
        </w:tc>
        <w:tc>
          <w:tcPr>
            <w:tcW w:w="220" w:type="dxa"/>
            <w:vAlign w:val="bottom"/>
          </w:tcPr>
          <w:p>
            <w:pPr>
              <w:spacing w:after="0"/>
              <w:rPr>
                <w:sz w:val="14"/>
                <w:szCs w:val="14"/>
                <w:color w:val="auto"/>
              </w:rPr>
            </w:pPr>
          </w:p>
        </w:tc>
        <w:tc>
          <w:tcPr>
            <w:tcW w:w="11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$55.74 to</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88"/>
              </w:rPr>
              <w:t>$12.65 to</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$26.14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$36.31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$55.74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options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Number outstanding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1,045,257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2,245,484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303,974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3,599,189</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Weighted-average remaining contractual term (in</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years)</w:t>
            </w: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Weighted-average exercise price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options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Number outstanding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830,121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1,343,421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exercise price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of December 31, 2020, the unamortized compensation costs not yet recognized related to stock options granted totaled $11.5 million and the weighted-average period over which the costs are expected to be recognized was 2.5 years.</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are the weighted-average assumptions used in the Black-Scholes option-pricing model for the years ended December 31, 2020, 2019 and 2018:</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72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b w:val="1"/>
                <w:bCs w:val="1"/>
                <w:color w:val="auto"/>
                <w:w w:val="91"/>
              </w:rPr>
              <w:t>For the 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33.78 %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32.90 %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30.80 %</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Weighted-average expected life (in years)</w:t>
            </w: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8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As noted above, the Company grants RSAs to our employees and certain non-employee directors. In addition, the Company issues its named executive officers (“NEOs”) and other key executives RSAs with performance conditions (we refer to our RSAs with performance conditions as “PSAs”), which are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Programs</w:t>
      </w:r>
    </w:p>
    <w:p>
      <w:pPr>
        <w:spacing w:after="0" w:line="18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Company’s Performance Share Programs (as defined below) were adopted in order to provide our NEOs and certain other key executives with stock-based compensation tied directly to the Company’s performance, which further aligns their interests with those of shareholders and provides compensation only if the designated performance goals are met for the applicable performance periods.</w:t>
      </w:r>
    </w:p>
    <w:p>
      <w:pPr>
        <w:spacing w:after="0" w:line="15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February 6, 2018, our Compensation Committee adopted a performance share program (the “2018 Performance Share Program”) pursuant to the 2018 Plan, which provided for the issuance of 197,727 PSAs, at target, to be granted in one-third increments.</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February 2019, the Company’s Compensation Committee of the Board of Directors adopted a performance share program (the “Performance Share Program II”) pursuant to the 2018 Plan.</w:t>
      </w:r>
    </w:p>
    <w:p>
      <w:pPr>
        <w:spacing w:after="0" w:line="130"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On February 14, 2019, an aggregate of 278,780 PSAs with performance-based vesting conditions, at target, was granted under the Performance Share Program II, to be granted in one-third increments.</w:t>
      </w:r>
    </w:p>
    <w:p>
      <w:pPr>
        <w:spacing w:after="0" w:line="143"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On February 25, 2020, an aggregate of 107,297 PSAs with performance-based vesting conditions, at target, was granted under the Performance Share Program II, to be granted in one-third increments.</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PSAs issued pursuant to the Performance Share Programs consist of three one-year performance periods over a three-year service period. The awards have the potential to be earned at between 0% and 150% of the number of shares granted depending on achievement of the annual performance goals, but remain subject to vesting for the full three-year service period.</w:t>
      </w:r>
    </w:p>
    <w:p>
      <w:pPr>
        <w:spacing w:after="0" w:line="14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grant date fair value of our RSAs is based on the most recent closing stock price of the Company’s shares of common stock. The stock-based compensation expense is recognized over the remaining service period at the time of grant, adjusted for the Company’s expectation of the achievement of the performance conditions.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340"/>
              <w:spacing w:after="0"/>
              <w:rPr>
                <w:sz w:val="20"/>
                <w:szCs w:val="20"/>
                <w:color w:val="auto"/>
              </w:rPr>
            </w:pPr>
            <w:r>
              <w:rPr>
                <w:rFonts w:ascii="Arial" w:cs="Arial" w:eastAsia="Arial" w:hAnsi="Arial"/>
                <w:sz w:val="18"/>
                <w:szCs w:val="18"/>
                <w:color w:val="auto"/>
                <w:w w:val="95"/>
              </w:rPr>
              <w:t>The following table contains information on our RSAs: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460" w:type="dxa"/>
            <w:vAlign w:val="bottom"/>
          </w:tcPr>
          <w:p>
            <w:pPr>
              <w:spacing w:after="0"/>
              <w:rPr>
                <w:sz w:val="24"/>
                <w:szCs w:val="24"/>
                <w:color w:val="auto"/>
              </w:rPr>
            </w:pPr>
          </w:p>
        </w:tc>
        <w:tc>
          <w:tcPr>
            <w:tcW w:w="3400" w:type="dxa"/>
            <w:vAlign w:val="bottom"/>
            <w:gridSpan w:val="5"/>
          </w:tcPr>
          <w:p>
            <w:pPr>
              <w:ind w:left="480"/>
              <w:spacing w:after="0"/>
              <w:rPr>
                <w:sz w:val="20"/>
                <w:szCs w:val="20"/>
                <w:color w:val="auto"/>
              </w:rPr>
            </w:pPr>
            <w:r>
              <w:rPr>
                <w:rFonts w:ascii="Arial" w:cs="Arial" w:eastAsia="Arial" w:hAnsi="Arial"/>
                <w:sz w:val="18"/>
                <w:szCs w:val="18"/>
                <w:b w:val="1"/>
                <w:bCs w:val="1"/>
                <w:color w:val="auto"/>
              </w:rPr>
              <w:t>With Performance Conditions</w:t>
            </w:r>
          </w:p>
        </w:tc>
        <w:tc>
          <w:tcPr>
            <w:tcW w:w="32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Without Performance Conditions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58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4"/>
                <w:szCs w:val="14"/>
                <w:color w:val="auto"/>
              </w:rPr>
            </w:pPr>
          </w:p>
        </w:tc>
        <w:tc>
          <w:tcPr>
            <w:tcW w:w="158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January 1, 2020</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179,045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131,313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December 31, 2020, the unamortized compensation costs not yet recognized related to RSAs totaled $6.4 million and the weighted-average period over which the costs are expected to be recognized is 1.7 years. The total fair value of RSAs that vested during the years ended December 31, 2020, 2019 and 2018 was $16.7 million, $5.5 million and $0.9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Stock Units</w:t>
      </w:r>
    </w:p>
    <w:p>
      <w:pPr>
        <w:spacing w:after="0" w:line="185"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6"/>
          <w:szCs w:val="16"/>
          <w:color w:val="auto"/>
        </w:rPr>
        <w:t>Our outstanding PSUs entitle employees, non-employee directors, and the chairman emeritus to receive cash based on the fair value of the Company’s common stock on the vesting date. Our PSUs vest over a period of three or four years. The cash-settled PSUs are accounted for as liability awards and are re-measured at fair value each reporting period until they become vested with compensation expense being recognized over the requisite service period.</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has a liability, which is included in “Accrued expenses and other current liabilities” within the Consolidated Balance Sheets, associated with its cash-settled PSUs of $10.1 million and $3.3 million as of December 31, 2020 and 2019, respectively.</w:t>
      </w:r>
    </w:p>
    <w:p>
      <w:pPr>
        <w:spacing w:after="0" w:line="14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PSUs held by employees, non-employee directors, and the chairman emeritus of the Company, there was $16.0 million of total unrecognized compensation cost as of December 31, 2020 that will be recognized over the awards remaining weighted-average vesting period of 2.3 years. For the years ended December 31, 2020, 2019 and 2018, the Company recognized $11.5 million, $4.1 million, and $1.1 million of compensation expense associated with these awards, respectively. Compensation expense associated with our PSUs is recorded in “General and administrative” within the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Operations and Comprehensive Income (Loss). We paid $4.7 million, $2.5 million, and $4.2 million during the years ended December 31, 2020, 2019 and 2018, respectively, pertaining to cash-settled PSUs.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9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outstanding cash-settled SARs are accounted for as liability awards since they will be settled in cash and vest over a period of four years. The fair value of cash-settled SARs is calculated each reporting period and estimated using the Black-Scholes option pricing model. The Company has a liability, which is included in “Accrued expenses and other current liabilities” within the Consolidated Balance Sheets, associated with its cash-settled SARs of $54.6 million and $14.4 million as of December 31, 2020 and 2019, respectively.</w:t>
      </w:r>
    </w:p>
    <w:p>
      <w:pPr>
        <w:spacing w:after="0" w:line="14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For SARs held by employees of the Company, there was $71.2 million of total unrecognized compensation cost as of December 31, 2020 that will be recognized over the awards remaining weighted-average vesting period of 2.7 years. For the years ended December 31, 2020 and 2019, the Company recognized a charge to compensation expense of $69.7 million and $10.7 million, respectively, associated with these awards, as compared to a reduction to compensation expense of $6.7 million for the year ended December 31, 2018. Compensation expense associated with the SARs is recorded in “General and administrative” within the Consolidated Statements of Operations and Comprehensive Income (Loss). We paid $32.6 million, $3.5 million and $10.5 million during the years ended December 31, 2020, 2019 and 2018, respectively, related to cash-settled SARs.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17—Earnings (Loss) per Share</w:t>
      </w:r>
    </w:p>
    <w:p>
      <w:pPr>
        <w:spacing w:after="0" w:line="1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the year ended December 31, 2020, we recorded a net loss attributable to Penn Common Stock. As such, because the dilution from potential common shares was antidilutive, we used basic weighted-average common shares outstanding, rather than diluted weighted-average common shares outstanding when calculating diluted loss per share for the year ended December 31, 2020.</w:t>
      </w:r>
    </w:p>
    <w:p>
      <w:pPr>
        <w:spacing w:after="0" w:line="157" w:lineRule="exact"/>
        <w:rPr>
          <w:sz w:val="20"/>
          <w:szCs w:val="20"/>
          <w:color w:val="auto"/>
        </w:rPr>
      </w:pPr>
    </w:p>
    <w:p>
      <w:pPr>
        <w:ind w:right="120"/>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On February 20, 2020, the Company issued 883 shares of Series D Preferred Stock to certain individual stockholders affiliated with Barstool Sports which can be converted into 883,000 shares of Penn Common Stock. The Series D Preferred Stock will be entitled to participate equally and ratably in all dividends and distributions paid to holders of Penn Common Stock. Holders of the Company's Series D Preferred Stock are not obligated to absorb losses </w:t>
      </w:r>
      <w:hyperlink w:anchor="page77">
        <w:r>
          <w:rPr>
            <w:rFonts w:ascii="Arial" w:cs="Arial" w:eastAsia="Arial" w:hAnsi="Arial"/>
            <w:sz w:val="18"/>
            <w:szCs w:val="18"/>
            <w:color w:val="auto"/>
          </w:rPr>
          <w:t xml:space="preserve">therefore the two-class method was not applied for the year ended December 31, 2020. (See </w:t>
        </w:r>
        <w:r>
          <w:rPr>
            <w:rFonts w:ascii="Arial" w:cs="Arial" w:eastAsia="Arial" w:hAnsi="Arial"/>
            <w:sz w:val="18"/>
            <w:szCs w:val="18"/>
            <w:u w:val="single" w:color="auto"/>
            <w:color w:val="0000FF"/>
          </w:rPr>
          <w:t>Note 7 - Investments in and Advances to Unconsolidated</w:t>
        </w:r>
      </w:hyperlink>
      <w:r>
        <w:rPr>
          <w:rFonts w:ascii="Arial" w:cs="Arial" w:eastAsia="Arial" w:hAnsi="Arial"/>
          <w:sz w:val="18"/>
          <w:szCs w:val="18"/>
          <w:color w:val="auto"/>
        </w:rPr>
        <w:t xml:space="preserve"> </w:t>
      </w:r>
      <w:hyperlink w:anchor="page77">
        <w:r>
          <w:rPr>
            <w:rFonts w:ascii="Arial" w:cs="Arial" w:eastAsia="Arial" w:hAnsi="Arial"/>
            <w:sz w:val="18"/>
            <w:szCs w:val="18"/>
            <w:u w:val="single" w:color="auto"/>
            <w:color w:val="0000FF"/>
          </w:rPr>
          <w:t>Affiliates</w:t>
        </w:r>
        <w:r>
          <w:rPr>
            <w:rFonts w:ascii="Arial" w:cs="Arial" w:eastAsia="Arial" w:hAnsi="Arial"/>
            <w:sz w:val="18"/>
            <w:szCs w:val="18"/>
            <w:color w:val="000000"/>
          </w:rPr>
          <w:t>).</w:t>
        </w:r>
      </w:hyperlink>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stock options, RSAs, convertible preferred shares and convertible debt that could potentially dilute basic EPS in the future that were not included in the computation of diluted loss per share were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972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520" w:type="dxa"/>
            <w:vAlign w:val="bottom"/>
          </w:tcPr>
          <w:p>
            <w:pPr>
              <w:spacing w:after="0"/>
              <w:rPr>
                <w:sz w:val="20"/>
                <w:szCs w:val="20"/>
                <w:color w:val="auto"/>
              </w:rPr>
            </w:pPr>
          </w:p>
        </w:tc>
      </w:tr>
      <w:tr>
        <w:trPr>
          <w:trHeight w:val="8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0"/>
              </w:rPr>
              <w:t>For the year ended</w:t>
            </w:r>
          </w:p>
        </w:tc>
      </w:tr>
      <w:tr>
        <w:trPr>
          <w:trHeight w:val="189"/>
        </w:trPr>
        <w:tc>
          <w:tcPr>
            <w:tcW w:w="20" w:type="dxa"/>
            <w:vAlign w:val="bottom"/>
          </w:tcPr>
          <w:p>
            <w:pPr>
              <w:spacing w:after="0"/>
              <w:rPr>
                <w:sz w:val="16"/>
                <w:szCs w:val="16"/>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0"/>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9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dilutive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Assumed conversion of dilutive RSAs</w:t>
            </w: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convertible preferred shares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Assumed conversion of convertible debt</w:t>
            </w: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1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reconciles the weighted-average common shares outstanding used in the calculation of basic EPS to the weighted-average common shares outstanding used in the calculation of diluted EPS for the years ended December 31, 2019 and 2018:</w:t>
      </w:r>
    </w:p>
    <w:p>
      <w:pPr>
        <w:spacing w:after="0" w:line="85" w:lineRule="exact"/>
        <w:rPr>
          <w:sz w:val="20"/>
          <w:szCs w:val="20"/>
          <w:color w:val="auto"/>
        </w:rPr>
      </w:pPr>
    </w:p>
    <w:p>
      <w:pPr>
        <w:ind w:left="8480"/>
        <w:spacing w:after="0"/>
        <w:rPr>
          <w:sz w:val="20"/>
          <w:szCs w:val="20"/>
          <w:color w:val="auto"/>
        </w:rPr>
      </w:pPr>
      <w:r>
        <w:rPr>
          <w:rFonts w:ascii="Arial" w:cs="Arial" w:eastAsia="Arial" w:hAnsi="Arial"/>
          <w:sz w:val="17"/>
          <w:szCs w:val="17"/>
          <w:b w:val="1"/>
          <w:bCs w:val="1"/>
          <w:color w:val="auto"/>
        </w:rPr>
        <w:t>For the year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2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w:t>
            </w:r>
          </w:p>
        </w:tc>
        <w:tc>
          <w:tcPr>
            <w:tcW w:w="14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outstanding—Basic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Assumed conversion of:</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Dilutive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Dilutive RSAs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outstanding—Diluted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Options to purchase zero, 2.4 million, and 0.7 million shares were outstanding during the years ended December 31, 2020, 2019 and 2018, respectively, but were not included in the computation of diluted EPS because they were antidilutive.</w:t>
      </w:r>
    </w:p>
    <w:p>
      <w:pPr>
        <w:spacing w:after="0" w:line="13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the calculation of basic and diluted earnings (loss) for the Company’s common stock for the years ended December 31, 2020, 2019 and 2018:</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30"/>
              <w:spacing w:after="0" w:line="20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Calculation of basic earnings (loss) per share: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Net income (loss) applicable to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56"/>
        </w:trPr>
        <w:tc>
          <w:tcPr>
            <w:tcW w:w="2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4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Calculation of diluted earnings (loss)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 applicable to common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9"/>
        </w:trPr>
        <w:tc>
          <w:tcPr>
            <w:tcW w:w="20" w:type="dxa"/>
            <w:vAlign w:val="bottom"/>
          </w:tcPr>
          <w:p>
            <w:pPr>
              <w:spacing w:after="0"/>
              <w:rPr>
                <w:sz w:val="19"/>
                <w:szCs w:val="19"/>
                <w:color w:val="auto"/>
              </w:rPr>
            </w:pPr>
          </w:p>
        </w:tc>
        <w:tc>
          <w:tcPr>
            <w:tcW w:w="6900" w:type="dxa"/>
            <w:vAlign w:val="bottom"/>
            <w:gridSpan w:val="2"/>
          </w:tcPr>
          <w:p>
            <w:pPr>
              <w:ind w:left="20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Information</w:t>
      </w:r>
    </w:p>
    <w:p>
      <w:pPr>
        <w:spacing w:after="0" w:line="189"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have aggregated our operating segments into four reportable segments based on the similar characteristics of the operating segments within the regions in which they operate: Northeast, South, West and Midwest. The Other category is included in the following tables in order to reconcile the segment information to the consolidated information.</w:t>
      </w:r>
    </w:p>
    <w:p>
      <w:pPr>
        <w:spacing w:after="0" w:line="157" w:lineRule="exact"/>
        <w:rPr>
          <w:sz w:val="20"/>
          <w:szCs w:val="20"/>
          <w:color w:val="auto"/>
        </w:rPr>
      </w:pPr>
    </w:p>
    <w:p>
      <w:pPr>
        <w:ind w:firstLine="324"/>
        <w:spacing w:after="0" w:line="287" w:lineRule="auto"/>
        <w:rPr>
          <w:sz w:val="20"/>
          <w:szCs w:val="20"/>
          <w:color w:val="auto"/>
        </w:rPr>
      </w:pPr>
      <w:r>
        <w:rPr>
          <w:rFonts w:ascii="Arial" w:cs="Arial" w:eastAsia="Arial" w:hAnsi="Arial"/>
          <w:sz w:val="17"/>
          <w:szCs w:val="17"/>
          <w:color w:val="auto"/>
        </w:rPr>
        <w:t>The Company utilizes Adjusted EBITDAR (as defined below) as its measure of segment profit or loss. The following table highlights our revenues and Adjusted EBITDAR for each reportable segment and reconciles Adjusted EBITDAR on a consolidated basis to net income (loss).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Northeast segment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1,891.5</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South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West segment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437.9</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Midwest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88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Adjusted EBITDAR </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Northeast segment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South segment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West segment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Midwest segment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294.3</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20" w:type="dxa"/>
            <w:vAlign w:val="bottom"/>
          </w:tcPr>
          <w:p>
            <w:pPr>
              <w:spacing w:after="0"/>
              <w:rPr>
                <w:sz w:val="19"/>
                <w:szCs w:val="19"/>
                <w:color w:val="auto"/>
              </w:rPr>
            </w:pPr>
          </w:p>
        </w:tc>
        <w:tc>
          <w:tcPr>
            <w:tcW w:w="6880" w:type="dxa"/>
            <w:vAlign w:val="bottom"/>
            <w:gridSpan w:val="2"/>
          </w:tcPr>
          <w:p>
            <w:pPr>
              <w:ind w:left="460"/>
              <w:spacing w:after="0" w:line="223"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b w:val="1"/>
                <w:bCs w:val="1"/>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1,043.2</w:t>
            </w:r>
          </w:p>
        </w:tc>
      </w:tr>
      <w:tr>
        <w:trPr>
          <w:trHeight w:val="216"/>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Other operating benefits (costs) and other income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Cash-settled stock-based awards variance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Gain (loss) on disposal of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Contingent purchase price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Pre-opening and acquisition costs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Recoveries on loan loss and unfunded loan commitments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Insurance recoveries, net of deductible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(538.4)</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right="40" w:hanging="328"/>
        <w:spacing w:after="0" w:line="252" w:lineRule="auto"/>
        <w:tabs>
          <w:tab w:leader="none" w:pos="652"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Other category consists of the Company’s stand-alone racing operations, namely Sanford-Orlando Kennel Club and the Company’s JV interests in Sam Houston Race Park, Valley Race Park, and Freehold Raceway; our management contract for Retama Park Racetrack and our live and televised poker tournament series that operates under the trade name, Heartland Poker Tour (“HPT”). The Other category also includes Penn Interactive, which operates social gaming, our internally-branded retail sportsbooks, iGaming and our Barstool Sports online sports betting app.</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right="60"/>
        <w:spacing w:after="0" w:line="252" w:lineRule="auto"/>
        <w:rPr>
          <w:sz w:val="20"/>
          <w:szCs w:val="20"/>
          <w:color w:val="auto"/>
        </w:rPr>
      </w:pPr>
      <w:r>
        <w:rPr>
          <w:rFonts w:ascii="Arial" w:cs="Arial" w:eastAsia="Arial" w:hAnsi="Arial"/>
          <w:sz w:val="14"/>
          <w:szCs w:val="14"/>
          <w:color w:val="auto"/>
        </w:rPr>
        <w:t>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 In addition, the Other category includes our proportionate share of the Adjusted EBITDAR of Barstool Sports (as determined and discussed in footnotes (3) and (5) below).</w:t>
      </w:r>
    </w:p>
    <w:p>
      <w:pPr>
        <w:spacing w:after="0" w:line="26"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elimination of intersegment revenues associated with Penn Interactive and HPT.</w:t>
      </w:r>
    </w:p>
    <w:p>
      <w:pPr>
        <w:spacing w:after="0" w:line="55" w:lineRule="exact"/>
        <w:rPr>
          <w:rFonts w:ascii="Arial" w:cs="Arial" w:eastAsia="Arial" w:hAnsi="Arial"/>
          <w:sz w:val="14"/>
          <w:szCs w:val="14"/>
          <w:color w:val="auto"/>
        </w:rPr>
      </w:pPr>
    </w:p>
    <w:p>
      <w:pPr>
        <w:ind w:left="660" w:right="120" w:hanging="328"/>
        <w:spacing w:after="0" w:line="249" w:lineRule="auto"/>
        <w:tabs>
          <w:tab w:leader="none" w:pos="6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define Adjusted EBITDAR as earnings before interest expense, net; income taxes; depreciation and amortization; rent expense associated with triple net operating leases (see footnote (4) below); stock-based compensation; debt extinguishment and financing charges; impairment losses; insurance recoveries and deductible charges; changes in the estimated fair value of our contingent purchase price obligations; gain or loss on disposal of assets; the difference between budget and actual expense for cash-settled stock-based awards; pre-opening and acquisition costs; and other income or expenses. Adjusted EBITDAR is also inclusive of income or loss from unconsolidated affiliates, with our share of non-operating items (see footnote (5) below) added back for Barstool Sports and our Kansas Entertainment JV.</w:t>
      </w:r>
    </w:p>
    <w:p>
      <w:pPr>
        <w:spacing w:after="0" w:line="28" w:lineRule="exact"/>
        <w:rPr>
          <w:rFonts w:ascii="Arial" w:cs="Arial" w:eastAsia="Arial" w:hAnsi="Arial"/>
          <w:sz w:val="14"/>
          <w:szCs w:val="14"/>
          <w:color w:val="auto"/>
        </w:rPr>
      </w:pPr>
    </w:p>
    <w:p>
      <w:pPr>
        <w:ind w:left="660" w:right="100" w:hanging="328"/>
        <w:spacing w:after="0" w:line="273" w:lineRule="auto"/>
        <w:tabs>
          <w:tab w:leader="none" w:pos="6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Company’s triple net operating leases include certain components of the Master Leases (primarily land), the Meadows Lease, the Margaritaville Lease, the Greektown Lease, and the Tropicana Lease.</w:t>
      </w:r>
    </w:p>
    <w:p>
      <w:pPr>
        <w:spacing w:after="0" w:line="11" w:lineRule="exact"/>
        <w:rPr>
          <w:rFonts w:ascii="Arial" w:cs="Arial" w:eastAsia="Arial" w:hAnsi="Arial"/>
          <w:sz w:val="14"/>
          <w:szCs w:val="14"/>
          <w:color w:val="auto"/>
        </w:rPr>
      </w:pPr>
    </w:p>
    <w:p>
      <w:pPr>
        <w:ind w:left="660" w:right="360" w:hanging="328"/>
        <w:spacing w:after="0" w:line="273" w:lineRule="auto"/>
        <w:tabs>
          <w:tab w:leader="none" w:pos="6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principally of interest expense, net; income taxes; depreciation and amortization; and stock-based compensation expense associated with Barstool Sports and our Kansas Entertainment JV.</w:t>
      </w:r>
    </w:p>
    <w:p>
      <w:pPr>
        <w:spacing w:after="0" w:line="11" w:lineRule="exact"/>
        <w:rPr>
          <w:rFonts w:ascii="Arial" w:cs="Arial" w:eastAsia="Arial" w:hAnsi="Arial"/>
          <w:sz w:val="14"/>
          <w:szCs w:val="14"/>
          <w:color w:val="auto"/>
        </w:rPr>
      </w:pPr>
    </w:p>
    <w:p>
      <w:pPr>
        <w:ind w:left="660" w:right="180" w:hanging="328"/>
        <w:spacing w:after="0" w:line="257" w:lineRule="auto"/>
        <w:tabs>
          <w:tab w:leader="none" w:pos="6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Principally includes holding gains on our equity securities, which are discussed in </w:t>
      </w:r>
      <w:hyperlink w:anchor="page104">
        <w:r>
          <w:rPr>
            <w:rFonts w:ascii="Arial" w:cs="Arial" w:eastAsia="Arial" w:hAnsi="Arial"/>
            <w:sz w:val="14"/>
            <w:szCs w:val="14"/>
            <w:u w:val="single" w:color="auto"/>
            <w:color w:val="0000FF"/>
          </w:rPr>
          <w:t>Note 19, “Fair Value Measurements.”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Additionally, includes non-recurring restructuring charges (primarily severance) of $13.4 million associated with a company-wide initiative, triggered by the COVID-19 pandemic, designed to (i) improve the operational effectiveness across our property portfolio; and (ii) improve the effectiveness and efficiency of our Corporate functional support areas.</w:t>
      </w:r>
    </w:p>
    <w:p>
      <w:pPr>
        <w:spacing w:after="0" w:line="19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For the 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95"/>
              <w:spacing w:after="0" w:line="182" w:lineRule="exact"/>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4"/>
          </w:tcPr>
          <w:p>
            <w:pPr>
              <w:jc w:val="right"/>
              <w:ind w:right="18"/>
              <w:spacing w:after="0" w:line="182" w:lineRule="exact"/>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415"/>
              <w:spacing w:after="0" w:line="182" w:lineRule="exact"/>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Northeast segment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78.0</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96.2</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South segment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West segment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8.2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21.2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Midwest segment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190.6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Northeast</w:t>
            </w:r>
          </w:p>
        </w:tc>
        <w:tc>
          <w:tcPr>
            <w:tcW w:w="180" w:type="dxa"/>
            <w:vAlign w:val="bottom"/>
          </w:tcPr>
          <w:p>
            <w:pPr>
              <w:spacing w:after="0"/>
              <w:rPr>
                <w:sz w:val="24"/>
                <w:szCs w:val="24"/>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b w:val="1"/>
                <w:bCs w:val="1"/>
                <w:color w:val="auto"/>
              </w:rPr>
              <w:t>South</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55"/>
              <w:spacing w:after="0"/>
              <w:rPr>
                <w:sz w:val="20"/>
                <w:szCs w:val="20"/>
                <w:color w:val="auto"/>
              </w:rPr>
            </w:pPr>
            <w:r>
              <w:rPr>
                <w:rFonts w:ascii="Arial" w:cs="Arial" w:eastAsia="Arial" w:hAnsi="Arial"/>
                <w:sz w:val="16"/>
                <w:szCs w:val="16"/>
                <w:b w:val="1"/>
                <w:bCs w:val="1"/>
                <w:color w:val="auto"/>
              </w:rPr>
              <w:t>West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Midwest</w:t>
            </w:r>
          </w:p>
        </w:tc>
        <w:tc>
          <w:tcPr>
            <w:tcW w:w="120" w:type="dxa"/>
            <w:vAlign w:val="bottom"/>
          </w:tcPr>
          <w:p>
            <w:pPr>
              <w:spacing w:after="0"/>
              <w:rPr>
                <w:sz w:val="24"/>
                <w:szCs w:val="24"/>
                <w:color w:val="auto"/>
              </w:rPr>
            </w:pPr>
          </w:p>
        </w:tc>
        <w:tc>
          <w:tcPr>
            <w:tcW w:w="920" w:type="dxa"/>
            <w:vAlign w:val="bottom"/>
            <w:gridSpan w:val="5"/>
          </w:tcPr>
          <w:p>
            <w:pPr>
              <w:ind w:left="14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24"/>
                <w:szCs w:val="24"/>
                <w:color w:val="auto"/>
              </w:rPr>
            </w:pPr>
          </w:p>
        </w:tc>
        <w:tc>
          <w:tcPr>
            <w:tcW w:w="740" w:type="dxa"/>
            <w:vAlign w:val="bottom"/>
          </w:tcPr>
          <w:p>
            <w:pPr>
              <w:jc w:val="right"/>
              <w:ind w:right="195"/>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2020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Investment in and advances to unconsolidated affiliates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w w:val="94"/>
              </w:rPr>
              <w:t>181.5</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266.8</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200"/>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1,165.4</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9,980.9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14,667.3</w:t>
            </w:r>
          </w:p>
        </w:tc>
        <w:tc>
          <w:tcPr>
            <w:tcW w:w="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84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Investment in and advances to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8,359.5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14,194.5</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84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 of December 31, 2018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6"/>
                <w:szCs w:val="16"/>
                <w:color w:val="auto"/>
              </w:rPr>
              <w:t>Investment in and advances to unconsolidated affiliates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6,381.3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10,961.0</w:t>
            </w:r>
          </w:p>
        </w:tc>
        <w:tc>
          <w:tcPr>
            <w:tcW w:w="20" w:type="dxa"/>
            <w:vAlign w:val="bottom"/>
            <w:shd w:val="clear" w:color="auto" w:fill="CCEEFF"/>
          </w:tcPr>
          <w:p>
            <w:pPr>
              <w:spacing w:after="0"/>
              <w:rPr>
                <w:sz w:val="19"/>
                <w:szCs w:val="19"/>
                <w:color w:val="auto"/>
              </w:rPr>
            </w:pPr>
          </w:p>
        </w:tc>
      </w:tr>
    </w:tbl>
    <w:p>
      <w:pPr>
        <w:spacing w:after="0" w:line="130"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investment in Barstool Sports is included within the Other category.</w:t>
      </w:r>
    </w:p>
    <w:p>
      <w:pPr>
        <w:spacing w:after="0" w:line="55" w:lineRule="exact"/>
        <w:rPr>
          <w:rFonts w:ascii="Arial" w:cs="Arial" w:eastAsia="Arial" w:hAnsi="Arial"/>
          <w:sz w:val="14"/>
          <w:szCs w:val="14"/>
          <w:color w:val="auto"/>
        </w:rPr>
      </w:pPr>
    </w:p>
    <w:p>
      <w:pPr>
        <w:ind w:left="660" w:right="240" w:hanging="328"/>
        <w:spacing w:after="0" w:line="273" w:lineRule="auto"/>
        <w:tabs>
          <w:tab w:leader="none" w:pos="6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2020 and 2019, total assets of the Other category includes real estate assets subject to the Master Leases, which are classified as either property and equipment, operating lease ROU assets, or finance lease ROU assets.</w:t>
      </w:r>
    </w:p>
    <w:p>
      <w:pPr>
        <w:spacing w:after="0" w:line="11" w:lineRule="exact"/>
        <w:rPr>
          <w:rFonts w:ascii="Arial" w:cs="Arial" w:eastAsia="Arial" w:hAnsi="Arial"/>
          <w:sz w:val="14"/>
          <w:szCs w:val="14"/>
          <w:color w:val="auto"/>
        </w:rPr>
      </w:pPr>
    </w:p>
    <w:p>
      <w:pPr>
        <w:ind w:left="640" w:hanging="30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2018, total assets of the Other category includes the real estate assets subject to the Master Leases, which are classified as property and equipment.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19—Fair Value Measurements</w:t>
      </w:r>
    </w:p>
    <w:p>
      <w:pPr>
        <w:spacing w:after="0" w:line="20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spacing w:after="0" w:line="83" w:lineRule="exact"/>
        <w:rPr>
          <w:sz w:val="20"/>
          <w:szCs w:val="20"/>
          <w:color w:val="auto"/>
        </w:rPr>
      </w:pPr>
    </w:p>
    <w:p>
      <w:pPr>
        <w:ind w:left="5540" w:right="3460" w:hanging="5208"/>
        <w:spacing w:after="0" w:line="919"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91" w:lineRule="auto"/>
        <w:tabs>
          <w:tab w:leader="none" w:pos="6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payables approximates the carrying amounts.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Company’s cash and cash equivalents approximates their carrying amount, due to the short maturity of the cash equivalents.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9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December 31, 2020 and 2019, we held $143.1 million and $40.5 million in equity securities, respectively, including ordinary shares and warrants, which are reported as “Other assets” in our Consolidated Balance Sheets. These equity securities are the result of Penn Interactive entering into multi-year agreements with third-party sports betting operators for online sports betting and related iGaming market access across our portfolio. During the year ended December 31, 2020 and 2019, we recognized a holding gain of $106.7 million and $19.9 million, respectively, related to these equity securities, which is included in “Other,” as reported in “Other income (expenses)” within our Consolidated Statements of Operations and Comprehensive Income (Loss).</w:t>
      </w:r>
    </w:p>
    <w:p>
      <w:pPr>
        <w:spacing w:after="0" w:line="15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fair value of the equity securities was determined using Level 2 inputs, which use market approach valuation techniques. The primary inputs to those techniques include the quoted market price of the equity securities, foreign currency exchange rates, a discount for lack of marketability (“DLOM”) with respect to the ordinary shares, and a Black-Scholes option pricing model with respect to the warrants. The DLOM is based on the remaining term of the relevant lock-up periods and the volatility associated with the underlying equity securities. The Black-Scholes option pricing model utilizes the exercise price of the warrants, a risk-free rate, volatility associated with the underlying equity securities and the expected life of the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 Securities and Promissory Notes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 management contract with Retama Development Corporation (“RDC”), a local government corporation of the City of Selma, Texas, to manage the day-to-day operations of Retama Park Racetrack, located outside of San Antonio, Texas. In addition, we own 1.0% of the equity of Retama Nominal Holder, LLC, which holds a nominal interest in the racing license used to operate Retama Park Racetrack, and a 75.5% interest in Pinnacle Retama Partners, LLC (“PRP”), which owns the contingent gaming rights that may arise if gaming under the existing racing license becomes legal in Texas in the future.</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2020 and 2019, PRP held $15.1 million in promissory notes issued by RDC and $6.7 million in local government corporation bonds issued by RDC, at amortized cost. The promissory notes and the local government corporation bonds are collateralized by the assets of Retama Park Racetrack. As of December 31, 2020 and 2019, the promissory notes and the local government corporation bonds, which have long-term contractual maturities, are included in “Other assets” within our Consolidated Balance Sheets.</w:t>
      </w:r>
    </w:p>
    <w:p>
      <w:pPr>
        <w:spacing w:after="0" w:line="146"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During the year ended December 31, 2019, principally due to the lack of legislative progress and on-going negative operating results of Retama Park Racetrack, we recorded an other-than-temporary impairment on the promissory notes and the local government corporation bonds totaling $2.5 million, which is included in “Impairment losses” within our Consolidated Statements of Operations and Comprehensive Income (Loss).</w:t>
      </w:r>
    </w:p>
    <w:p>
      <w:pPr>
        <w:spacing w:after="0" w:line="12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contractual terms of these promissory notes include interest payments due at maturity; however, we have not recorded accrued interest on these promissory notes because uncertainty exists as to RDC’s ability to make interest payments. We have the positive intent and ability to hold the local government corporation bonds to maturity and until the amortized cost is recovered. The estimated fair values of such investments are principally based on appraised values of the land associated with Retama Park Racetrack, which are classified as Level 2 inputs.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fair value of our Term Loan A Facility, Term Loan B-1 Facility, 5.625% Notes, and the 2.75% Convertible Notes is estimated based on quoted prices in active markets and is classified as a Level 1 measurement. The fair value of our Revolving Credit Facility approximates its carrying amount as it is revolving, variable rate debt, which we also classify as a Level 1 measurement.</w:t>
      </w:r>
    </w:p>
    <w:p>
      <w:pPr>
        <w:spacing w:after="0" w:line="157" w:lineRule="exact"/>
        <w:rPr>
          <w:sz w:val="20"/>
          <w:szCs w:val="20"/>
          <w:color w:val="auto"/>
        </w:rPr>
      </w:pPr>
    </w:p>
    <w:p>
      <w:pPr>
        <w:ind w:right="180" w:firstLine="324"/>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Other long-term obligations as of December 31, 2020 and 2019 included the relocation fees for Dayton and Mahoning Valley, which are discussed in </w:t>
      </w:r>
      <w:hyperlink w:anchor="page83">
        <w:r>
          <w:rPr>
            <w:rFonts w:ascii="Arial" w:cs="Arial" w:eastAsia="Arial" w:hAnsi="Arial"/>
            <w:sz w:val="18"/>
            <w:szCs w:val="18"/>
            <w:u w:val="single" w:color="auto"/>
            <w:color w:val="0000FF"/>
          </w:rPr>
          <w:t>Note 11, “Long-term Debt,”</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color w:val="000000"/>
        </w:rPr>
        <w:t>the repayment obligation of the hotel and event center located near Hollywood Casino Lawrenceburg. The fair values of</w:t>
      </w:r>
      <w:r>
        <w:rPr>
          <w:rFonts w:ascii="Arial" w:cs="Arial" w:eastAsia="Arial" w:hAnsi="Arial"/>
          <w:sz w:val="18"/>
          <w:szCs w:val="18"/>
          <w:color w:val="0000FF"/>
        </w:rPr>
        <w:t xml:space="preserve"> </w:t>
      </w:r>
      <w:r>
        <w:rPr>
          <w:rFonts w:ascii="Arial" w:cs="Arial" w:eastAsia="Arial" w:hAnsi="Arial"/>
          <w:sz w:val="18"/>
          <w:szCs w:val="18"/>
          <w:color w:val="000000"/>
        </w:rPr>
        <w:t>these long-term obligations are estimated based on rates consistent with the Company’s credit rating for comparable terms and debt instruments and are classified as Level 2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Other liabilities as of December 31, 2020 principally consisted of contingent purchase price related to Plainridge Park Casino and, as of December 31, 2019, principally consisted of contingent purchase price related to Plainridge Park Casino and Absolute Games, LLC, which was acquired by Penn Interactive during the second quarter of 2018. The Plainridge Park Casino contingent purchase price is calculated based on earnings of the gaming operations over the first ten years of operations, which commenced on June 24, 2015. As of December 31, 2020 and 2019, we were contractually obligated to make five and six additional annual payments, respectively. During the second quarter of 2020, we made the second and final payment of $8.2 million on the Absolute Games, LLC contingent purchase price, which corresponded to the second year of operations after the acquisition and was calculated based on earnings. The fair value of these liabilities, which are estimated based on an income approach using a discounted cash flow model and have been classified as Level 3 measurements, are included within our Consolidated Balance Sheets in “Accrued expenses and other current liabilities” or “Other long-term liabilities,” depending on the timing of the next payment.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estimated fair values by input level of the Company’s financial instruments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98"/>
              </w:rPr>
              <w:t>December 31, 2020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4"/>
                <w:szCs w:val="14"/>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Held-to-maturity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Promissory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460"/>
              <w:spacing w:after="0"/>
              <w:rPr>
                <w:sz w:val="20"/>
                <w:szCs w:val="20"/>
                <w:color w:val="auto"/>
              </w:rPr>
            </w:pPr>
            <w:r>
              <w:rPr>
                <w:rFonts w:ascii="Arial" w:cs="Arial" w:eastAsia="Arial" w:hAnsi="Arial"/>
                <w:sz w:val="18"/>
                <w:szCs w:val="18"/>
                <w:color w:val="auto"/>
              </w:rPr>
              <w:t>Senior Secured Credit Facilities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5.625%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460"/>
              <w:spacing w:after="0"/>
              <w:rPr>
                <w:sz w:val="20"/>
                <w:szCs w:val="20"/>
                <w:color w:val="auto"/>
              </w:rPr>
            </w:pPr>
            <w:r>
              <w:rPr>
                <w:rFonts w:ascii="Arial" w:cs="Arial" w:eastAsia="Arial" w:hAnsi="Arial"/>
                <w:sz w:val="18"/>
                <w:szCs w:val="18"/>
                <w:color w:val="auto"/>
              </w:rPr>
              <w:t>Convertible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long-term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Puts and calls related to certain Barstool Sports shares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3680" w:type="dxa"/>
            <w:vAlign w:val="bottom"/>
            <w:gridSpan w:val="3"/>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0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54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Carrying Amount</w:t>
            </w:r>
          </w:p>
        </w:tc>
        <w:tc>
          <w:tcPr>
            <w:tcW w:w="200" w:type="dxa"/>
            <w:vAlign w:val="bottom"/>
          </w:tcPr>
          <w:p>
            <w:pPr>
              <w:spacing w:after="0"/>
              <w:rPr>
                <w:sz w:val="15"/>
                <w:szCs w:val="15"/>
                <w:color w:val="auto"/>
              </w:rPr>
            </w:pPr>
          </w:p>
        </w:tc>
        <w:tc>
          <w:tcPr>
            <w:tcW w:w="122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60"/>
              <w:spacing w:after="0" w:line="182" w:lineRule="exact"/>
              <w:rPr>
                <w:sz w:val="20"/>
                <w:szCs w:val="20"/>
                <w:color w:val="auto"/>
              </w:rPr>
            </w:pPr>
            <w:r>
              <w:rPr>
                <w:rFonts w:ascii="Arial" w:cs="Arial" w:eastAsia="Arial" w:hAnsi="Arial"/>
                <w:sz w:val="18"/>
                <w:szCs w:val="18"/>
                <w:b w:val="1"/>
                <w:bCs w:val="1"/>
                <w:color w:val="auto"/>
                <w:w w:val="91"/>
              </w:rPr>
              <w:t>Level 1</w:t>
            </w:r>
          </w:p>
        </w:tc>
        <w:tc>
          <w:tcPr>
            <w:tcW w:w="280" w:type="dxa"/>
            <w:vAlign w:val="bottom"/>
          </w:tcPr>
          <w:p>
            <w:pPr>
              <w:spacing w:after="0"/>
              <w:rPr>
                <w:sz w:val="15"/>
                <w:szCs w:val="15"/>
                <w:color w:val="auto"/>
              </w:rPr>
            </w:pPr>
          </w:p>
        </w:tc>
        <w:tc>
          <w:tcPr>
            <w:tcW w:w="1260" w:type="dxa"/>
            <w:vAlign w:val="bottom"/>
            <w:gridSpan w:val="2"/>
          </w:tcPr>
          <w:p>
            <w:pPr>
              <w:ind w:left="160"/>
              <w:spacing w:after="0" w:line="182"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5"/>
                <w:szCs w:val="15"/>
                <w:color w:val="auto"/>
              </w:rPr>
            </w:pPr>
          </w:p>
        </w:tc>
        <w:tc>
          <w:tcPr>
            <w:tcW w:w="116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Level 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Held-to-maturity securities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Promissory notes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ind w:left="460"/>
              <w:spacing w:after="0"/>
              <w:rPr>
                <w:sz w:val="20"/>
                <w:szCs w:val="20"/>
                <w:color w:val="auto"/>
              </w:rPr>
            </w:pPr>
            <w:r>
              <w:rPr>
                <w:rFonts w:ascii="Arial" w:cs="Arial" w:eastAsia="Arial" w:hAnsi="Arial"/>
                <w:sz w:val="18"/>
                <w:szCs w:val="18"/>
                <w:color w:val="auto"/>
              </w:rPr>
              <w:t>Senior Secured Credit Facilities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1,930.6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5.625% Notes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60" w:type="dxa"/>
            <w:vAlign w:val="bottom"/>
            <w:gridSpan w:val="2"/>
          </w:tcPr>
          <w:p>
            <w:pPr>
              <w:ind w:left="460"/>
              <w:spacing w:after="0"/>
              <w:rPr>
                <w:sz w:val="20"/>
                <w:szCs w:val="20"/>
                <w:color w:val="auto"/>
              </w:rPr>
            </w:pPr>
            <w:r>
              <w:rPr>
                <w:rFonts w:ascii="Arial" w:cs="Arial" w:eastAsia="Arial" w:hAnsi="Arial"/>
                <w:sz w:val="18"/>
                <w:szCs w:val="18"/>
                <w:color w:val="auto"/>
              </w:rPr>
              <w:t>Other long-term obligations</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 of our Level 3 liabilities measured on a recurring basis: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Other Liabilities</w:t>
            </w: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89"/>
              </w:rPr>
              <w:t>Contingent Purchase</w:t>
            </w:r>
          </w:p>
        </w:tc>
      </w:tr>
      <w:tr>
        <w:trPr>
          <w:trHeight w:val="189"/>
        </w:trPr>
        <w:tc>
          <w:tcPr>
            <w:tcW w:w="20" w:type="dxa"/>
            <w:vAlign w:val="bottom"/>
          </w:tcPr>
          <w:p>
            <w:pPr>
              <w:spacing w:after="0"/>
              <w:rPr>
                <w:sz w:val="16"/>
                <w:szCs w:val="16"/>
                <w:color w:val="auto"/>
              </w:rPr>
            </w:pPr>
          </w:p>
        </w:tc>
        <w:tc>
          <w:tcPr>
            <w:tcW w:w="9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7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0"/>
              </w:rPr>
              <w:t>Price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Included in loss </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expense is included in “General and administrative” within our Consolidated Statements of Operations and Comprehensive Income (Loss).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assets measured at fair value on a non-recurring basis during the years ended December 31, 2020 and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93"/>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vMerge w:val="restart"/>
          </w:tcPr>
          <w:p>
            <w:pPr>
              <w:jc w:val="center"/>
              <w:ind w:left="74"/>
              <w:spacing w:after="0"/>
              <w:rPr>
                <w:sz w:val="20"/>
                <w:szCs w:val="20"/>
                <w:color w:val="auto"/>
              </w:rPr>
            </w:pPr>
            <w:r>
              <w:rPr>
                <w:rFonts w:ascii="Arial" w:cs="Arial" w:eastAsia="Arial" w:hAnsi="Arial"/>
                <w:sz w:val="18"/>
                <w:szCs w:val="18"/>
                <w:b w:val="1"/>
                <w:bCs w:val="1"/>
                <w:color w:val="auto"/>
                <w:w w:val="91"/>
              </w:rPr>
              <w:t>Valuation</w:t>
            </w: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5"/>
                <w:szCs w:val="15"/>
                <w:color w:val="auto"/>
              </w:rPr>
            </w:pPr>
          </w:p>
        </w:tc>
        <w:tc>
          <w:tcPr>
            <w:tcW w:w="1180" w:type="dxa"/>
            <w:vAlign w:val="bottom"/>
          </w:tcPr>
          <w:p>
            <w:pPr>
              <w:jc w:val="center"/>
              <w:ind w:right="33"/>
              <w:spacing w:after="0" w:line="176" w:lineRule="exact"/>
              <w:rPr>
                <w:sz w:val="20"/>
                <w:szCs w:val="20"/>
                <w:color w:val="auto"/>
              </w:rPr>
            </w:pPr>
            <w:r>
              <w:rPr>
                <w:rFonts w:ascii="Arial" w:cs="Arial" w:eastAsia="Arial" w:hAnsi="Arial"/>
                <w:sz w:val="18"/>
                <w:szCs w:val="18"/>
                <w:b w:val="1"/>
                <w:bCs w:val="1"/>
                <w:color w:val="auto"/>
                <w:w w:val="89"/>
              </w:rPr>
              <w:t>Reduction 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Valuation Technique</w:t>
            </w:r>
          </w:p>
        </w:tc>
        <w:tc>
          <w:tcPr>
            <w:tcW w:w="200" w:type="dxa"/>
            <w:vAlign w:val="bottom"/>
          </w:tcPr>
          <w:p>
            <w:pPr>
              <w:spacing w:after="0"/>
              <w:rPr>
                <w:sz w:val="15"/>
                <w:szCs w:val="15"/>
                <w:color w:val="auto"/>
              </w:rPr>
            </w:pPr>
          </w:p>
        </w:tc>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5"/>
                <w:szCs w:val="15"/>
                <w:color w:val="auto"/>
              </w:rPr>
            </w:pPr>
          </w:p>
        </w:tc>
        <w:tc>
          <w:tcPr>
            <w:tcW w:w="7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w w:val="88"/>
              </w:rPr>
              <w:t>Level 3</w:t>
            </w: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53"/>
              <w:spacing w:after="0" w:line="176"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Pr>
          <w:p>
            <w:pPr>
              <w:jc w:val="center"/>
              <w:ind w:left="94"/>
              <w:spacing w:after="0" w:line="189" w:lineRule="exact"/>
              <w:rPr>
                <w:sz w:val="20"/>
                <w:szCs w:val="20"/>
                <w:color w:val="auto"/>
              </w:rPr>
            </w:pPr>
            <w:r>
              <w:rPr>
                <w:rFonts w:ascii="Arial" w:cs="Arial" w:eastAsia="Arial" w:hAnsi="Arial"/>
                <w:sz w:val="18"/>
                <w:szCs w:val="18"/>
                <w:b w:val="1"/>
                <w:bCs w:val="1"/>
                <w:color w:val="auto"/>
                <w:w w:val="92"/>
              </w:rPr>
              <w:t>Date</w:t>
            </w:r>
          </w:p>
        </w:tc>
        <w:tc>
          <w:tcPr>
            <w:tcW w:w="2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74"/>
              <w:spacing w:after="0" w:line="189" w:lineRule="exact"/>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16"/>
                <w:szCs w:val="16"/>
                <w:color w:val="auto"/>
              </w:rPr>
            </w:pPr>
          </w:p>
        </w:tc>
        <w:tc>
          <w:tcPr>
            <w:tcW w:w="1180" w:type="dxa"/>
            <w:vAlign w:val="bottom"/>
          </w:tcPr>
          <w:p>
            <w:pPr>
              <w:jc w:val="center"/>
              <w:ind w:right="33"/>
              <w:spacing w:after="0" w:line="189" w:lineRule="exact"/>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Property and equipment </w:t>
            </w:r>
            <w:r>
              <w:rPr>
                <w:rFonts w:ascii="Arial" w:cs="Arial" w:eastAsia="Arial" w:hAnsi="Arial"/>
                <w:sz w:val="22"/>
                <w:szCs w:val="22"/>
                <w:color w:val="auto"/>
                <w:vertAlign w:val="superscript"/>
              </w:rPr>
              <w:t>(1)</w:t>
            </w:r>
          </w:p>
        </w:tc>
        <w:tc>
          <w:tcPr>
            <w:tcW w:w="130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1"/>
              </w:rPr>
              <w:t>12/31/2020</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Discounted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(2)</w:t>
            </w:r>
          </w:p>
        </w:tc>
        <w:tc>
          <w:tcPr>
            <w:tcW w:w="1300" w:type="dxa"/>
            <w:vAlign w:val="bottom"/>
            <w:vMerge w:val="restart"/>
          </w:tcPr>
          <w:p>
            <w:pPr>
              <w:jc w:val="center"/>
              <w:ind w:left="94"/>
              <w:spacing w:after="0"/>
              <w:rPr>
                <w:sz w:val="20"/>
                <w:szCs w:val="20"/>
                <w:color w:val="auto"/>
              </w:rPr>
            </w:pPr>
            <w:r>
              <w:rPr>
                <w:rFonts w:ascii="Arial" w:cs="Arial" w:eastAsia="Arial" w:hAnsi="Arial"/>
                <w:sz w:val="17"/>
                <w:szCs w:val="17"/>
                <w:color w:val="auto"/>
                <w:w w:val="89"/>
              </w:rPr>
              <w:t>3/31/2020</w:t>
            </w:r>
          </w:p>
        </w:tc>
        <w:tc>
          <w:tcPr>
            <w:tcW w:w="2560" w:type="dxa"/>
            <w:vAlign w:val="bottom"/>
          </w:tcPr>
          <w:p>
            <w:pPr>
              <w:jc w:val="center"/>
              <w:spacing w:after="0" w:line="162" w:lineRule="exact"/>
              <w:rPr>
                <w:sz w:val="20"/>
                <w:szCs w:val="20"/>
                <w:color w:val="auto"/>
              </w:rPr>
            </w:pPr>
            <w:r>
              <w:rPr>
                <w:rFonts w:ascii="Arial" w:cs="Arial" w:eastAsia="Arial" w:hAnsi="Arial"/>
                <w:sz w:val="17"/>
                <w:szCs w:val="17"/>
                <w:color w:val="auto"/>
                <w:w w:val="91"/>
              </w:rPr>
              <w:t>Discounted cash flow and market</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ind w:left="440"/>
              <w:spacing w:after="0"/>
              <w:rPr>
                <w:sz w:val="20"/>
                <w:szCs w:val="20"/>
                <w:color w:val="auto"/>
              </w:rPr>
            </w:pPr>
            <w:r>
              <w:rPr>
                <w:rFonts w:ascii="Arial" w:cs="Arial" w:eastAsia="Arial" w:hAnsi="Arial"/>
                <w:sz w:val="17"/>
                <w:szCs w:val="17"/>
                <w:color w:val="auto"/>
              </w:rPr>
              <w:t>—</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ind w:left="44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ind w:right="14"/>
              <w:spacing w:after="0"/>
              <w:rPr>
                <w:sz w:val="20"/>
                <w:szCs w:val="20"/>
                <w:color w:val="auto"/>
              </w:rPr>
            </w:pPr>
            <w:r>
              <w:rPr>
                <w:rFonts w:ascii="Arial" w:cs="Arial" w:eastAsia="Arial" w:hAnsi="Arial"/>
                <w:sz w:val="17"/>
                <w:szCs w:val="17"/>
                <w:color w:val="auto"/>
              </w:rPr>
              <w:t>160.5</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ind w:right="14"/>
              <w:spacing w:after="0"/>
              <w:rPr>
                <w:sz w:val="20"/>
                <w:szCs w:val="20"/>
                <w:color w:val="auto"/>
              </w:rPr>
            </w:pPr>
            <w:r>
              <w:rPr>
                <w:rFonts w:ascii="Arial" w:cs="Arial" w:eastAsia="Arial" w:hAnsi="Arial"/>
                <w:sz w:val="17"/>
                <w:szCs w:val="17"/>
                <w:color w:val="auto"/>
              </w:rPr>
              <w:t>160.5</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0"/>
              </w:rPr>
              <w:t>approach</w:t>
            </w: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Gaming licenses </w:t>
            </w:r>
            <w:r>
              <w:rPr>
                <w:rFonts w:ascii="Arial" w:cs="Arial" w:eastAsia="Arial" w:hAnsi="Arial"/>
                <w:sz w:val="22"/>
                <w:szCs w:val="22"/>
                <w:color w:val="auto"/>
                <w:vertAlign w:val="superscript"/>
              </w:rPr>
              <w:t>(2)</w:t>
            </w:r>
          </w:p>
        </w:tc>
        <w:tc>
          <w:tcPr>
            <w:tcW w:w="130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89"/>
              </w:rPr>
              <w:t>3/31/2020</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Discounted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568.0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568.0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Trademarks </w:t>
            </w:r>
            <w:r>
              <w:rPr>
                <w:rFonts w:ascii="Arial" w:cs="Arial" w:eastAsia="Arial" w:hAnsi="Arial"/>
                <w:sz w:val="22"/>
                <w:szCs w:val="22"/>
                <w:color w:val="auto"/>
                <w:vertAlign w:val="superscript"/>
              </w:rPr>
              <w:t>(2)</w:t>
            </w:r>
          </w:p>
        </w:tc>
        <w:tc>
          <w:tcPr>
            <w:tcW w:w="1300" w:type="dxa"/>
            <w:vAlign w:val="bottom"/>
          </w:tcPr>
          <w:p>
            <w:pPr>
              <w:jc w:val="center"/>
              <w:ind w:left="94"/>
              <w:spacing w:after="0"/>
              <w:rPr>
                <w:sz w:val="20"/>
                <w:szCs w:val="20"/>
                <w:color w:val="auto"/>
              </w:rPr>
            </w:pPr>
            <w:r>
              <w:rPr>
                <w:rFonts w:ascii="Arial" w:cs="Arial" w:eastAsia="Arial" w:hAnsi="Arial"/>
                <w:sz w:val="17"/>
                <w:szCs w:val="17"/>
                <w:color w:val="auto"/>
                <w:w w:val="89"/>
              </w:rPr>
              <w:t>3/31/2020</w:t>
            </w:r>
          </w:p>
        </w:tc>
        <w:tc>
          <w:tcPr>
            <w:tcW w:w="2560" w:type="dxa"/>
            <w:vAlign w:val="bottom"/>
          </w:tcPr>
          <w:p>
            <w:pPr>
              <w:jc w:val="center"/>
              <w:spacing w:after="0"/>
              <w:rPr>
                <w:sz w:val="20"/>
                <w:szCs w:val="20"/>
                <w:color w:val="auto"/>
              </w:rPr>
            </w:pPr>
            <w:r>
              <w:rPr>
                <w:rFonts w:ascii="Arial" w:cs="Arial" w:eastAsia="Arial" w:hAnsi="Arial"/>
                <w:sz w:val="17"/>
                <w:szCs w:val="17"/>
                <w:color w:val="auto"/>
                <w:w w:val="92"/>
              </w:rPr>
              <w:t>Discounted cash flow</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ind w:left="4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216.5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216.5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6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Goodwill</w:t>
            </w:r>
          </w:p>
        </w:tc>
        <w:tc>
          <w:tcPr>
            <w:tcW w:w="1300" w:type="dxa"/>
            <w:vAlign w:val="bottom"/>
            <w:vMerge w:val="restart"/>
            <w:shd w:val="clear" w:color="auto" w:fill="CCEEFF"/>
          </w:tcPr>
          <w:p>
            <w:pPr>
              <w:jc w:val="center"/>
              <w:ind w:left="94"/>
              <w:spacing w:after="0"/>
              <w:rPr>
                <w:sz w:val="20"/>
                <w:szCs w:val="20"/>
                <w:color w:val="auto"/>
              </w:rPr>
            </w:pPr>
            <w:r>
              <w:rPr>
                <w:rFonts w:ascii="Arial" w:cs="Arial" w:eastAsia="Arial" w:hAnsi="Arial"/>
                <w:sz w:val="17"/>
                <w:szCs w:val="17"/>
                <w:color w:val="auto"/>
                <w:w w:val="89"/>
              </w:rPr>
              <w:t>10/1/2019</w:t>
            </w:r>
          </w:p>
        </w:tc>
        <w:tc>
          <w:tcPr>
            <w:tcW w:w="25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w w:val="91"/>
              </w:rPr>
              <w:t>Discounted cash flow and market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161.1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161.1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approach</w:t>
            </w: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7"/>
                <w:szCs w:val="17"/>
                <w:color w:val="auto"/>
              </w:rPr>
              <w:t>Gaming licenses</w:t>
            </w:r>
          </w:p>
        </w:tc>
        <w:tc>
          <w:tcPr>
            <w:tcW w:w="1300" w:type="dxa"/>
            <w:vAlign w:val="bottom"/>
          </w:tcPr>
          <w:p>
            <w:pPr>
              <w:jc w:val="center"/>
              <w:ind w:left="94"/>
              <w:spacing w:after="0"/>
              <w:rPr>
                <w:sz w:val="20"/>
                <w:szCs w:val="20"/>
                <w:color w:val="auto"/>
              </w:rPr>
            </w:pPr>
            <w:r>
              <w:rPr>
                <w:rFonts w:ascii="Arial" w:cs="Arial" w:eastAsia="Arial" w:hAnsi="Arial"/>
                <w:sz w:val="17"/>
                <w:szCs w:val="17"/>
                <w:color w:val="auto"/>
                <w:w w:val="89"/>
              </w:rPr>
              <w:t>10/1/2019</w:t>
            </w:r>
          </w:p>
        </w:tc>
        <w:tc>
          <w:tcPr>
            <w:tcW w:w="2560" w:type="dxa"/>
            <w:vAlign w:val="bottom"/>
          </w:tcPr>
          <w:p>
            <w:pPr>
              <w:jc w:val="center"/>
              <w:spacing w:after="0"/>
              <w:rPr>
                <w:sz w:val="20"/>
                <w:szCs w:val="20"/>
                <w:color w:val="auto"/>
              </w:rPr>
            </w:pPr>
            <w:r>
              <w:rPr>
                <w:rFonts w:ascii="Arial" w:cs="Arial" w:eastAsia="Arial" w:hAnsi="Arial"/>
                <w:sz w:val="17"/>
                <w:szCs w:val="17"/>
                <w:color w:val="auto"/>
                <w:w w:val="92"/>
              </w:rPr>
              <w:t>Discounted cash flow</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ind w:left="4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ind w:left="4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290.0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290.0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Trademarks</w:t>
            </w:r>
          </w:p>
        </w:tc>
        <w:tc>
          <w:tcPr>
            <w:tcW w:w="1300" w:type="dxa"/>
            <w:vAlign w:val="bottom"/>
            <w:shd w:val="clear" w:color="auto" w:fill="CCEEFF"/>
          </w:tcPr>
          <w:p>
            <w:pPr>
              <w:jc w:val="center"/>
              <w:ind w:left="94"/>
              <w:spacing w:after="0"/>
              <w:rPr>
                <w:sz w:val="20"/>
                <w:szCs w:val="20"/>
                <w:color w:val="auto"/>
              </w:rPr>
            </w:pPr>
            <w:r>
              <w:rPr>
                <w:rFonts w:ascii="Arial" w:cs="Arial" w:eastAsia="Arial" w:hAnsi="Arial"/>
                <w:sz w:val="17"/>
                <w:szCs w:val="17"/>
                <w:color w:val="auto"/>
                <w:w w:val="89"/>
              </w:rPr>
              <w:t>10/1/2019</w:t>
            </w: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Discounted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87.5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87.5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620" w:hanging="328"/>
        <w:spacing w:after="0" w:line="273" w:lineRule="auto"/>
        <w:tabs>
          <w:tab w:leader="none" w:pos="652" w:val="left"/>
        </w:tabs>
        <w:numPr>
          <w:ilvl w:val="0"/>
          <w:numId w:val="47"/>
        </w:numPr>
        <w:rPr>
          <w:rFonts w:ascii="Arial" w:cs="Arial" w:eastAsia="Arial" w:hAnsi="Arial"/>
          <w:sz w:val="14"/>
          <w:szCs w:val="14"/>
          <w:color w:val="0000FF"/>
        </w:rPr>
      </w:pPr>
      <w:hyperlink w:anchor="page79">
        <w:r>
          <w:rPr>
            <w:rFonts w:ascii="Arial" w:cs="Arial" w:eastAsia="Arial" w:hAnsi="Arial"/>
            <w:sz w:val="14"/>
            <w:szCs w:val="14"/>
            <w:color w:val="auto"/>
          </w:rPr>
          <w:t xml:space="preserve">The fair value, which was concluded to be zero, of our property and equipment associated with Tropicana was determined using Level 3 inputs. See </w:t>
        </w:r>
        <w:r>
          <w:rPr>
            <w:rFonts w:ascii="Arial" w:cs="Arial" w:eastAsia="Arial" w:hAnsi="Arial"/>
            <w:sz w:val="14"/>
            <w:szCs w:val="14"/>
            <w:u w:val="single" w:color="auto"/>
            <w:color w:val="0000FF"/>
          </w:rPr>
          <w:t>Note 8, “Property and</w:t>
        </w:r>
      </w:hyperlink>
      <w:r>
        <w:rPr>
          <w:rFonts w:ascii="Arial" w:cs="Arial" w:eastAsia="Arial" w:hAnsi="Arial"/>
          <w:sz w:val="14"/>
          <w:szCs w:val="14"/>
          <w:color w:val="auto"/>
        </w:rPr>
        <w:t xml:space="preserve"> </w:t>
      </w:r>
      <w:hyperlink w:anchor="page79">
        <w:r>
          <w:rPr>
            <w:rFonts w:ascii="Arial" w:cs="Arial" w:eastAsia="Arial" w:hAnsi="Arial"/>
            <w:sz w:val="14"/>
            <w:szCs w:val="14"/>
            <w:u w:val="single" w:color="auto"/>
            <w:color w:val="0000FF"/>
          </w:rPr>
          <w:t>Equipment,”</w:t>
        </w:r>
        <w:r>
          <w:rPr>
            <w:rFonts w:ascii="Arial" w:cs="Arial" w:eastAsia="Arial" w:hAnsi="Arial"/>
            <w:sz w:val="14"/>
            <w:szCs w:val="14"/>
            <w:color w:val="0000FF"/>
          </w:rPr>
          <w:t xml:space="preserve"> </w:t>
        </w:r>
        <w:r>
          <w:rPr>
            <w:rFonts w:ascii="Arial" w:cs="Arial" w:eastAsia="Arial" w:hAnsi="Arial"/>
            <w:sz w:val="14"/>
            <w:szCs w:val="14"/>
            <w:color w:val="000000"/>
          </w:rPr>
          <w:t>for more information.</w:t>
        </w:r>
      </w:hyperlink>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1" w:lineRule="exact"/>
        <w:rPr>
          <w:rFonts w:ascii="Arial" w:cs="Arial" w:eastAsia="Arial" w:hAnsi="Arial"/>
          <w:sz w:val="14"/>
          <w:szCs w:val="14"/>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660" w:right="360" w:hanging="328"/>
        <w:spacing w:after="0" w:line="273" w:lineRule="auto"/>
        <w:tabs>
          <w:tab w:leader="none" w:pos="652" w:val="left"/>
        </w:tabs>
        <w:numPr>
          <w:ilvl w:val="0"/>
          <w:numId w:val="48"/>
        </w:numPr>
        <w:rPr>
          <w:rFonts w:ascii="Arial" w:cs="Arial" w:eastAsia="Arial" w:hAnsi="Arial"/>
          <w:sz w:val="14"/>
          <w:szCs w:val="14"/>
          <w:color w:val="0000FF"/>
        </w:rPr>
      </w:pPr>
      <w:hyperlink w:anchor="page80">
        <w:r>
          <w:rPr>
            <w:rFonts w:ascii="Arial" w:cs="Arial" w:eastAsia="Arial" w:hAnsi="Arial"/>
            <w:sz w:val="14"/>
            <w:szCs w:val="14"/>
            <w:color w:val="auto"/>
          </w:rPr>
          <w:t xml:space="preserve">During the first quarter of 2020, we identified an indicator of impairment on our goodwill and other intangible assets due to the COVID-19 pandemic. See </w:t>
        </w:r>
        <w:r>
          <w:rPr>
            <w:rFonts w:ascii="Arial" w:cs="Arial" w:eastAsia="Arial" w:hAnsi="Arial"/>
            <w:sz w:val="14"/>
            <w:szCs w:val="14"/>
            <w:u w:val="single" w:color="auto"/>
            <w:color w:val="0000FF"/>
          </w:rPr>
          <w:t>Note 9, “Goodwill and</w:t>
        </w:r>
      </w:hyperlink>
      <w:r>
        <w:rPr>
          <w:rFonts w:ascii="Arial" w:cs="Arial" w:eastAsia="Arial" w:hAnsi="Arial"/>
          <w:sz w:val="14"/>
          <w:szCs w:val="14"/>
          <w:color w:val="auto"/>
        </w:rPr>
        <w:t xml:space="preserve"> </w:t>
      </w:r>
      <w:hyperlink w:anchor="page80">
        <w:r>
          <w:rPr>
            <w:rFonts w:ascii="Arial" w:cs="Arial" w:eastAsia="Arial" w:hAnsi="Arial"/>
            <w:sz w:val="14"/>
            <w:szCs w:val="14"/>
            <w:u w:val="single" w:color="auto"/>
            <w:color w:val="0000FF"/>
          </w:rPr>
          <w:t>Other Intangible Assets”</w:t>
        </w:r>
        <w:r>
          <w:rPr>
            <w:rFonts w:ascii="Arial" w:cs="Arial" w:eastAsia="Arial" w:hAnsi="Arial"/>
            <w:sz w:val="14"/>
            <w:szCs w:val="14"/>
            <w:color w:val="0000FF"/>
          </w:rPr>
          <w:t xml:space="preserve"> </w:t>
        </w:r>
        <w:r>
          <w:rPr>
            <w:rFonts w:ascii="Arial" w:cs="Arial" w:eastAsia="Arial" w:hAnsi="Arial"/>
            <w:sz w:val="14"/>
            <w:szCs w:val="14"/>
            <w:color w:val="000000"/>
          </w:rPr>
          <w:t>for more information.</w:t>
        </w:r>
      </w:hyperlink>
    </w:p>
    <w:p>
      <w:pPr>
        <w:spacing w:after="0" w:line="381" w:lineRule="exact"/>
        <w:rPr>
          <w:rFonts w:ascii="Arial" w:cs="Arial" w:eastAsia="Arial" w:hAnsi="Arial"/>
          <w:sz w:val="14"/>
          <w:szCs w:val="14"/>
          <w:color w:val="auto"/>
        </w:rPr>
      </w:pPr>
    </w:p>
    <w:p>
      <w:pPr>
        <w:ind w:left="340"/>
        <w:spacing w:after="0"/>
        <w:rPr>
          <w:sz w:val="20"/>
          <w:szCs w:val="20"/>
          <w:color w:val="auto"/>
        </w:rPr>
      </w:pPr>
      <w:r>
        <w:rPr>
          <w:rFonts w:ascii="Arial" w:cs="Arial" w:eastAsia="Arial" w:hAnsi="Arial"/>
          <w:sz w:val="16"/>
          <w:szCs w:val="16"/>
          <w:color w:val="auto"/>
        </w:rPr>
        <w:t>The following table summarizes the significant unobservable inputs used in calculating fair value for our Level 3 liabilities on a recurring basis as of</w:t>
      </w:r>
    </w:p>
    <w:p>
      <w:pPr>
        <w:spacing w:after="0" w:line="4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December 31, 2020:</w:t>
      </w:r>
    </w:p>
    <w:p>
      <w:pPr>
        <w:spacing w:after="0" w:line="220"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Valuation Technique</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Unobservable Input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Discount Rate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purchase price - Plainridge Park Casino</w:t>
            </w:r>
          </w:p>
        </w:tc>
        <w:tc>
          <w:tcPr>
            <w:tcW w:w="21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5.05%</w:t>
            </w:r>
          </w:p>
        </w:tc>
      </w:tr>
    </w:tbl>
    <w:p>
      <w:pPr>
        <w:spacing w:after="0" w:line="310" w:lineRule="exact"/>
        <w:rPr>
          <w:rFonts w:ascii="Arial" w:cs="Arial" w:eastAsia="Arial" w:hAnsi="Arial"/>
          <w:sz w:val="14"/>
          <w:szCs w:val="14"/>
          <w:color w:val="auto"/>
        </w:rPr>
      </w:pPr>
    </w:p>
    <w:p>
      <w:pPr>
        <w:jc w:val="both"/>
        <w:ind w:right="20" w:firstLine="324"/>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As discussed in </w:t>
      </w:r>
      <w:hyperlink w:anchor="page80">
        <w:r>
          <w:rPr>
            <w:rFonts w:ascii="Arial" w:cs="Arial" w:eastAsia="Arial" w:hAnsi="Arial"/>
            <w:sz w:val="17"/>
            <w:szCs w:val="17"/>
            <w:u w:val="single" w:color="auto"/>
            <w:color w:val="0000FF"/>
          </w:rPr>
          <w:t>Note 9, “Goodwill and Other Intangible Assets,”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we recorded impairments on our goodwill, gaming licenses and trademarks as a result of the interim assessment for impairment during the first quarter of 2020. Our annual assessment for impairment as of October 1, 2020, did not result in any impairment charges to goodwill, gaming licenses and trademarks. The following table presents quantitative information about the significant unobservable inputs used in the fair value measurements of other indefinite-lived intangible assets as of the valuation date below:</w:t>
      </w:r>
    </w:p>
    <w:p>
      <w:pPr>
        <w:spacing w:after="0" w:line="73"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3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Valuation Technique</w:t>
            </w:r>
          </w:p>
        </w:tc>
        <w:tc>
          <w:tcPr>
            <w:tcW w:w="3020" w:type="dxa"/>
            <w:vAlign w:val="bottom"/>
            <w:gridSpan w:val="2"/>
          </w:tcPr>
          <w:p>
            <w:pPr>
              <w:ind w:left="680"/>
              <w:spacing w:after="0"/>
              <w:rPr>
                <w:sz w:val="20"/>
                <w:szCs w:val="20"/>
                <w:color w:val="auto"/>
              </w:rPr>
            </w:pPr>
            <w:r>
              <w:rPr>
                <w:rFonts w:ascii="Arial" w:cs="Arial" w:eastAsia="Arial" w:hAnsi="Arial"/>
                <w:sz w:val="18"/>
                <w:szCs w:val="18"/>
                <w:b w:val="1"/>
                <w:bCs w:val="1"/>
                <w:color w:val="auto"/>
              </w:rPr>
              <w:t>Unobservable Input</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Range or 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2020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Gaming 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9"/>
                <w:szCs w:val="19"/>
                <w:color w:val="auto"/>
              </w:rPr>
            </w:pP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Discounted cash flow</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Discount rate</w:t>
            </w:r>
          </w:p>
        </w:tc>
        <w:tc>
          <w:tcPr>
            <w:tcW w:w="1920" w:type="dxa"/>
            <w:vAlign w:val="bottom"/>
          </w:tcPr>
          <w:p>
            <w:pPr>
              <w:jc w:val="right"/>
              <w:spacing w:after="0"/>
              <w:rPr>
                <w:sz w:val="20"/>
                <w:szCs w:val="20"/>
                <w:color w:val="auto"/>
              </w:rPr>
            </w:pPr>
            <w:r>
              <w:rPr>
                <w:rFonts w:ascii="Arial" w:cs="Arial" w:eastAsia="Arial" w:hAnsi="Arial"/>
                <w:sz w:val="18"/>
                <w:szCs w:val="18"/>
                <w:color w:val="auto"/>
              </w:rPr>
              <w:t>13.25% - 14.00%</w:t>
            </w:r>
          </w:p>
        </w:tc>
      </w:tr>
      <w:tr>
        <w:trPr>
          <w:trHeight w:val="229"/>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Long-term revenue growth rate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19"/>
                <w:szCs w:val="19"/>
                <w:color w:val="auto"/>
              </w:rPr>
            </w:pPr>
          </w:p>
        </w:tc>
        <w:tc>
          <w:tcPr>
            <w:tcW w:w="2340" w:type="dxa"/>
            <w:vAlign w:val="bottom"/>
            <w:gridSpan w:val="2"/>
          </w:tcPr>
          <w:p>
            <w:pPr>
              <w:ind w:left="340"/>
              <w:spacing w:after="0"/>
              <w:rPr>
                <w:sz w:val="20"/>
                <w:szCs w:val="20"/>
                <w:color w:val="auto"/>
              </w:rPr>
            </w:pPr>
            <w:r>
              <w:rPr>
                <w:rFonts w:ascii="Arial" w:cs="Arial" w:eastAsia="Arial" w:hAnsi="Arial"/>
                <w:sz w:val="18"/>
                <w:szCs w:val="18"/>
                <w:color w:val="auto"/>
              </w:rPr>
              <w:t>Discounted cash flow</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Discount rate</w:t>
            </w:r>
          </w:p>
        </w:tc>
        <w:tc>
          <w:tcPr>
            <w:tcW w:w="1920" w:type="dxa"/>
            <w:vAlign w:val="bottom"/>
          </w:tcPr>
          <w:p>
            <w:pPr>
              <w:jc w:val="right"/>
              <w:spacing w:after="0"/>
              <w:rPr>
                <w:sz w:val="20"/>
                <w:szCs w:val="20"/>
                <w:color w:val="auto"/>
              </w:rPr>
            </w:pPr>
            <w:r>
              <w:rPr>
                <w:rFonts w:ascii="Arial" w:cs="Arial" w:eastAsia="Arial" w:hAnsi="Arial"/>
                <w:sz w:val="18"/>
                <w:szCs w:val="18"/>
                <w:color w:val="auto"/>
              </w:rPr>
              <w:t>13.25% - 14.00%</w:t>
            </w:r>
          </w:p>
        </w:tc>
      </w:tr>
      <w:tr>
        <w:trPr>
          <w:trHeight w:val="230"/>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Long-term revenue growth rate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Pretax royalty rate</w:t>
            </w:r>
          </w:p>
        </w:tc>
        <w:tc>
          <w:tcPr>
            <w:tcW w:w="1920" w:type="dxa"/>
            <w:vAlign w:val="bottom"/>
          </w:tcPr>
          <w:p>
            <w:pPr>
              <w:jc w:val="right"/>
              <w:spacing w:after="0"/>
              <w:rPr>
                <w:sz w:val="20"/>
                <w:szCs w:val="20"/>
                <w:color w:val="auto"/>
              </w:rPr>
            </w:pPr>
            <w:r>
              <w:rPr>
                <w:rFonts w:ascii="Arial" w:cs="Arial" w:eastAsia="Arial" w:hAnsi="Arial"/>
                <w:sz w:val="18"/>
                <w:szCs w:val="18"/>
                <w:color w:val="auto"/>
              </w:rPr>
              <w:t>1.0% - 2.0%</w:t>
            </w:r>
          </w:p>
        </w:tc>
      </w:tr>
    </w:tbl>
    <w:p>
      <w:pPr>
        <w:spacing w:after="0" w:line="318"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Note 20—Related Party Transactions</w:t>
      </w:r>
    </w:p>
    <w:p>
      <w:pPr>
        <w:spacing w:after="0" w:line="189" w:lineRule="exact"/>
        <w:rPr>
          <w:rFonts w:ascii="Arial" w:cs="Arial" w:eastAsia="Arial" w:hAnsi="Arial"/>
          <w:sz w:val="14"/>
          <w:szCs w:val="14"/>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 currently leases executive office buildings in Wyomissing, Pennsylvania from affiliates of its Chairman Emeritus of the Board of Directors. Rent expense for the years ended December 31, 2020, 2019 and 2018 was $1.2 million, $1.2 million and $1.3 million, respectively. Certain of the leases for the office space expired in May 2019, but have been extended on a month-to-month basis; the remaining long-term lease for the office space expires in August 2024. The future minimum lease commitments relating to these leases as of December 31, 2020 were $1.5 million.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1"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85" w:lineRule="exact"/>
        <w:rPr>
          <w:sz w:val="20"/>
          <w:szCs w:val="20"/>
          <w:color w:val="auto"/>
        </w:rPr>
      </w:pPr>
    </w:p>
    <w:p>
      <w:pPr>
        <w:ind w:right="20" w:firstLine="369"/>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our principal executive officer and principal financial officer, evaluated the effectiveness of the Company’s disclosure controls and procedures, as such term is defined under Rule 13a-15(e) promulgated under the Securities Exchange Act of 1934, as amended (the “Exchange Act”), as of December 31, 2020,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December 31, 2020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9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Exchange Act Rules 13a-15(f) and 15d-15(f)).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management assessed the effectiveness of our internal control over financial reporting, and concluded that it was effective as of December 31, 2020. In making this assessment, we used the criteria set forth by the Committee of Sponsoring Organizations of the Treadway Commission (“COSO”) in Internal Control—Integrated Framework (2013 framework)</w:t>
      </w:r>
    </w:p>
    <w:p>
      <w:pPr>
        <w:spacing w:after="0" w:line="14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Deloitte &amp; Touche LLP, the Company’s independent registered public accounting firm that audited the Consolidated Financial Statements for the year ended December 31, 2020, issued an attestation report on the Company’s internal control over financial reporting which immediately follows this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Exchange Act Rules 13a-15(f) and 15d-15(f)) that occurred during the fiscal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5020"/>
        <w:spacing w:after="0" w:line="4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Penn National Gaming,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have audited the internal control over financial reporting of Penn National Gaming, Inc. and subsidiaries (the “Company”) as of 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 - Integrated Framework (2013) issued by COSO.</w:t>
      </w:r>
    </w:p>
    <w:p>
      <w:pPr>
        <w:spacing w:after="0" w:line="198"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80" w:firstLine="283"/>
        <w:spacing w:after="0" w:line="259" w:lineRule="auto"/>
        <w:rPr>
          <w:sz w:val="20"/>
          <w:szCs w:val="20"/>
          <w:color w:val="auto"/>
        </w:rPr>
      </w:pPr>
      <w:r>
        <w:rPr>
          <w:rFonts w:ascii="Arial" w:cs="Arial" w:eastAsia="Arial" w:hAnsi="Arial"/>
          <w:sz w:val="18"/>
          <w:szCs w:val="18"/>
          <w:color w:val="auto"/>
        </w:rPr>
        <w:t>The remaining information required by this item concerning directors and corporate governance is hereby incorporated by reference to the Company’s definitive proxy statement for its Annual Meeting of Shareholders (the “2021 Proxy Statement”), to be filed with the U.S. Securities and Exchange Commission within 120 days after December 31, 2020, pursuant to Regulation 14A under the Securities Act. Information required by this item concerning executive officers is included in Part I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hereby incorporated by reference to the 2021 Proxy Statement.</w:t>
      </w:r>
    </w:p>
    <w:p>
      <w:pPr>
        <w:spacing w:after="0" w:line="248" w:lineRule="exact"/>
        <w:rPr>
          <w:sz w:val="20"/>
          <w:szCs w:val="20"/>
          <w:color w:val="auto"/>
        </w:rPr>
      </w:pPr>
    </w:p>
    <w:p>
      <w:pPr>
        <w:ind w:left="820" w:right="4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hereby incorporated by reference to the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hereby incorporated by reference to the 2021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hereby incorporated by reference to the 2021 Proxy Statement.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1. Financial Statements.</w:t>
      </w:r>
    </w:p>
    <w:p>
      <w:pPr>
        <w:spacing w:after="0" w:line="198" w:lineRule="exact"/>
        <w:rPr>
          <w:sz w:val="20"/>
          <w:szCs w:val="20"/>
          <w:color w:val="auto"/>
        </w:rPr>
      </w:pPr>
    </w:p>
    <w:p>
      <w:pPr>
        <w:ind w:left="660" w:right="460"/>
        <w:spacing w:after="0" w:line="235" w:lineRule="auto"/>
        <w:rPr>
          <w:sz w:val="20"/>
          <w:szCs w:val="20"/>
          <w:color w:val="auto"/>
        </w:rPr>
      </w:pPr>
      <w:r>
        <w:rPr>
          <w:rFonts w:ascii="Arial" w:cs="Arial" w:eastAsia="Arial" w:hAnsi="Arial"/>
          <w:sz w:val="18"/>
          <w:szCs w:val="18"/>
          <w:color w:val="auto"/>
        </w:rPr>
        <w:t>The following is a list of the Consolidated Financial Statements of the Company and its subsidiaries and supplementary data included herein under Item 8 of Part II of this report, “Financial Statements and Supplementary Data”:</w:t>
      </w:r>
    </w:p>
    <w:p>
      <w:pPr>
        <w:spacing w:after="0" w:line="200" w:lineRule="exact"/>
        <w:rPr>
          <w:sz w:val="20"/>
          <w:szCs w:val="20"/>
          <w:color w:val="auto"/>
        </w:rPr>
      </w:pPr>
    </w:p>
    <w:p>
      <w:pPr>
        <w:spacing w:after="0" w:line="26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22"/>
        </w:trPr>
        <w:tc>
          <w:tcPr>
            <w:tcW w:w="1002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Report of Independent Registered Public Accounting Firm</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48</w:t>
              </w:r>
            </w:hyperlink>
          </w:p>
        </w:tc>
      </w:tr>
      <w:tr>
        <w:trPr>
          <w:trHeight w:val="229"/>
        </w:trPr>
        <w:tc>
          <w:tcPr>
            <w:tcW w:w="1002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Consolidated Balance Sheets as of December 31, 2020 and 2019</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50</w:t>
              </w:r>
            </w:hyperlink>
          </w:p>
        </w:tc>
      </w:tr>
      <w:tr>
        <w:trPr>
          <w:trHeight w:val="230"/>
        </w:trPr>
        <w:tc>
          <w:tcPr>
            <w:tcW w:w="10020" w:type="dxa"/>
            <w:vAlign w:val="bottom"/>
          </w:tcPr>
          <w:p>
            <w:pPr>
              <w:spacing w:after="0"/>
              <w:rPr>
                <w:rFonts w:ascii="Arial" w:cs="Arial" w:eastAsia="Arial" w:hAnsi="Arial"/>
                <w:sz w:val="18"/>
                <w:szCs w:val="18"/>
                <w:u w:val="single" w:color="auto"/>
                <w:color w:val="0000FF"/>
                <w:w w:val="95"/>
              </w:rPr>
            </w:pPr>
            <w:hyperlink w:anchor="page55">
              <w:r>
                <w:rPr>
                  <w:rFonts w:ascii="Arial" w:cs="Arial" w:eastAsia="Arial" w:hAnsi="Arial"/>
                  <w:sz w:val="18"/>
                  <w:szCs w:val="18"/>
                  <w:u w:val="single" w:color="auto"/>
                  <w:color w:val="0000FF"/>
                  <w:w w:val="95"/>
                </w:rPr>
                <w:t>Consolidated Statements of Operations and Comprehensive Income (Loss) for the years ended December 31, 2020, 2019 and 2018</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51</w:t>
              </w:r>
            </w:hyperlink>
          </w:p>
        </w:tc>
      </w:tr>
      <w:tr>
        <w:trPr>
          <w:trHeight w:val="230"/>
        </w:trPr>
        <w:tc>
          <w:tcPr>
            <w:tcW w:w="1002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Consolidated Statements of Changes in Stockholders’ Equity for the years ended December 31, 2020, 2019 and 2018</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52</w:t>
              </w:r>
            </w:hyperlink>
          </w:p>
        </w:tc>
      </w:tr>
      <w:tr>
        <w:trPr>
          <w:trHeight w:val="230"/>
        </w:trPr>
        <w:tc>
          <w:tcPr>
            <w:tcW w:w="1002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Statements of Cash Flows for the years ended December 31, 2020, 2019 and 2018</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53</w:t>
              </w:r>
            </w:hyperlink>
          </w:p>
        </w:tc>
      </w:tr>
      <w:tr>
        <w:trPr>
          <w:trHeight w:val="230"/>
        </w:trPr>
        <w:tc>
          <w:tcPr>
            <w:tcW w:w="1002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Notes to Consolidated Financial Statements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55</w:t>
              </w:r>
            </w:hyperlink>
          </w:p>
        </w:tc>
      </w:tr>
    </w:tbl>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 Schedules.</w:t>
      </w:r>
    </w:p>
    <w:p>
      <w:pPr>
        <w:ind w:left="480"/>
        <w:spacing w:after="0"/>
        <w:rPr>
          <w:sz w:val="20"/>
          <w:szCs w:val="20"/>
          <w:color w:val="auto"/>
        </w:rPr>
      </w:pPr>
      <w:r>
        <w:rPr>
          <w:rFonts w:ascii="Arial" w:cs="Arial" w:eastAsia="Arial" w:hAnsi="Arial"/>
          <w:sz w:val="18"/>
          <w:szCs w:val="18"/>
          <w:color w:val="auto"/>
        </w:rPr>
        <w:t>2.</w:t>
      </w:r>
    </w:p>
    <w:p>
      <w:pPr>
        <w:spacing w:after="0" w:line="7" w:lineRule="exact"/>
        <w:rPr>
          <w:sz w:val="20"/>
          <w:szCs w:val="20"/>
          <w:color w:val="auto"/>
        </w:rPr>
      </w:pPr>
    </w:p>
    <w:p>
      <w:pPr>
        <w:ind w:left="660" w:right="840"/>
        <w:spacing w:after="0" w:line="234" w:lineRule="auto"/>
        <w:rPr>
          <w:sz w:val="20"/>
          <w:szCs w:val="20"/>
          <w:color w:val="auto"/>
        </w:rPr>
      </w:pPr>
      <w:r>
        <w:rPr>
          <w:rFonts w:ascii="Arial" w:cs="Arial" w:eastAsia="Arial" w:hAnsi="Arial"/>
          <w:sz w:val="18"/>
          <w:szCs w:val="18"/>
          <w:color w:val="auto"/>
        </w:rPr>
        <w:t>All schedules have been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Exhibits, Including Those Incorporated by Reference.</w:t>
      </w:r>
    </w:p>
    <w:p>
      <w:pPr>
        <w:ind w:left="480"/>
        <w:spacing w:after="0"/>
        <w:rPr>
          <w:sz w:val="20"/>
          <w:szCs w:val="20"/>
          <w:color w:val="auto"/>
        </w:rPr>
      </w:pPr>
      <w:r>
        <w:rPr>
          <w:rFonts w:ascii="Arial" w:cs="Arial" w:eastAsia="Arial" w:hAnsi="Arial"/>
          <w:sz w:val="18"/>
          <w:szCs w:val="18"/>
          <w:color w:val="auto"/>
        </w:rPr>
        <w:t>3.</w:t>
      </w:r>
    </w:p>
    <w:p>
      <w:pPr>
        <w:spacing w:after="0" w:line="7" w:lineRule="exact"/>
        <w:rPr>
          <w:sz w:val="20"/>
          <w:szCs w:val="20"/>
          <w:color w:val="auto"/>
        </w:rPr>
      </w:pPr>
    </w:p>
    <w:p>
      <w:pPr>
        <w:ind w:left="660" w:right="300"/>
        <w:spacing w:after="0" w:line="234"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elected not to disclose the optional summary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gridSpan w:val="26"/>
          </w:tcPr>
          <w:p>
            <w:pPr>
              <w:ind w:left="92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9780" w:type="dxa"/>
            <w:vAlign w:val="bottom"/>
            <w:gridSpan w:val="29"/>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1180" w:type="dxa"/>
            <w:vAlign w:val="bottom"/>
            <w:tcBorders>
              <w:top w:val="single" w:sz="8" w:color="auto"/>
            </w:tcBorders>
          </w:tcPr>
          <w:p>
            <w:pPr>
              <w:ind w:left="760"/>
              <w:spacing w:after="0" w:line="182" w:lineRule="exact"/>
              <w:rPr>
                <w:sz w:val="20"/>
                <w:szCs w:val="20"/>
                <w:color w:val="auto"/>
              </w:rPr>
            </w:pPr>
            <w:r>
              <w:rPr>
                <w:rFonts w:ascii="Arial" w:cs="Arial" w:eastAsia="Arial" w:hAnsi="Arial"/>
                <w:sz w:val="18"/>
                <w:szCs w:val="18"/>
                <w:color w:val="auto"/>
                <w:w w:val="88"/>
              </w:rPr>
              <w:t>2.1††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00" w:type="dxa"/>
            <w:vAlign w:val="bottom"/>
            <w:tcBorders>
              <w:top w:val="single" w:sz="8" w:color="auto"/>
              <w:bottom w:val="single" w:sz="8" w:color="0000FF"/>
            </w:tcBorders>
            <w:gridSpan w:val="15"/>
          </w:tcPr>
          <w:p>
            <w:pPr>
              <w:spacing w:after="0" w:line="182"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Agreement and Plan of Merger by and among Pinnacle Entertainment, Inc., Penn National Gaming, Inc. and Franchise Merger Sub,</w:t>
              </w:r>
            </w:hyperlink>
          </w:p>
        </w:tc>
        <w:tc>
          <w:tcPr>
            <w:tcW w:w="280" w:type="dxa"/>
            <w:vAlign w:val="bottom"/>
            <w:tcBorders>
              <w:top w:val="single" w:sz="8" w:color="auto"/>
            </w:tcBorders>
            <w:gridSpan w:val="14"/>
          </w:tcPr>
          <w:p>
            <w:pPr>
              <w:spacing w:after="0"/>
              <w:rPr>
                <w:sz w:val="15"/>
                <w:szCs w:val="15"/>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9"/>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Inc., dated as of December 17, 2017 is hereby incorporated by reference to Exhibit 2.1 to the Company’s Current Report on Form 8-K</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filed on December 20, 2017. (SEC File No. 000-24206)</w:t>
              </w:r>
            </w:hyperlink>
          </w:p>
        </w:tc>
        <w:tc>
          <w:tcPr>
            <w:tcW w:w="5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gridSpan w:val="2"/>
          </w:tcPr>
          <w:p>
            <w:pPr>
              <w:ind w:left="7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Membership Interest Purchase Agreement by and among Boyd Gaming Corporation, Boyd TCIV, LLC, Penn National Gaming, Inc.,</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Pinnacle Entertainment, Inc. and Pinnacle MLS, LLC, dated as of December 17, 2017 is hereby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2.</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the Company’s Current Report on Form 8-K filed on December 20, 2017. (SEC File No. 000-24206)</w:t>
              </w:r>
            </w:hyperlink>
          </w:p>
        </w:tc>
        <w:tc>
          <w:tcPr>
            <w:tcW w:w="186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gridSpan w:val="2"/>
          </w:tcPr>
          <w:p>
            <w:pPr>
              <w:ind w:left="7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Agreement and Plan of Merger dated as of June 18, 2018, among VICI Properties Inc., Riverview Merger Sub Inc., Penn Tenant II,</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LLC, Penn National Gaming, Inc., Bossier Casino Venture (HoldCo), Inc. and Silver Slipper Gaming, LLC is hereby incorporated</w:t>
              </w:r>
            </w:hyperlink>
          </w:p>
        </w:tc>
        <w:tc>
          <w:tcPr>
            <w:tcW w:w="340" w:type="dxa"/>
            <w:vAlign w:val="bottom"/>
            <w:gridSpan w:val="1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by</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top w:val="single" w:sz="8" w:color="0000FF"/>
            </w:tcBorders>
            <w:gridSpan w:val="22"/>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reference to Exhibit 2.1 to the Company’s Current Report on Form 8-K filed on June 19, 2018. (SEC File No. 000-24206)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6"/>
        </w:trPr>
        <w:tc>
          <w:tcPr>
            <w:tcW w:w="1340" w:type="dxa"/>
            <w:vAlign w:val="bottom"/>
            <w:gridSpan w:val="2"/>
          </w:tcPr>
          <w:p>
            <w:pPr>
              <w:ind w:left="7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8"/>
              </w:rPr>
            </w:pPr>
            <w:hyperlink r:id="rId129">
              <w:r>
                <w:rPr>
                  <w:rFonts w:ascii="Arial" w:cs="Arial" w:eastAsia="Arial" w:hAnsi="Arial"/>
                  <w:sz w:val="18"/>
                  <w:szCs w:val="18"/>
                  <w:color w:val="0000FF"/>
                  <w:w w:val="98"/>
                </w:rPr>
                <w:t>Transaction Agreement, dated as of November 13, 2018, among Penn Tenant III, LLC, VICI Properties L.P., and Greektown</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7"/>
          </w:tcPr>
          <w:p>
            <w:pPr>
              <w:spacing w:after="0" w:line="15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Mothership LLC is hereby incorporated by reference to Exhibit 2.1 to the Company’s Current Report on Form 8-K filed on</w:t>
              </w:r>
            </w:hyperlink>
          </w:p>
        </w:tc>
        <w:tc>
          <w:tcPr>
            <w:tcW w:w="820" w:type="dxa"/>
            <w:vAlign w:val="bottom"/>
            <w:gridSpan w:val="22"/>
          </w:tcPr>
          <w:p>
            <w:pPr>
              <w:jc w:val="right"/>
              <w:ind w:right="100"/>
              <w:spacing w:after="0" w:line="156" w:lineRule="exact"/>
              <w:rPr>
                <w:rFonts w:ascii="Arial" w:cs="Arial" w:eastAsia="Arial" w:hAnsi="Arial"/>
                <w:sz w:val="18"/>
                <w:szCs w:val="18"/>
                <w:color w:val="0000FF"/>
                <w:w w:val="84"/>
              </w:rPr>
            </w:pPr>
            <w:hyperlink r:id="rId129">
              <w:r>
                <w:rPr>
                  <w:rFonts w:ascii="Arial" w:cs="Arial" w:eastAsia="Arial" w:hAnsi="Arial"/>
                  <w:sz w:val="18"/>
                  <w:szCs w:val="18"/>
                  <w:color w:val="0000FF"/>
                  <w:w w:val="84"/>
                </w:rPr>
                <w:t>November</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14, 2018. (SEC File No. 000-24206)</w:t>
              </w:r>
            </w:hyperlink>
          </w:p>
        </w:tc>
        <w:tc>
          <w:tcPr>
            <w:tcW w:w="70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gridSpan w:val="2"/>
          </w:tcPr>
          <w:p>
            <w:pPr>
              <w:ind w:left="7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Stock Purchase Agreement by and among Penn National Gaming, Inc., Barstool Sports, Inc., TCG XII, LLC, TCG Digital Spots, LLC</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and the Individuals Set Forth on Schedule A, dated as of January 28, 2020 is hereby incorporated by reference to Exhibit 2.1 to the</w:t>
              </w:r>
            </w:hyperlink>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Company’s Current Report on Form 8-K filed on January 29, 2020. (SEC File No. 000-24206)</w:t>
              </w:r>
            </w:hyperlink>
          </w:p>
        </w:tc>
        <w:tc>
          <w:tcPr>
            <w:tcW w:w="26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340" w:type="dxa"/>
            <w:vAlign w:val="bottom"/>
            <w:gridSpan w:val="2"/>
          </w:tcPr>
          <w:p>
            <w:pPr>
              <w:ind w:left="7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Purchase Agreement by and among Tropicana Las Vegas, Inc., Penn National Gaming, Inc., GLP Capital, L.P., Gold Merger Sub,</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LLC, PA Meadows, LLC, Tropicana LV LLC and, solely for the purposes set forth therein, Gaming and Leisure Properties, Inc.,</w:t>
              </w:r>
            </w:hyperlink>
          </w:p>
        </w:tc>
        <w:tc>
          <w:tcPr>
            <w:tcW w:w="440" w:type="dxa"/>
            <w:vAlign w:val="bottom"/>
            <w:gridSpan w:val="20"/>
          </w:tcPr>
          <w:p>
            <w:pPr>
              <w:jc w:val="right"/>
              <w:ind w:right="100"/>
              <w:spacing w:after="0" w:line="156" w:lineRule="exact"/>
              <w:rPr>
                <w:rFonts w:ascii="Arial" w:cs="Arial" w:eastAsia="Arial" w:hAnsi="Arial"/>
                <w:sz w:val="18"/>
                <w:szCs w:val="18"/>
                <w:color w:val="0000FF"/>
                <w:w w:val="70"/>
              </w:rPr>
            </w:pPr>
            <w:hyperlink r:id="rId131">
              <w:r>
                <w:rPr>
                  <w:rFonts w:ascii="Arial" w:cs="Arial" w:eastAsia="Arial" w:hAnsi="Arial"/>
                  <w:sz w:val="18"/>
                  <w:szCs w:val="18"/>
                  <w:color w:val="0000FF"/>
                  <w:w w:val="70"/>
                </w:rPr>
                <w:t>dated</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131">
              <w:r>
                <w:rPr>
                  <w:rFonts w:ascii="Arial" w:cs="Arial" w:eastAsia="Arial" w:hAnsi="Arial"/>
                  <w:sz w:val="18"/>
                  <w:szCs w:val="18"/>
                  <w:color w:val="0000FF"/>
                  <w:w w:val="94"/>
                </w:rPr>
                <w:t>as of April 16, 2020 is hereby incorporated by reference to Exhibit 2.1 to the Company’s Current Report on Form 8-K filed on April</w:t>
              </w:r>
            </w:hyperlink>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20, 2020. (SEC File No. 000-24206)</w:t>
              </w:r>
            </w:hyperlink>
          </w:p>
        </w:tc>
        <w:tc>
          <w:tcPr>
            <w:tcW w:w="69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72"/>
        </w:trPr>
        <w:tc>
          <w:tcPr>
            <w:tcW w:w="1180" w:type="dxa"/>
            <w:vAlign w:val="bottom"/>
          </w:tcPr>
          <w:p>
            <w:pPr>
              <w:ind w:left="8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2"/>
          </w:tcPr>
          <w:p>
            <w:pPr>
              <w:spacing w:after="0"/>
              <w:rPr>
                <w:rFonts w:ascii="Arial" w:cs="Arial" w:eastAsia="Arial" w:hAnsi="Arial"/>
                <w:sz w:val="18"/>
                <w:szCs w:val="18"/>
                <w:color w:val="0000FF"/>
                <w:w w:val="90"/>
              </w:rPr>
            </w:pPr>
            <w:hyperlink r:id="rId132">
              <w:r>
                <w:rPr>
                  <w:rFonts w:ascii="Arial" w:cs="Arial" w:eastAsia="Arial" w:hAnsi="Arial"/>
                  <w:sz w:val="18"/>
                  <w:szCs w:val="18"/>
                  <w:color w:val="0000FF"/>
                  <w:w w:val="90"/>
                </w:rPr>
                <w:t>Binding Term Sheet, dated as of March 27, 2020, by and between Penn National Gaming, Inc. and Gaming and Leisure Properties,</w:t>
              </w:r>
            </w:hyperlink>
          </w:p>
        </w:tc>
        <w:tc>
          <w:tcPr>
            <w:tcW w:w="340" w:type="dxa"/>
            <w:vAlign w:val="bottom"/>
            <w:gridSpan w:val="17"/>
          </w:tcPr>
          <w:p>
            <w:pPr>
              <w:spacing w:after="0"/>
              <w:rPr>
                <w:sz w:val="24"/>
                <w:szCs w:val="24"/>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9"/>
          </w:tcPr>
          <w:p>
            <w:pPr>
              <w:spacing w:after="0" w:line="15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Inc. is hereby incorporated by reference to Exhibit 2.1 to the Company’s Current Report on Form 8-K filed on March 30, 2020. (SEC</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File No. 000-24206)</w:t>
              </w:r>
            </w:hyperlink>
          </w:p>
        </w:tc>
        <w:tc>
          <w:tcPr>
            <w:tcW w:w="814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72"/>
        </w:trPr>
        <w:tc>
          <w:tcPr>
            <w:tcW w:w="1180" w:type="dxa"/>
            <w:vAlign w:val="bottom"/>
          </w:tcPr>
          <w:p>
            <w:pPr>
              <w:ind w:left="8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Amended and Restated Articles of Incorporation of Penn National Gaming, Inc., filed with the Pennsylvania Department of State on</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October 15, 1996, as amended by the Articles of Amendments to the Amended and Restated Articles of Incorporation filed with the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6"/>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Pennsylvania Department of State on November 13, 1996, July 23, 2001 and December 28, 2007 and the Statement with Respect to</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r:id="rId133">
              <w:r>
                <w:rPr>
                  <w:rFonts w:ascii="Arial" w:cs="Arial" w:eastAsia="Arial" w:hAnsi="Arial"/>
                  <w:sz w:val="18"/>
                  <w:szCs w:val="18"/>
                  <w:color w:val="0000FF"/>
                  <w:w w:val="89"/>
                </w:rPr>
                <w:t>Shares of Series C Convertible Preferred Stock of Penn National Gaming, Inc. dated as of January 17, 2013, and the Statement with</w:t>
              </w:r>
            </w:hyperlink>
          </w:p>
        </w:tc>
        <w:tc>
          <w:tcPr>
            <w:tcW w:w="20" w:type="dxa"/>
            <w:vAlign w:val="bottom"/>
            <w:tcBorders>
              <w:bottom w:val="single" w:sz="8" w:color="0000FF"/>
            </w:tcBorders>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15"/>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Respect to Shares of Series D Convertible Preferred Stock of Penn National Gaming, Inc. dated as of February 19, 2020 is hereby</w:t>
              </w:r>
            </w:hyperlink>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42"/>
        </w:trPr>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incorporated by reference to Exhibit 3.1 to the Company’s Quarterly Report on Form 10-Q for the quarterly period ended March</w:t>
              </w:r>
            </w:hyperlink>
          </w:p>
        </w:tc>
        <w:tc>
          <w:tcPr>
            <w:tcW w:w="300" w:type="dxa"/>
            <w:vAlign w:val="bottom"/>
            <w:gridSpan w:val="13"/>
          </w:tcPr>
          <w:p>
            <w:pPr>
              <w:jc w:val="right"/>
              <w:ind w:right="140"/>
              <w:spacing w:after="0" w:line="142" w:lineRule="exact"/>
              <w:rPr>
                <w:rFonts w:ascii="Arial" w:cs="Arial" w:eastAsia="Arial" w:hAnsi="Arial"/>
                <w:sz w:val="13"/>
                <w:szCs w:val="13"/>
                <w:u w:val="single" w:color="auto"/>
                <w:color w:val="0000FF"/>
                <w:w w:val="77"/>
              </w:rPr>
            </w:pPr>
            <w:hyperlink r:id="rId133">
              <w:r>
                <w:rPr>
                  <w:rFonts w:ascii="Arial" w:cs="Arial" w:eastAsia="Arial" w:hAnsi="Arial"/>
                  <w:sz w:val="13"/>
                  <w:szCs w:val="13"/>
                  <w:u w:val="single" w:color="auto"/>
                  <w:color w:val="0000FF"/>
                  <w:w w:val="77"/>
                </w:rPr>
                <w:t>31,</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30"/>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29"/>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2020. (SEC File No. 000-24206)</w:t>
              </w:r>
            </w:hyperlink>
          </w:p>
        </w:tc>
      </w:tr>
      <w:tr>
        <w:trPr>
          <w:trHeight w:val="350"/>
        </w:trPr>
        <w:tc>
          <w:tcPr>
            <w:tcW w:w="1180" w:type="dxa"/>
            <w:vAlign w:val="bottom"/>
          </w:tcPr>
          <w:p>
            <w:pPr>
              <w:ind w:left="8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6"/>
              </w:rPr>
            </w:pPr>
            <w:hyperlink r:id="rId134">
              <w:r>
                <w:rPr>
                  <w:rFonts w:ascii="Arial" w:cs="Arial" w:eastAsia="Arial" w:hAnsi="Arial"/>
                  <w:sz w:val="18"/>
                  <w:szCs w:val="18"/>
                  <w:color w:val="0000FF"/>
                  <w:w w:val="96"/>
                </w:rPr>
                <w:t>Fourth Amended and Restated Bylaws of Penn National Gaming, Inc., as amended on May 28, 2019, is hereby incorporated by</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60" w:type="dxa"/>
            <w:vAlign w:val="bottom"/>
            <w:tcBorders>
              <w:top w:val="single" w:sz="8" w:color="0000FF"/>
            </w:tcBorders>
            <w:gridSpan w:val="8"/>
          </w:tcPr>
          <w:p>
            <w:pPr>
              <w:spacing w:after="0"/>
              <w:rPr>
                <w:rFonts w:ascii="Arial" w:cs="Arial" w:eastAsia="Arial" w:hAnsi="Arial"/>
                <w:sz w:val="18"/>
                <w:szCs w:val="18"/>
                <w:u w:val="single" w:color="auto"/>
                <w:color w:val="0000FF"/>
                <w:w w:val="95"/>
              </w:rPr>
            </w:pPr>
            <w:hyperlink r:id="rId134">
              <w:r>
                <w:rPr>
                  <w:rFonts w:ascii="Arial" w:cs="Arial" w:eastAsia="Arial" w:hAnsi="Arial"/>
                  <w:sz w:val="18"/>
                  <w:szCs w:val="18"/>
                  <w:u w:val="single" w:color="auto"/>
                  <w:color w:val="0000FF"/>
                  <w:w w:val="95"/>
                </w:rPr>
                <w:t>reference to Exhibit 3.1 to the Company’s Current Report on Form 8-K filed on May 31, 2019. (SEC File No. 000-24206)</w:t>
              </w:r>
            </w:hyperlink>
          </w:p>
        </w:tc>
        <w:tc>
          <w:tcPr>
            <w:tcW w:w="300" w:type="dxa"/>
            <w:vAlign w:val="bottom"/>
            <w:gridSpan w:val="5"/>
          </w:tcPr>
          <w:p>
            <w:pPr>
              <w:spacing w:after="0"/>
              <w:rPr>
                <w:sz w:val="19"/>
                <w:szCs w:val="19"/>
                <w:color w:val="auto"/>
              </w:rPr>
            </w:pPr>
          </w:p>
        </w:tc>
        <w:tc>
          <w:tcPr>
            <w:tcW w:w="20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r>
      <w:tr>
        <w:trPr>
          <w:trHeight w:val="337"/>
        </w:trPr>
        <w:tc>
          <w:tcPr>
            <w:tcW w:w="1180" w:type="dxa"/>
            <w:vAlign w:val="bottom"/>
          </w:tcPr>
          <w:p>
            <w:pPr>
              <w:ind w:left="8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3"/>
              </w:rPr>
            </w:pPr>
            <w:hyperlink r:id="rId135">
              <w:r>
                <w:rPr>
                  <w:rFonts w:ascii="Arial" w:cs="Arial" w:eastAsia="Arial" w:hAnsi="Arial"/>
                  <w:sz w:val="18"/>
                  <w:szCs w:val="18"/>
                  <w:color w:val="0000FF"/>
                  <w:w w:val="93"/>
                </w:rPr>
                <w:t>Statement with Respect to Shares of Series D Convertible Preferred Stock of Penn National Gaming, Inc. is hereby incorporated by</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60" w:type="dxa"/>
            <w:vAlign w:val="bottom"/>
            <w:tcBorders>
              <w:top w:val="single" w:sz="8" w:color="0000FF"/>
            </w:tcBorders>
            <w:gridSpan w:val="13"/>
          </w:tcPr>
          <w:p>
            <w:pPr>
              <w:spacing w:after="0"/>
              <w:rPr>
                <w:rFonts w:ascii="Arial" w:cs="Arial" w:eastAsia="Arial" w:hAnsi="Arial"/>
                <w:sz w:val="18"/>
                <w:szCs w:val="18"/>
                <w:u w:val="single" w:color="auto"/>
                <w:color w:val="0000FF"/>
                <w:w w:val="95"/>
              </w:rPr>
            </w:pPr>
            <w:hyperlink r:id="rId135">
              <w:r>
                <w:rPr>
                  <w:rFonts w:ascii="Arial" w:cs="Arial" w:eastAsia="Arial" w:hAnsi="Arial"/>
                  <w:sz w:val="18"/>
                  <w:szCs w:val="18"/>
                  <w:u w:val="single" w:color="auto"/>
                  <w:color w:val="0000FF"/>
                  <w:w w:val="95"/>
                </w:rPr>
                <w:t>reference to Exhibit 3.1 to the Company’s Current Report on Form 8-K filed on February 19, 2020. (SEC File No. 000-24206)</w:t>
              </w:r>
            </w:hyperlink>
          </w:p>
        </w:tc>
        <w:tc>
          <w:tcPr>
            <w:tcW w:w="20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r>
      <w:tr>
        <w:trPr>
          <w:trHeight w:val="377"/>
        </w:trPr>
        <w:tc>
          <w:tcPr>
            <w:tcW w:w="1180" w:type="dxa"/>
            <w:vAlign w:val="bottom"/>
          </w:tcPr>
          <w:p>
            <w:pPr>
              <w:ind w:left="8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9"/>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Specimen certificate for shares of Common Stock, par value of $.01 per share, for Penn National Gaming, Inc. is hereby incorporated</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by reference to Exhibit 3.6 to the Company’s Quarterly Report on Form 10-Q for the quarterly period ended June 30, 2003. (SEC File</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0000FF"/>
            </w:tcBorders>
          </w:tcPr>
          <w:p>
            <w:pPr>
              <w:spacing w:after="0" w:line="182"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No. 000-24206)</w:t>
              </w:r>
            </w:hyperlink>
          </w:p>
        </w:tc>
        <w:tc>
          <w:tcPr>
            <w:tcW w:w="8520" w:type="dxa"/>
            <w:vAlign w:val="bottom"/>
            <w:gridSpan w:val="23"/>
          </w:tcPr>
          <w:p>
            <w:pPr>
              <w:spacing w:after="0"/>
              <w:rPr>
                <w:sz w:val="15"/>
                <w:szCs w:val="15"/>
                <w:color w:val="auto"/>
              </w:rPr>
            </w:pPr>
          </w:p>
        </w:tc>
        <w:tc>
          <w:tcPr>
            <w:tcW w:w="100" w:type="dxa"/>
            <w:vAlign w:val="bottom"/>
            <w:gridSpan w:val="5"/>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9880" w:type="dxa"/>
            <w:vAlign w:val="bottom"/>
            <w:gridSpan w:val="32"/>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40" w:type="dxa"/>
            <w:vAlign w:val="bottom"/>
            <w:tcBorders>
              <w:top w:val="single" w:sz="8" w:color="auto"/>
              <w:bottom w:val="single" w:sz="8" w:color="0000FF"/>
            </w:tcBorders>
            <w:gridSpan w:val="21"/>
          </w:tcPr>
          <w:p>
            <w:pPr>
              <w:spacing w:after="0" w:line="182"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Indenture, dated as of January 19, 2017 between Penn National Gaming, Inc. and Wells Fargo Bank, N.A., as Trustee, relating to the</w:t>
              </w:r>
            </w:hyperlink>
          </w:p>
        </w:tc>
        <w:tc>
          <w:tcPr>
            <w:tcW w:w="220" w:type="dxa"/>
            <w:vAlign w:val="bottom"/>
            <w:tcBorders>
              <w:top w:val="single" w:sz="8" w:color="auto"/>
            </w:tcBorders>
            <w:gridSpan w:val="10"/>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2"/>
          </w:tcPr>
          <w:p>
            <w:pPr>
              <w:spacing w:after="0" w:line="156"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5.</w:t>
              </w:r>
              <w:r>
                <w:rPr>
                  <w:rFonts w:ascii="Arial" w:cs="Arial" w:eastAsia="Arial" w:hAnsi="Arial"/>
                  <w:sz w:val="18"/>
                  <w:szCs w:val="18"/>
                  <w:u w:val="single" w:color="auto"/>
                  <w:color w:val="0000FF"/>
                  <w:w w:val="93"/>
                </w:rPr>
                <w:t>625%</w:t>
              </w:r>
              <w:r>
                <w:rPr>
                  <w:rFonts w:ascii="Arial" w:cs="Arial" w:eastAsia="Arial" w:hAnsi="Arial"/>
                  <w:sz w:val="18"/>
                  <w:szCs w:val="18"/>
                  <w:color w:val="0000FF"/>
                  <w:w w:val="93"/>
                </w:rPr>
                <w:t xml:space="preserve"> Senior Notes due 2027 is hereby incorporated by reference to Exhibit 4.1 to the Company’s Current Report on Form 8-K filed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on January 20, 2017. (SEC File No. 000-24206)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4.1(a)</w:t>
            </w: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Form of Note for 5.625% Senior Notes due 2027 is hereby incorporated by reference to Exhibit 4.2 to the Company’s Current Report</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on Form 8-K filed on January 20, 2017. (SEC File No. 000-24206)</w:t>
              </w:r>
            </w:hyperlink>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Indenture, dated as of May 14, 2020 between Penn National Gaming, Inc. and Wells Fargo Bank, National Association, as Trustee, is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hereby incorporated by reference to Exhibit 4.1 to the Company’s Current Report on Form 8-K filed on May 14, 2020. (SEC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139">
              <w:r>
                <w:rPr>
                  <w:rFonts w:ascii="Arial" w:cs="Arial" w:eastAsia="Arial" w:hAnsi="Arial"/>
                  <w:sz w:val="18"/>
                  <w:szCs w:val="18"/>
                  <w:color w:val="0000FF"/>
                  <w:w w:val="89"/>
                </w:rPr>
                <w:t>000-24206)</w:t>
              </w:r>
            </w:hyperlink>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4.2(a)</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First Supplemental Indenture, dated as of May 14, 2020 between Penn National Gaming, Inc. and Wells Fargo Bank, National</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Association, as Trustee, is hereby incorporated by reference to Exhibit 4.2 to the Company’s Current Report on Form 8-K filed</w:t>
              </w:r>
            </w:hyperlink>
          </w:p>
        </w:tc>
        <w:tc>
          <w:tcPr>
            <w:tcW w:w="800" w:type="dxa"/>
            <w:vAlign w:val="bottom"/>
            <w:gridSpan w:val="19"/>
          </w:tcPr>
          <w:p>
            <w:pPr>
              <w:ind w:left="100"/>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on May</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14, 2020. (SEC File No. 000-24206)</w:t>
              </w:r>
            </w:hyperlink>
          </w:p>
        </w:tc>
        <w:tc>
          <w:tcPr>
            <w:tcW w:w="7080" w:type="dxa"/>
            <w:vAlign w:val="bottom"/>
            <w:tcBorders>
              <w:top w:val="single" w:sz="8" w:color="0000FF"/>
            </w:tcBorders>
            <w:gridSpan w:val="26"/>
          </w:tcPr>
          <w:p>
            <w:pPr>
              <w:spacing w:after="0"/>
              <w:rPr>
                <w:sz w:val="13"/>
                <w:szCs w:val="13"/>
                <w:color w:val="auto"/>
              </w:rPr>
            </w:pP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4.2(b)</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Form of Note representing the 2.75% Convertible Senior Notes due 2026 is hereby incorporated by reference to Exhibit 4.3 to the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Company’s Current Report on Form 8-K filed on May 14, 2020. (SEC File No. 000-24206)</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Description of Securities is hereby incorporated by reference to Exhibit 4.4 to the Company’s Annual Report on Form 10-K for the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year ended December 31, 2019. (SEC File No. 000-24206)</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2"/>
          </w:tcPr>
          <w:p>
            <w:pPr>
              <w:spacing w:after="0"/>
              <w:rPr>
                <w:sz w:val="20"/>
                <w:szCs w:val="20"/>
                <w:color w:val="auto"/>
              </w:rPr>
            </w:pPr>
            <w:r>
              <w:rPr>
                <w:rFonts w:ascii="Arial" w:cs="Arial" w:eastAsia="Arial" w:hAnsi="Arial"/>
                <w:sz w:val="18"/>
                <w:szCs w:val="18"/>
                <w:color w:val="auto"/>
                <w:w w:val="95"/>
              </w:rPr>
              <w:t>Form of Trust Agreement of Peter D. Carlino, Peter M. Carlino, Richard J. Carlino, David E. Carlino, Susan F. Harrington, Anne de</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2"/>
          </w:tcPr>
          <w:p>
            <w:pPr>
              <w:spacing w:after="0" w:line="176" w:lineRule="exact"/>
              <w:rPr>
                <w:sz w:val="20"/>
                <w:szCs w:val="20"/>
                <w:color w:val="auto"/>
              </w:rPr>
            </w:pPr>
            <w:r>
              <w:rPr>
                <w:rFonts w:ascii="Arial" w:cs="Arial" w:eastAsia="Arial" w:hAnsi="Arial"/>
                <w:sz w:val="18"/>
                <w:szCs w:val="18"/>
                <w:color w:val="auto"/>
                <w:w w:val="98"/>
              </w:rPr>
              <w:t>Lourdes Irwin, Robert M. Carlino, Stephen P. Carlino and Rosina E. Carlino Gilbert is hereby incorporated by reference to the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gridSpan w:val="32"/>
          </w:tcPr>
          <w:p>
            <w:pPr>
              <w:spacing w:after="0"/>
              <w:rPr>
                <w:sz w:val="20"/>
                <w:szCs w:val="20"/>
                <w:color w:val="auto"/>
              </w:rPr>
            </w:pPr>
            <w:r>
              <w:rPr>
                <w:rFonts w:ascii="Arial" w:cs="Arial" w:eastAsia="Arial" w:hAnsi="Arial"/>
                <w:sz w:val="18"/>
                <w:szCs w:val="18"/>
                <w:color w:val="auto"/>
              </w:rPr>
              <w:t>Company’s Registration Statement on Form S-1, dated May 26, 1994. (SEC File No. 33-77758)</w:t>
            </w:r>
          </w:p>
        </w:tc>
        <w:tc>
          <w:tcPr>
            <w:tcW w:w="0" w:type="dxa"/>
            <w:vAlign w:val="bottom"/>
          </w:tcPr>
          <w:p>
            <w:pPr>
              <w:spacing w:after="0"/>
              <w:rPr>
                <w:sz w:val="1"/>
                <w:szCs w:val="1"/>
                <w:color w:val="auto"/>
              </w:rPr>
            </w:pPr>
          </w:p>
        </w:tc>
      </w:tr>
      <w:tr>
        <w:trPr>
          <w:trHeight w:val="350"/>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5"/>
              </w:rPr>
            </w:pPr>
            <w:hyperlink w:anchor="page121">
              <w:r>
                <w:rPr>
                  <w:rFonts w:ascii="Arial" w:cs="Arial" w:eastAsia="Arial" w:hAnsi="Arial"/>
                  <w:sz w:val="18"/>
                  <w:szCs w:val="18"/>
                  <w:color w:val="0000FF"/>
                  <w:w w:val="95"/>
                </w:rPr>
                <w:t>Penn National Gaming, Inc. Deferred Compensation Plan , as amended and restated effective April 4, 2013, as amended by those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32"/>
          </w:tcPr>
          <w:p>
            <w:pPr>
              <w:spacing w:after="0"/>
              <w:rPr>
                <w:rFonts w:ascii="Arial" w:cs="Arial" w:eastAsia="Arial" w:hAnsi="Arial"/>
                <w:sz w:val="18"/>
                <w:szCs w:val="18"/>
                <w:u w:val="single" w:color="auto"/>
                <w:color w:val="0000FF"/>
                <w:w w:val="93"/>
              </w:rPr>
            </w:pPr>
            <w:hyperlink w:anchor="page121">
              <w:r>
                <w:rPr>
                  <w:rFonts w:ascii="Arial" w:cs="Arial" w:eastAsia="Arial" w:hAnsi="Arial"/>
                  <w:sz w:val="18"/>
                  <w:szCs w:val="18"/>
                  <w:u w:val="single" w:color="auto"/>
                  <w:color w:val="0000FF"/>
                  <w:w w:val="93"/>
                </w:rPr>
                <w:t>certain amendments effective November 1, 2013, October 1, 2015, January 1, 2017, April 1, 2020 and October 1, 2020, respectively.</w:t>
              </w:r>
            </w:hyperlink>
          </w:p>
        </w:tc>
        <w:tc>
          <w:tcPr>
            <w:tcW w:w="0" w:type="dxa"/>
            <w:vAlign w:val="bottom"/>
          </w:tcPr>
          <w:p>
            <w:pPr>
              <w:spacing w:after="0"/>
              <w:rPr>
                <w:sz w:val="1"/>
                <w:szCs w:val="1"/>
                <w:color w:val="auto"/>
              </w:rPr>
            </w:pPr>
          </w:p>
        </w:tc>
      </w:tr>
      <w:tr>
        <w:trPr>
          <w:trHeight w:val="323"/>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Penn National Gaming, Inc. 2008 Long Term Incentive Compensation Plan, as amended is hereby incorporated by reference to Exhibit</w:t>
              </w:r>
            </w:hyperlink>
          </w:p>
        </w:tc>
        <w:tc>
          <w:tcPr>
            <w:tcW w:w="0" w:type="dxa"/>
            <w:vAlign w:val="bottom"/>
          </w:tcPr>
          <w:p>
            <w:pPr>
              <w:spacing w:after="0"/>
              <w:rPr>
                <w:sz w:val="1"/>
                <w:szCs w:val="1"/>
                <w:color w:val="auto"/>
              </w:rPr>
            </w:pPr>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tcBorders>
              <w:top w:val="single" w:sz="8" w:color="0000FF"/>
            </w:tcBorders>
            <w:gridSpan w:val="29"/>
          </w:tcPr>
          <w:p>
            <w:pPr>
              <w:spacing w:after="0"/>
              <w:rPr>
                <w:rFonts w:ascii="Arial" w:cs="Arial" w:eastAsia="Arial" w:hAnsi="Arial"/>
                <w:sz w:val="18"/>
                <w:szCs w:val="18"/>
                <w:u w:val="single" w:color="auto"/>
                <w:color w:val="0000FF"/>
                <w:w w:val="94"/>
              </w:rPr>
            </w:pPr>
            <w:hyperlink r:id="rId143">
              <w:r>
                <w:rPr>
                  <w:rFonts w:ascii="Arial" w:cs="Arial" w:eastAsia="Arial" w:hAnsi="Arial"/>
                  <w:sz w:val="18"/>
                  <w:szCs w:val="18"/>
                  <w:u w:val="single" w:color="auto"/>
                  <w:color w:val="0000FF"/>
                  <w:w w:val="94"/>
                </w:rPr>
                <w:t>10.1 to the Company’s Quarterly Report on Form 10-Q for the quarterly period ended March 31, 2017. (SEC File No. 000-24206)</w:t>
              </w:r>
            </w:hyperlink>
          </w:p>
        </w:tc>
        <w:tc>
          <w:tcPr>
            <w:tcW w:w="1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10.2(a)†</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4"/>
              </w:rPr>
            </w:pPr>
            <w:hyperlink r:id="rId144">
              <w:r>
                <w:rPr>
                  <w:rFonts w:ascii="Arial" w:cs="Arial" w:eastAsia="Arial" w:hAnsi="Arial"/>
                  <w:sz w:val="18"/>
                  <w:szCs w:val="18"/>
                  <w:color w:val="0000FF"/>
                  <w:w w:val="94"/>
                </w:rPr>
                <w:t>Form of Non-Qualified Stock Option Certificate for the Penn National Gaming, Inc. 2008 Long Term Incentive Compensation Plan is</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hereby incorporated by reference to Exhibit 10.33 to the Company’s Annual Report on Form 10-K for the fiscal year ended December</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31, 2008. (SEC File No. 000-24206)</w:t>
              </w:r>
            </w:hyperlink>
          </w:p>
        </w:tc>
        <w:tc>
          <w:tcPr>
            <w:tcW w:w="7020" w:type="dxa"/>
            <w:vAlign w:val="bottom"/>
            <w:gridSpan w:val="24"/>
          </w:tcPr>
          <w:p>
            <w:pPr>
              <w:spacing w:after="0"/>
              <w:rPr>
                <w:sz w:val="13"/>
                <w:szCs w:val="13"/>
                <w:color w:val="auto"/>
              </w:rPr>
            </w:pPr>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10.2(b)†</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9"/>
              </w:rPr>
            </w:pPr>
            <w:hyperlink r:id="rId145">
              <w:r>
                <w:rPr>
                  <w:rFonts w:ascii="Arial" w:cs="Arial" w:eastAsia="Arial" w:hAnsi="Arial"/>
                  <w:sz w:val="18"/>
                  <w:szCs w:val="18"/>
                  <w:color w:val="0000FF"/>
                  <w:w w:val="99"/>
                </w:rPr>
                <w:t>Form of Restricted Stock Award for the Penn National Gaming, Inc. 2008 Long Term Incentive Compensation Plan is hereby</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incorporated by reference to Exhibit 10.32 to the Company’s Annual Report on Form 10-K for the fiscal year ended December</w:t>
              </w:r>
            </w:hyperlink>
          </w:p>
        </w:tc>
        <w:tc>
          <w:tcPr>
            <w:tcW w:w="500" w:type="dxa"/>
            <w:vAlign w:val="bottom"/>
            <w:gridSpan w:val="8"/>
          </w:tcPr>
          <w:p>
            <w:pPr>
              <w:ind w:left="160"/>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31,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2009. (SEC File No. 000-24206)</w:t>
              </w:r>
            </w:hyperlink>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10.2(c)†</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Form of Notice of Award of Phantom Stock for Penn National Gaming, Inc. 2008 Long Term Incentive Compensation Plan is hereby</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incorporated by reference to Exhibit 10.32 to the Company’s Annual Report on Form 10-K for the fiscal year ended December 31,</w:t>
              </w:r>
            </w:hyperlink>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2010. (SEC File No. 000-24206)</w:t>
              </w:r>
            </w:hyperlink>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10.2(d)†</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7"/>
              </w:rPr>
            </w:pPr>
            <w:hyperlink r:id="rId147">
              <w:r>
                <w:rPr>
                  <w:rFonts w:ascii="Arial" w:cs="Arial" w:eastAsia="Arial" w:hAnsi="Arial"/>
                  <w:sz w:val="18"/>
                  <w:szCs w:val="18"/>
                  <w:color w:val="0000FF"/>
                  <w:w w:val="97"/>
                </w:rPr>
                <w:t>Form of Stock Appreciation Rights for the Penn National Gaming, Inc. 2008 Long Term Incentive Compensation Plan is hereby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incorporated by reference to Exhibit 10.1 to the Company’s Quarterly Report on Form 10-Q for the quarterly report ended March</w:t>
              </w:r>
            </w:hyperlink>
          </w:p>
        </w:tc>
        <w:tc>
          <w:tcPr>
            <w:tcW w:w="340" w:type="dxa"/>
            <w:vAlign w:val="bottom"/>
            <w:tcBorders>
              <w:bottom w:val="single" w:sz="8" w:color="0000FF"/>
            </w:tcBorders>
            <w:gridSpan w:val="8"/>
          </w:tcPr>
          <w:p>
            <w:pPr>
              <w:jc w:val="right"/>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31,</w:t>
              </w:r>
            </w:hyperlink>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gridSpan w:val="22"/>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2014. (SEC File No. 000-24206)</w:t>
              </w:r>
            </w:hyperlink>
          </w:p>
        </w:tc>
        <w:tc>
          <w:tcPr>
            <w:tcW w:w="3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10.2(e)†</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rPr>
            </w:pPr>
            <w:hyperlink r:id="rId148">
              <w:r>
                <w:rPr>
                  <w:rFonts w:ascii="Arial" w:cs="Arial" w:eastAsia="Arial" w:hAnsi="Arial"/>
                  <w:sz w:val="18"/>
                  <w:szCs w:val="18"/>
                  <w:color w:val="0000FF"/>
                </w:rPr>
                <w:t>Penn National Gaming, Inc. Performance Share Program under the Penn National Gaming, Inc. 2008 Long Term Incentive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Compensation Plan, as amended, is hereby incorporated by reference to Exhibit 10.1 to the Company’s Current Report on</w:t>
              </w:r>
            </w:hyperlink>
          </w:p>
        </w:tc>
        <w:tc>
          <w:tcPr>
            <w:tcW w:w="1040" w:type="dxa"/>
            <w:vAlign w:val="bottom"/>
            <w:gridSpan w:val="21"/>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Form 8-K</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filed on February 11, 2016). (SEC File No. 000-24206)</w:t>
              </w:r>
            </w:hyperlink>
          </w:p>
        </w:tc>
        <w:tc>
          <w:tcPr>
            <w:tcW w:w="5540" w:type="dxa"/>
            <w:vAlign w:val="bottom"/>
            <w:tcBorders>
              <w:top w:val="single" w:sz="8" w:color="0000FF"/>
            </w:tcBorders>
            <w:gridSpan w:val="14"/>
          </w:tcPr>
          <w:p>
            <w:pPr>
              <w:spacing w:after="0"/>
              <w:rPr>
                <w:sz w:val="13"/>
                <w:szCs w:val="13"/>
                <w:color w:val="auto"/>
              </w:rPr>
            </w:pPr>
          </w:p>
        </w:tc>
        <w:tc>
          <w:tcPr>
            <w:tcW w:w="3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10.2(e)(i)†</w:t>
            </w:r>
          </w:p>
        </w:tc>
        <w:tc>
          <w:tcPr>
            <w:tcW w:w="20" w:type="dxa"/>
            <w:vAlign w:val="bottom"/>
          </w:tcPr>
          <w:p>
            <w:pPr>
              <w:spacing w:after="0"/>
              <w:rPr>
                <w:sz w:val="24"/>
                <w:szCs w:val="24"/>
                <w:color w:val="auto"/>
              </w:rPr>
            </w:pPr>
          </w:p>
        </w:tc>
        <w:tc>
          <w:tcPr>
            <w:tcW w:w="9880" w:type="dxa"/>
            <w:vAlign w:val="bottom"/>
            <w:gridSpan w:val="32"/>
          </w:tcPr>
          <w:p>
            <w:pPr>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Form of Performance Shares Award Certificate for Performance Share Program under the Penn National Gaming, Inc. 2008 Long</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Term Incentive Compensation Plan, as amended, is hereby incorporated by reference to Exhibit 10.2 to the Company’s Quarterly</w:t>
              </w:r>
            </w:hyperlink>
          </w:p>
        </w:tc>
        <w:tc>
          <w:tcPr>
            <w:tcW w:w="5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Report on Form 10-Q for the quarterly period ended March 31, 2017. (SEC File No. 000-24206)</w:t>
              </w:r>
            </w:hyperlink>
          </w:p>
        </w:tc>
        <w:tc>
          <w:tcPr>
            <w:tcW w:w="5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033"/>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8"/>
          </w:tcPr>
          <w:p>
            <w:pPr>
              <w:ind w:left="4120"/>
              <w:spacing w:after="0"/>
              <w:rPr>
                <w:sz w:val="20"/>
                <w:szCs w:val="20"/>
                <w:color w:val="auto"/>
              </w:rPr>
            </w:pPr>
            <w:r>
              <w:rPr>
                <w:rFonts w:ascii="Arial" w:cs="Arial" w:eastAsia="Arial" w:hAnsi="Arial"/>
                <w:sz w:val="18"/>
                <w:szCs w:val="18"/>
                <w:color w:val="auto"/>
              </w:rPr>
              <w:t>108</w:t>
            </w:r>
          </w:p>
        </w:tc>
        <w:tc>
          <w:tcPr>
            <w:tcW w:w="17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900"/>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9880" w:type="dxa"/>
            <w:vAlign w:val="bottom"/>
            <w:gridSpan w:val="39"/>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38"/>
          </w:tcPr>
          <w:p>
            <w:pPr>
              <w:spacing w:after="0" w:line="182"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Penn National Gaming, Inc. 2018 Long Term Incentive Compensation Plan is hereby incorporated by reference to Exhibit 10.1 to the</w:t>
              </w:r>
            </w:hyperlink>
          </w:p>
        </w:tc>
        <w:tc>
          <w:tcPr>
            <w:tcW w:w="80" w:type="dxa"/>
            <w:vAlign w:val="bottom"/>
          </w:tcPr>
          <w:p>
            <w:pPr>
              <w:spacing w:after="0"/>
              <w:rPr>
                <w:sz w:val="15"/>
                <w:szCs w:val="15"/>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Company’s Current Report on Form 8-K filed on June 13, 2018.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10.3(a)†</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Amendment to Penn National Gaming, Inc. 2018 Long Term Incentive Compensation Plan, dated December 27, 2019 is hereby</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incorporated by reference to Exhibit 10.3(a) to the Company’s Annual Report on Form 10-K for the year ended December 31,</w:t>
              </w:r>
            </w:hyperlink>
          </w:p>
        </w:tc>
        <w:tc>
          <w:tcPr>
            <w:tcW w:w="400" w:type="dxa"/>
            <w:vAlign w:val="bottom"/>
            <w:gridSpan w:val="11"/>
          </w:tcPr>
          <w:p>
            <w:pPr>
              <w:jc w:val="right"/>
              <w:ind w:right="60"/>
              <w:spacing w:after="0" w:line="156" w:lineRule="exact"/>
              <w:rPr>
                <w:rFonts w:ascii="Arial" w:cs="Arial" w:eastAsia="Arial" w:hAnsi="Arial"/>
                <w:sz w:val="18"/>
                <w:szCs w:val="18"/>
                <w:color w:val="0000FF"/>
                <w:w w:val="70"/>
              </w:rPr>
            </w:pPr>
            <w:hyperlink r:id="rId153">
              <w:r>
                <w:rPr>
                  <w:rFonts w:ascii="Arial" w:cs="Arial" w:eastAsia="Arial" w:hAnsi="Arial"/>
                  <w:sz w:val="18"/>
                  <w:szCs w:val="18"/>
                  <w:color w:val="0000FF"/>
                  <w:w w:val="70"/>
                </w:rPr>
                <w:t>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(SEC File No. 000-24206)</w:t>
              </w:r>
            </w:hyperlink>
          </w:p>
        </w:tc>
        <w:tc>
          <w:tcPr>
            <w:tcW w:w="76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10.3(b)†</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Form of Non-Qualified Stock Option Certificate for the Penn National Gaming, Inc. 2018 Long Term Incentive Compensation Plan, as</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6"/>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amended, is hereby incorporated by reference to Exhibit 10.4 to the Company’s Registration Statement on Form S-8 filed on August 8,</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2018. (SEC File No. 000-24206)</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10.3(c)†</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5"/>
              </w:rPr>
            </w:pPr>
            <w:hyperlink r:id="rId155">
              <w:r>
                <w:rPr>
                  <w:rFonts w:ascii="Arial" w:cs="Arial" w:eastAsia="Arial" w:hAnsi="Arial"/>
                  <w:sz w:val="18"/>
                  <w:szCs w:val="18"/>
                  <w:color w:val="0000FF"/>
                  <w:w w:val="95"/>
                </w:rPr>
                <w:t>Form of Notice of Award of Restricted Stock for the Penn National Gaming, Inc. 2018 Long Term Incentive Compensation Plan, as</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amended, is hereby incorporated by reference to Exhibit 10.2 to the Company’s Registration Statement on Form S-8 filed on August</w:t>
              </w:r>
            </w:hyperlink>
          </w:p>
        </w:tc>
        <w:tc>
          <w:tcPr>
            <w:tcW w:w="280" w:type="dxa"/>
            <w:vAlign w:val="bottom"/>
            <w:gridSpan w:val="14"/>
          </w:tcPr>
          <w:p>
            <w:pPr>
              <w:jc w:val="center"/>
              <w:ind w:right="40"/>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8,</w:t>
              </w:r>
            </w:hyperlink>
          </w:p>
        </w:tc>
        <w:tc>
          <w:tcPr>
            <w:tcW w:w="10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2018. (SEC File No. 000-24206)</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10.3(d)†</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3"/>
              </w:rPr>
            </w:pPr>
            <w:hyperlink r:id="rId156">
              <w:r>
                <w:rPr>
                  <w:rFonts w:ascii="Arial" w:cs="Arial" w:eastAsia="Arial" w:hAnsi="Arial"/>
                  <w:sz w:val="18"/>
                  <w:szCs w:val="18"/>
                  <w:color w:val="0000FF"/>
                  <w:w w:val="93"/>
                </w:rPr>
                <w:t>Form of Notice of Award of Phantom Stock Units for the Penn National Gaming, Inc. 2018 Long Term Incentive Compensation Plan,</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as amended, is hereby incorporated by reference to Exhibit 10.3 to the Company’s Registration Statement on Form S-8 filed on August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7"/>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8, 2018. (SEC File No. 000-24206)</w:t>
              </w:r>
            </w:hyperlink>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10.3(e)†</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7"/>
              </w:rPr>
            </w:pPr>
            <w:hyperlink r:id="rId157">
              <w:r>
                <w:rPr>
                  <w:rFonts w:ascii="Arial" w:cs="Arial" w:eastAsia="Arial" w:hAnsi="Arial"/>
                  <w:sz w:val="18"/>
                  <w:szCs w:val="18"/>
                  <w:color w:val="0000FF"/>
                  <w:w w:val="97"/>
                </w:rPr>
                <w:t>Form of Notice of Stock Appreciation Right Award for the Penn National Gaming, Inc. 2018 Long Term Incentive Compensation</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1"/>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Plan, as amended, is hereby incorporated by reference to Exhibit 10.5 to the Company’s Registration Statement on Form S-8 filed</w:t>
              </w:r>
            </w:hyperlink>
          </w:p>
        </w:tc>
        <w:tc>
          <w:tcPr>
            <w:tcW w:w="540" w:type="dxa"/>
            <w:vAlign w:val="bottom"/>
            <w:gridSpan w:val="18"/>
          </w:tcPr>
          <w:p>
            <w:pPr>
              <w:ind w:left="60"/>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on</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August 8, 2018. (SEC File No. 000-24206)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10.3(f)†</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rPr>
            </w:pPr>
            <w:hyperlink r:id="rId158">
              <w:r>
                <w:rPr>
                  <w:rFonts w:ascii="Arial" w:cs="Arial" w:eastAsia="Arial" w:hAnsi="Arial"/>
                  <w:sz w:val="18"/>
                  <w:szCs w:val="18"/>
                  <w:color w:val="0000FF"/>
                </w:rPr>
                <w:t>Penn National Gaming, Inc. Performance Share Program under the Penn National Gaming, Inc. 2018 Long Term Incentive</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9"/>
          </w:tcPr>
          <w:p>
            <w:pPr>
              <w:spacing w:after="0" w:line="156"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Compensation Plan, as amended, is hereby incorporated by reference to Exhibit 10.6 to the Company’s Registration Statement on</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Form S-8 filed on August 8, 2018. (SEC File No. 000-24206)</w:t>
              </w:r>
            </w:hyperlink>
          </w:p>
        </w:tc>
        <w:tc>
          <w:tcPr>
            <w:tcW w:w="4880" w:type="dxa"/>
            <w:vAlign w:val="bottom"/>
            <w:tcBorders>
              <w:top w:val="single" w:sz="8" w:color="0000FF"/>
            </w:tcBorders>
            <w:gridSpan w:val="14"/>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10.3(f)(i)†</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6"/>
              </w:rPr>
            </w:pPr>
            <w:hyperlink r:id="rId159">
              <w:r>
                <w:rPr>
                  <w:rFonts w:ascii="Arial" w:cs="Arial" w:eastAsia="Arial" w:hAnsi="Arial"/>
                  <w:sz w:val="18"/>
                  <w:szCs w:val="18"/>
                  <w:color w:val="0000FF"/>
                  <w:w w:val="96"/>
                </w:rPr>
                <w:t>Form of Performance Share Program Restricted Stock Award Certificate under the Penn National Gaming, Inc. 2018 Long Term</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Incentive Compensation Plan, as amended, is hereby incorporated by reference to Exhibit 10.8 to the Company’s Registration</w:t>
              </w:r>
            </w:hyperlink>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Statement on Form S-8 filed on August 8, 2018. (SEC File No. 000-24206)</w:t>
              </w:r>
            </w:hyperlink>
          </w:p>
        </w:tc>
        <w:tc>
          <w:tcPr>
            <w:tcW w:w="3620" w:type="dxa"/>
            <w:vAlign w:val="bottom"/>
            <w:tcBorders>
              <w:top w:val="single" w:sz="8" w:color="0000FF"/>
            </w:tcBorders>
            <w:gridSpan w:val="6"/>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10.3(f)(ii)†</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Form of Notice of Award of Restricted Stock for Performance Share Program under the Penn National Gaming, Inc. 2018 Long Term</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160">
              <w:r>
                <w:rPr>
                  <w:rFonts w:ascii="Arial" w:cs="Arial" w:eastAsia="Arial" w:hAnsi="Arial"/>
                  <w:sz w:val="18"/>
                  <w:szCs w:val="18"/>
                  <w:color w:val="0000FF"/>
                  <w:w w:val="96"/>
                </w:rPr>
                <w:t>Incentive Compensation Plan, as amended, is hereby incorporated by reference to Exhibit 10.7 to the Company’s Registration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Statement on Form S-8 filed on August 8, 2018. (SEC File No. 000-24206)</w:t>
              </w:r>
            </w:hyperlink>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10.3(g)†</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9"/>
              </w:rPr>
            </w:pPr>
            <w:hyperlink r:id="rId161">
              <w:r>
                <w:rPr>
                  <w:rFonts w:ascii="Arial" w:cs="Arial" w:eastAsia="Arial" w:hAnsi="Arial"/>
                  <w:sz w:val="18"/>
                  <w:szCs w:val="18"/>
                  <w:color w:val="0000FF"/>
                  <w:w w:val="99"/>
                </w:rPr>
                <w:t>Penn National Gaming, Inc. Performance Share Program II under the Penn National Gaming, Inc. 2018 Long Term Incentive</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9"/>
          </w:tcPr>
          <w:p>
            <w:pPr>
              <w:spacing w:after="0" w:line="156"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Compensation Plan, as amended, is hereby incorporated by reference to Exhibit 10.1 to the Company’s Current Report on Form 8-K</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filed on February 21, 2019. (SEC File No. 000-24206)</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10.3(g)(i)†</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4"/>
              </w:rPr>
            </w:pPr>
            <w:hyperlink r:id="rId162">
              <w:r>
                <w:rPr>
                  <w:rFonts w:ascii="Arial" w:cs="Arial" w:eastAsia="Arial" w:hAnsi="Arial"/>
                  <w:sz w:val="18"/>
                  <w:szCs w:val="18"/>
                  <w:color w:val="0000FF"/>
                  <w:w w:val="94"/>
                </w:rPr>
                <w:t>Form of Combination Award Certificate for the Penn National Gaming, Inc. Performance Share Program II under the Penn National</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Gaming, Inc. 2018 Long Term Incentive Compensation Plan, as amended, is hereby incorporated by reference to Exhibit 10.2 to the</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Company’s Current Report on Form 8-K filed on February 21, 2019. (SEC File No. 000-24206)</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10.3(h)†</w:t>
            </w:r>
          </w:p>
        </w:tc>
        <w:tc>
          <w:tcPr>
            <w:tcW w:w="20" w:type="dxa"/>
            <w:vAlign w:val="bottom"/>
          </w:tcPr>
          <w:p>
            <w:pPr>
              <w:spacing w:after="0"/>
              <w:rPr>
                <w:sz w:val="24"/>
                <w:szCs w:val="24"/>
                <w:color w:val="auto"/>
              </w:rPr>
            </w:pPr>
          </w:p>
        </w:tc>
        <w:tc>
          <w:tcPr>
            <w:tcW w:w="9260" w:type="dxa"/>
            <w:vAlign w:val="bottom"/>
            <w:tcBorders>
              <w:bottom w:val="single" w:sz="8" w:color="0000FF"/>
            </w:tcBorders>
            <w:gridSpan w:val="18"/>
          </w:tcPr>
          <w:p>
            <w:pPr>
              <w:spacing w:after="0"/>
              <w:rPr>
                <w:rFonts w:ascii="Arial" w:cs="Arial" w:eastAsia="Arial" w:hAnsi="Arial"/>
                <w:sz w:val="18"/>
                <w:szCs w:val="18"/>
                <w:color w:val="0000FF"/>
                <w:w w:val="90"/>
              </w:rPr>
            </w:pPr>
            <w:hyperlink r:id="rId163">
              <w:r>
                <w:rPr>
                  <w:rFonts w:ascii="Arial" w:cs="Arial" w:eastAsia="Arial" w:hAnsi="Arial"/>
                  <w:sz w:val="18"/>
                  <w:szCs w:val="18"/>
                  <w:color w:val="0000FF"/>
                  <w:w w:val="90"/>
                </w:rPr>
                <w:t>Form of Notice of Performance Award Terms and Criteria under the Performance Share Programs pursuant to the Penn National</w:t>
              </w:r>
            </w:hyperlink>
          </w:p>
        </w:tc>
        <w:tc>
          <w:tcPr>
            <w:tcW w:w="620" w:type="dxa"/>
            <w:vAlign w:val="bottom"/>
            <w:gridSpan w:val="21"/>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9"/>
          </w:tcPr>
          <w:p>
            <w:pPr>
              <w:spacing w:after="0" w:line="156"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Gaming, Inc. 2018 Long Term Incentive Compensation Plan is hereby incorporated by reference to Exhibit 10.10 to the Company’s</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Quarterly Report on Form 10-Q for the quarterly period ended March 31, 2020. (SEC File No. 000-24206)</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2740" w:type="dxa"/>
            <w:vAlign w:val="bottom"/>
            <w:gridSpan w:val="5"/>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10.3(i)†</w:t>
            </w:r>
          </w:p>
        </w:tc>
        <w:tc>
          <w:tcPr>
            <w:tcW w:w="20" w:type="dxa"/>
            <w:vAlign w:val="bottom"/>
          </w:tcPr>
          <w:p>
            <w:pPr>
              <w:spacing w:after="0"/>
              <w:rPr>
                <w:sz w:val="24"/>
                <w:szCs w:val="24"/>
                <w:color w:val="auto"/>
              </w:rPr>
            </w:pPr>
          </w:p>
        </w:tc>
        <w:tc>
          <w:tcPr>
            <w:tcW w:w="9880" w:type="dxa"/>
            <w:vAlign w:val="bottom"/>
            <w:gridSpan w:val="39"/>
          </w:tcPr>
          <w:p>
            <w:pPr>
              <w:spacing w:after="0"/>
              <w:rPr>
                <w:rFonts w:ascii="Arial" w:cs="Arial" w:eastAsia="Arial" w:hAnsi="Arial"/>
                <w:sz w:val="18"/>
                <w:szCs w:val="18"/>
                <w:color w:val="0000FF"/>
                <w:w w:val="94"/>
              </w:rPr>
            </w:pPr>
            <w:hyperlink r:id="rId164">
              <w:r>
                <w:rPr>
                  <w:rFonts w:ascii="Arial" w:cs="Arial" w:eastAsia="Arial" w:hAnsi="Arial"/>
                  <w:sz w:val="18"/>
                  <w:szCs w:val="18"/>
                  <w:color w:val="0000FF"/>
                  <w:w w:val="94"/>
                </w:rPr>
                <w:t>Form of Electronic Non-Qualified Stock Option Award Agreement under the Penn National Gaming, Inc. 2018 Long Term Incentive</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Compensation Plan, as amended, is hereby incorporated by reference to Exhibit 10.3(h) to the Company’s Annual Report on Form 10</w:t>
              </w:r>
            </w:hyperlink>
          </w:p>
        </w:tc>
        <w:tc>
          <w:tcPr>
            <w:tcW w:w="100" w:type="dxa"/>
            <w:vAlign w:val="bottom"/>
            <w:tcBorders>
              <w:bottom w:val="single" w:sz="8" w:color="0000FF"/>
            </w:tcBorders>
            <w:gridSpan w:val="5"/>
          </w:tcPr>
          <w:p>
            <w:pPr>
              <w:jc w:val="center"/>
              <w:ind w:right="20"/>
              <w:spacing w:after="0" w:line="155" w:lineRule="exact"/>
              <w:rPr>
                <w:rFonts w:ascii="Arial" w:cs="Arial" w:eastAsia="Arial" w:hAnsi="Arial"/>
                <w:sz w:val="16"/>
                <w:szCs w:val="16"/>
                <w:color w:val="0000FF"/>
                <w:w w:val="74"/>
              </w:rPr>
            </w:pPr>
            <w:hyperlink r:id="rId164">
              <w:r>
                <w:rPr>
                  <w:rFonts w:ascii="Arial" w:cs="Arial" w:eastAsia="Arial" w:hAnsi="Arial"/>
                  <w:sz w:val="16"/>
                  <w:szCs w:val="16"/>
                  <w:color w:val="0000FF"/>
                  <w:w w:val="74"/>
                </w:rPr>
                <w:t>-</w:t>
              </w:r>
            </w:hyperlink>
          </w:p>
        </w:tc>
        <w:tc>
          <w:tcPr>
            <w:tcW w:w="160" w:type="dxa"/>
            <w:vAlign w:val="bottom"/>
            <w:gridSpan w:val="5"/>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K for the year ended December 31, 2019. (SEC File No. 000-24206)</w:t>
              </w:r>
            </w:hyperlink>
          </w:p>
        </w:tc>
        <w:tc>
          <w:tcPr>
            <w:tcW w:w="4780" w:type="dxa"/>
            <w:vAlign w:val="bottom"/>
            <w:gridSpan w:val="27"/>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10.3(j)†</w:t>
            </w:r>
          </w:p>
        </w:tc>
        <w:tc>
          <w:tcPr>
            <w:tcW w:w="20" w:type="dxa"/>
            <w:vAlign w:val="bottom"/>
          </w:tcPr>
          <w:p>
            <w:pPr>
              <w:spacing w:after="0"/>
              <w:rPr>
                <w:sz w:val="24"/>
                <w:szCs w:val="24"/>
                <w:color w:val="auto"/>
              </w:rPr>
            </w:pPr>
          </w:p>
        </w:tc>
        <w:tc>
          <w:tcPr>
            <w:tcW w:w="9240" w:type="dxa"/>
            <w:vAlign w:val="bottom"/>
            <w:tcBorders>
              <w:bottom w:val="single" w:sz="8" w:color="0000FF"/>
            </w:tcBorders>
            <w:gridSpan w:val="17"/>
          </w:tcPr>
          <w:p>
            <w:pPr>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Form of Electronic Restricted Stock Award Agreement (2020) under the Penn National Gaming, Inc. 2018 Long Term Incentive</w:t>
              </w:r>
            </w:hyperlink>
          </w:p>
        </w:tc>
        <w:tc>
          <w:tcPr>
            <w:tcW w:w="640" w:type="dxa"/>
            <w:vAlign w:val="bottom"/>
            <w:gridSpan w:val="22"/>
          </w:tcPr>
          <w:p>
            <w:pPr>
              <w:spacing w:after="0"/>
              <w:rPr>
                <w:sz w:val="24"/>
                <w:szCs w:val="24"/>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9"/>
          </w:tcPr>
          <w:p>
            <w:pPr>
              <w:spacing w:after="0" w:line="15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Compensation Plan, as amended, is hereby incorporated by reference to Exhibit 10.3(i) to the Company’s Annual Report on Form 10-</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K for the year ended December 31, 2019. (SEC File No. 000-24206)</w:t>
              </w:r>
            </w:hyperlink>
          </w:p>
        </w:tc>
        <w:tc>
          <w:tcPr>
            <w:tcW w:w="4760" w:type="dxa"/>
            <w:vAlign w:val="bottom"/>
            <w:tcBorders>
              <w:top w:val="single" w:sz="8" w:color="0000FF"/>
            </w:tcBorders>
            <w:gridSpan w:val="26"/>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1033"/>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gridSpan w:val="7"/>
          </w:tcPr>
          <w:p>
            <w:pPr>
              <w:jc w:val="right"/>
              <w:ind w:right="40"/>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900"/>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9760" w:type="dxa"/>
            <w:vAlign w:val="bottom"/>
            <w:gridSpan w:val="1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2"/>
        </w:trPr>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10.3(k)†</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16"/>
          </w:tcPr>
          <w:p>
            <w:pPr>
              <w:spacing w:after="0" w:line="182"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Form of Electronic Phantom Stock Unit Award Agreement (cash settled) (2020) under the Penn National Gaming, Inc. 2018 Long</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Term Incentive Compensation Plan, as amended, is hereby incorporated by reference to Exhibit 10.3(j) to the Company’s Annual</w:t>
              </w:r>
            </w:hyperlink>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Report on Form 10-K for the year ended December 31, 2019. (SEC File No. 000-24206)</w:t>
              </w:r>
            </w:hyperlink>
          </w:p>
        </w:tc>
        <w:tc>
          <w:tcPr>
            <w:tcW w:w="29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10.3(l)†</w:t>
            </w:r>
          </w:p>
        </w:tc>
        <w:tc>
          <w:tcPr>
            <w:tcW w:w="20" w:type="dxa"/>
            <w:vAlign w:val="bottom"/>
          </w:tcPr>
          <w:p>
            <w:pPr>
              <w:spacing w:after="0"/>
              <w:rPr>
                <w:sz w:val="24"/>
                <w:szCs w:val="24"/>
                <w:color w:val="auto"/>
              </w:rPr>
            </w:pPr>
          </w:p>
        </w:tc>
        <w:tc>
          <w:tcPr>
            <w:tcW w:w="9760" w:type="dxa"/>
            <w:vAlign w:val="bottom"/>
            <w:gridSpan w:val="16"/>
          </w:tcPr>
          <w:p>
            <w:pPr>
              <w:spacing w:after="0"/>
              <w:rPr>
                <w:rFonts w:ascii="Arial" w:cs="Arial" w:eastAsia="Arial" w:hAnsi="Arial"/>
                <w:sz w:val="18"/>
                <w:szCs w:val="18"/>
                <w:color w:val="0000FF"/>
                <w:w w:val="94"/>
              </w:rPr>
            </w:pPr>
            <w:hyperlink r:id="rId169">
              <w:r>
                <w:rPr>
                  <w:rFonts w:ascii="Arial" w:cs="Arial" w:eastAsia="Arial" w:hAnsi="Arial"/>
                  <w:sz w:val="18"/>
                  <w:szCs w:val="18"/>
                  <w:color w:val="0000FF"/>
                  <w:w w:val="94"/>
                </w:rPr>
                <w:t>Form of Electronic Phantom Stock Unit Award Agreement (stock settled) (2020) under the Penn National Gaming, Inc. 2018 Long</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Term Incentive Compensation Plan, as amended, is hereby incorporated by reference to Exhibit 10.3(k) to the Company’s Annual</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Report on Form 10-K for the year ended December 31, 2019. (SEC File No. 000-24206)</w:t>
              </w:r>
            </w:hyperlink>
          </w:p>
        </w:tc>
        <w:tc>
          <w:tcPr>
            <w:tcW w:w="2960" w:type="dxa"/>
            <w:vAlign w:val="bottom"/>
            <w:tcBorders>
              <w:top w:val="single" w:sz="8" w:color="0000FF"/>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10.3(m)†</w:t>
            </w:r>
          </w:p>
        </w:tc>
        <w:tc>
          <w:tcPr>
            <w:tcW w:w="20" w:type="dxa"/>
            <w:vAlign w:val="bottom"/>
          </w:tcPr>
          <w:p>
            <w:pPr>
              <w:spacing w:after="0"/>
              <w:rPr>
                <w:sz w:val="24"/>
                <w:szCs w:val="24"/>
                <w:color w:val="auto"/>
              </w:rPr>
            </w:pPr>
          </w:p>
        </w:tc>
        <w:tc>
          <w:tcPr>
            <w:tcW w:w="9180" w:type="dxa"/>
            <w:vAlign w:val="bottom"/>
            <w:tcBorders>
              <w:bottom w:val="single" w:sz="8" w:color="0000FF"/>
            </w:tcBorders>
            <w:gridSpan w:val="5"/>
          </w:tcPr>
          <w:p>
            <w:pPr>
              <w:spacing w:after="0"/>
              <w:rPr>
                <w:rFonts w:ascii="Arial" w:cs="Arial" w:eastAsia="Arial" w:hAnsi="Arial"/>
                <w:sz w:val="18"/>
                <w:szCs w:val="18"/>
                <w:color w:val="0000FF"/>
                <w:w w:val="91"/>
              </w:rPr>
            </w:pPr>
            <w:hyperlink r:id="rId170">
              <w:r>
                <w:rPr>
                  <w:rFonts w:ascii="Arial" w:cs="Arial" w:eastAsia="Arial" w:hAnsi="Arial"/>
                  <w:sz w:val="18"/>
                  <w:szCs w:val="18"/>
                  <w:color w:val="0000FF"/>
                  <w:w w:val="91"/>
                </w:rPr>
                <w:t>Form of Electronic Stock Appreciation Right Award Agreement (2020) under the Penn National Gaming, Inc. 2018 Long Term</w:t>
              </w:r>
            </w:hyperlink>
          </w:p>
        </w:tc>
        <w:tc>
          <w:tcPr>
            <w:tcW w:w="580" w:type="dxa"/>
            <w:vAlign w:val="bottom"/>
            <w:gridSpan w:val="11"/>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6"/>
          </w:tcPr>
          <w:p>
            <w:pPr>
              <w:spacing w:after="0" w:line="15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Incentive Compensation Plan, as amended, is hereby incorporated by reference to Exhibit 10.3(l) to the Company’s Annual Report on</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Form 10-K for the year ended December 31, 2019. (SEC File No. 000-24206)</w:t>
              </w:r>
            </w:hyperlink>
          </w:p>
        </w:tc>
        <w:tc>
          <w:tcPr>
            <w:tcW w:w="40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85"/>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10.3(n)†</w:t>
            </w:r>
          </w:p>
        </w:tc>
        <w:tc>
          <w:tcPr>
            <w:tcW w:w="2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rFonts w:ascii="Arial" w:cs="Arial" w:eastAsia="Arial" w:hAnsi="Arial"/>
                <w:sz w:val="18"/>
                <w:szCs w:val="18"/>
                <w:color w:val="0000FF"/>
                <w:w w:val="91"/>
              </w:rPr>
            </w:pPr>
            <w:hyperlink r:id="rId171">
              <w:r>
                <w:rPr>
                  <w:rFonts w:ascii="Arial" w:cs="Arial" w:eastAsia="Arial" w:hAnsi="Arial"/>
                  <w:sz w:val="18"/>
                  <w:szCs w:val="18"/>
                  <w:color w:val="0000FF"/>
                  <w:w w:val="91"/>
                </w:rPr>
                <w:t>Form of Electronic Restricted Stock Unit Award Agreement (2020) under the Penn National Gaming, Inc. 2018 Long Term Incentive</w:t>
              </w:r>
            </w:hyperlink>
          </w:p>
        </w:tc>
        <w:tc>
          <w:tcPr>
            <w:tcW w:w="160" w:type="dxa"/>
            <w:vAlign w:val="bottom"/>
            <w:gridSpan w:val="5"/>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16"/>
          </w:tcPr>
          <w:p>
            <w:pPr>
              <w:spacing w:after="0" w:line="182"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Compensation Plan, as amended, is hereby incorporated by reference to Exhibit 10.3(m) to the Company’s Annual Report on Form 10-</w:t>
              </w:r>
            </w:hyperlink>
          </w:p>
        </w:tc>
      </w:tr>
      <w:tr>
        <w:trPr>
          <w:trHeight w:val="209"/>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top w:val="single" w:sz="8" w:color="0000FF"/>
            </w:tcBorders>
            <w:gridSpan w:val="15"/>
          </w:tcPr>
          <w:p>
            <w:pPr>
              <w:spacing w:after="0"/>
              <w:rPr>
                <w:rFonts w:ascii="Arial" w:cs="Arial" w:eastAsia="Arial" w:hAnsi="Arial"/>
                <w:sz w:val="18"/>
                <w:szCs w:val="18"/>
                <w:color w:val="0000FF"/>
              </w:rPr>
            </w:pPr>
            <w:hyperlink r:id="rId171">
              <w:r>
                <w:rPr>
                  <w:rFonts w:ascii="Arial" w:cs="Arial" w:eastAsia="Arial" w:hAnsi="Arial"/>
                  <w:sz w:val="18"/>
                  <w:szCs w:val="18"/>
                  <w:color w:val="0000FF"/>
                </w:rPr>
                <w:t xml:space="preserve">K for the year ended December 31, 2019. </w:t>
              </w:r>
              <w:r>
                <w:rPr>
                  <w:rFonts w:ascii="Arial" w:cs="Arial" w:eastAsia="Arial" w:hAnsi="Arial"/>
                  <w:sz w:val="18"/>
                  <w:szCs w:val="18"/>
                  <w:u w:val="single" w:color="auto"/>
                  <w:color w:val="0000FF"/>
                </w:rPr>
                <w:t>(SEC File No. 000-24206)</w:t>
              </w:r>
            </w:hyperlink>
          </w:p>
        </w:tc>
        <w:tc>
          <w:tcPr>
            <w:tcW w:w="40" w:type="dxa"/>
            <w:vAlign w:val="bottom"/>
          </w:tcPr>
          <w:p>
            <w:pPr>
              <w:spacing w:after="0"/>
              <w:rPr>
                <w:sz w:val="18"/>
                <w:szCs w:val="18"/>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8"/>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9760" w:type="dxa"/>
            <w:vAlign w:val="bottom"/>
            <w:gridSpan w:val="16"/>
          </w:tcPr>
          <w:p>
            <w:pPr>
              <w:spacing w:after="0"/>
              <w:rPr>
                <w:rFonts w:ascii="Arial" w:cs="Arial" w:eastAsia="Arial" w:hAnsi="Arial"/>
                <w:sz w:val="18"/>
                <w:szCs w:val="18"/>
                <w:color w:val="0000FF"/>
                <w:w w:val="95"/>
              </w:rPr>
            </w:pPr>
            <w:hyperlink r:id="rId172">
              <w:r>
                <w:rPr>
                  <w:rFonts w:ascii="Arial" w:cs="Arial" w:eastAsia="Arial" w:hAnsi="Arial"/>
                  <w:sz w:val="18"/>
                  <w:szCs w:val="18"/>
                  <w:color w:val="0000FF"/>
                  <w:w w:val="95"/>
                </w:rPr>
                <w:t>Executive Agreement, dated July 30, 2019, between Penn National Gaming, Inc. and Jay A. Snowden is hereby incorporated by</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tcBorders>
              <w:top w:val="single" w:sz="8" w:color="0000FF"/>
            </w:tcBorders>
            <w:gridSpan w:val="6"/>
          </w:tcPr>
          <w:p>
            <w:pPr>
              <w:spacing w:after="0"/>
              <w:rPr>
                <w:rFonts w:ascii="Arial" w:cs="Arial" w:eastAsia="Arial" w:hAnsi="Arial"/>
                <w:sz w:val="18"/>
                <w:szCs w:val="18"/>
                <w:u w:val="single" w:color="auto"/>
                <w:color w:val="0000FF"/>
                <w:w w:val="94"/>
              </w:rPr>
            </w:pPr>
            <w:hyperlink r:id="rId172">
              <w:r>
                <w:rPr>
                  <w:rFonts w:ascii="Arial" w:cs="Arial" w:eastAsia="Arial" w:hAnsi="Arial"/>
                  <w:sz w:val="18"/>
                  <w:szCs w:val="18"/>
                  <w:u w:val="single" w:color="auto"/>
                  <w:color w:val="0000FF"/>
                  <w:w w:val="94"/>
                </w:rPr>
                <w:t>reference to Exhibit 10.1 to the Company’s Current Report on Form 8-K filed on August 1, 2019. (SEC File No. 000-24206)</w:t>
              </w:r>
            </w:hyperlink>
          </w:p>
        </w:tc>
        <w:tc>
          <w:tcPr>
            <w:tcW w:w="46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r>
      <w:tr>
        <w:trPr>
          <w:trHeight w:val="323"/>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10.4(a)†</w:t>
            </w:r>
          </w:p>
        </w:tc>
        <w:tc>
          <w:tcPr>
            <w:tcW w:w="20" w:type="dxa"/>
            <w:vAlign w:val="bottom"/>
          </w:tcPr>
          <w:p>
            <w:pPr>
              <w:spacing w:after="0"/>
              <w:rPr>
                <w:sz w:val="24"/>
                <w:szCs w:val="24"/>
                <w:color w:val="auto"/>
              </w:rPr>
            </w:pPr>
          </w:p>
        </w:tc>
        <w:tc>
          <w:tcPr>
            <w:tcW w:w="9760" w:type="dxa"/>
            <w:vAlign w:val="bottom"/>
            <w:gridSpan w:val="16"/>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First Amendment to Executive Agreement, dated March 27, 2020, between Penn National Gaming, Inc. and Jay A. Snowden is hereby</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incorporated by reference to Exhibit 10.1 to the Company’s Current Report on Form 8-K filed on March 30, 2020. (SEC File No. 000-</w:t>
              </w:r>
            </w:hyperlink>
          </w:p>
        </w:tc>
        <w:tc>
          <w:tcPr>
            <w:tcW w:w="6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24206)</w:t>
              </w:r>
            </w:hyperlink>
          </w:p>
        </w:tc>
        <w:tc>
          <w:tcPr>
            <w:tcW w:w="2460" w:type="dxa"/>
            <w:vAlign w:val="bottom"/>
            <w:tcBorders>
              <w:top w:val="single" w:sz="8" w:color="0000FF"/>
            </w:tcBorders>
          </w:tcPr>
          <w:p>
            <w:pPr>
              <w:spacing w:after="0"/>
              <w:rPr>
                <w:sz w:val="13"/>
                <w:szCs w:val="13"/>
                <w:color w:val="auto"/>
              </w:rPr>
            </w:pPr>
          </w:p>
        </w:tc>
        <w:tc>
          <w:tcPr>
            <w:tcW w:w="26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8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188" w:lineRule="exact"/>
        <w:rPr>
          <w:sz w:val="20"/>
          <w:szCs w:val="20"/>
          <w:color w:val="auto"/>
        </w:rPr>
      </w:pPr>
    </w:p>
    <w:p>
      <w:pPr>
        <w:sectPr>
          <w:pgSz w:w="11900" w:h="16838" w:orient="portrait"/>
          <w:cols w:equalWidth="0" w:num="1">
            <w:col w:w="11120"/>
          </w:cols>
          <w:pgMar w:left="320" w:top="125" w:right="459" w:bottom="1440" w:gutter="0" w:footer="0" w:header="0"/>
        </w:sectPr>
      </w:pPr>
    </w:p>
    <w:p>
      <w:pPr>
        <w:ind w:left="560"/>
        <w:spacing w:after="0"/>
        <w:rPr>
          <w:sz w:val="20"/>
          <w:szCs w:val="20"/>
          <w:color w:val="auto"/>
        </w:rPr>
      </w:pPr>
      <w:r>
        <w:rPr>
          <w:rFonts w:ascii="Arial" w:cs="Arial" w:eastAsia="Arial" w:hAnsi="Arial"/>
          <w:sz w:val="16"/>
          <w:szCs w:val="16"/>
          <w:color w:val="auto"/>
        </w:rPr>
        <w:t>10.4(b)†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10.5(a)†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10.7†</w:t>
      </w:r>
    </w:p>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10.7(a)†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10.7(b)†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10.7(c)†</w:t>
      </w:r>
    </w:p>
    <w:p>
      <w:pPr>
        <w:spacing w:after="0" w:line="20" w:lineRule="exact"/>
        <w:rPr>
          <w:sz w:val="20"/>
          <w:szCs w:val="20"/>
          <w:color w:val="auto"/>
        </w:rPr>
      </w:pPr>
      <w:r>
        <w:rPr>
          <w:sz w:val="20"/>
          <w:szCs w:val="20"/>
          <w:color w:val="auto"/>
        </w:rPr>
        <w:br w:type="column"/>
      </w:r>
    </w:p>
    <w:p>
      <w:pPr>
        <w:ind w:right="220"/>
        <w:spacing w:after="0" w:line="248"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Second Amendment to Executive Agreement, dated October 1, 2020, between Penn National Gaming, Inc. and Jay A. Snowden is</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hereby incorporated by reference to Exhibit 10.1 to the Company’s Current Report on Form 8-K filed on October 2, 2020. (SEC File</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No. 000-24206)</w:t>
        </w:r>
      </w:hyperlink>
    </w:p>
    <w:p>
      <w:pPr>
        <w:spacing w:after="0" w:line="182" w:lineRule="exact"/>
        <w:rPr>
          <w:rFonts w:ascii="Arial" w:cs="Arial" w:eastAsia="Arial" w:hAnsi="Arial"/>
          <w:sz w:val="18"/>
          <w:szCs w:val="18"/>
          <w:u w:val="single" w:color="auto"/>
          <w:color w:val="0000FF"/>
        </w:rPr>
      </w:pPr>
    </w:p>
    <w:p>
      <w:pPr>
        <w:ind w:right="40"/>
        <w:spacing w:after="0" w:line="248"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Executive Agreement, dated August 28, 2018 and effective as of June 13, 2018, by and between Penn National Gaming, Inc. and</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Timothy J. Wilmott is hereby incorporated by reference to Exhibit 10.1 to the Company’s Current Report on Form 8-K filed on August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29, 2018. (SEC File No. 000-24206)</w:t>
        </w:r>
      </w:hyperlink>
    </w:p>
    <w:p>
      <w:pPr>
        <w:spacing w:after="0" w:line="182" w:lineRule="exact"/>
        <w:rPr>
          <w:rFonts w:ascii="Arial" w:cs="Arial" w:eastAsia="Arial" w:hAnsi="Arial"/>
          <w:sz w:val="18"/>
          <w:szCs w:val="18"/>
          <w:u w:val="single" w:color="auto"/>
          <w:color w:val="0000FF"/>
        </w:rPr>
      </w:pPr>
    </w:p>
    <w:p>
      <w:pPr>
        <w:jc w:val="both"/>
        <w:ind w:right="600"/>
        <w:spacing w:after="0" w:line="248"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Separation and Transition Agreement and General Release, dated February 27, 2020, between Penn National Gaming, Inc. and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Timothy J. Wilmott is hereby incorporated by reference to Exhibit 10.1 to the Company’s Current Report on Form 8-K filed on</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February 28, 2020. (SEC File No. 000-24206)</w:t>
        </w:r>
      </w:hyperlink>
    </w:p>
    <w:p>
      <w:pPr>
        <w:spacing w:after="0" w:line="182" w:lineRule="exact"/>
        <w:rPr>
          <w:rFonts w:ascii="Arial" w:cs="Arial" w:eastAsia="Arial" w:hAnsi="Arial"/>
          <w:sz w:val="18"/>
          <w:szCs w:val="18"/>
          <w:u w:val="single" w:color="auto"/>
          <w:color w:val="0000FF"/>
        </w:rPr>
      </w:pPr>
    </w:p>
    <w:p>
      <w:pPr>
        <w:ind w:right="120"/>
        <w:spacing w:after="0" w:line="248"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Executive Agreement, dated as of December 31, 2020 and effective as of December 31, 2020 by and between Penn National Gaming,</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Inc. and Felicia Hendrix is hereby incorporated by reference to Exhibit 10.2 to the Company’s Current Report on Form 8-K filed on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January 4, 2021.</w:t>
        </w:r>
      </w:hyperlink>
    </w:p>
    <w:p>
      <w:pPr>
        <w:spacing w:after="0" w:line="182" w:lineRule="exact"/>
        <w:rPr>
          <w:rFonts w:ascii="Arial" w:cs="Arial" w:eastAsia="Arial" w:hAnsi="Arial"/>
          <w:sz w:val="18"/>
          <w:szCs w:val="18"/>
          <w:u w:val="single" w:color="auto"/>
          <w:color w:val="0000FF"/>
        </w:rPr>
      </w:pPr>
    </w:p>
    <w:p>
      <w:pPr>
        <w:ind w:right="320"/>
        <w:spacing w:after="0" w:line="324" w:lineRule="auto"/>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Executive Agreement, dated January 22, 2020, between Penn National Gaming, Inc. and David Williams is hereby incorporated by</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reference to Exhibit 10.1 to the Company’s Current Report on Form 8-K filed on January 24, 2020. (SEC File No. 000-24206)</w:t>
        </w:r>
      </w:hyperlink>
    </w:p>
    <w:p>
      <w:pPr>
        <w:spacing w:after="0" w:line="124" w:lineRule="exact"/>
        <w:rPr>
          <w:sz w:val="20"/>
          <w:szCs w:val="20"/>
          <w:color w:val="auto"/>
        </w:rPr>
      </w:pPr>
    </w:p>
    <w:p>
      <w:pPr>
        <w:jc w:val="both"/>
        <w:ind w:right="80"/>
        <w:spacing w:after="0" w:line="248" w:lineRule="auto"/>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First Amendment to Executive Agreement, dated March 27, 2020, between Penn National Gaming, Inc. and David Williams is hereby</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incorporated by reference to Exhibit 10.2 to the Company’s Current Report on Form 8-K filed on March 30, 2020. (SEC File No. 000-</w:t>
        </w:r>
      </w:hyperlink>
      <w:hyperlink r:id="rId179">
        <w:r>
          <w:rPr>
            <w:rFonts w:ascii="Arial" w:cs="Arial" w:eastAsia="Arial" w:hAnsi="Arial"/>
            <w:sz w:val="18"/>
            <w:szCs w:val="18"/>
            <w:u w:val="single" w:color="auto"/>
            <w:color w:val="0000FF"/>
          </w:rPr>
          <w:t>24206)</w:t>
        </w:r>
      </w:hyperlink>
    </w:p>
    <w:p>
      <w:pPr>
        <w:spacing w:after="0" w:line="182" w:lineRule="exact"/>
        <w:rPr>
          <w:rFonts w:ascii="Arial" w:cs="Arial" w:eastAsia="Arial" w:hAnsi="Arial"/>
          <w:sz w:val="18"/>
          <w:szCs w:val="18"/>
          <w:u w:val="single" w:color="auto"/>
          <w:color w:val="0000FF"/>
        </w:rPr>
      </w:pPr>
    </w:p>
    <w:p>
      <w:pPr>
        <w:ind w:right="220"/>
        <w:spacing w:after="0" w:line="248"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Second Amendment to Executive Agreement, dated October 1, 2020, between Penn National Gaming, Inc. and David Williams is</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hereby incorporated by reference to Exhibit 10.2 to the Company’s Current Report on Form 8-K filed on October 2, 2020. (SEC File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No. 000-24206)</w:t>
        </w:r>
      </w:hyperlink>
    </w:p>
    <w:p>
      <w:pPr>
        <w:spacing w:after="0" w:line="182" w:lineRule="exact"/>
        <w:rPr>
          <w:rFonts w:ascii="Arial" w:cs="Arial" w:eastAsia="Arial" w:hAnsi="Arial"/>
          <w:sz w:val="18"/>
          <w:szCs w:val="18"/>
          <w:u w:val="single" w:color="auto"/>
          <w:color w:val="0000FF"/>
        </w:rPr>
      </w:pPr>
    </w:p>
    <w:p>
      <w:pPr>
        <w:ind w:right="180"/>
        <w:spacing w:after="0" w:line="248"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Separation Agreement and General Release, dated December 30, 2020, by and between Penn National Gaming, Inc. and Dave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Williams is hereby incorporated by reference to Exhibit 10.1 to the Company’s Current Report on Form 8-K filed on January 4, 2021</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(SEC File No. 000-24206)</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7" w:lineRule="exact"/>
        <w:rPr>
          <w:rFonts w:ascii="Arial" w:cs="Arial" w:eastAsia="Arial" w:hAnsi="Arial"/>
          <w:sz w:val="18"/>
          <w:szCs w:val="18"/>
          <w:u w:val="single" w:color="auto"/>
          <w:color w:val="0000FF"/>
        </w:rPr>
      </w:pPr>
    </w:p>
    <w:p>
      <w:pPr>
        <w:ind w:left="4140"/>
        <w:spacing w:after="0"/>
        <w:rPr>
          <w:sz w:val="20"/>
          <w:szCs w:val="20"/>
          <w:color w:val="auto"/>
        </w:rPr>
      </w:pPr>
      <w:r>
        <w:rPr>
          <w:rFonts w:ascii="Arial" w:cs="Arial" w:eastAsia="Arial" w:hAnsi="Arial"/>
          <w:sz w:val="18"/>
          <w:szCs w:val="18"/>
          <w:color w:val="auto"/>
        </w:rPr>
        <w:t>110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-857885</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160" w:space="200"/>
            <w:col w:w="9760"/>
          </w:cols>
          <w:pgMar w:left="320" w:top="125" w:right="4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00"/>
        </w:trPr>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3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FF"/>
                <w:w w:val="98"/>
              </w:rPr>
            </w:pPr>
            <w:hyperlink r:id="rId183">
              <w:r>
                <w:rPr>
                  <w:rFonts w:ascii="Arial" w:cs="Arial" w:eastAsia="Arial" w:hAnsi="Arial"/>
                  <w:sz w:val="18"/>
                  <w:szCs w:val="18"/>
                  <w:color w:val="0000FF"/>
                  <w:w w:val="98"/>
                </w:rPr>
                <w:t>Executive Agreement between Penn National Gaming, Inc. and William J. Fair entered into on September 24, 2019 is hereby</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2"/>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incorporated by reference to Exhibit 10.1 to the Company’s Current Report on Form 8-K filed on September 26, 2019. (SEC</w:t>
              </w:r>
            </w:hyperlink>
          </w:p>
        </w:tc>
        <w:tc>
          <w:tcPr>
            <w:tcW w:w="760" w:type="dxa"/>
            <w:vAlign w:val="bottom"/>
            <w:gridSpan w:val="4"/>
          </w:tcPr>
          <w:p>
            <w:pPr>
              <w:ind w:left="20"/>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File No.</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000-24206)</w:t>
              </w:r>
            </w:hyperlink>
          </w:p>
        </w:tc>
        <w:tc>
          <w:tcPr>
            <w:tcW w:w="8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10.8(a)†</w:t>
            </w:r>
          </w:p>
        </w:tc>
        <w:tc>
          <w:tcPr>
            <w:tcW w:w="2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First Amendment to Executive Agreement, dated January 23, 2020, between Penn National Gaming, Inc. and William J. Fair is hereby</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5"/>
          </w:tcPr>
          <w:p>
            <w:pPr>
              <w:spacing w:after="0" w:line="15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incorporated by reference to Exhibit 10.2 to the Company’s Current Report on Form 8-K filed on January 24, 2020. (SEC File No.</w:t>
              </w:r>
            </w:hyperlink>
          </w:p>
        </w:tc>
        <w:tc>
          <w:tcPr>
            <w:tcW w:w="6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84">
              <w:r>
                <w:rPr>
                  <w:rFonts w:ascii="Arial" w:cs="Arial" w:eastAsia="Arial" w:hAnsi="Arial"/>
                  <w:sz w:val="18"/>
                  <w:szCs w:val="18"/>
                  <w:color w:val="0000FF"/>
                  <w:w w:val="89"/>
                </w:rPr>
                <w:t>000-24206)</w:t>
              </w:r>
            </w:hyperlink>
          </w:p>
        </w:tc>
        <w:tc>
          <w:tcPr>
            <w:tcW w:w="8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188" w:lineRule="exact"/>
        <w:rPr>
          <w:sz w:val="20"/>
          <w:szCs w:val="20"/>
          <w:color w:val="auto"/>
        </w:rPr>
      </w:pPr>
    </w:p>
    <w:p>
      <w:pPr>
        <w:sectPr>
          <w:pgSz w:w="11900" w:h="16838" w:orient="portrait"/>
          <w:cols w:equalWidth="0" w:num="1">
            <w:col w:w="11120"/>
          </w:cols>
          <w:pgMar w:left="320" w:top="125" w:right="459" w:bottom="1440" w:gutter="0" w:footer="0" w:header="0"/>
        </w:sectPr>
      </w:pPr>
    </w:p>
    <w:p>
      <w:pPr>
        <w:ind w:left="560"/>
        <w:spacing w:after="0"/>
        <w:rPr>
          <w:sz w:val="20"/>
          <w:szCs w:val="20"/>
          <w:color w:val="auto"/>
        </w:rPr>
      </w:pPr>
      <w:r>
        <w:rPr>
          <w:rFonts w:ascii="Arial" w:cs="Arial" w:eastAsia="Arial" w:hAnsi="Arial"/>
          <w:sz w:val="16"/>
          <w:szCs w:val="16"/>
          <w:color w:val="auto"/>
        </w:rPr>
        <w:t>10.8(b)†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10.10*†</w:t>
      </w:r>
    </w:p>
    <w:p>
      <w:pPr>
        <w:spacing w:after="0" w:line="235" w:lineRule="exact"/>
        <w:rPr>
          <w:sz w:val="20"/>
          <w:szCs w:val="20"/>
          <w:color w:val="auto"/>
        </w:rPr>
      </w:pPr>
    </w:p>
    <w:p>
      <w:pPr>
        <w:ind w:left="680"/>
        <w:spacing w:after="0"/>
        <w:rPr>
          <w:sz w:val="20"/>
          <w:szCs w:val="20"/>
          <w:color w:val="auto"/>
        </w:rPr>
      </w:pPr>
      <w:r>
        <w:rPr>
          <w:rFonts w:ascii="Arial" w:cs="Arial" w:eastAsia="Arial" w:hAnsi="Arial"/>
          <w:sz w:val="15"/>
          <w:szCs w:val="15"/>
          <w:color w:val="auto"/>
        </w:rPr>
        <w:t>10.11†</w:t>
      </w:r>
    </w:p>
    <w:p>
      <w:pPr>
        <w:spacing w:after="0" w:line="20" w:lineRule="exact"/>
        <w:rPr>
          <w:sz w:val="20"/>
          <w:szCs w:val="20"/>
          <w:color w:val="auto"/>
        </w:rPr>
      </w:pPr>
      <w:r>
        <w:rPr>
          <w:sz w:val="20"/>
          <w:szCs w:val="20"/>
          <w:color w:val="auto"/>
        </w:rPr>
        <w:br w:type="column"/>
      </w:r>
    </w:p>
    <w:p>
      <w:pPr>
        <w:jc w:val="both"/>
        <w:ind w:right="160"/>
        <w:spacing w:after="0" w:line="248"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Separation Agreement and General Release, dated April 10, 2020 between Penn National Gaming, Inc. and William J. Fair is hereby</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to Exhibit 10.7 to the Company’s Quarterly Report on Form 10-Q for the quarterly period ended March 31,</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2020. (SEC File No. 000-24206)</w:t>
        </w:r>
      </w:hyperlink>
    </w:p>
    <w:p>
      <w:pPr>
        <w:spacing w:after="0" w:line="182" w:lineRule="exact"/>
        <w:rPr>
          <w:rFonts w:ascii="Arial" w:cs="Arial" w:eastAsia="Arial" w:hAnsi="Arial"/>
          <w:sz w:val="18"/>
          <w:szCs w:val="18"/>
          <w:u w:val="single" w:color="auto"/>
          <w:color w:val="0000FF"/>
        </w:rPr>
      </w:pPr>
    </w:p>
    <w:p>
      <w:pPr>
        <w:ind w:right="260"/>
        <w:spacing w:after="0" w:line="261" w:lineRule="auto"/>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Executive Agreement, dated as of December 30, 2019 and effective as of January 1, 2020, by Penn National Gaming, Inc. and Todd</w:t>
        </w:r>
      </w:hyperlink>
      <w:r>
        <w:rPr>
          <w:rFonts w:ascii="Arial" w:cs="Arial" w:eastAsia="Arial" w:hAnsi="Arial"/>
          <w:sz w:val="18"/>
          <w:szCs w:val="18"/>
          <w:u w:val="single" w:color="auto"/>
          <w:color w:val="0000FF"/>
        </w:rPr>
        <w:t xml:space="preserve"> </w:t>
      </w:r>
      <w:hyperlink w:anchor="page161">
        <w:r>
          <w:rPr>
            <w:rFonts w:ascii="Arial" w:cs="Arial" w:eastAsia="Arial" w:hAnsi="Arial"/>
            <w:sz w:val="18"/>
            <w:szCs w:val="18"/>
            <w:u w:val="single" w:color="auto"/>
            <w:color w:val="0000FF"/>
          </w:rPr>
          <w:t>George.</w:t>
        </w:r>
      </w:hyperlink>
    </w:p>
    <w:p>
      <w:pPr>
        <w:spacing w:after="0" w:line="171" w:lineRule="exact"/>
        <w:rPr>
          <w:sz w:val="20"/>
          <w:szCs w:val="20"/>
          <w:color w:val="auto"/>
        </w:rPr>
      </w:pPr>
    </w:p>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Executive Agreement, dated November 17, 2020, between Penn National Gaming, Inc. and Harper Ko.</w:t>
        </w:r>
      </w:hyperlink>
    </w:p>
    <w:p>
      <w:pPr>
        <w:spacing w:after="0" w:line="198" w:lineRule="exact"/>
        <w:rPr>
          <w:sz w:val="20"/>
          <w:szCs w:val="20"/>
          <w:color w:val="auto"/>
        </w:rPr>
      </w:pPr>
    </w:p>
    <w:p>
      <w:pPr>
        <w:ind w:right="240"/>
        <w:spacing w:after="0" w:line="224"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Executive Agreement, dated as of December 10, 2018 and effective as of December 13, 2018, by and between Penn National</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Gaming, Inc. and Carl Sottosanti is hereby incorporated by reference to Exhibit 10.1 to the Company’s Current Report on Form 8-K</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filed on December 13, 2018. (SEC File No. 000-24206)</w:t>
        </w:r>
      </w:hyperlink>
    </w:p>
    <w:p>
      <w:pPr>
        <w:spacing w:after="0" w:line="163" w:lineRule="exact"/>
        <w:rPr>
          <w:rFonts w:ascii="Arial" w:cs="Arial" w:eastAsia="Arial" w:hAnsi="Arial"/>
          <w:sz w:val="18"/>
          <w:szCs w:val="18"/>
          <w:u w:val="single" w:color="auto"/>
          <w:color w:val="0000FF"/>
        </w:rPr>
      </w:pPr>
    </w:p>
    <w:p>
      <w:pPr>
        <w:sectPr>
          <w:pgSz w:w="11900" w:h="16838" w:orient="portrait"/>
          <w:cols w:equalWidth="0" w:num="2">
            <w:col w:w="1160" w:space="200"/>
            <w:col w:w="9760"/>
          </w:cols>
          <w:pgMar w:left="320" w:top="125" w:right="45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10.11(a)†</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460"/>
        <w:spacing w:after="0"/>
        <w:rPr>
          <w:sz w:val="20"/>
          <w:szCs w:val="20"/>
          <w:color w:val="auto"/>
        </w:rPr>
      </w:pPr>
      <w:r>
        <w:rPr>
          <w:rFonts w:ascii="Arial" w:cs="Arial" w:eastAsia="Arial" w:hAnsi="Arial"/>
          <w:sz w:val="16"/>
          <w:szCs w:val="16"/>
          <w:color w:val="auto"/>
        </w:rPr>
        <w:t>10.11(b)†</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480"/>
        <w:spacing w:after="0"/>
        <w:rPr>
          <w:sz w:val="20"/>
          <w:szCs w:val="20"/>
          <w:color w:val="auto"/>
        </w:rPr>
      </w:pPr>
      <w:r>
        <w:rPr>
          <w:rFonts w:ascii="Arial" w:cs="Arial" w:eastAsia="Arial" w:hAnsi="Arial"/>
          <w:sz w:val="16"/>
          <w:szCs w:val="16"/>
          <w:color w:val="auto"/>
        </w:rPr>
        <w:t>10.11(c)†</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10.12†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80"/>
        <w:spacing w:after="0" w:line="248"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First Amendment to Executive Agreement, dated March 27, 2020, between Penn National Gaming, Inc. and Carl Sottosanti is hereby</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incorporated by reference to Exhibit 10.3 to the Company’s Current Report on Form 8-K filed on March 30, 2020. (SEC File No. 000-</w:t>
        </w:r>
      </w:hyperlink>
      <w:hyperlink r:id="rId187">
        <w:r>
          <w:rPr>
            <w:rFonts w:ascii="Arial" w:cs="Arial" w:eastAsia="Arial" w:hAnsi="Arial"/>
            <w:sz w:val="18"/>
            <w:szCs w:val="18"/>
            <w:u w:val="single" w:color="auto"/>
            <w:color w:val="0000FF"/>
          </w:rPr>
          <w:t>24206)</w:t>
        </w:r>
      </w:hyperlink>
    </w:p>
    <w:p>
      <w:pPr>
        <w:spacing w:after="0" w:line="182" w:lineRule="exact"/>
        <w:rPr>
          <w:rFonts w:ascii="Arial" w:cs="Arial" w:eastAsia="Arial" w:hAnsi="Arial"/>
          <w:sz w:val="18"/>
          <w:szCs w:val="18"/>
          <w:u w:val="single" w:color="auto"/>
          <w:color w:val="0000FF"/>
        </w:rPr>
      </w:pPr>
    </w:p>
    <w:p>
      <w:pPr>
        <w:ind w:right="220"/>
        <w:spacing w:after="0" w:line="248"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Second Amendment to Executive Agreement, dated October 1, 2020, between Penn National Gaming, Inc. and Carl Sottosanti is</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hereby incorporated by reference to Exhibit 10.3 to the Company’s Current Report on Form 8-K filed on October 2, 2020. (SEC File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No. 000-24206)</w:t>
        </w:r>
      </w:hyperlink>
    </w:p>
    <w:p>
      <w:pPr>
        <w:spacing w:after="0" w:line="182" w:lineRule="exact"/>
        <w:rPr>
          <w:rFonts w:ascii="Arial" w:cs="Arial" w:eastAsia="Arial" w:hAnsi="Arial"/>
          <w:sz w:val="18"/>
          <w:szCs w:val="18"/>
          <w:u w:val="single" w:color="auto"/>
          <w:color w:val="0000FF"/>
        </w:rPr>
      </w:pPr>
    </w:p>
    <w:p>
      <w:pPr>
        <w:ind w:right="280"/>
        <w:spacing w:after="0" w:line="248"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Retirement and Transition Agreement and General Release, dated November 17, 2020, by and between Penn National Gaming, Inc.</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and Carl Sottosanti is hereby incorporated by reference to Exhibit 10.1 to the Company’s Current Report on Form 8-K filed on</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November 20, 2020. (SEC File No. 000-24206)</w:t>
        </w:r>
      </w:hyperlink>
    </w:p>
    <w:p>
      <w:pPr>
        <w:spacing w:after="0" w:line="168" w:lineRule="exact"/>
        <w:rPr>
          <w:rFonts w:ascii="Arial" w:cs="Arial" w:eastAsia="Arial" w:hAnsi="Arial"/>
          <w:sz w:val="18"/>
          <w:szCs w:val="18"/>
          <w:u w:val="single" w:color="auto"/>
          <w:color w:val="0000FF"/>
        </w:rPr>
      </w:pPr>
    </w:p>
    <w:p>
      <w:pPr>
        <w:jc w:val="both"/>
        <w:ind w:right="100"/>
        <w:spacing w:after="0" w:line="224"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Executive Agreement, dated as of January 29, 2019 and effective as of October 15, 2018, by and between Penn National Gaming, Inc.</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and Christine LaBombard is hereby incorporated by reference to Exhibit 10.1 to the Company’s Current Report on Form 8-K filed on</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January 31, 2019. (SEC File No. 000-24206)</w:t>
        </w:r>
      </w:hyperlink>
    </w:p>
    <w:p>
      <w:pPr>
        <w:spacing w:after="0" w:line="163" w:lineRule="exact"/>
        <w:rPr>
          <w:rFonts w:ascii="Arial" w:cs="Arial" w:eastAsia="Arial" w:hAnsi="Arial"/>
          <w:sz w:val="18"/>
          <w:szCs w:val="18"/>
          <w:u w:val="single" w:color="auto"/>
          <w:color w:val="0000FF"/>
        </w:rPr>
      </w:pPr>
    </w:p>
    <w:p>
      <w:pPr>
        <w:sectPr>
          <w:pgSz w:w="11900" w:h="16838" w:orient="portrait"/>
          <w:cols w:equalWidth="0" w:num="2">
            <w:col w:w="1160" w:space="200"/>
            <w:col w:w="9760"/>
          </w:cols>
          <w:pgMar w:left="320" w:top="125" w:right="459" w:bottom="1440" w:gutter="0" w:footer="0" w:header="0"/>
          <w:type w:val="continuous"/>
        </w:sectPr>
      </w:pPr>
    </w:p>
    <w:p>
      <w:pPr>
        <w:ind w:left="1360" w:right="100" w:hanging="656"/>
        <w:spacing w:after="0" w:line="232" w:lineRule="auto"/>
        <w:tabs>
          <w:tab w:leader="none" w:pos="134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191">
        <w:r>
          <w:rPr>
            <w:rFonts w:ascii="Arial" w:cs="Arial" w:eastAsia="Arial" w:hAnsi="Arial"/>
            <w:sz w:val="17"/>
            <w:szCs w:val="17"/>
            <w:u w:val="single" w:color="auto"/>
            <w:color w:val="0000FF"/>
          </w:rPr>
          <w:t>Lease Agreement, dated March 31, 1995 between Wyomissing Professional Center III, LP and Penn National Gaming, Inc., as</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amended by certain amendments dated April 15, 1997, October 30, 1997, April 23, 1998, November 16, 1999, August 21, 2000, April</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5, 2005, November 20, 2007, and May 25, 2012, respectively is hereby incorporated by reference to Exhibit 10.10 to the Company’s</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Annual Report on Form 10-K for the year ended December 31, 2019. (SEC File No. 000-24206)</w:t>
        </w:r>
      </w:hyperlink>
    </w:p>
    <w:p>
      <w:pPr>
        <w:spacing w:after="0" w:line="162" w:lineRule="exact"/>
        <w:rPr>
          <w:rFonts w:ascii="Arial" w:cs="Arial" w:eastAsia="Arial" w:hAnsi="Arial"/>
          <w:sz w:val="17"/>
          <w:szCs w:val="17"/>
          <w:u w:val="single" w:color="auto"/>
          <w:color w:val="0000FF"/>
        </w:rPr>
      </w:pPr>
    </w:p>
    <w:p>
      <w:pPr>
        <w:ind w:left="1360" w:right="100" w:hanging="656"/>
        <w:spacing w:after="0" w:line="219"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92">
        <w:r>
          <w:rPr>
            <w:rFonts w:ascii="Arial" w:cs="Arial" w:eastAsia="Arial" w:hAnsi="Arial"/>
            <w:sz w:val="18"/>
            <w:szCs w:val="18"/>
            <w:u w:val="single" w:color="auto"/>
            <w:color w:val="0000FF"/>
          </w:rPr>
          <w:t>Lease dated January 30, 2002 between Wyomissing Professional Center II, LP and Penn National Gaming, Inc. as amended by certain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amendments dated May 23, 2002, December 4, 2002, January 29, 2003, October 19, 2010, May 25, 2012, and September 1, 2017,</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respectively, is hereby incorporated by reference to Exhibit 10.11 to the Company’s Annual Report on Form 10-K for the year ended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December 31, 2019. (SEC File No. 000-24206)</w:t>
        </w:r>
      </w:hyperlink>
    </w:p>
    <w:p>
      <w:pPr>
        <w:spacing w:after="0" w:line="163" w:lineRule="exact"/>
        <w:rPr>
          <w:rFonts w:ascii="Arial" w:cs="Arial" w:eastAsia="Arial" w:hAnsi="Arial"/>
          <w:sz w:val="18"/>
          <w:szCs w:val="18"/>
          <w:u w:val="single" w:color="auto"/>
          <w:color w:val="0000FF"/>
        </w:rPr>
      </w:pPr>
    </w:p>
    <w:p>
      <w:pPr>
        <w:jc w:val="both"/>
        <w:ind w:left="1360" w:right="160" w:hanging="656"/>
        <w:spacing w:after="0" w:line="259"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93">
        <w:r>
          <w:rPr>
            <w:rFonts w:ascii="Arial" w:cs="Arial" w:eastAsia="Arial" w:hAnsi="Arial"/>
            <w:sz w:val="16"/>
            <w:szCs w:val="16"/>
            <w:u w:val="single" w:color="auto"/>
            <w:color w:val="0000FF"/>
          </w:rPr>
          <w:t>Amended and Restated Lease dated April 5, 2005 between Wyomissing Professional Center, Inc. and Penn National Gaming, Inc. as</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amended by certain amendments dated April 20, 2006 and May 25, 2012, respectively, is hereby incorporated by reference to Exhibit</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10.12 to the Company’s Annual Report on Form 10-K for the year ended December 31, 2019. (SEC File No. 000-24206)</w:t>
        </w:r>
      </w:hyperlink>
    </w:p>
    <w:p>
      <w:pPr>
        <w:spacing w:after="0" w:line="147" w:lineRule="exact"/>
        <w:rPr>
          <w:rFonts w:ascii="Arial" w:cs="Arial" w:eastAsia="Arial" w:hAnsi="Arial"/>
          <w:sz w:val="16"/>
          <w:szCs w:val="16"/>
          <w:u w:val="single" w:color="auto"/>
          <w:color w:val="0000FF"/>
        </w:rPr>
      </w:pPr>
    </w:p>
    <w:p>
      <w:pPr>
        <w:ind w:left="1360" w:right="80" w:hanging="782"/>
        <w:spacing w:after="0" w:line="289" w:lineRule="auto"/>
        <w:tabs>
          <w:tab w:leader="none" w:pos="134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94">
        <w:r>
          <w:rPr>
            <w:rFonts w:ascii="Arial" w:cs="Arial" w:eastAsia="Arial" w:hAnsi="Arial"/>
            <w:sz w:val="16"/>
            <w:szCs w:val="16"/>
            <w:u w:val="single" w:color="auto"/>
            <w:color w:val="0000FF"/>
          </w:rPr>
          <w:t>Master Lease between GLP Capital L.P. and Penn Tenant LLC dated November 1, 2013 (“Penn Master Lease”) is hereby incorporated</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by reference to Exhibit 10.1 to the Company’s Current Report on Form 8-K, filed on November 7, 2013. (SEC File No. 000-24206)</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900"/>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9880" w:type="dxa"/>
            <w:vAlign w:val="bottom"/>
            <w:gridSpan w:val="33"/>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2"/>
        </w:trPr>
        <w:tc>
          <w:tcPr>
            <w:tcW w:w="11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10.16(a)</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32"/>
          </w:tcPr>
          <w:p>
            <w:pPr>
              <w:spacing w:after="0" w:line="182"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First Amendment to the Penn Master Lease is hereby incorporated by reference to Exhibit 10.2 to the Company’s Quarterly Report on</w:t>
              </w:r>
            </w:hyperlink>
          </w:p>
        </w:tc>
        <w:tc>
          <w:tcPr>
            <w:tcW w:w="80" w:type="dxa"/>
            <w:vAlign w:val="bottom"/>
          </w:tcPr>
          <w:p>
            <w:pPr>
              <w:spacing w:after="0"/>
              <w:rPr>
                <w:sz w:val="15"/>
                <w:szCs w:val="15"/>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Form 10-Q for the quarterly period ended March 31, 2014.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10.16(b)</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197">
              <w:r>
                <w:rPr>
                  <w:rFonts w:ascii="Arial" w:cs="Arial" w:eastAsia="Arial" w:hAnsi="Arial"/>
                  <w:sz w:val="18"/>
                  <w:szCs w:val="18"/>
                  <w:color w:val="0000FF"/>
                  <w:w w:val="92"/>
                </w:rPr>
                <w:t>Second Amendment to the Penn Master Lease is hereby incorporated by reference to Exhibit 10.4 to the Company’s Quarterly Report</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on Form 10-Q for the quarterly period ended June 30, 2014. (SEC File No. 000-24206)</w:t>
              </w:r>
            </w:hyperlink>
          </w:p>
        </w:tc>
        <w:tc>
          <w:tcPr>
            <w:tcW w:w="338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10.16(c)</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Third Amendment to the Penn Master Lease is hereby incorporated by reference to Exhibit 10.4 to the Company’s Quarterly Report on</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Form 10-Q for the quarterly period ended September 30, 2016. (SEC File No. 000-24206)</w:t>
              </w:r>
            </w:hyperlink>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10.16(d)</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3"/>
              </w:rPr>
            </w:pPr>
            <w:hyperlink r:id="rId199">
              <w:r>
                <w:rPr>
                  <w:rFonts w:ascii="Arial" w:cs="Arial" w:eastAsia="Arial" w:hAnsi="Arial"/>
                  <w:sz w:val="18"/>
                  <w:szCs w:val="18"/>
                  <w:color w:val="0000FF"/>
                  <w:w w:val="93"/>
                </w:rPr>
                <w:t>Fourth Amendment to the Penn Master Lease is hereby incorporated by reference to Exhibit 10.6 to the Company’s Quarterly Report</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on Form 10-Q for the quarterly period ended March 31, 2017. (SEC File No. 000-24206)</w:t>
              </w:r>
            </w:hyperlink>
          </w:p>
        </w:tc>
        <w:tc>
          <w:tcPr>
            <w:tcW w:w="31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10.16(e)</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Fifth Amendment to the Penn Master Lease is hereby incorporated by reference to Exhibit 10.3 to the Company’s Quarterly Report on</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Form 10-Q for the quarterly period ended June 30, 2018.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10.16(f)</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3"/>
              </w:rPr>
            </w:pPr>
            <w:hyperlink r:id="rId201">
              <w:r>
                <w:rPr>
                  <w:rFonts w:ascii="Arial" w:cs="Arial" w:eastAsia="Arial" w:hAnsi="Arial"/>
                  <w:sz w:val="18"/>
                  <w:szCs w:val="18"/>
                  <w:color w:val="0000FF"/>
                  <w:w w:val="93"/>
                </w:rPr>
                <w:t>Sixth Amendment to the Penn Master Lease is hereby incorporated by reference to Exhibit 10.16 to the Company’s Quarterly Report</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on Form 10-Q for the quarterly period ended on September 30, 2018. (SEC File No. 000-24206)</w:t>
              </w:r>
            </w:hyperlink>
          </w:p>
        </w:tc>
        <w:tc>
          <w:tcPr>
            <w:tcW w:w="266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10.16(g)</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6"/>
              </w:rPr>
            </w:pPr>
            <w:hyperlink r:id="rId202">
              <w:r>
                <w:rPr>
                  <w:rFonts w:ascii="Arial" w:cs="Arial" w:eastAsia="Arial" w:hAnsi="Arial"/>
                  <w:sz w:val="18"/>
                  <w:szCs w:val="18"/>
                  <w:color w:val="0000FF"/>
                  <w:w w:val="96"/>
                </w:rPr>
                <w:t>Seventh Amendment to the Penn Master Lease is hereby incorporated by reference to Exhibit 10.17 to the Company’s Quarterly</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Report on Form 10-Q for the quarterly period ended on September 30, 2018. (SEC File No. 000-24206)</w:t>
              </w:r>
            </w:hyperlink>
          </w:p>
        </w:tc>
        <w:tc>
          <w:tcPr>
            <w:tcW w:w="17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10.16(h)</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203">
              <w:r>
                <w:rPr>
                  <w:rFonts w:ascii="Arial" w:cs="Arial" w:eastAsia="Arial" w:hAnsi="Arial"/>
                  <w:sz w:val="18"/>
                  <w:szCs w:val="18"/>
                  <w:color w:val="0000FF"/>
                  <w:w w:val="92"/>
                </w:rPr>
                <w:t>Eighth Amendment to the Penn Master Lease is hereby incorporated by reference to Exhibit 10.28(h) to the Company’s Annual Report</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on Form 10-K for the fiscal year ended December 31, 2018. (SEC File No. 000-24206)</w:t>
              </w:r>
            </w:hyperlink>
          </w:p>
        </w:tc>
        <w:tc>
          <w:tcPr>
            <w:tcW w:w="3480" w:type="dxa"/>
            <w:vAlign w:val="bottom"/>
            <w:tcBorders>
              <w:top w:val="single" w:sz="8" w:color="0000FF"/>
            </w:tcBorders>
            <w:gridSpan w:val="23"/>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204">
              <w:r>
                <w:rPr>
                  <w:rFonts w:ascii="Arial" w:cs="Arial" w:eastAsia="Arial" w:hAnsi="Arial"/>
                  <w:sz w:val="18"/>
                  <w:szCs w:val="18"/>
                  <w:color w:val="0000FF"/>
                  <w:w w:val="92"/>
                </w:rPr>
                <w:t>Master Lease, dated April 28, 2016, by and between PNK Entertainment, Inc. and Pinnacle Entertainment, Inc. (“PNK Master Lease”)</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204">
              <w:r>
                <w:rPr>
                  <w:rFonts w:ascii="Arial" w:cs="Arial" w:eastAsia="Arial" w:hAnsi="Arial"/>
                  <w:sz w:val="18"/>
                  <w:szCs w:val="18"/>
                  <w:color w:val="0000FF"/>
                  <w:w w:val="95"/>
                </w:rPr>
                <w:t>is hereby incorporated by reference to Exhibit 2.2 to Pinnacle Entertainment, Inc.’s Current Report on Form 8-K filed on April 28,</w:t>
              </w:r>
            </w:hyperlink>
          </w:p>
        </w:tc>
        <w:tc>
          <w:tcPr>
            <w:tcW w:w="140" w:type="dxa"/>
            <w:vAlign w:val="bottom"/>
            <w:gridSpan w:val="4"/>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2016. (SEC File No. 001-37666)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10.17(a)</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4"/>
              </w:rPr>
            </w:pPr>
            <w:hyperlink r:id="rId205">
              <w:r>
                <w:rPr>
                  <w:rFonts w:ascii="Arial" w:cs="Arial" w:eastAsia="Arial" w:hAnsi="Arial"/>
                  <w:sz w:val="18"/>
                  <w:szCs w:val="18"/>
                  <w:color w:val="0000FF"/>
                  <w:w w:val="94"/>
                </w:rPr>
                <w:t>First Amendment to PNK Master Lease, dated August 29, 2016, by and between Pinnacle MLS, LLC and Gold Merger Sub, LLC is</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hereby incorporated by reference to Exhibit 2.3 to Pinnacle Entertainment, Inc.’s Quarterly Report on Form 10-Q for the quarterly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period ended September 30, 2016. (SEC File No. 001-37666)</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10.17(b)</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3"/>
              </w:rPr>
            </w:pPr>
            <w:hyperlink r:id="rId206">
              <w:r>
                <w:rPr>
                  <w:rFonts w:ascii="Arial" w:cs="Arial" w:eastAsia="Arial" w:hAnsi="Arial"/>
                  <w:sz w:val="18"/>
                  <w:szCs w:val="18"/>
                  <w:color w:val="0000FF"/>
                  <w:w w:val="93"/>
                </w:rPr>
                <w:t>Second Amendment to PNK Master Lease, dated October 25, 2016, by and between Pinnacle MLS, LLC and Gold Merger Sub, LLC</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is hereby incorporated by reference to Exhibit 2.4 to Pinnacle Entertainment, Inc.’s Quarterly Report on Form 10-Q for the quarterly</w:t>
              </w:r>
            </w:hyperlink>
          </w:p>
        </w:tc>
        <w:tc>
          <w:tcPr>
            <w:tcW w:w="2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period ended September 30, 2016. (SEC File No. 001-37666)</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10.17(c)</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4"/>
              </w:rPr>
            </w:pPr>
            <w:hyperlink r:id="rId207">
              <w:r>
                <w:rPr>
                  <w:rFonts w:ascii="Arial" w:cs="Arial" w:eastAsia="Arial" w:hAnsi="Arial"/>
                  <w:sz w:val="18"/>
                  <w:szCs w:val="18"/>
                  <w:color w:val="0000FF"/>
                  <w:w w:val="94"/>
                </w:rPr>
                <w:t>Third Amendment to PNK Master Lease, dated March 24, 2017, by and between Pinnacle MLS, LLC and Gold Merger Sub, LLC is</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hereby incorporated by reference to Exhibit 10.1 to Pinnacle Entertainment, Inc.’s Quarterly Report on Form 10-Q for the quarterly</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period ended March 31, 2017. (SEC File No. 001-37666)</w:t>
              </w:r>
            </w:hyperlink>
          </w:p>
        </w:tc>
        <w:tc>
          <w:tcPr>
            <w:tcW w:w="12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10.17(d)††</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3"/>
              </w:rPr>
            </w:pPr>
            <w:hyperlink r:id="rId208">
              <w:r>
                <w:rPr>
                  <w:rFonts w:ascii="Arial" w:cs="Arial" w:eastAsia="Arial" w:hAnsi="Arial"/>
                  <w:sz w:val="18"/>
                  <w:szCs w:val="18"/>
                  <w:color w:val="0000FF"/>
                  <w:w w:val="93"/>
                </w:rPr>
                <w:t>Fourth Amendment to PNK Master Lease, dated as of October 15, 2018, by and between Pinnacle MLS, LLC and Gold Merger Sub,</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208">
              <w:r>
                <w:rPr>
                  <w:rFonts w:ascii="Arial" w:cs="Arial" w:eastAsia="Arial" w:hAnsi="Arial"/>
                  <w:sz w:val="18"/>
                  <w:szCs w:val="18"/>
                  <w:color w:val="0000FF"/>
                  <w:w w:val="93"/>
                </w:rPr>
                <w:t>LLC is hereby incorporated by reference to Exhibit 10.6 to the Company’s Current Report on Form 8-K filed on October 15, 2018.</w:t>
              </w:r>
            </w:hyperlink>
          </w:p>
        </w:tc>
        <w:tc>
          <w:tcPr>
            <w:tcW w:w="80" w:type="dxa"/>
            <w:vAlign w:val="bottom"/>
            <w:gridSpan w:val="4"/>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(SEC File No. 000-24206)</w:t>
              </w:r>
            </w:hyperlink>
          </w:p>
        </w:tc>
        <w:tc>
          <w:tcPr>
            <w:tcW w:w="7500" w:type="dxa"/>
            <w:vAlign w:val="bottom"/>
            <w:tcBorders>
              <w:top w:val="single" w:sz="8" w:color="0000FF"/>
            </w:tcBorders>
            <w:gridSpan w:val="15"/>
          </w:tcPr>
          <w:p>
            <w:pPr>
              <w:spacing w:after="0"/>
              <w:rPr>
                <w:sz w:val="13"/>
                <w:szCs w:val="13"/>
                <w:color w:val="auto"/>
              </w:rPr>
            </w:pPr>
          </w:p>
        </w:tc>
        <w:tc>
          <w:tcPr>
            <w:tcW w:w="240" w:type="dxa"/>
            <w:vAlign w:val="bottom"/>
            <w:gridSpan w:val="9"/>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2"/>
              </w:rPr>
            </w:pPr>
            <w:hyperlink r:id="rId209">
              <w:r>
                <w:rPr>
                  <w:rFonts w:ascii="Arial" w:cs="Arial" w:eastAsia="Arial" w:hAnsi="Arial"/>
                  <w:sz w:val="18"/>
                  <w:szCs w:val="18"/>
                  <w:color w:val="0000FF"/>
                  <w:w w:val="92"/>
                </w:rPr>
                <w:t>Guarantee of PNK Master Lease, dated as of October 15, 2018, by Penn National Gaming, Inc. is hereby incorporated by reference to</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tcBorders>
              <w:top w:val="single" w:sz="8" w:color="0000FF"/>
            </w:tcBorders>
            <w:gridSpan w:val="25"/>
          </w:tcPr>
          <w:p>
            <w:pPr>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Exhibit 10.7 to the Company’s Current Report on Form 8-K filed on October 15, 2018. (SEC File No. 000-24206)</w:t>
              </w:r>
            </w:hyperlink>
          </w:p>
        </w:tc>
        <w:tc>
          <w:tcPr>
            <w:tcW w:w="220" w:type="dxa"/>
            <w:vAlign w:val="bottom"/>
            <w:gridSpan w:val="8"/>
          </w:tcPr>
          <w:p>
            <w:pPr>
              <w:spacing w:after="0"/>
              <w:rPr>
                <w:sz w:val="19"/>
                <w:szCs w:val="19"/>
                <w:color w:val="auto"/>
              </w:rPr>
            </w:pPr>
          </w:p>
        </w:tc>
      </w:tr>
      <w:tr>
        <w:trPr>
          <w:trHeight w:val="323"/>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4"/>
                <w:szCs w:val="24"/>
                <w:color w:val="auto"/>
              </w:rPr>
            </w:pPr>
          </w:p>
        </w:tc>
        <w:tc>
          <w:tcPr>
            <w:tcW w:w="9880" w:type="dxa"/>
            <w:vAlign w:val="bottom"/>
            <w:gridSpan w:val="33"/>
          </w:tcPr>
          <w:p>
            <w:pPr>
              <w:spacing w:after="0"/>
              <w:rPr>
                <w:rFonts w:ascii="Arial" w:cs="Arial" w:eastAsia="Arial" w:hAnsi="Arial"/>
                <w:sz w:val="18"/>
                <w:szCs w:val="18"/>
                <w:color w:val="0000FF"/>
                <w:w w:val="96"/>
              </w:rPr>
            </w:pPr>
            <w:hyperlink r:id="rId210">
              <w:r>
                <w:rPr>
                  <w:rFonts w:ascii="Arial" w:cs="Arial" w:eastAsia="Arial" w:hAnsi="Arial"/>
                  <w:sz w:val="18"/>
                  <w:szCs w:val="18"/>
                  <w:color w:val="0000FF"/>
                  <w:w w:val="96"/>
                </w:rPr>
                <w:t>Lease, dated as of April 16, 2020, by and between Tropicana Land LLC and Tropicana Las Vegas, Inc. is hereby incorporated by</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80" w:type="dxa"/>
            <w:vAlign w:val="bottom"/>
            <w:tcBorders>
              <w:top w:val="single" w:sz="8" w:color="0000FF"/>
            </w:tcBorders>
            <w:gridSpan w:val="13"/>
          </w:tcPr>
          <w:p>
            <w:pPr>
              <w:spacing w:after="0"/>
              <w:rPr>
                <w:rFonts w:ascii="Arial" w:cs="Arial" w:eastAsia="Arial" w:hAnsi="Arial"/>
                <w:sz w:val="18"/>
                <w:szCs w:val="18"/>
                <w:u w:val="single" w:color="auto"/>
                <w:color w:val="0000FF"/>
                <w:w w:val="96"/>
              </w:rPr>
            </w:pPr>
            <w:hyperlink r:id="rId210">
              <w:r>
                <w:rPr>
                  <w:rFonts w:ascii="Arial" w:cs="Arial" w:eastAsia="Arial" w:hAnsi="Arial"/>
                  <w:sz w:val="18"/>
                  <w:szCs w:val="18"/>
                  <w:u w:val="single" w:color="auto"/>
                  <w:color w:val="0000FF"/>
                  <w:w w:val="96"/>
                </w:rPr>
                <w:t>reference to Exhibit 2.2 to the Company’s Current Report on Form 8-K filed on April 20, 2020. (SEC File No. 000-24206)</w:t>
              </w:r>
            </w:hyperlink>
          </w:p>
        </w:tc>
        <w:tc>
          <w:tcPr>
            <w:tcW w:w="600" w:type="dxa"/>
            <w:vAlign w:val="bottom"/>
            <w:gridSpan w:val="20"/>
          </w:tcPr>
          <w:p>
            <w:pPr>
              <w:spacing w:after="0"/>
              <w:rPr>
                <w:sz w:val="19"/>
                <w:szCs w:val="19"/>
                <w:color w:val="auto"/>
              </w:rPr>
            </w:pPr>
          </w:p>
        </w:tc>
      </w:tr>
      <w:tr>
        <w:trPr>
          <w:trHeight w:val="823"/>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5"/>
          </w:tcPr>
          <w:p>
            <w:pPr>
              <w:jc w:val="right"/>
              <w:ind w:right="20"/>
              <w:spacing w:after="0"/>
              <w:rPr>
                <w:sz w:val="20"/>
                <w:szCs w:val="20"/>
                <w:color w:val="auto"/>
              </w:rPr>
            </w:pPr>
            <w:r>
              <w:rPr>
                <w:rFonts w:ascii="Arial" w:cs="Arial" w:eastAsia="Arial" w:hAnsi="Arial"/>
                <w:sz w:val="18"/>
                <w:szCs w:val="18"/>
                <w:color w:val="auto"/>
              </w:rPr>
              <w:t>112</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900"/>
        </w:trPr>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0" w:type="dxa"/>
            <w:vAlign w:val="bottom"/>
            <w:tcBorders>
              <w:bottom w:val="single" w:sz="8" w:color="auto"/>
            </w:tcBorders>
            <w:gridSpan w:val="35"/>
          </w:tcPr>
          <w:p>
            <w:pPr>
              <w:spacing w:after="0"/>
              <w:rPr>
                <w:sz w:val="20"/>
                <w:szCs w:val="20"/>
                <w:color w:val="auto"/>
              </w:rPr>
            </w:pPr>
            <w:r>
              <w:rPr>
                <w:rFonts w:ascii="Arial" w:cs="Arial" w:eastAsia="Arial" w:hAnsi="Arial"/>
                <w:sz w:val="18"/>
                <w:szCs w:val="18"/>
                <w:b w:val="1"/>
                <w:bCs w:val="1"/>
                <w:color w:val="auto"/>
              </w:rPr>
              <w:t>Description of Exhibit</w:t>
            </w:r>
          </w:p>
        </w:tc>
        <w:tc>
          <w:tcPr>
            <w:tcW w:w="80" w:type="dxa"/>
            <w:vAlign w:val="bottom"/>
          </w:tcPr>
          <w:p>
            <w:pPr>
              <w:spacing w:after="0"/>
              <w:rPr>
                <w:sz w:val="20"/>
                <w:szCs w:val="20"/>
                <w:color w:val="auto"/>
              </w:rPr>
            </w:pPr>
          </w:p>
        </w:tc>
      </w:tr>
      <w:tr>
        <w:trPr>
          <w:trHeight w:val="331"/>
        </w:trPr>
        <w:tc>
          <w:tcPr>
            <w:tcW w:w="118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7"/>
              </w:rPr>
            </w:pPr>
            <w:hyperlink r:id="rId213">
              <w:r>
                <w:rPr>
                  <w:rFonts w:ascii="Arial" w:cs="Arial" w:eastAsia="Arial" w:hAnsi="Arial"/>
                  <w:sz w:val="18"/>
                  <w:szCs w:val="18"/>
                  <w:color w:val="0000FF"/>
                  <w:w w:val="97"/>
                </w:rPr>
                <w:t>Second Amendment and Refinancing Agreement, dated as of January 19, 2017, by and among Penn National Gaming, Inc., as</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borrower, the guarantors party thereto, the lenders party thereto, Bank of America, N.A., as swingline lender, Bank of America,</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4"/>
          </w:tcPr>
          <w:p>
            <w:pPr>
              <w:jc w:val="center"/>
              <w:ind w:right="240"/>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N.A.,</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213">
              <w:r>
                <w:rPr>
                  <w:rFonts w:ascii="Arial" w:cs="Arial" w:eastAsia="Arial" w:hAnsi="Arial"/>
                  <w:sz w:val="18"/>
                  <w:szCs w:val="18"/>
                  <w:color w:val="0000FF"/>
                  <w:w w:val="94"/>
                </w:rPr>
                <w:t>as administrative agent and Bank of America, N.A., as collateral agent, is hereby incorporated by reference to Exhibit 10.2 to the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13">
              <w:r>
                <w:rPr>
                  <w:rFonts w:ascii="Arial" w:cs="Arial" w:eastAsia="Arial" w:hAnsi="Arial"/>
                  <w:sz w:val="18"/>
                  <w:szCs w:val="18"/>
                  <w:color w:val="0000FF"/>
                  <w:w w:val="91"/>
                </w:rPr>
                <w:t>Company’s Current Report on Form 8-K filed on January 20, 2017. (SEC File No. 000-24206)</w:t>
              </w:r>
            </w:hyperlink>
          </w:p>
        </w:tc>
        <w:tc>
          <w:tcPr>
            <w:tcW w:w="24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5"/>
          </w:tcPr>
          <w:p>
            <w:pPr>
              <w:spacing w:after="0"/>
              <w:rPr>
                <w:rFonts w:ascii="Arial" w:cs="Arial" w:eastAsia="Arial" w:hAnsi="Arial"/>
                <w:sz w:val="18"/>
                <w:szCs w:val="18"/>
                <w:color w:val="0000FF"/>
                <w:w w:val="89"/>
              </w:rPr>
            </w:pPr>
            <w:hyperlink r:id="rId214">
              <w:r>
                <w:rPr>
                  <w:rFonts w:ascii="Arial" w:cs="Arial" w:eastAsia="Arial" w:hAnsi="Arial"/>
                  <w:sz w:val="18"/>
                  <w:szCs w:val="18"/>
                  <w:color w:val="0000FF"/>
                  <w:w w:val="89"/>
                </w:rPr>
                <w:t>Amended and Restated Credit Agreement, dated as of January 19, 2017, by and among Penn National Gaming, Inc., as borrower, the</w:t>
              </w:r>
            </w:hyperlink>
          </w:p>
        </w:tc>
        <w:tc>
          <w:tcPr>
            <w:tcW w:w="280" w:type="dxa"/>
            <w:vAlign w:val="bottom"/>
            <w:gridSpan w:val="11"/>
          </w:tcPr>
          <w:p>
            <w:pPr>
              <w:spacing w:after="0"/>
              <w:rPr>
                <w:sz w:val="24"/>
                <w:szCs w:val="24"/>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6"/>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guarantors from time to time party thereto, the lenders from time to time party thereto, Bank of America, N.A., as administrative agent,</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214">
              <w:r>
                <w:rPr>
                  <w:rFonts w:ascii="Arial" w:cs="Arial" w:eastAsia="Arial" w:hAnsi="Arial"/>
                  <w:sz w:val="18"/>
                  <w:szCs w:val="18"/>
                  <w:color w:val="0000FF"/>
                  <w:w w:val="94"/>
                </w:rPr>
                <w:t>Bank of America, N.A., as collateral agent and the other parties thereto, is hereby incorporated by reference to Exhibit 10.3 to the</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Company’s Current Report on Form 8-K filed on January 20, 2017. (SEC File No. 000-24206)</w:t>
              </w:r>
            </w:hyperlink>
          </w:p>
        </w:tc>
        <w:tc>
          <w:tcPr>
            <w:tcW w:w="2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10.21(a)</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First Amendment to Amended and Restated Credit Agreement dated as of February 23, 2018, among Penn National Gaming, Inc.,</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certain subsidiaries of Penn National Gaming, Inc. party thereto as guarantors, each consenting lender and Bank of America, N.A.,</w:t>
              </w:r>
            </w:hyperlink>
          </w:p>
        </w:tc>
        <w:tc>
          <w:tcPr>
            <w:tcW w:w="200" w:type="dxa"/>
            <w:vAlign w:val="bottom"/>
            <w:tcBorders>
              <w:bottom w:val="single" w:sz="8" w:color="0000FF"/>
            </w:tcBorders>
            <w:gridSpan w:val="7"/>
          </w:tcPr>
          <w:p>
            <w:pPr>
              <w:jc w:val="center"/>
              <w:spacing w:after="0" w:line="156" w:lineRule="exact"/>
              <w:rPr>
                <w:rFonts w:ascii="Arial" w:cs="Arial" w:eastAsia="Arial" w:hAnsi="Arial"/>
                <w:sz w:val="18"/>
                <w:szCs w:val="18"/>
                <w:color w:val="0000FF"/>
                <w:w w:val="73"/>
              </w:rPr>
            </w:pPr>
            <w:hyperlink r:id="rId215">
              <w:r>
                <w:rPr>
                  <w:rFonts w:ascii="Arial" w:cs="Arial" w:eastAsia="Arial" w:hAnsi="Arial"/>
                  <w:sz w:val="18"/>
                  <w:szCs w:val="18"/>
                  <w:color w:val="0000FF"/>
                  <w:w w:val="73"/>
                </w:rPr>
                <w:t>as</w:t>
              </w:r>
            </w:hyperlink>
          </w:p>
        </w:tc>
        <w:tc>
          <w:tcPr>
            <w:tcW w:w="260" w:type="dxa"/>
            <w:vAlign w:val="bottom"/>
            <w:gridSpan w:val="9"/>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6"/>
          </w:tcPr>
          <w:p>
            <w:pPr>
              <w:spacing w:after="0" w:line="156" w:lineRule="exact"/>
              <w:rPr>
                <w:rFonts w:ascii="Arial" w:cs="Arial" w:eastAsia="Arial" w:hAnsi="Arial"/>
                <w:sz w:val="18"/>
                <w:szCs w:val="18"/>
                <w:color w:val="0000FF"/>
                <w:w w:val="92"/>
              </w:rPr>
            </w:pPr>
            <w:hyperlink r:id="rId215">
              <w:r>
                <w:rPr>
                  <w:rFonts w:ascii="Arial" w:cs="Arial" w:eastAsia="Arial" w:hAnsi="Arial"/>
                  <w:sz w:val="18"/>
                  <w:szCs w:val="18"/>
                  <w:color w:val="0000FF"/>
                  <w:w w:val="92"/>
                </w:rPr>
                <w:t>letter of credit lender, swingline lender, administrative agent and collateral agent is hereby incorporated by reference to Exhibit 10.1 to</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the Company’s Current Report on Form 8-K filed on February 28, 2018.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10.21(b)</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4"/>
              </w:rPr>
            </w:pPr>
            <w:hyperlink r:id="rId216">
              <w:r>
                <w:rPr>
                  <w:rFonts w:ascii="Arial" w:cs="Arial" w:eastAsia="Arial" w:hAnsi="Arial"/>
                  <w:sz w:val="18"/>
                  <w:szCs w:val="18"/>
                  <w:color w:val="0000FF"/>
                  <w:w w:val="94"/>
                </w:rPr>
                <w:t>Second Amendment to Amended and Restated Credit Agreement dated as of April 14, 2020, by and among Penn National Gaming,</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216">
              <w:r>
                <w:rPr>
                  <w:rFonts w:ascii="Arial" w:cs="Arial" w:eastAsia="Arial" w:hAnsi="Arial"/>
                  <w:sz w:val="18"/>
                  <w:szCs w:val="18"/>
                  <w:color w:val="0000FF"/>
                  <w:w w:val="92"/>
                </w:rPr>
                <w:t>Inc., the guarantors party thereto, the lenders party thereto and Bank of America, N.A., as letter of credit lender, swingline lender,</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administrative agent and collateral agent is hereby incorporated by reference to Exhibit 10.1 to the Company’s Current Report on</w:t>
              </w:r>
            </w:hyperlink>
          </w:p>
        </w:tc>
        <w:tc>
          <w:tcPr>
            <w:tcW w:w="40" w:type="dxa"/>
            <w:vAlign w:val="bottom"/>
            <w:gridSpan w:val="2"/>
          </w:tcPr>
          <w:p>
            <w:pPr>
              <w:spacing w:after="0"/>
              <w:rPr>
                <w:sz w:val="13"/>
                <w:szCs w:val="13"/>
                <w:color w:val="auto"/>
              </w:rPr>
            </w:pPr>
          </w:p>
        </w:tc>
        <w:tc>
          <w:tcPr>
            <w:tcW w:w="520" w:type="dxa"/>
            <w:vAlign w:val="bottom"/>
            <w:gridSpan w:val="19"/>
          </w:tcPr>
          <w:p>
            <w:pPr>
              <w:jc w:val="center"/>
              <w:ind w:right="140"/>
              <w:spacing w:after="0" w:line="156"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Form</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8-K filed on April 20, 2020. (SEC File No. 000-24206)</w:t>
              </w:r>
            </w:hyperlink>
          </w:p>
        </w:tc>
        <w:tc>
          <w:tcPr>
            <w:tcW w:w="100" w:type="dxa"/>
            <w:vAlign w:val="bottom"/>
            <w:gridSpan w:val="2"/>
          </w:tcPr>
          <w:p>
            <w:pPr>
              <w:spacing w:after="0"/>
              <w:rPr>
                <w:sz w:val="13"/>
                <w:szCs w:val="13"/>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10.21(c)††</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1"/>
              </w:rPr>
            </w:pPr>
            <w:hyperlink r:id="rId217">
              <w:r>
                <w:rPr>
                  <w:rFonts w:ascii="Arial" w:cs="Arial" w:eastAsia="Arial" w:hAnsi="Arial"/>
                  <w:sz w:val="18"/>
                  <w:szCs w:val="18"/>
                  <w:color w:val="0000FF"/>
                  <w:w w:val="91"/>
                </w:rPr>
                <w:t>Incremental Joinder Agreement No. 1, dated as of October 15, 2018, by and among Penn National Gaming, Inc., certain subsidiaries of</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Penn National Gaming, Inc. party thereto as guarantors, Bank of America, N.A., as letter of credit lender, swingline lender,</w:t>
              </w:r>
            </w:hyperlink>
          </w:p>
        </w:tc>
        <w:tc>
          <w:tcPr>
            <w:tcW w:w="880" w:type="dxa"/>
            <w:vAlign w:val="bottom"/>
            <w:tcBorders>
              <w:top w:val="single" w:sz="8" w:color="0000FF"/>
            </w:tcBorders>
            <w:gridSpan w:val="23"/>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6"/>
          </w:tcPr>
          <w:p>
            <w:pPr>
              <w:spacing w:after="0" w:line="156" w:lineRule="exact"/>
              <w:rPr>
                <w:rFonts w:ascii="Arial" w:cs="Arial" w:eastAsia="Arial" w:hAnsi="Arial"/>
                <w:sz w:val="18"/>
                <w:szCs w:val="18"/>
                <w:color w:val="0000FF"/>
                <w:w w:val="97"/>
              </w:rPr>
            </w:pPr>
            <w:hyperlink r:id="rId217">
              <w:r>
                <w:rPr>
                  <w:rFonts w:ascii="Arial" w:cs="Arial" w:eastAsia="Arial" w:hAnsi="Arial"/>
                  <w:sz w:val="18"/>
                  <w:szCs w:val="18"/>
                  <w:color w:val="0000FF"/>
                  <w:w w:val="97"/>
                </w:rPr>
                <w:t>administrative agent and collateral agent and the lenders party thereto is hereby incorporated by reference to Exhibit 10.1 to the</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Company’s Current Report on Form 8-K filed on October 15, 2018. (SEC File No. 000-24206)</w:t>
              </w:r>
            </w:hyperlink>
          </w:p>
        </w:tc>
        <w:tc>
          <w:tcPr>
            <w:tcW w:w="23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3"/>
              </w:rPr>
            </w:pPr>
            <w:hyperlink r:id="rId218">
              <w:r>
                <w:rPr>
                  <w:rFonts w:ascii="Arial" w:cs="Arial" w:eastAsia="Arial" w:hAnsi="Arial"/>
                  <w:sz w:val="18"/>
                  <w:szCs w:val="18"/>
                  <w:color w:val="0000FF"/>
                  <w:w w:val="93"/>
                </w:rPr>
                <w:t>Lottery Gaming Facility Management Contract dated August 25, 2009 between the Kansas Lottery and Kansas Entertainment, LLC is</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0"/>
              </w:rPr>
            </w:pPr>
            <w:hyperlink r:id="rId218">
              <w:r>
                <w:rPr>
                  <w:rFonts w:ascii="Arial" w:cs="Arial" w:eastAsia="Arial" w:hAnsi="Arial"/>
                  <w:sz w:val="18"/>
                  <w:szCs w:val="18"/>
                  <w:color w:val="0000FF"/>
                  <w:w w:val="90"/>
                </w:rPr>
                <w:t>hereby incorporated by reference to Exhibit 99.1 to the Company’s Current Report on Form 8-K filed on February 19, 2010. (SEC File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No. 000-24206)</w:t>
              </w:r>
            </w:hyperlink>
          </w:p>
        </w:tc>
        <w:tc>
          <w:tcPr>
            <w:tcW w:w="8560" w:type="dxa"/>
            <w:vAlign w:val="bottom"/>
            <w:gridSpan w:val="29"/>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2"/>
        </w:trPr>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2"/>
              </w:rPr>
            </w:pPr>
            <w:hyperlink r:id="rId219">
              <w:r>
                <w:rPr>
                  <w:rFonts w:ascii="Arial" w:cs="Arial" w:eastAsia="Arial" w:hAnsi="Arial"/>
                  <w:sz w:val="18"/>
                  <w:szCs w:val="18"/>
                  <w:color w:val="0000FF"/>
                  <w:w w:val="92"/>
                </w:rPr>
                <w:t>Commercial Lease dated September 9, 1996 by and between State of Louisiana, State Land Office and PNK (Bossier City), Inc. (f/k/a</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219">
              <w:r>
                <w:rPr>
                  <w:rFonts w:ascii="Arial" w:cs="Arial" w:eastAsia="Arial" w:hAnsi="Arial"/>
                  <w:sz w:val="18"/>
                  <w:szCs w:val="18"/>
                  <w:color w:val="0000FF"/>
                  <w:w w:val="96"/>
                </w:rPr>
                <w:t>Casino Magic of Louisiana, Corp.) is hereby incorporated by reference to Exhibit 10.23 to the Company’s Amendment No. 4 to</w:t>
              </w:r>
            </w:hyperlink>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Registration Statement on Form 10 filed on March 17, 2016. (SEC File No. 001-37666)</w:t>
              </w:r>
            </w:hyperlink>
          </w:p>
        </w:tc>
        <w:tc>
          <w:tcPr>
            <w:tcW w:w="28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2"/>
        </w:trPr>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9"/>
          </w:tcPr>
          <w:p>
            <w:pPr>
              <w:spacing w:after="0"/>
              <w:rPr>
                <w:rFonts w:ascii="Arial" w:cs="Arial" w:eastAsia="Arial" w:hAnsi="Arial"/>
                <w:sz w:val="18"/>
                <w:szCs w:val="18"/>
                <w:color w:val="0000FF"/>
                <w:w w:val="89"/>
              </w:rPr>
            </w:pPr>
            <w:hyperlink r:id="rId220">
              <w:r>
                <w:rPr>
                  <w:rFonts w:ascii="Arial" w:cs="Arial" w:eastAsia="Arial" w:hAnsi="Arial"/>
                  <w:sz w:val="18"/>
                  <w:szCs w:val="18"/>
                  <w:color w:val="0000FF"/>
                  <w:w w:val="89"/>
                </w:rPr>
                <w:t>Second Amended and Restated Excursion Boat Sponsorship and Operations Agreement, dated November 18, 2004, between Iowa</w:t>
              </w:r>
            </w:hyperlink>
          </w:p>
        </w:tc>
        <w:tc>
          <w:tcPr>
            <w:tcW w:w="480" w:type="dxa"/>
            <w:vAlign w:val="bottom"/>
            <w:gridSpan w:val="17"/>
          </w:tcPr>
          <w:p>
            <w:pPr>
              <w:spacing w:after="0"/>
              <w:rPr>
                <w:sz w:val="24"/>
                <w:szCs w:val="24"/>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36"/>
          </w:tcPr>
          <w:p>
            <w:pPr>
              <w:spacing w:after="0" w:line="156" w:lineRule="exact"/>
              <w:rPr>
                <w:rFonts w:ascii="Arial" w:cs="Arial" w:eastAsia="Arial" w:hAnsi="Arial"/>
                <w:sz w:val="18"/>
                <w:szCs w:val="18"/>
                <w:color w:val="0000FF"/>
                <w:w w:val="94"/>
              </w:rPr>
            </w:pPr>
            <w:hyperlink r:id="rId220">
              <w:r>
                <w:rPr>
                  <w:rFonts w:ascii="Arial" w:cs="Arial" w:eastAsia="Arial" w:hAnsi="Arial"/>
                  <w:sz w:val="18"/>
                  <w:szCs w:val="18"/>
                  <w:color w:val="0000FF"/>
                  <w:w w:val="94"/>
                </w:rPr>
                <w:t>West Racing Association and Ameristar Casino Council Bluffs, Inc. is hereby incorporated by reference to Exhibit 10.25 to Pinnacle</w:t>
              </w:r>
            </w:hyperlink>
          </w:p>
        </w:tc>
      </w:tr>
      <w:tr>
        <w:trPr>
          <w:trHeight w:val="224"/>
        </w:trPr>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tcBorders>
              <w:top w:val="single" w:sz="8" w:color="0000FF"/>
            </w:tcBorders>
            <w:gridSpan w:val="23"/>
          </w:tcPr>
          <w:p>
            <w:pPr>
              <w:spacing w:after="0"/>
              <w:rPr>
                <w:rFonts w:ascii="Arial" w:cs="Arial" w:eastAsia="Arial" w:hAnsi="Arial"/>
                <w:sz w:val="18"/>
                <w:szCs w:val="18"/>
                <w:u w:val="single" w:color="auto"/>
                <w:color w:val="0000FF"/>
                <w:w w:val="92"/>
              </w:rPr>
            </w:pPr>
            <w:hyperlink r:id="rId220">
              <w:r>
                <w:rPr>
                  <w:rFonts w:ascii="Arial" w:cs="Arial" w:eastAsia="Arial" w:hAnsi="Arial"/>
                  <w:sz w:val="18"/>
                  <w:szCs w:val="18"/>
                  <w:u w:val="single" w:color="auto"/>
                  <w:color w:val="0000FF"/>
                  <w:w w:val="92"/>
                </w:rPr>
                <w:t>Entertainment, Inc.’s Amendment No. 4 to Registration Statement on Form 10 filed on March 17, 2016. (SEC File No. 001-37666)</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c>
          <w:tcPr>
            <w:tcW w:w="160" w:type="dxa"/>
            <w:vAlign w:val="bottom"/>
            <w:gridSpan w:val="5"/>
          </w:tcPr>
          <w:p>
            <w:pPr>
              <w:spacing w:after="0"/>
              <w:rPr>
                <w:sz w:val="19"/>
                <w:szCs w:val="19"/>
                <w:color w:val="auto"/>
              </w:rPr>
            </w:pPr>
          </w:p>
        </w:tc>
      </w:tr>
      <w:tr>
        <w:trPr>
          <w:trHeight w:val="323"/>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10.24(a)</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4"/>
              </w:rPr>
            </w:pPr>
            <w:hyperlink r:id="rId221">
              <w:r>
                <w:rPr>
                  <w:rFonts w:ascii="Arial" w:cs="Arial" w:eastAsia="Arial" w:hAnsi="Arial"/>
                  <w:sz w:val="18"/>
                  <w:szCs w:val="18"/>
                  <w:color w:val="0000FF"/>
                  <w:w w:val="94"/>
                </w:rPr>
                <w:t>Amendment to Second Amended and Restated Excursion Boat Sponsorship and Operations Agreement, dated February 16, 2010,</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221">
              <w:r>
                <w:rPr>
                  <w:rFonts w:ascii="Arial" w:cs="Arial" w:eastAsia="Arial" w:hAnsi="Arial"/>
                  <w:sz w:val="18"/>
                  <w:szCs w:val="18"/>
                  <w:color w:val="0000FF"/>
                  <w:w w:val="92"/>
                </w:rPr>
                <w:t>between Iowa West Racing Association and Ameristar Casino Council Bluffs, Inc. is hereby incorporated by reference to Exhibit</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26</w:t>
              </w:r>
              <w:r>
                <w:rPr>
                  <w:rFonts w:ascii="Arial" w:cs="Arial" w:eastAsia="Arial" w:hAnsi="Arial"/>
                  <w:sz w:val="18"/>
                  <w:szCs w:val="18"/>
                  <w:color w:val="0000FF"/>
                  <w:w w:val="91"/>
                </w:rPr>
                <w:t xml:space="preserve"> to Pinnacle Entertainment, Inc.’s Amendment No. 4 to Registration Statement on Form 10 filed on March 17, 2016. (SEC</w:t>
              </w:r>
            </w:hyperlink>
          </w:p>
        </w:tc>
        <w:tc>
          <w:tcPr>
            <w:tcW w:w="580" w:type="dxa"/>
            <w:vAlign w:val="bottom"/>
            <w:gridSpan w:val="22"/>
          </w:tcPr>
          <w:p>
            <w:pPr>
              <w:jc w:val="center"/>
              <w:ind w:right="340"/>
              <w:spacing w:after="0" w:line="156" w:lineRule="exact"/>
              <w:rPr>
                <w:rFonts w:ascii="Arial" w:cs="Arial" w:eastAsia="Arial" w:hAnsi="Arial"/>
                <w:sz w:val="18"/>
                <w:szCs w:val="18"/>
                <w:color w:val="0000FF"/>
                <w:w w:val="82"/>
              </w:rPr>
            </w:pPr>
            <w:hyperlink r:id="rId221">
              <w:r>
                <w:rPr>
                  <w:rFonts w:ascii="Arial" w:cs="Arial" w:eastAsia="Arial" w:hAnsi="Arial"/>
                  <w:sz w:val="18"/>
                  <w:szCs w:val="18"/>
                  <w:color w:val="0000FF"/>
                  <w:w w:val="82"/>
                </w:rPr>
                <w:t>File</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No. 001-37666)</w:t>
              </w:r>
            </w:hyperlink>
          </w:p>
        </w:tc>
        <w:tc>
          <w:tcPr>
            <w:tcW w:w="838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10.24(b)</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Second Amendment to Second Amended and Restated Excursion Boat Sponsorship and Operations Agreement, dated May 16, 2017,</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5"/>
          </w:tcPr>
          <w:p>
            <w:pPr>
              <w:spacing w:after="0" w:line="156" w:lineRule="exact"/>
              <w:rPr>
                <w:rFonts w:ascii="Arial" w:cs="Arial" w:eastAsia="Arial" w:hAnsi="Arial"/>
                <w:sz w:val="18"/>
                <w:szCs w:val="18"/>
                <w:color w:val="0000FF"/>
                <w:w w:val="94"/>
              </w:rPr>
            </w:pPr>
            <w:hyperlink r:id="rId222">
              <w:r>
                <w:rPr>
                  <w:rFonts w:ascii="Arial" w:cs="Arial" w:eastAsia="Arial" w:hAnsi="Arial"/>
                  <w:sz w:val="18"/>
                  <w:szCs w:val="18"/>
                  <w:color w:val="0000FF"/>
                  <w:w w:val="94"/>
                </w:rPr>
                <w:t>between Iowa West Racing Association and Ameristar Casino Council Bluffs, LLC is hereby incorporated by reference to Exhibit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22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33</w:t>
              </w:r>
              <w:r>
                <w:rPr>
                  <w:rFonts w:ascii="Arial" w:cs="Arial" w:eastAsia="Arial" w:hAnsi="Arial"/>
                  <w:sz w:val="18"/>
                  <w:szCs w:val="18"/>
                  <w:color w:val="0000FF"/>
                  <w:w w:val="91"/>
                </w:rPr>
                <w:t xml:space="preserve"> to Pinnacle Entertainment, Inc.’s Annual Report on Form 10-K for the fiscal year ended December 31, 2017. (SEC File No.</w:t>
              </w:r>
            </w:hyperlink>
          </w:p>
        </w:tc>
        <w:tc>
          <w:tcPr>
            <w:tcW w:w="500" w:type="dxa"/>
            <w:vAlign w:val="bottom"/>
            <w:gridSpan w:val="18"/>
          </w:tcPr>
          <w:p>
            <w:pPr>
              <w:jc w:val="center"/>
              <w:ind w:right="140"/>
              <w:spacing w:after="0" w:line="156" w:lineRule="exact"/>
              <w:rPr>
                <w:rFonts w:ascii="Arial" w:cs="Arial" w:eastAsia="Arial" w:hAnsi="Arial"/>
                <w:sz w:val="18"/>
                <w:szCs w:val="18"/>
                <w:color w:val="0000FF"/>
                <w:w w:val="88"/>
              </w:rPr>
            </w:pPr>
            <w:hyperlink r:id="rId222">
              <w:r>
                <w:rPr>
                  <w:rFonts w:ascii="Arial" w:cs="Arial" w:eastAsia="Arial" w:hAnsi="Arial"/>
                  <w:sz w:val="18"/>
                  <w:szCs w:val="18"/>
                  <w:color w:val="0000FF"/>
                  <w:w w:val="88"/>
                </w:rPr>
                <w:t>001-</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222">
              <w:r>
                <w:rPr>
                  <w:rFonts w:ascii="Arial" w:cs="Arial" w:eastAsia="Arial" w:hAnsi="Arial"/>
                  <w:sz w:val="18"/>
                  <w:szCs w:val="18"/>
                  <w:color w:val="0000FF"/>
                  <w:w w:val="89"/>
                </w:rPr>
                <w:t>37666)</w:t>
              </w:r>
            </w:hyperlink>
          </w:p>
        </w:tc>
        <w:tc>
          <w:tcPr>
            <w:tcW w:w="64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7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color w:val="0000FF"/>
                <w:w w:val="93"/>
              </w:rPr>
            </w:pPr>
            <w:hyperlink r:id="rId223">
              <w:r>
                <w:rPr>
                  <w:rFonts w:ascii="Arial" w:cs="Arial" w:eastAsia="Arial" w:hAnsi="Arial"/>
                  <w:sz w:val="18"/>
                  <w:szCs w:val="18"/>
                  <w:color w:val="0000FF"/>
                  <w:w w:val="93"/>
                </w:rPr>
                <w:t>Membership Interest Purchase Agreement, dated as of June 18, 2018, among VICI Properties Inc., Riverview Merger Sub Inc., Penn</w:t>
              </w:r>
            </w:hyperlink>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223">
              <w:r>
                <w:rPr>
                  <w:rFonts w:ascii="Arial" w:cs="Arial" w:eastAsia="Arial" w:hAnsi="Arial"/>
                  <w:sz w:val="18"/>
                  <w:szCs w:val="18"/>
                  <w:color w:val="0000FF"/>
                  <w:w w:val="90"/>
                </w:rPr>
                <w:t>Tenant II, LLC and Penn National Gaming, Inc. is hereby incorporated by reference to Exhibit 10.1 to the Company’s Current Report</w:t>
              </w:r>
            </w:hyperlink>
          </w:p>
        </w:tc>
        <w:tc>
          <w:tcPr>
            <w:tcW w:w="40" w:type="dxa"/>
            <w:vAlign w:val="bottom"/>
            <w:tcBorders>
              <w:bottom w:val="single" w:sz="8" w:color="0000FF"/>
            </w:tcBorders>
            <w:gridSpan w:val="2"/>
          </w:tcPr>
          <w:p>
            <w:pPr>
              <w:spacing w:after="0"/>
              <w:rPr>
                <w:sz w:val="13"/>
                <w:szCs w:val="13"/>
                <w:color w:val="auto"/>
              </w:rPr>
            </w:pPr>
          </w:p>
        </w:tc>
        <w:tc>
          <w:tcPr>
            <w:tcW w:w="260" w:type="dxa"/>
            <w:vAlign w:val="bottom"/>
            <w:gridSpan w:val="10"/>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on Form 8-K filed on June 19, 2018. (SEC File No. 000-24206)</w:t>
              </w:r>
            </w:hyperlink>
          </w:p>
        </w:tc>
        <w:tc>
          <w:tcPr>
            <w:tcW w:w="5020" w:type="dxa"/>
            <w:vAlign w:val="bottom"/>
            <w:gridSpan w:val="22"/>
          </w:tcPr>
          <w:p>
            <w:pPr>
              <w:spacing w:after="0"/>
              <w:rPr>
                <w:sz w:val="13"/>
                <w:szCs w:val="13"/>
                <w:color w:val="auto"/>
              </w:rPr>
            </w:pPr>
          </w:p>
        </w:tc>
        <w:tc>
          <w:tcPr>
            <w:tcW w:w="260" w:type="dxa"/>
            <w:vAlign w:val="bottom"/>
            <w:gridSpan w:val="10"/>
          </w:tcPr>
          <w:p>
            <w:pPr>
              <w:spacing w:after="0"/>
              <w:rPr>
                <w:sz w:val="13"/>
                <w:szCs w:val="13"/>
                <w:color w:val="auto"/>
              </w:rPr>
            </w:pPr>
          </w:p>
        </w:tc>
      </w:tr>
      <w:tr>
        <w:trPr>
          <w:trHeight w:val="412"/>
        </w:trPr>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6"/>
          </w:tcPr>
          <w:p>
            <w:pPr>
              <w:spacing w:after="0"/>
              <w:rPr>
                <w:rFonts w:ascii="Arial" w:cs="Arial" w:eastAsia="Arial" w:hAnsi="Arial"/>
                <w:sz w:val="18"/>
                <w:szCs w:val="18"/>
                <w:u w:val="single" w:color="auto"/>
                <w:color w:val="0000FF"/>
              </w:rPr>
            </w:pPr>
            <w:hyperlink w:anchor="page183">
              <w:r>
                <w:rPr>
                  <w:rFonts w:ascii="Arial" w:cs="Arial" w:eastAsia="Arial" w:hAnsi="Arial"/>
                  <w:sz w:val="18"/>
                  <w:szCs w:val="18"/>
                  <w:u w:val="single" w:color="auto"/>
                  <w:color w:val="0000FF"/>
                </w:rPr>
                <w:t>Subsidiaries of the Registrant.</w:t>
              </w:r>
            </w:hyperlink>
          </w:p>
        </w:tc>
      </w:tr>
      <w:tr>
        <w:trPr>
          <w:trHeight w:val="1012"/>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5"/>
          </w:tcPr>
          <w:p>
            <w:pPr>
              <w:jc w:val="right"/>
              <w:ind w:right="200"/>
              <w:spacing w:after="0"/>
              <w:rPr>
                <w:sz w:val="20"/>
                <w:szCs w:val="20"/>
                <w:color w:val="auto"/>
              </w:rPr>
            </w:pPr>
            <w:r>
              <w:rPr>
                <w:rFonts w:ascii="Arial" w:cs="Arial" w:eastAsia="Arial" w:hAnsi="Arial"/>
                <w:sz w:val="18"/>
                <w:szCs w:val="18"/>
                <w:color w:val="auto"/>
              </w:rPr>
              <w:t>113</w:t>
            </w: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rFonts w:ascii="Arial" w:cs="Arial" w:eastAsia="Arial" w:hAnsi="Arial"/>
                <w:sz w:val="18"/>
                <w:szCs w:val="18"/>
                <w:u w:val="single" w:color="auto"/>
                <w:color w:val="0000FF"/>
                <w:w w:val="92"/>
              </w:rPr>
            </w:pPr>
            <w:hyperlink w:anchor="page2">
              <w:r>
                <w:rPr>
                  <w:rFonts w:ascii="Arial" w:cs="Arial" w:eastAsia="Arial" w:hAnsi="Arial"/>
                  <w:sz w:val="18"/>
                  <w:szCs w:val="18"/>
                  <w:u w:val="single" w:color="auto"/>
                  <w:color w:val="0000FF"/>
                  <w:w w:val="92"/>
                </w:rPr>
                <w:t>Table of Contents</w:t>
              </w:r>
            </w:hyperlink>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00"/>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9780" w:type="dxa"/>
            <w:vAlign w:val="bottom"/>
            <w:gridSpan w:val="12"/>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24"/>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9780" w:type="dxa"/>
            <w:vAlign w:val="bottom"/>
            <w:tcBorders>
              <w:top w:val="single" w:sz="8" w:color="auto"/>
            </w:tcBorders>
            <w:gridSpan w:val="12"/>
          </w:tcPr>
          <w:p>
            <w:pPr>
              <w:ind w:left="20"/>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Consent of Deloitte &amp; Touche LLP, Independent Registered Public Accounting Firm.</w:t>
              </w:r>
            </w:hyperlink>
          </w:p>
        </w:tc>
      </w:tr>
      <w:tr>
        <w:trPr>
          <w:trHeight w:val="350"/>
        </w:trPr>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780" w:type="dxa"/>
            <w:vAlign w:val="bottom"/>
            <w:gridSpan w:val="12"/>
          </w:tcPr>
          <w:p>
            <w:pPr>
              <w:ind w:left="20"/>
              <w:spacing w:after="0"/>
              <w:rPr>
                <w:rFonts w:ascii="Arial" w:cs="Arial" w:eastAsia="Arial" w:hAnsi="Arial"/>
                <w:sz w:val="18"/>
                <w:szCs w:val="18"/>
                <w:color w:val="0000FF"/>
                <w:w w:val="94"/>
              </w:rPr>
            </w:pPr>
            <w:hyperlink w:anchor="page187">
              <w:r>
                <w:rPr>
                  <w:rFonts w:ascii="Arial" w:cs="Arial" w:eastAsia="Arial" w:hAnsi="Arial"/>
                  <w:sz w:val="18"/>
                  <w:szCs w:val="18"/>
                  <w:u w:val="single" w:color="auto"/>
                  <w:color w:val="0000FF"/>
                  <w:w w:val="94"/>
                </w:rPr>
                <w:t>CEO</w:t>
              </w:r>
              <w:r>
                <w:rPr>
                  <w:rFonts w:ascii="Arial" w:cs="Arial" w:eastAsia="Arial" w:hAnsi="Arial"/>
                  <w:sz w:val="18"/>
                  <w:szCs w:val="18"/>
                  <w:color w:val="0000FF"/>
                  <w:w w:val="94"/>
                </w:rPr>
                <w:t xml:space="preserve"> Certification </w:t>
              </w:r>
              <w:r>
                <w:rPr>
                  <w:rFonts w:ascii="Arial" w:cs="Arial" w:eastAsia="Arial" w:hAnsi="Arial"/>
                  <w:sz w:val="18"/>
                  <w:szCs w:val="18"/>
                  <w:u w:val="single" w:color="auto"/>
                  <w:color w:val="0000FF"/>
                  <w:w w:val="94"/>
                </w:rPr>
                <w:t>pursuant to Exchange</w:t>
              </w:r>
              <w:r>
                <w:rPr>
                  <w:rFonts w:ascii="Arial" w:cs="Arial" w:eastAsia="Arial" w:hAnsi="Arial"/>
                  <w:sz w:val="18"/>
                  <w:szCs w:val="18"/>
                  <w:color w:val="0000FF"/>
                  <w:w w:val="94"/>
                </w:rPr>
                <w:t xml:space="preserve"> Act Rules </w:t>
              </w:r>
              <w:r>
                <w:rPr>
                  <w:rFonts w:ascii="Arial" w:cs="Arial" w:eastAsia="Arial" w:hAnsi="Arial"/>
                  <w:sz w:val="18"/>
                  <w:szCs w:val="18"/>
                  <w:u w:val="single" w:color="auto"/>
                  <w:color w:val="0000FF"/>
                  <w:w w:val="94"/>
                </w:rPr>
                <w:t>13a-14(a) and 15d-</w:t>
              </w:r>
              <w:r>
                <w:rPr>
                  <w:rFonts w:ascii="Arial" w:cs="Arial" w:eastAsia="Arial" w:hAnsi="Arial"/>
                  <w:sz w:val="18"/>
                  <w:szCs w:val="18"/>
                  <w:color w:val="0000FF"/>
                  <w:w w:val="94"/>
                </w:rPr>
                <w:t>14(a), as adopted pursuant to Section 302 of the Sarbanes-</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3"/>
          </w:tcPr>
          <w:p>
            <w:pPr>
              <w:spacing w:after="0" w:line="156" w:lineRule="exact"/>
              <w:rPr>
                <w:rFonts w:ascii="Arial" w:cs="Arial" w:eastAsia="Arial" w:hAnsi="Arial"/>
                <w:sz w:val="18"/>
                <w:szCs w:val="18"/>
                <w:color w:val="0000FF"/>
              </w:rPr>
            </w:pPr>
            <w:hyperlink w:anchor="page187">
              <w:r>
                <w:rPr>
                  <w:rFonts w:ascii="Arial" w:cs="Arial" w:eastAsia="Arial" w:hAnsi="Arial"/>
                  <w:sz w:val="18"/>
                  <w:szCs w:val="18"/>
                  <w:color w:val="0000FF"/>
                </w:rPr>
                <w:t>Oxley Act of 2002.</w:t>
              </w:r>
            </w:hyperlink>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0" w:type="dxa"/>
            <w:vAlign w:val="bottom"/>
          </w:tcPr>
          <w:p>
            <w:pPr>
              <w:spacing w:after="0"/>
              <w:rPr>
                <w:sz w:val="13"/>
                <w:szCs w:val="13"/>
                <w:color w:val="auto"/>
              </w:rPr>
            </w:pPr>
          </w:p>
        </w:tc>
        <w:tc>
          <w:tcPr>
            <w:tcW w:w="3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rFonts w:ascii="Arial" w:cs="Arial" w:eastAsia="Arial" w:hAnsi="Arial"/>
                <w:sz w:val="18"/>
                <w:szCs w:val="18"/>
                <w:color w:val="0000FF"/>
                <w:w w:val="90"/>
              </w:rPr>
            </w:pPr>
            <w:hyperlink w:anchor="page188">
              <w:r>
                <w:rPr>
                  <w:rFonts w:ascii="Arial" w:cs="Arial" w:eastAsia="Arial" w:hAnsi="Arial"/>
                  <w:sz w:val="18"/>
                  <w:szCs w:val="18"/>
                  <w:u w:val="single" w:color="auto"/>
                  <w:color w:val="0000FF"/>
                  <w:w w:val="90"/>
                </w:rPr>
                <w:t>PFO Certification pursuant to Exchange Act</w:t>
              </w:r>
              <w:r>
                <w:rPr>
                  <w:rFonts w:ascii="Arial" w:cs="Arial" w:eastAsia="Arial" w:hAnsi="Arial"/>
                  <w:sz w:val="18"/>
                  <w:szCs w:val="18"/>
                  <w:color w:val="0000FF"/>
                  <w:w w:val="90"/>
                </w:rPr>
                <w:t xml:space="preserve"> Rules </w:t>
              </w:r>
              <w:r>
                <w:rPr>
                  <w:rFonts w:ascii="Arial" w:cs="Arial" w:eastAsia="Arial" w:hAnsi="Arial"/>
                  <w:sz w:val="18"/>
                  <w:szCs w:val="18"/>
                  <w:u w:val="single" w:color="auto"/>
                  <w:color w:val="0000FF"/>
                  <w:w w:val="90"/>
                </w:rPr>
                <w:t>13a-14(a) and 15d-</w:t>
              </w:r>
              <w:r>
                <w:rPr>
                  <w:rFonts w:ascii="Arial" w:cs="Arial" w:eastAsia="Arial" w:hAnsi="Arial"/>
                  <w:sz w:val="18"/>
                  <w:szCs w:val="18"/>
                  <w:color w:val="0000FF"/>
                  <w:w w:val="90"/>
                </w:rPr>
                <w:t xml:space="preserve">14(a), </w:t>
              </w:r>
              <w:r>
                <w:rPr>
                  <w:rFonts w:ascii="Arial" w:cs="Arial" w:eastAsia="Arial" w:hAnsi="Arial"/>
                  <w:sz w:val="18"/>
                  <w:szCs w:val="18"/>
                  <w:u w:val="single" w:color="auto"/>
                  <w:color w:val="0000FF"/>
                  <w:w w:val="90"/>
                </w:rPr>
                <w:t>as adopted pursuant to Section 302 of the</w:t>
              </w:r>
              <w:r>
                <w:rPr>
                  <w:rFonts w:ascii="Arial" w:cs="Arial" w:eastAsia="Arial" w:hAnsi="Arial"/>
                  <w:sz w:val="18"/>
                  <w:szCs w:val="18"/>
                  <w:color w:val="0000FF"/>
                  <w:w w:val="90"/>
                </w:rPr>
                <w:t xml:space="preserve"> Sarbanes-Oxley</w:t>
              </w:r>
            </w:hyperlink>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4"/>
          </w:tcPr>
          <w:p>
            <w:pPr>
              <w:spacing w:after="0" w:line="156" w:lineRule="exact"/>
              <w:rPr>
                <w:rFonts w:ascii="Arial" w:cs="Arial" w:eastAsia="Arial" w:hAnsi="Arial"/>
                <w:sz w:val="18"/>
                <w:szCs w:val="18"/>
                <w:color w:val="0000FF"/>
              </w:rPr>
            </w:pPr>
            <w:hyperlink w:anchor="page188">
              <w:r>
                <w:rPr>
                  <w:rFonts w:ascii="Arial" w:cs="Arial" w:eastAsia="Arial" w:hAnsi="Arial"/>
                  <w:sz w:val="18"/>
                  <w:szCs w:val="18"/>
                  <w:color w:val="0000FF"/>
                </w:rPr>
                <w:t>Act of 2002.</w:t>
              </w:r>
            </w:hyperlink>
          </w:p>
        </w:tc>
        <w:tc>
          <w:tcPr>
            <w:tcW w:w="4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60" w:type="dxa"/>
            <w:vAlign w:val="bottom"/>
            <w:gridSpan w:val="10"/>
          </w:tcPr>
          <w:p>
            <w:pPr>
              <w:spacing w:after="0" w:line="20" w:lineRule="exact"/>
              <w:rPr>
                <w:sz w:val="1"/>
                <w:szCs w:val="1"/>
                <w:color w:val="auto"/>
              </w:rPr>
            </w:pPr>
          </w:p>
        </w:tc>
      </w:tr>
      <w:tr>
        <w:trPr>
          <w:trHeight w:val="412"/>
        </w:trPr>
        <w:tc>
          <w:tcPr>
            <w:tcW w:w="118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line="207" w:lineRule="exact"/>
              <w:rPr>
                <w:rFonts w:ascii="Arial" w:cs="Arial" w:eastAsia="Arial" w:hAnsi="Arial"/>
                <w:sz w:val="18"/>
                <w:szCs w:val="18"/>
                <w:color w:val="0000FF"/>
                <w:w w:val="95"/>
              </w:rPr>
            </w:pPr>
            <w:hyperlink w:anchor="page189">
              <w:r>
                <w:rPr>
                  <w:rFonts w:ascii="Arial" w:cs="Arial" w:eastAsia="Arial" w:hAnsi="Arial"/>
                  <w:sz w:val="18"/>
                  <w:szCs w:val="18"/>
                  <w:u w:val="single" w:color="auto"/>
                  <w:color w:val="0000FF"/>
                  <w:w w:val="95"/>
                </w:rPr>
                <w:t>CEO Certification pursuant to 18 U.S.C. Section 1350, As Adopted Pursuant to Section 906 of The Sarbanes</w:t>
              </w:r>
              <w:r>
                <w:rPr>
                  <w:rFonts w:ascii="MS PGothic" w:cs="MS PGothic" w:eastAsia="MS PGothic" w:hAnsi="MS PGothic"/>
                  <w:sz w:val="18"/>
                  <w:szCs w:val="18"/>
                  <w:u w:val="single" w:color="auto"/>
                  <w:color w:val="0000FF"/>
                  <w:w w:val="95"/>
                </w:rPr>
                <w:t>‑</w:t>
              </w:r>
              <w:r>
                <w:rPr>
                  <w:rFonts w:ascii="Arial" w:cs="Arial" w:eastAsia="Arial" w:hAnsi="Arial"/>
                  <w:sz w:val="18"/>
                  <w:szCs w:val="18"/>
                  <w:color w:val="0000FF"/>
                  <w:w w:val="95"/>
                </w:rPr>
                <w:t xml:space="preserve"> </w:t>
              </w:r>
              <w:r>
                <w:rPr>
                  <w:rFonts w:ascii="Arial" w:cs="Arial" w:eastAsia="Arial" w:hAnsi="Arial"/>
                  <w:sz w:val="18"/>
                  <w:szCs w:val="18"/>
                  <w:u w:val="single" w:color="auto"/>
                  <w:color w:val="0000FF"/>
                  <w:w w:val="95"/>
                </w:rPr>
                <w:t>Oxley Act of 2002</w:t>
              </w:r>
              <w:r>
                <w:rPr>
                  <w:rFonts w:ascii="Arial" w:cs="Arial" w:eastAsia="Arial" w:hAnsi="Arial"/>
                  <w:sz w:val="18"/>
                  <w:szCs w:val="18"/>
                  <w:color w:val="0000FF"/>
                  <w:w w:val="95"/>
                </w:rPr>
                <w:t>.</w:t>
              </w:r>
            </w:hyperlink>
          </w:p>
        </w:tc>
      </w:tr>
      <w:tr>
        <w:trPr>
          <w:trHeight w:val="392"/>
        </w:trPr>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9780" w:type="dxa"/>
            <w:vAlign w:val="bottom"/>
            <w:gridSpan w:val="12"/>
          </w:tcPr>
          <w:p>
            <w:pPr>
              <w:ind w:left="20"/>
              <w:spacing w:after="0"/>
              <w:rPr>
                <w:rFonts w:ascii="Arial" w:cs="Arial" w:eastAsia="Arial" w:hAnsi="Arial"/>
                <w:sz w:val="18"/>
                <w:szCs w:val="18"/>
                <w:u w:val="single" w:color="auto"/>
                <w:color w:val="0000FF"/>
                <w:w w:val="95"/>
              </w:rPr>
            </w:pPr>
            <w:hyperlink w:anchor="page190">
              <w:r>
                <w:rPr>
                  <w:rFonts w:ascii="Arial" w:cs="Arial" w:eastAsia="Arial" w:hAnsi="Arial"/>
                  <w:sz w:val="18"/>
                  <w:szCs w:val="18"/>
                  <w:u w:val="single" w:color="auto"/>
                  <w:color w:val="0000FF"/>
                  <w:w w:val="95"/>
                </w:rPr>
                <w:t>PFO Certification pursuant to 18 U.S.C. Section 1350, As Adopted Pursuant to Section 906 of The Sarbanes-Oxley Act of 2002.</w:t>
              </w:r>
            </w:hyperlink>
          </w:p>
        </w:tc>
      </w:tr>
      <w:tr>
        <w:trPr>
          <w:trHeight w:val="391"/>
        </w:trPr>
        <w:tc>
          <w:tcPr>
            <w:tcW w:w="118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9780" w:type="dxa"/>
            <w:vAlign w:val="bottom"/>
            <w:gridSpan w:val="12"/>
          </w:tcPr>
          <w:p>
            <w:pPr>
              <w:ind w:left="20"/>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Description of Governmental Regulation.</w:t>
              </w:r>
            </w:hyperlink>
          </w:p>
        </w:tc>
      </w:tr>
      <w:tr>
        <w:trPr>
          <w:trHeight w:val="338"/>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101.INS</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embedded within the Inline XBRL document.</w:t>
            </w:r>
          </w:p>
        </w:tc>
      </w:tr>
      <w:tr>
        <w:trPr>
          <w:trHeight w:val="39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101.SCH</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101.CAL</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101.DEF</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101.LAB</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101.PRE</w:t>
            </w: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1"/>
        </w:trPr>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Cover Page Inline XBRL File (included in Exhibit 101)</w:t>
            </w:r>
          </w:p>
        </w:tc>
      </w:tr>
    </w:tbl>
    <w:p>
      <w:pPr>
        <w:spacing w:after="0" w:line="161" w:lineRule="exact"/>
        <w:rPr>
          <w:sz w:val="20"/>
          <w:szCs w:val="20"/>
          <w:color w:val="auto"/>
        </w:rPr>
      </w:pPr>
    </w:p>
    <w:p>
      <w:pPr>
        <w:ind w:left="1360" w:hanging="285"/>
        <w:spacing w:after="0"/>
        <w:tabs>
          <w:tab w:leader="none" w:pos="1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60" w:hanging="375"/>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 w:lineRule="exact"/>
        <w:rPr>
          <w:rFonts w:ascii="Arial" w:cs="Arial" w:eastAsia="Arial" w:hAnsi="Arial"/>
          <w:sz w:val="18"/>
          <w:szCs w:val="18"/>
          <w:color w:val="auto"/>
        </w:rPr>
      </w:pPr>
    </w:p>
    <w:p>
      <w:pPr>
        <w:ind w:left="1360" w:hanging="465"/>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Paper filing.</w:t>
      </w:r>
    </w:p>
    <w:p>
      <w:pPr>
        <w:spacing w:after="0" w:line="23" w:lineRule="exact"/>
        <w:rPr>
          <w:sz w:val="20"/>
          <w:szCs w:val="20"/>
          <w:color w:val="auto"/>
        </w:rPr>
      </w:pPr>
    </w:p>
    <w:p>
      <w:pPr>
        <w:ind w:left="1360" w:hanging="285"/>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1360" w:right="420" w:hanging="375"/>
        <w:spacing w:after="0" w:line="288" w:lineRule="auto"/>
        <w:tabs>
          <w:tab w:leader="none" w:pos="13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Annexes, schedules and/or exhibits have been omitted pursuant to Item 601(b)(2) of Regulation S-K. Penn National Gaming, Inc. agrees to furnish supplementally a copy of any omitted attachment to the SEC on a confidential basis upon request.</w:t>
      </w: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PENN NATIONAL GAMING, INC.</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Dated:   February 26, 2021</w:t>
            </w:r>
          </w:p>
        </w:tc>
        <w:tc>
          <w:tcPr>
            <w:tcW w:w="2200" w:type="dxa"/>
            <w:vAlign w:val="bottom"/>
          </w:tcPr>
          <w:p>
            <w:pPr>
              <w:ind w:left="118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Jay A. Snowden</w:t>
            </w:r>
          </w:p>
        </w:tc>
      </w:tr>
      <w:tr>
        <w:trPr>
          <w:trHeight w:val="222"/>
        </w:trPr>
        <w:tc>
          <w:tcPr>
            <w:tcW w:w="3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89"/>
              </w:rPr>
              <w:t>Jay A. Snowden</w:t>
            </w:r>
          </w:p>
        </w:tc>
      </w:tr>
      <w:tr>
        <w:trPr>
          <w:trHeight w:val="230"/>
        </w:trPr>
        <w:tc>
          <w:tcPr>
            <w:tcW w:w="32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5" w:lineRule="exact"/>
        <w:rPr>
          <w:sz w:val="20"/>
          <w:szCs w:val="20"/>
          <w:color w:val="auto"/>
        </w:rPr>
      </w:pPr>
    </w:p>
    <w:p>
      <w:pPr>
        <w:ind w:left="1100"/>
        <w:spacing w:after="0"/>
        <w:tabs>
          <w:tab w:leader="none" w:pos="5760" w:val="left"/>
          <w:tab w:leader="none" w:pos="98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034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p>
      <w:pPr>
        <w:spacing w:after="0" w:line="31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Jay A. Snowden</w:t>
      </w:r>
    </w:p>
    <w:p>
      <w:pPr>
        <w:spacing w:after="0" w:line="29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Christine LaBombard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Christine LaBombard</w:t>
      </w:r>
    </w:p>
    <w:p>
      <w:pPr>
        <w:spacing w:after="0" w:line="30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David A.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David A. Handler</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John M. Jacquemin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John M. Jacquemin</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Marla Kaplowitz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Marla Kaplowitz</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Ronald J. Naples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Ronald J. Naples</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Saul V. 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Saul V. Reibstein</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/s/ Barbara Z. Shattuck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516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Barbara Z. Shattuck Kohn</w:t>
      </w: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Jane Scaccetti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516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Jane Scaccetti</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rPr>
          <w:sz w:val="20"/>
          <w:szCs w:val="20"/>
          <w:color w:val="auto"/>
        </w:rPr>
      </w:pPr>
      <w:r>
        <w:rPr>
          <w:rFonts w:ascii="Arial" w:cs="Arial" w:eastAsia="Arial" w:hAnsi="Arial"/>
          <w:sz w:val="18"/>
          <w:szCs w:val="18"/>
          <w:color w:val="auto"/>
        </w:rPr>
        <w:t>(Principal Executive Officer)</w:t>
      </w:r>
    </w:p>
    <w:p>
      <w:pPr>
        <w:spacing w:after="0" w:line="344" w:lineRule="exact"/>
        <w:rPr>
          <w:sz w:val="20"/>
          <w:szCs w:val="20"/>
          <w:color w:val="auto"/>
        </w:rPr>
      </w:pPr>
    </w:p>
    <w:p>
      <w:pPr>
        <w:ind w:right="1120"/>
        <w:spacing w:after="0" w:line="289" w:lineRule="auto"/>
        <w:rPr>
          <w:sz w:val="20"/>
          <w:szCs w:val="20"/>
          <w:color w:val="auto"/>
        </w:rPr>
      </w:pPr>
      <w:r>
        <w:rPr>
          <w:rFonts w:ascii="Arial" w:cs="Arial" w:eastAsia="Arial" w:hAnsi="Arial"/>
          <w:sz w:val="16"/>
          <w:szCs w:val="16"/>
          <w:color w:val="auto"/>
        </w:rPr>
        <w:t>Senior Vice President and Chief Accounting Officer (Principal Financial Officer and Principal Accounting Officer)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Director, Chairman of the Board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pacing w:after="0" w:line="357" w:lineRule="exact"/>
        <w:rPr>
          <w:sz w:val="20"/>
          <w:szCs w:val="20"/>
          <w:color w:val="auto"/>
        </w:rPr>
      </w:pPr>
    </w:p>
    <w:p>
      <w:pPr>
        <w:sectPr>
          <w:pgSz w:w="11900" w:h="16838" w:orient="portrait"/>
          <w:cols w:equalWidth="0" w:num="3">
            <w:col w:w="2520" w:space="540"/>
            <w:col w:w="5600" w:space="720"/>
            <w:col w:w="1660"/>
          </w:cols>
          <w:pgMar w:left="320" w:top="125" w:right="5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040"/>
          </w:cols>
          <w:pgMar w:left="320" w:top="125" w:right="539" w:bottom="1440" w:gutter="0" w:footer="0" w:header="0"/>
          <w:type w:val="continuous"/>
        </w:sectPr>
      </w:pPr>
    </w:p>
    <w:bookmarkStart w:id="120" w:name="page121"/>
    <w:bookmarkEnd w:id="120"/>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Deferred Compensation Plan</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Effective April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382905</wp:posOffset>
            </wp:positionV>
            <wp:extent cx="6986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520065</wp:posOffset>
            </wp:positionV>
            <wp:extent cx="53492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180" w:type="dxa"/>
            <w:vAlign w:val="bottom"/>
            <w:gridSpan w:val="3"/>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8"/>
        </w:trPr>
        <w:tc>
          <w:tcPr>
            <w:tcW w:w="9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1 Definitions</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100" w:type="dxa"/>
            <w:vAlign w:val="bottom"/>
            <w:gridSpan w:val="4"/>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40"/>
        </w:trPr>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ARTICLE 2 Selection, Enrollment, Eligibility</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4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Selection by Committee</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Enrollment Requirements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Eligibility; Commencement of Participation</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Termination of Participation and/or Deferrals</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540"/>
        </w:trPr>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ARTICLE 3 Deferral Commitments/Company Contribution/Crediting/Taxes</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54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Minimum Deferrals</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Maximum Deferral</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Election to Defer; Effect of Election Form</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Withholding of Annual Deferral Amounts</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Annual Company Contribution Amount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Rollover Amount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Investment of Trust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Vesting</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rPr>
              <w:t>Crediting/Debiting of Account Balances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0780"/>
          </w:cols>
          <w:pgMar w:left="560" w:top="1440" w:right="559" w:bottom="1440" w:gutter="0" w:footer="0" w:header="0"/>
        </w:sectPr>
      </w:pPr>
    </w:p>
    <w:bookmarkStart w:id="121" w:name="page122"/>
    <w:bookmarkEnd w:id="12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7280" w:type="dxa"/>
            <w:vAlign w:val="bottom"/>
          </w:tcPr>
          <w:p>
            <w:pPr>
              <w:ind w:left="140"/>
              <w:spacing w:after="0"/>
              <w:rPr>
                <w:sz w:val="20"/>
                <w:szCs w:val="20"/>
                <w:color w:val="auto"/>
              </w:rPr>
            </w:pPr>
            <w:r>
              <w:rPr>
                <w:rFonts w:ascii="Arial" w:cs="Arial" w:eastAsia="Arial" w:hAnsi="Arial"/>
                <w:sz w:val="18"/>
                <w:szCs w:val="18"/>
                <w:color w:val="auto"/>
              </w:rPr>
              <w:t>FICA and Other Taxes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40"/>
        </w:trPr>
        <w:tc>
          <w:tcPr>
            <w:tcW w:w="8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4 Unforeseeable Emergencies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4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7280" w:type="dxa"/>
            <w:vAlign w:val="bottom"/>
          </w:tcPr>
          <w:p>
            <w:pPr>
              <w:ind w:left="140"/>
              <w:spacing w:after="0"/>
              <w:rPr>
                <w:sz w:val="20"/>
                <w:szCs w:val="20"/>
                <w:color w:val="auto"/>
              </w:rPr>
            </w:pPr>
            <w:r>
              <w:rPr>
                <w:rFonts w:ascii="Arial" w:cs="Arial" w:eastAsia="Arial" w:hAnsi="Arial"/>
                <w:sz w:val="18"/>
                <w:szCs w:val="18"/>
                <w:color w:val="auto"/>
              </w:rPr>
              <w:t>Scheduled Distributions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7280" w:type="dxa"/>
            <w:vAlign w:val="bottom"/>
          </w:tcPr>
          <w:p>
            <w:pPr>
              <w:ind w:left="140"/>
              <w:spacing w:after="0"/>
              <w:rPr>
                <w:sz w:val="20"/>
                <w:szCs w:val="20"/>
                <w:color w:val="auto"/>
              </w:rPr>
            </w:pPr>
            <w:r>
              <w:rPr>
                <w:rFonts w:ascii="Arial" w:cs="Arial" w:eastAsia="Arial" w:hAnsi="Arial"/>
                <w:sz w:val="18"/>
                <w:szCs w:val="18"/>
                <w:color w:val="auto"/>
              </w:rPr>
              <w:t>Other Benefits Take Precedence Over Scheduled Distributions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7280" w:type="dxa"/>
            <w:vAlign w:val="bottom"/>
          </w:tcPr>
          <w:p>
            <w:pPr>
              <w:ind w:left="140"/>
              <w:spacing w:after="0"/>
              <w:rPr>
                <w:sz w:val="20"/>
                <w:szCs w:val="20"/>
                <w:color w:val="auto"/>
              </w:rPr>
            </w:pPr>
            <w:r>
              <w:rPr>
                <w:rFonts w:ascii="Arial" w:cs="Arial" w:eastAsia="Arial" w:hAnsi="Arial"/>
                <w:sz w:val="18"/>
                <w:szCs w:val="18"/>
                <w:color w:val="auto"/>
              </w:rPr>
              <w:t>Suspensions for Unforeseeable Emergencies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40"/>
        </w:trPr>
        <w:tc>
          <w:tcPr>
            <w:tcW w:w="8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5 Retirement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4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7280" w:type="dxa"/>
            <w:vAlign w:val="bottom"/>
          </w:tcPr>
          <w:p>
            <w:pPr>
              <w:ind w:left="140"/>
              <w:spacing w:after="0"/>
              <w:rPr>
                <w:sz w:val="20"/>
                <w:szCs w:val="20"/>
                <w:color w:val="auto"/>
              </w:rPr>
            </w:pPr>
            <w:r>
              <w:rPr>
                <w:rFonts w:ascii="Arial" w:cs="Arial" w:eastAsia="Arial" w:hAnsi="Arial"/>
                <w:sz w:val="18"/>
                <w:szCs w:val="18"/>
                <w:color w:val="auto"/>
              </w:rPr>
              <w:t>Retirement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7280" w:type="dxa"/>
            <w:vAlign w:val="bottom"/>
          </w:tcPr>
          <w:p>
            <w:pPr>
              <w:ind w:left="140"/>
              <w:spacing w:after="0"/>
              <w:rPr>
                <w:sz w:val="20"/>
                <w:szCs w:val="20"/>
                <w:color w:val="auto"/>
              </w:rPr>
            </w:pPr>
            <w:r>
              <w:rPr>
                <w:rFonts w:ascii="Arial" w:cs="Arial" w:eastAsia="Arial" w:hAnsi="Arial"/>
                <w:sz w:val="18"/>
                <w:szCs w:val="18"/>
                <w:color w:val="auto"/>
              </w:rPr>
              <w:t>Payment of Retirement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7280" w:type="dxa"/>
            <w:vAlign w:val="bottom"/>
          </w:tcPr>
          <w:p>
            <w:pPr>
              <w:ind w:left="140"/>
              <w:spacing w:after="0"/>
              <w:rPr>
                <w:sz w:val="20"/>
                <w:szCs w:val="20"/>
                <w:color w:val="auto"/>
              </w:rPr>
            </w:pPr>
            <w:r>
              <w:rPr>
                <w:rFonts w:ascii="Arial" w:cs="Arial" w:eastAsia="Arial" w:hAnsi="Arial"/>
                <w:sz w:val="18"/>
                <w:szCs w:val="18"/>
                <w:color w:val="auto"/>
              </w:rPr>
              <w:t>Death Prior to Completion of Retirement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40"/>
        </w:trPr>
        <w:tc>
          <w:tcPr>
            <w:tcW w:w="8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6 Pre-Retirement Survivor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4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7280" w:type="dxa"/>
            <w:vAlign w:val="bottom"/>
          </w:tcPr>
          <w:p>
            <w:pPr>
              <w:ind w:left="140"/>
              <w:spacing w:after="0"/>
              <w:rPr>
                <w:sz w:val="20"/>
                <w:szCs w:val="20"/>
                <w:color w:val="auto"/>
              </w:rPr>
            </w:pPr>
            <w:r>
              <w:rPr>
                <w:rFonts w:ascii="Arial" w:cs="Arial" w:eastAsia="Arial" w:hAnsi="Arial"/>
                <w:sz w:val="18"/>
                <w:szCs w:val="18"/>
                <w:color w:val="auto"/>
              </w:rPr>
              <w:t>Pre-Retirement Survivor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7280" w:type="dxa"/>
            <w:vAlign w:val="bottom"/>
          </w:tcPr>
          <w:p>
            <w:pPr>
              <w:ind w:left="140"/>
              <w:spacing w:after="0"/>
              <w:rPr>
                <w:sz w:val="20"/>
                <w:szCs w:val="20"/>
                <w:color w:val="auto"/>
              </w:rPr>
            </w:pPr>
            <w:r>
              <w:rPr>
                <w:rFonts w:ascii="Arial" w:cs="Arial" w:eastAsia="Arial" w:hAnsi="Arial"/>
                <w:sz w:val="18"/>
                <w:szCs w:val="18"/>
                <w:color w:val="auto"/>
              </w:rPr>
              <w:t>Payment of Pre-Retirement Survivor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40"/>
        </w:trPr>
        <w:tc>
          <w:tcPr>
            <w:tcW w:w="8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7 Termination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4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7280" w:type="dxa"/>
            <w:vAlign w:val="bottom"/>
          </w:tcPr>
          <w:p>
            <w:pPr>
              <w:ind w:left="140"/>
              <w:spacing w:after="0"/>
              <w:rPr>
                <w:sz w:val="20"/>
                <w:szCs w:val="20"/>
                <w:color w:val="auto"/>
              </w:rPr>
            </w:pPr>
            <w:r>
              <w:rPr>
                <w:rFonts w:ascii="Arial" w:cs="Arial" w:eastAsia="Arial" w:hAnsi="Arial"/>
                <w:sz w:val="18"/>
                <w:szCs w:val="18"/>
                <w:color w:val="auto"/>
              </w:rPr>
              <w:t>Termination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16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7280" w:type="dxa"/>
            <w:vAlign w:val="bottom"/>
          </w:tcPr>
          <w:p>
            <w:pPr>
              <w:ind w:left="140"/>
              <w:spacing w:after="0"/>
              <w:rPr>
                <w:sz w:val="20"/>
                <w:szCs w:val="20"/>
                <w:color w:val="auto"/>
              </w:rPr>
            </w:pPr>
            <w:r>
              <w:rPr>
                <w:rFonts w:ascii="Arial" w:cs="Arial" w:eastAsia="Arial" w:hAnsi="Arial"/>
                <w:sz w:val="18"/>
                <w:szCs w:val="18"/>
                <w:color w:val="auto"/>
              </w:rPr>
              <w:t>Payment of Termination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14"/>
        </w:trPr>
        <w:tc>
          <w:tcPr>
            <w:tcW w:w="1160" w:type="dxa"/>
            <w:vAlign w:val="bottom"/>
            <w:tcBorders>
              <w:bottom w:val="single" w:sz="8" w:color="999999"/>
            </w:tcBorders>
          </w:tcPr>
          <w:p>
            <w:pPr>
              <w:spacing w:after="0"/>
              <w:rPr>
                <w:sz w:val="24"/>
                <w:szCs w:val="24"/>
                <w:color w:val="auto"/>
              </w:rPr>
            </w:pPr>
          </w:p>
        </w:tc>
        <w:tc>
          <w:tcPr>
            <w:tcW w:w="7280" w:type="dxa"/>
            <w:vAlign w:val="bottom"/>
            <w:tcBorders>
              <w:bottom w:val="single" w:sz="8" w:color="999999"/>
            </w:tcBorders>
          </w:tcPr>
          <w:p>
            <w:pPr>
              <w:ind w:left="4440"/>
              <w:spacing w:after="0"/>
              <w:rPr>
                <w:sz w:val="20"/>
                <w:szCs w:val="20"/>
                <w:color w:val="auto"/>
              </w:rPr>
            </w:pPr>
            <w:r>
              <w:rPr>
                <w:rFonts w:ascii="Arial" w:cs="Arial" w:eastAsia="Arial" w:hAnsi="Arial"/>
                <w:sz w:val="18"/>
                <w:szCs w:val="18"/>
                <w:color w:val="auto"/>
              </w:rPr>
              <w:t>i</w:t>
            </w:r>
          </w:p>
        </w:tc>
        <w:tc>
          <w:tcPr>
            <w:tcW w:w="2560" w:type="dxa"/>
            <w:vAlign w:val="bottom"/>
          </w:tcPr>
          <w:p>
            <w:pPr>
              <w:spacing w:after="0"/>
              <w:rPr>
                <w:sz w:val="24"/>
                <w:szCs w:val="24"/>
                <w:color w:val="auto"/>
              </w:rPr>
            </w:pPr>
          </w:p>
        </w:tc>
      </w:tr>
      <w:tr>
        <w:trPr>
          <w:trHeight w:val="891"/>
        </w:trPr>
        <w:tc>
          <w:tcPr>
            <w:tcW w:w="844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8 Disability Waiver and Benefit</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000"/>
          </w:cols>
          <w:pgMar w:left="320" w:top="1440" w:right="579" w:bottom="1440" w:gutter="0" w:footer="0" w:header="0"/>
        </w:sectPr>
      </w:pPr>
    </w:p>
    <w:bookmarkStart w:id="122" w:name="page123"/>
    <w:bookmarkEnd w:id="12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6580" w:type="dxa"/>
            <w:vAlign w:val="bottom"/>
          </w:tcPr>
          <w:p>
            <w:pPr>
              <w:ind w:left="140"/>
              <w:spacing w:after="0"/>
              <w:rPr>
                <w:sz w:val="20"/>
                <w:szCs w:val="20"/>
                <w:color w:val="auto"/>
              </w:rPr>
            </w:pPr>
            <w:r>
              <w:rPr>
                <w:rFonts w:ascii="Arial" w:cs="Arial" w:eastAsia="Arial" w:hAnsi="Arial"/>
                <w:sz w:val="18"/>
                <w:szCs w:val="18"/>
                <w:color w:val="auto"/>
              </w:rPr>
              <w:t>Disability Waiver</w:t>
            </w:r>
          </w:p>
        </w:tc>
        <w:tc>
          <w:tcPr>
            <w:tcW w:w="3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6580" w:type="dxa"/>
            <w:vAlign w:val="bottom"/>
          </w:tcPr>
          <w:p>
            <w:pPr>
              <w:ind w:left="140"/>
              <w:spacing w:after="0"/>
              <w:rPr>
                <w:sz w:val="20"/>
                <w:szCs w:val="20"/>
                <w:color w:val="auto"/>
              </w:rPr>
            </w:pPr>
            <w:r>
              <w:rPr>
                <w:rFonts w:ascii="Arial" w:cs="Arial" w:eastAsia="Arial" w:hAnsi="Arial"/>
                <w:sz w:val="18"/>
                <w:szCs w:val="18"/>
                <w:color w:val="auto"/>
              </w:rPr>
              <w:t>Disability; Continued Eligibility</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4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9 Change In Control Benefit</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4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6580" w:type="dxa"/>
            <w:vAlign w:val="bottom"/>
          </w:tcPr>
          <w:p>
            <w:pPr>
              <w:ind w:left="140"/>
              <w:spacing w:after="0"/>
              <w:rPr>
                <w:sz w:val="20"/>
                <w:szCs w:val="20"/>
                <w:color w:val="auto"/>
              </w:rPr>
            </w:pPr>
            <w:r>
              <w:rPr>
                <w:rFonts w:ascii="Arial" w:cs="Arial" w:eastAsia="Arial" w:hAnsi="Arial"/>
                <w:sz w:val="18"/>
                <w:szCs w:val="18"/>
                <w:color w:val="auto"/>
              </w:rPr>
              <w:t>Change In Control Benefit</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6580" w:type="dxa"/>
            <w:vAlign w:val="bottom"/>
          </w:tcPr>
          <w:p>
            <w:pPr>
              <w:ind w:left="140"/>
              <w:spacing w:after="0"/>
              <w:rPr>
                <w:sz w:val="20"/>
                <w:szCs w:val="20"/>
                <w:color w:val="auto"/>
              </w:rPr>
            </w:pPr>
            <w:r>
              <w:rPr>
                <w:rFonts w:ascii="Arial" w:cs="Arial" w:eastAsia="Arial" w:hAnsi="Arial"/>
                <w:sz w:val="18"/>
                <w:szCs w:val="18"/>
                <w:color w:val="auto"/>
              </w:rPr>
              <w:t>Payment of Change In Control Benefit</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4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10 Beneficiary Designation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4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6580" w:type="dxa"/>
            <w:vAlign w:val="bottom"/>
          </w:tcPr>
          <w:p>
            <w:pPr>
              <w:ind w:left="140"/>
              <w:spacing w:after="0"/>
              <w:rPr>
                <w:sz w:val="20"/>
                <w:szCs w:val="20"/>
                <w:color w:val="auto"/>
              </w:rPr>
            </w:pPr>
            <w:r>
              <w:rPr>
                <w:rFonts w:ascii="Arial" w:cs="Arial" w:eastAsia="Arial" w:hAnsi="Arial"/>
                <w:sz w:val="18"/>
                <w:szCs w:val="18"/>
                <w:color w:val="auto"/>
              </w:rPr>
              <w:t>Beneficiary</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6580" w:type="dxa"/>
            <w:vAlign w:val="bottom"/>
          </w:tcPr>
          <w:p>
            <w:pPr>
              <w:ind w:left="140"/>
              <w:spacing w:after="0"/>
              <w:rPr>
                <w:sz w:val="20"/>
                <w:szCs w:val="20"/>
                <w:color w:val="auto"/>
              </w:rPr>
            </w:pPr>
            <w:r>
              <w:rPr>
                <w:rFonts w:ascii="Arial" w:cs="Arial" w:eastAsia="Arial" w:hAnsi="Arial"/>
                <w:sz w:val="18"/>
                <w:szCs w:val="18"/>
                <w:color w:val="auto"/>
              </w:rPr>
              <w:t>Beneficiary Designation; Change</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6580" w:type="dxa"/>
            <w:vAlign w:val="bottom"/>
          </w:tcPr>
          <w:p>
            <w:pPr>
              <w:ind w:left="140"/>
              <w:spacing w:after="0"/>
              <w:rPr>
                <w:sz w:val="20"/>
                <w:szCs w:val="20"/>
                <w:color w:val="auto"/>
              </w:rPr>
            </w:pPr>
            <w:r>
              <w:rPr>
                <w:rFonts w:ascii="Arial" w:cs="Arial" w:eastAsia="Arial" w:hAnsi="Arial"/>
                <w:sz w:val="18"/>
                <w:szCs w:val="18"/>
                <w:color w:val="auto"/>
              </w:rPr>
              <w:t>Acknowledgment</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6580" w:type="dxa"/>
            <w:vAlign w:val="bottom"/>
          </w:tcPr>
          <w:p>
            <w:pPr>
              <w:ind w:left="140"/>
              <w:spacing w:after="0"/>
              <w:rPr>
                <w:sz w:val="20"/>
                <w:szCs w:val="20"/>
                <w:color w:val="auto"/>
              </w:rPr>
            </w:pPr>
            <w:r>
              <w:rPr>
                <w:rFonts w:ascii="Arial" w:cs="Arial" w:eastAsia="Arial" w:hAnsi="Arial"/>
                <w:sz w:val="18"/>
                <w:szCs w:val="18"/>
                <w:color w:val="auto"/>
              </w:rPr>
              <w:t>No Beneficiary Designation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6580" w:type="dxa"/>
            <w:vAlign w:val="bottom"/>
          </w:tcPr>
          <w:p>
            <w:pPr>
              <w:ind w:left="140"/>
              <w:spacing w:after="0"/>
              <w:rPr>
                <w:sz w:val="20"/>
                <w:szCs w:val="20"/>
                <w:color w:val="auto"/>
              </w:rPr>
            </w:pPr>
            <w:r>
              <w:rPr>
                <w:rFonts w:ascii="Arial" w:cs="Arial" w:eastAsia="Arial" w:hAnsi="Arial"/>
                <w:sz w:val="18"/>
                <w:szCs w:val="18"/>
                <w:color w:val="auto"/>
              </w:rPr>
              <w:t>Doubt as to Beneficiary</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6580" w:type="dxa"/>
            <w:vAlign w:val="bottom"/>
          </w:tcPr>
          <w:p>
            <w:pPr>
              <w:ind w:left="140"/>
              <w:spacing w:after="0"/>
              <w:rPr>
                <w:sz w:val="20"/>
                <w:szCs w:val="20"/>
                <w:color w:val="auto"/>
              </w:rPr>
            </w:pPr>
            <w:r>
              <w:rPr>
                <w:rFonts w:ascii="Arial" w:cs="Arial" w:eastAsia="Arial" w:hAnsi="Arial"/>
                <w:sz w:val="18"/>
                <w:szCs w:val="18"/>
                <w:color w:val="auto"/>
              </w:rPr>
              <w:t>Discharge of Obligations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11 Leave of Absence</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6580" w:type="dxa"/>
            <w:vAlign w:val="bottom"/>
          </w:tcPr>
          <w:p>
            <w:pPr>
              <w:ind w:left="140"/>
              <w:spacing w:after="0"/>
              <w:rPr>
                <w:sz w:val="20"/>
                <w:szCs w:val="20"/>
                <w:color w:val="auto"/>
              </w:rPr>
            </w:pPr>
            <w:r>
              <w:rPr>
                <w:rFonts w:ascii="Arial" w:cs="Arial" w:eastAsia="Arial" w:hAnsi="Arial"/>
                <w:sz w:val="18"/>
                <w:szCs w:val="18"/>
                <w:color w:val="auto"/>
              </w:rPr>
              <w:t>Paid Leave of Absence</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6580" w:type="dxa"/>
            <w:vAlign w:val="bottom"/>
          </w:tcPr>
          <w:p>
            <w:pPr>
              <w:ind w:left="140"/>
              <w:spacing w:after="0"/>
              <w:rPr>
                <w:sz w:val="20"/>
                <w:szCs w:val="20"/>
                <w:color w:val="auto"/>
              </w:rPr>
            </w:pPr>
            <w:r>
              <w:rPr>
                <w:rFonts w:ascii="Arial" w:cs="Arial" w:eastAsia="Arial" w:hAnsi="Arial"/>
                <w:sz w:val="18"/>
                <w:szCs w:val="18"/>
                <w:color w:val="auto"/>
              </w:rPr>
              <w:t>Unpaid Leave of Absence</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4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12 Termination, Amendment or Modification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54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6580" w:type="dxa"/>
            <w:vAlign w:val="bottom"/>
          </w:tcPr>
          <w:p>
            <w:pPr>
              <w:ind w:left="140"/>
              <w:spacing w:after="0"/>
              <w:rPr>
                <w:sz w:val="20"/>
                <w:szCs w:val="20"/>
                <w:color w:val="auto"/>
              </w:rPr>
            </w:pPr>
            <w:r>
              <w:rPr>
                <w:rFonts w:ascii="Arial" w:cs="Arial" w:eastAsia="Arial" w:hAnsi="Arial"/>
                <w:sz w:val="18"/>
                <w:szCs w:val="18"/>
                <w:color w:val="auto"/>
              </w:rPr>
              <w:t>Termination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12.2</w:t>
            </w:r>
          </w:p>
        </w:tc>
        <w:tc>
          <w:tcPr>
            <w:tcW w:w="658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6580" w:type="dxa"/>
            <w:vAlign w:val="bottom"/>
          </w:tcPr>
          <w:p>
            <w:pPr>
              <w:ind w:left="140"/>
              <w:spacing w:after="0"/>
              <w:rPr>
                <w:sz w:val="20"/>
                <w:szCs w:val="20"/>
                <w:color w:val="auto"/>
              </w:rPr>
            </w:pPr>
            <w:r>
              <w:rPr>
                <w:rFonts w:ascii="Arial" w:cs="Arial" w:eastAsia="Arial" w:hAnsi="Arial"/>
                <w:sz w:val="18"/>
                <w:szCs w:val="18"/>
                <w:color w:val="auto"/>
              </w:rPr>
              <w:t>Plan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700"/>
          </w:cols>
          <w:pgMar w:left="560" w:top="1440" w:right="639" w:bottom="1440" w:gutter="0" w:footer="0" w:header="0"/>
        </w:sectPr>
      </w:pPr>
    </w:p>
    <w:bookmarkStart w:id="123" w:name="page124"/>
    <w:bookmarkEnd w:id="12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3780" w:type="dxa"/>
            <w:vAlign w:val="bottom"/>
          </w:tcPr>
          <w:p>
            <w:pPr>
              <w:ind w:left="140"/>
              <w:spacing w:after="0"/>
              <w:rPr>
                <w:sz w:val="20"/>
                <w:szCs w:val="20"/>
                <w:color w:val="auto"/>
              </w:rPr>
            </w:pPr>
            <w:r>
              <w:rPr>
                <w:rFonts w:ascii="Arial" w:cs="Arial" w:eastAsia="Arial" w:hAnsi="Arial"/>
                <w:sz w:val="18"/>
                <w:szCs w:val="18"/>
                <w:color w:val="auto"/>
              </w:rPr>
              <w:t>Effect of Payment</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540"/>
        </w:trPr>
        <w:tc>
          <w:tcPr>
            <w:tcW w:w="486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13 Administration</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54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3780" w:type="dxa"/>
            <w:vAlign w:val="bottom"/>
          </w:tcPr>
          <w:p>
            <w:pPr>
              <w:ind w:left="140"/>
              <w:spacing w:after="0"/>
              <w:rPr>
                <w:sz w:val="20"/>
                <w:szCs w:val="20"/>
                <w:color w:val="auto"/>
              </w:rPr>
            </w:pPr>
            <w:r>
              <w:rPr>
                <w:rFonts w:ascii="Arial" w:cs="Arial" w:eastAsia="Arial" w:hAnsi="Arial"/>
                <w:sz w:val="18"/>
                <w:szCs w:val="18"/>
                <w:color w:val="auto"/>
              </w:rPr>
              <w:t>Committee Duties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3780" w:type="dxa"/>
            <w:vAlign w:val="bottom"/>
          </w:tcPr>
          <w:p>
            <w:pPr>
              <w:ind w:left="140"/>
              <w:spacing w:after="0"/>
              <w:rPr>
                <w:sz w:val="20"/>
                <w:szCs w:val="20"/>
                <w:color w:val="auto"/>
              </w:rPr>
            </w:pPr>
            <w:r>
              <w:rPr>
                <w:rFonts w:ascii="Arial" w:cs="Arial" w:eastAsia="Arial" w:hAnsi="Arial"/>
                <w:sz w:val="18"/>
                <w:szCs w:val="18"/>
                <w:color w:val="auto"/>
              </w:rPr>
              <w:t>Administration Upon Change In Control</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3780" w:type="dxa"/>
            <w:vAlign w:val="bottom"/>
          </w:tcPr>
          <w:p>
            <w:pPr>
              <w:ind w:left="140"/>
              <w:spacing w:after="0"/>
              <w:rPr>
                <w:sz w:val="20"/>
                <w:szCs w:val="20"/>
                <w:color w:val="auto"/>
              </w:rPr>
            </w:pPr>
            <w:r>
              <w:rPr>
                <w:rFonts w:ascii="Arial" w:cs="Arial" w:eastAsia="Arial" w:hAnsi="Arial"/>
                <w:sz w:val="18"/>
                <w:szCs w:val="18"/>
                <w:color w:val="auto"/>
              </w:rPr>
              <w:t>Agents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3780" w:type="dxa"/>
            <w:vAlign w:val="bottom"/>
          </w:tcPr>
          <w:p>
            <w:pPr>
              <w:ind w:left="140"/>
              <w:spacing w:after="0"/>
              <w:rPr>
                <w:sz w:val="20"/>
                <w:szCs w:val="20"/>
                <w:color w:val="auto"/>
              </w:rPr>
            </w:pPr>
            <w:r>
              <w:rPr>
                <w:rFonts w:ascii="Arial" w:cs="Arial" w:eastAsia="Arial" w:hAnsi="Arial"/>
                <w:sz w:val="18"/>
                <w:szCs w:val="18"/>
                <w:color w:val="auto"/>
              </w:rPr>
              <w:t>Binding Effect of Decisions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3780" w:type="dxa"/>
            <w:vAlign w:val="bottom"/>
          </w:tcPr>
          <w:p>
            <w:pPr>
              <w:ind w:left="140"/>
              <w:spacing w:after="0"/>
              <w:rPr>
                <w:sz w:val="20"/>
                <w:szCs w:val="20"/>
                <w:color w:val="auto"/>
              </w:rPr>
            </w:pPr>
            <w:r>
              <w:rPr>
                <w:rFonts w:ascii="Arial" w:cs="Arial" w:eastAsia="Arial" w:hAnsi="Arial"/>
                <w:sz w:val="18"/>
                <w:szCs w:val="18"/>
                <w:color w:val="auto"/>
              </w:rPr>
              <w:t>Indemnity of Committee</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3780" w:type="dxa"/>
            <w:vAlign w:val="bottom"/>
          </w:tcPr>
          <w:p>
            <w:pPr>
              <w:ind w:left="140"/>
              <w:spacing w:after="0"/>
              <w:rPr>
                <w:sz w:val="20"/>
                <w:szCs w:val="20"/>
                <w:color w:val="auto"/>
              </w:rPr>
            </w:pPr>
            <w:r>
              <w:rPr>
                <w:rFonts w:ascii="Arial" w:cs="Arial" w:eastAsia="Arial" w:hAnsi="Arial"/>
                <w:sz w:val="18"/>
                <w:szCs w:val="18"/>
                <w:color w:val="auto"/>
              </w:rPr>
              <w:t>Employer Information</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540"/>
        </w:trPr>
        <w:tc>
          <w:tcPr>
            <w:tcW w:w="486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14 Other Benefits and Agreements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54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14.1</w:t>
            </w:r>
          </w:p>
        </w:tc>
        <w:tc>
          <w:tcPr>
            <w:tcW w:w="3780" w:type="dxa"/>
            <w:vAlign w:val="bottom"/>
          </w:tcPr>
          <w:p>
            <w:pPr>
              <w:ind w:left="140"/>
              <w:spacing w:after="0"/>
              <w:rPr>
                <w:sz w:val="20"/>
                <w:szCs w:val="20"/>
                <w:color w:val="auto"/>
              </w:rPr>
            </w:pPr>
            <w:r>
              <w:rPr>
                <w:rFonts w:ascii="Arial" w:cs="Arial" w:eastAsia="Arial" w:hAnsi="Arial"/>
                <w:sz w:val="18"/>
                <w:szCs w:val="18"/>
                <w:color w:val="auto"/>
              </w:rPr>
              <w:t>Coordination with Other Benefits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614"/>
        </w:trPr>
        <w:tc>
          <w:tcPr>
            <w:tcW w:w="1080" w:type="dxa"/>
            <w:vAlign w:val="bottom"/>
            <w:tcBorders>
              <w:bottom w:val="single" w:sz="8" w:color="999999"/>
            </w:tcBorders>
          </w:tcPr>
          <w:p>
            <w:pPr>
              <w:spacing w:after="0"/>
              <w:rPr>
                <w:sz w:val="24"/>
                <w:szCs w:val="24"/>
                <w:color w:val="auto"/>
              </w:rPr>
            </w:pPr>
          </w:p>
        </w:tc>
        <w:tc>
          <w:tcPr>
            <w:tcW w:w="3780" w:type="dxa"/>
            <w:vAlign w:val="bottom"/>
            <w:tcBorders>
              <w:bottom w:val="single" w:sz="8" w:color="999999"/>
            </w:tcBorders>
          </w:tcPr>
          <w:p>
            <w:pPr>
              <w:spacing w:after="0"/>
              <w:rPr>
                <w:sz w:val="24"/>
                <w:szCs w:val="24"/>
                <w:color w:val="auto"/>
              </w:rPr>
            </w:pPr>
          </w:p>
        </w:tc>
        <w:tc>
          <w:tcPr>
            <w:tcW w:w="3580" w:type="dxa"/>
            <w:vAlign w:val="bottom"/>
            <w:tcBorders>
              <w:bottom w:val="single" w:sz="8" w:color="999999"/>
            </w:tcBorders>
          </w:tcPr>
          <w:p>
            <w:pPr>
              <w:ind w:left="720"/>
              <w:spacing w:after="0"/>
              <w:rPr>
                <w:sz w:val="20"/>
                <w:szCs w:val="20"/>
                <w:color w:val="auto"/>
              </w:rPr>
            </w:pPr>
            <w:r>
              <w:rPr>
                <w:rFonts w:ascii="Arial" w:cs="Arial" w:eastAsia="Arial" w:hAnsi="Arial"/>
                <w:sz w:val="18"/>
                <w:szCs w:val="18"/>
                <w:color w:val="auto"/>
              </w:rPr>
              <w:t>ii</w:t>
            </w:r>
          </w:p>
        </w:tc>
        <w:tc>
          <w:tcPr>
            <w:tcW w:w="2500" w:type="dxa"/>
            <w:vAlign w:val="bottom"/>
          </w:tcPr>
          <w:p>
            <w:pPr>
              <w:spacing w:after="0"/>
              <w:rPr>
                <w:sz w:val="24"/>
                <w:szCs w:val="24"/>
                <w:color w:val="auto"/>
              </w:rPr>
            </w:pPr>
          </w:p>
        </w:tc>
      </w:tr>
      <w:tr>
        <w:trPr>
          <w:trHeight w:val="891"/>
        </w:trPr>
        <w:tc>
          <w:tcPr>
            <w:tcW w:w="486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15 Claims Procedures</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54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3780" w:type="dxa"/>
            <w:vAlign w:val="bottom"/>
          </w:tcPr>
          <w:p>
            <w:pPr>
              <w:ind w:left="140"/>
              <w:spacing w:after="0"/>
              <w:rPr>
                <w:sz w:val="20"/>
                <w:szCs w:val="20"/>
                <w:color w:val="auto"/>
              </w:rPr>
            </w:pPr>
            <w:r>
              <w:rPr>
                <w:rFonts w:ascii="Arial" w:cs="Arial" w:eastAsia="Arial" w:hAnsi="Arial"/>
                <w:sz w:val="18"/>
                <w:szCs w:val="18"/>
                <w:color w:val="auto"/>
              </w:rPr>
              <w:t>Presentation of Claim</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15.2</w:t>
            </w:r>
          </w:p>
        </w:tc>
        <w:tc>
          <w:tcPr>
            <w:tcW w:w="3780" w:type="dxa"/>
            <w:vAlign w:val="bottom"/>
          </w:tcPr>
          <w:p>
            <w:pPr>
              <w:ind w:left="140"/>
              <w:spacing w:after="0"/>
              <w:rPr>
                <w:sz w:val="20"/>
                <w:szCs w:val="20"/>
                <w:color w:val="auto"/>
              </w:rPr>
            </w:pPr>
            <w:r>
              <w:rPr>
                <w:rFonts w:ascii="Arial" w:cs="Arial" w:eastAsia="Arial" w:hAnsi="Arial"/>
                <w:sz w:val="18"/>
                <w:szCs w:val="18"/>
                <w:color w:val="auto"/>
              </w:rPr>
              <w:t>Notification of Decision</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3780" w:type="dxa"/>
            <w:vAlign w:val="bottom"/>
          </w:tcPr>
          <w:p>
            <w:pPr>
              <w:ind w:left="140"/>
              <w:spacing w:after="0"/>
              <w:rPr>
                <w:sz w:val="20"/>
                <w:szCs w:val="20"/>
                <w:color w:val="auto"/>
              </w:rPr>
            </w:pPr>
            <w:r>
              <w:rPr>
                <w:rFonts w:ascii="Arial" w:cs="Arial" w:eastAsia="Arial" w:hAnsi="Arial"/>
                <w:sz w:val="18"/>
                <w:szCs w:val="18"/>
                <w:color w:val="auto"/>
              </w:rPr>
              <w:t>Review of a Denied Claim</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3780" w:type="dxa"/>
            <w:vAlign w:val="bottom"/>
          </w:tcPr>
          <w:p>
            <w:pPr>
              <w:ind w:left="140"/>
              <w:spacing w:after="0"/>
              <w:rPr>
                <w:sz w:val="20"/>
                <w:szCs w:val="20"/>
                <w:color w:val="auto"/>
              </w:rPr>
            </w:pPr>
            <w:r>
              <w:rPr>
                <w:rFonts w:ascii="Arial" w:cs="Arial" w:eastAsia="Arial" w:hAnsi="Arial"/>
                <w:sz w:val="18"/>
                <w:szCs w:val="18"/>
                <w:color w:val="auto"/>
              </w:rPr>
              <w:t>Decision on Review</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08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3780" w:type="dxa"/>
            <w:vAlign w:val="bottom"/>
          </w:tcPr>
          <w:p>
            <w:pPr>
              <w:ind w:left="140"/>
              <w:spacing w:after="0"/>
              <w:rPr>
                <w:sz w:val="20"/>
                <w:szCs w:val="20"/>
                <w:color w:val="auto"/>
              </w:rPr>
            </w:pPr>
            <w:r>
              <w:rPr>
                <w:rFonts w:ascii="Arial" w:cs="Arial" w:eastAsia="Arial" w:hAnsi="Arial"/>
                <w:sz w:val="18"/>
                <w:szCs w:val="18"/>
                <w:color w:val="auto"/>
              </w:rPr>
              <w:t>Legal Action</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540"/>
        </w:trPr>
        <w:tc>
          <w:tcPr>
            <w:tcW w:w="4860" w:type="dxa"/>
            <w:vAlign w:val="bottom"/>
            <w:gridSpan w:val="2"/>
          </w:tcPr>
          <w:p>
            <w:pPr>
              <w:ind w:left="240"/>
              <w:spacing w:after="0"/>
              <w:rPr>
                <w:sz w:val="20"/>
                <w:szCs w:val="20"/>
                <w:color w:val="auto"/>
              </w:rPr>
            </w:pPr>
            <w:r>
              <w:rPr>
                <w:rFonts w:ascii="Arial" w:cs="Arial" w:eastAsia="Arial" w:hAnsi="Arial"/>
                <w:sz w:val="18"/>
                <w:szCs w:val="18"/>
                <w:b w:val="1"/>
                <w:bCs w:val="1"/>
                <w:color w:val="auto"/>
              </w:rPr>
              <w:t>ARTICLE 16 Trust</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940"/>
          </w:cols>
          <w:pgMar w:left="320" w:top="1440" w:right="639" w:bottom="1440" w:gutter="0" w:footer="0" w:header="0"/>
        </w:sectPr>
      </w:pPr>
    </w:p>
    <w:bookmarkStart w:id="124" w:name="page125"/>
    <w:bookmarkEnd w:id="12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6880" w:type="dxa"/>
            <w:vAlign w:val="bottom"/>
          </w:tcPr>
          <w:p>
            <w:pPr>
              <w:ind w:left="140"/>
              <w:spacing w:after="0"/>
              <w:rPr>
                <w:sz w:val="20"/>
                <w:szCs w:val="20"/>
                <w:color w:val="auto"/>
              </w:rPr>
            </w:pPr>
            <w:r>
              <w:rPr>
                <w:rFonts w:ascii="Arial" w:cs="Arial" w:eastAsia="Arial" w:hAnsi="Arial"/>
                <w:sz w:val="18"/>
                <w:szCs w:val="18"/>
                <w:color w:val="auto"/>
              </w:rPr>
              <w:t>Establishment of the Trust</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6880" w:type="dxa"/>
            <w:vAlign w:val="bottom"/>
          </w:tcPr>
          <w:p>
            <w:pPr>
              <w:ind w:left="140"/>
              <w:spacing w:after="0"/>
              <w:rPr>
                <w:sz w:val="20"/>
                <w:szCs w:val="20"/>
                <w:color w:val="auto"/>
              </w:rPr>
            </w:pPr>
            <w:r>
              <w:rPr>
                <w:rFonts w:ascii="Arial" w:cs="Arial" w:eastAsia="Arial" w:hAnsi="Arial"/>
                <w:sz w:val="18"/>
                <w:szCs w:val="18"/>
                <w:color w:val="auto"/>
              </w:rPr>
              <w:t>Interrelationship of the Plan and the Trust</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6880" w:type="dxa"/>
            <w:vAlign w:val="bottom"/>
          </w:tcPr>
          <w:p>
            <w:pPr>
              <w:ind w:left="140"/>
              <w:spacing w:after="0"/>
              <w:rPr>
                <w:sz w:val="20"/>
                <w:szCs w:val="20"/>
                <w:color w:val="auto"/>
              </w:rPr>
            </w:pPr>
            <w:r>
              <w:rPr>
                <w:rFonts w:ascii="Arial" w:cs="Arial" w:eastAsia="Arial" w:hAnsi="Arial"/>
                <w:sz w:val="18"/>
                <w:szCs w:val="18"/>
                <w:color w:val="auto"/>
              </w:rPr>
              <w:t>Distributions From the Trust</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ARTICLE 17 Miscellaneous</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4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w:t>
            </w:r>
          </w:p>
        </w:tc>
        <w:tc>
          <w:tcPr>
            <w:tcW w:w="6880" w:type="dxa"/>
            <w:vAlign w:val="bottom"/>
          </w:tcPr>
          <w:p>
            <w:pPr>
              <w:ind w:left="140"/>
              <w:spacing w:after="0"/>
              <w:rPr>
                <w:sz w:val="20"/>
                <w:szCs w:val="20"/>
                <w:color w:val="auto"/>
              </w:rPr>
            </w:pPr>
            <w:r>
              <w:rPr>
                <w:rFonts w:ascii="Arial" w:cs="Arial" w:eastAsia="Arial" w:hAnsi="Arial"/>
                <w:sz w:val="18"/>
                <w:szCs w:val="18"/>
                <w:color w:val="auto"/>
              </w:rPr>
              <w:t>Status of Plan</w:t>
            </w:r>
          </w:p>
        </w:tc>
        <w:tc>
          <w:tcPr>
            <w:tcW w:w="2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6880" w:type="dxa"/>
            <w:vAlign w:val="bottom"/>
          </w:tcPr>
          <w:p>
            <w:pPr>
              <w:ind w:left="140"/>
              <w:spacing w:after="0"/>
              <w:rPr>
                <w:sz w:val="20"/>
                <w:szCs w:val="20"/>
                <w:color w:val="auto"/>
              </w:rPr>
            </w:pPr>
            <w:r>
              <w:rPr>
                <w:rFonts w:ascii="Arial" w:cs="Arial" w:eastAsia="Arial" w:hAnsi="Arial"/>
                <w:sz w:val="18"/>
                <w:szCs w:val="18"/>
                <w:color w:val="auto"/>
              </w:rPr>
              <w:t>Unsecured General Creditor</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6880" w:type="dxa"/>
            <w:vAlign w:val="bottom"/>
          </w:tcPr>
          <w:p>
            <w:pPr>
              <w:ind w:left="140"/>
              <w:spacing w:after="0"/>
              <w:rPr>
                <w:sz w:val="20"/>
                <w:szCs w:val="20"/>
                <w:color w:val="auto"/>
              </w:rPr>
            </w:pPr>
            <w:r>
              <w:rPr>
                <w:rFonts w:ascii="Arial" w:cs="Arial" w:eastAsia="Arial" w:hAnsi="Arial"/>
                <w:sz w:val="18"/>
                <w:szCs w:val="18"/>
                <w:color w:val="auto"/>
              </w:rPr>
              <w:t>Employer’s Liability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6880" w:type="dxa"/>
            <w:vAlign w:val="bottom"/>
          </w:tcPr>
          <w:p>
            <w:pPr>
              <w:ind w:left="140"/>
              <w:spacing w:after="0"/>
              <w:rPr>
                <w:sz w:val="20"/>
                <w:szCs w:val="20"/>
                <w:color w:val="auto"/>
              </w:rPr>
            </w:pPr>
            <w:r>
              <w:rPr>
                <w:rFonts w:ascii="Arial" w:cs="Arial" w:eastAsia="Arial" w:hAnsi="Arial"/>
                <w:sz w:val="18"/>
                <w:szCs w:val="18"/>
                <w:color w:val="auto"/>
              </w:rPr>
              <w:t>Nonassignability</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6880" w:type="dxa"/>
            <w:vAlign w:val="bottom"/>
          </w:tcPr>
          <w:p>
            <w:pPr>
              <w:ind w:left="140"/>
              <w:spacing w:after="0"/>
              <w:rPr>
                <w:sz w:val="20"/>
                <w:szCs w:val="20"/>
                <w:color w:val="auto"/>
              </w:rPr>
            </w:pPr>
            <w:r>
              <w:rPr>
                <w:rFonts w:ascii="Arial" w:cs="Arial" w:eastAsia="Arial" w:hAnsi="Arial"/>
                <w:sz w:val="18"/>
                <w:szCs w:val="18"/>
                <w:color w:val="auto"/>
              </w:rPr>
              <w:t>Not a Contract of Employment</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6880" w:type="dxa"/>
            <w:vAlign w:val="bottom"/>
          </w:tcPr>
          <w:p>
            <w:pPr>
              <w:ind w:left="140"/>
              <w:spacing w:after="0"/>
              <w:rPr>
                <w:sz w:val="20"/>
                <w:szCs w:val="20"/>
                <w:color w:val="auto"/>
              </w:rPr>
            </w:pPr>
            <w:r>
              <w:rPr>
                <w:rFonts w:ascii="Arial" w:cs="Arial" w:eastAsia="Arial" w:hAnsi="Arial"/>
                <w:sz w:val="18"/>
                <w:szCs w:val="18"/>
                <w:color w:val="auto"/>
              </w:rPr>
              <w:t>Furnishing Information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6880" w:type="dxa"/>
            <w:vAlign w:val="bottom"/>
          </w:tcPr>
          <w:p>
            <w:pPr>
              <w:ind w:left="140"/>
              <w:spacing w:after="0"/>
              <w:rPr>
                <w:sz w:val="20"/>
                <w:szCs w:val="20"/>
                <w:color w:val="auto"/>
              </w:rPr>
            </w:pPr>
            <w:r>
              <w:rPr>
                <w:rFonts w:ascii="Arial" w:cs="Arial" w:eastAsia="Arial" w:hAnsi="Arial"/>
                <w:sz w:val="18"/>
                <w:szCs w:val="18"/>
                <w:color w:val="auto"/>
              </w:rPr>
              <w:t>Terms</w:t>
            </w:r>
          </w:p>
        </w:tc>
        <w:tc>
          <w:tcPr>
            <w:tcW w:w="2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6880" w:type="dxa"/>
            <w:vAlign w:val="bottom"/>
          </w:tcPr>
          <w:p>
            <w:pPr>
              <w:ind w:left="140"/>
              <w:spacing w:after="0"/>
              <w:rPr>
                <w:sz w:val="20"/>
                <w:szCs w:val="20"/>
                <w:color w:val="auto"/>
              </w:rPr>
            </w:pPr>
            <w:r>
              <w:rPr>
                <w:rFonts w:ascii="Arial" w:cs="Arial" w:eastAsia="Arial" w:hAnsi="Arial"/>
                <w:sz w:val="18"/>
                <w:szCs w:val="18"/>
                <w:color w:val="auto"/>
              </w:rPr>
              <w:t>Captions</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68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17.10</w:t>
            </w:r>
          </w:p>
        </w:tc>
        <w:tc>
          <w:tcPr>
            <w:tcW w:w="6880" w:type="dxa"/>
            <w:vAlign w:val="bottom"/>
          </w:tcPr>
          <w:p>
            <w:pPr>
              <w:ind w:left="140"/>
              <w:spacing w:after="0"/>
              <w:rPr>
                <w:sz w:val="20"/>
                <w:szCs w:val="20"/>
                <w:color w:val="auto"/>
              </w:rPr>
            </w:pPr>
            <w:r>
              <w:rPr>
                <w:rFonts w:ascii="Arial" w:cs="Arial" w:eastAsia="Arial" w:hAnsi="Arial"/>
                <w:sz w:val="18"/>
                <w:szCs w:val="18"/>
                <w:color w:val="auto"/>
              </w:rPr>
              <w:t>Notice</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17.11</w:t>
            </w:r>
          </w:p>
        </w:tc>
        <w:tc>
          <w:tcPr>
            <w:tcW w:w="688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17.12</w:t>
            </w:r>
          </w:p>
        </w:tc>
        <w:tc>
          <w:tcPr>
            <w:tcW w:w="6880" w:type="dxa"/>
            <w:vAlign w:val="bottom"/>
          </w:tcPr>
          <w:p>
            <w:pPr>
              <w:ind w:left="140"/>
              <w:spacing w:after="0"/>
              <w:rPr>
                <w:sz w:val="20"/>
                <w:szCs w:val="20"/>
                <w:color w:val="auto"/>
              </w:rPr>
            </w:pPr>
            <w:r>
              <w:rPr>
                <w:rFonts w:ascii="Arial" w:cs="Arial" w:eastAsia="Arial" w:hAnsi="Arial"/>
                <w:sz w:val="18"/>
                <w:szCs w:val="18"/>
                <w:color w:val="auto"/>
              </w:rPr>
              <w:t>Spouse’s Interest</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17.13</w:t>
            </w:r>
          </w:p>
        </w:tc>
        <w:tc>
          <w:tcPr>
            <w:tcW w:w="6880" w:type="dxa"/>
            <w:vAlign w:val="bottom"/>
          </w:tcPr>
          <w:p>
            <w:pPr>
              <w:ind w:left="140"/>
              <w:spacing w:after="0"/>
              <w:rPr>
                <w:sz w:val="20"/>
                <w:szCs w:val="20"/>
                <w:color w:val="auto"/>
              </w:rPr>
            </w:pPr>
            <w:r>
              <w:rPr>
                <w:rFonts w:ascii="Arial" w:cs="Arial" w:eastAsia="Arial" w:hAnsi="Arial"/>
                <w:sz w:val="18"/>
                <w:szCs w:val="18"/>
                <w:color w:val="auto"/>
              </w:rPr>
              <w:t>Validity</w:t>
            </w:r>
          </w:p>
        </w:tc>
        <w:tc>
          <w:tcPr>
            <w:tcW w:w="2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17.14</w:t>
            </w:r>
          </w:p>
        </w:tc>
        <w:tc>
          <w:tcPr>
            <w:tcW w:w="6880" w:type="dxa"/>
            <w:vAlign w:val="bottom"/>
          </w:tcPr>
          <w:p>
            <w:pPr>
              <w:ind w:left="140"/>
              <w:spacing w:after="0"/>
              <w:rPr>
                <w:sz w:val="20"/>
                <w:szCs w:val="20"/>
                <w:color w:val="auto"/>
              </w:rPr>
            </w:pPr>
            <w:r>
              <w:rPr>
                <w:rFonts w:ascii="Arial" w:cs="Arial" w:eastAsia="Arial" w:hAnsi="Arial"/>
                <w:sz w:val="18"/>
                <w:szCs w:val="18"/>
                <w:color w:val="auto"/>
              </w:rPr>
              <w:t>Incompetent</w:t>
            </w:r>
          </w:p>
        </w:tc>
        <w:tc>
          <w:tcPr>
            <w:tcW w:w="2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17.15</w:t>
            </w:r>
          </w:p>
        </w:tc>
        <w:tc>
          <w:tcPr>
            <w:tcW w:w="6880" w:type="dxa"/>
            <w:vAlign w:val="bottom"/>
          </w:tcPr>
          <w:p>
            <w:pPr>
              <w:ind w:left="140"/>
              <w:spacing w:after="0"/>
              <w:rPr>
                <w:sz w:val="20"/>
                <w:szCs w:val="20"/>
                <w:color w:val="auto"/>
              </w:rPr>
            </w:pPr>
            <w:r>
              <w:rPr>
                <w:rFonts w:ascii="Arial" w:cs="Arial" w:eastAsia="Arial" w:hAnsi="Arial"/>
                <w:sz w:val="18"/>
                <w:szCs w:val="18"/>
                <w:color w:val="auto"/>
              </w:rPr>
              <w:t>Distribution in the Event of Taxation</w:t>
            </w:r>
          </w:p>
        </w:tc>
        <w:tc>
          <w:tcPr>
            <w:tcW w:w="2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17.16</w:t>
            </w:r>
          </w:p>
        </w:tc>
        <w:tc>
          <w:tcPr>
            <w:tcW w:w="688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17.17</w:t>
            </w:r>
          </w:p>
        </w:tc>
        <w:tc>
          <w:tcPr>
            <w:tcW w:w="6880" w:type="dxa"/>
            <w:vAlign w:val="bottom"/>
          </w:tcPr>
          <w:p>
            <w:pPr>
              <w:ind w:left="140"/>
              <w:spacing w:after="0"/>
              <w:rPr>
                <w:sz w:val="20"/>
                <w:szCs w:val="20"/>
                <w:color w:val="auto"/>
              </w:rPr>
            </w:pPr>
            <w:r>
              <w:rPr>
                <w:rFonts w:ascii="Arial" w:cs="Arial" w:eastAsia="Arial" w:hAnsi="Arial"/>
                <w:sz w:val="18"/>
                <w:szCs w:val="18"/>
                <w:color w:val="auto"/>
              </w:rPr>
              <w:t>Legal Fees To Enforce Rights After Change in Control</w:t>
            </w: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17.18</w:t>
            </w:r>
          </w:p>
        </w:tc>
        <w:tc>
          <w:tcPr>
            <w:tcW w:w="6880" w:type="dxa"/>
            <w:vAlign w:val="bottom"/>
          </w:tcPr>
          <w:p>
            <w:pPr>
              <w:ind w:left="140"/>
              <w:spacing w:after="0"/>
              <w:rPr>
                <w:sz w:val="20"/>
                <w:szCs w:val="20"/>
                <w:color w:val="auto"/>
              </w:rPr>
            </w:pPr>
            <w:r>
              <w:rPr>
                <w:rFonts w:ascii="Arial" w:cs="Arial" w:eastAsia="Arial" w:hAnsi="Arial"/>
                <w:sz w:val="18"/>
                <w:szCs w:val="18"/>
                <w:color w:val="auto"/>
              </w:rPr>
              <w:t>Domestic Relations Orders</w:t>
            </w: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40" w:type="dxa"/>
            <w:vAlign w:val="bottom"/>
          </w:tcPr>
          <w:p>
            <w:pPr>
              <w:jc w:val="right"/>
              <w:ind w:right="50"/>
              <w:spacing w:after="0"/>
              <w:rPr>
                <w:sz w:val="20"/>
                <w:szCs w:val="20"/>
                <w:color w:val="auto"/>
              </w:rPr>
            </w:pPr>
            <w:r>
              <w:rPr>
                <w:rFonts w:ascii="Arial" w:cs="Arial" w:eastAsia="Arial" w:hAnsi="Arial"/>
                <w:sz w:val="18"/>
                <w:szCs w:val="18"/>
                <w:color w:val="auto"/>
              </w:rPr>
              <w:t>17.19</w:t>
            </w:r>
          </w:p>
        </w:tc>
        <w:tc>
          <w:tcPr>
            <w:tcW w:w="6880" w:type="dxa"/>
            <w:vAlign w:val="bottom"/>
          </w:tcPr>
          <w:p>
            <w:pPr>
              <w:ind w:left="140"/>
              <w:spacing w:after="0"/>
              <w:rPr>
                <w:sz w:val="20"/>
                <w:szCs w:val="20"/>
                <w:color w:val="auto"/>
              </w:rPr>
            </w:pPr>
            <w:r>
              <w:rPr>
                <w:rFonts w:ascii="Arial" w:cs="Arial" w:eastAsia="Arial" w:hAnsi="Arial"/>
                <w:sz w:val="18"/>
                <w:szCs w:val="18"/>
                <w:color w:val="auto"/>
              </w:rPr>
              <w:t>Section 409A of the Code</w:t>
            </w:r>
          </w:p>
        </w:tc>
        <w:tc>
          <w:tcPr>
            <w:tcW w:w="298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0700"/>
          </w:cols>
          <w:pgMar w:left="560" w:top="1440" w:right="639" w:bottom="1440" w:gutter="0" w:footer="0" w:header="0"/>
        </w:sectPr>
      </w:pPr>
    </w:p>
    <w:bookmarkStart w:id="125" w:name="page126"/>
    <w:bookmarkEnd w:id="125"/>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0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PENN NATIONAL GAMING,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Deferred Compensation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Effective April 4, 2013</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The purpose of this Plan is to provide specified deferred compensation benefits to a select group of management and highly compensated Employees who contribute materially to the continued growth, development and future business success of Penn National Gaming, Inc., a Pennsylvania corporation, and its subsidiaries and affiliates, if any, that participate in this Plan. This Plan is unfunded for tax purposes and for purposes of Title I of ERISA.</w:t>
      </w:r>
    </w:p>
    <w:p>
      <w:pPr>
        <w:spacing w:after="0" w:line="36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purposes of this Plan, unless otherwise clearly apparent from the context, the following phrases or terms have the following indicated meanings:</w:t>
      </w:r>
    </w:p>
    <w:p>
      <w:pPr>
        <w:spacing w:after="0" w:line="20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“Account” means the account established for each Participant in the Plan.</w:t>
      </w:r>
    </w:p>
    <w:p>
      <w:pPr>
        <w:spacing w:after="0" w:line="200" w:lineRule="exact"/>
        <w:rPr>
          <w:sz w:val="20"/>
          <w:szCs w:val="20"/>
          <w:color w:val="auto"/>
        </w:rPr>
      </w:pPr>
    </w:p>
    <w:p>
      <w:pPr>
        <w:spacing w:after="0" w:line="201" w:lineRule="exact"/>
        <w:rPr>
          <w:sz w:val="20"/>
          <w:szCs w:val="20"/>
          <w:color w:val="auto"/>
        </w:rPr>
      </w:pPr>
    </w:p>
    <w:p>
      <w:pPr>
        <w:ind w:left="440" w:right="220" w:hanging="417"/>
        <w:spacing w:after="0" w:line="259" w:lineRule="auto"/>
        <w:tabs>
          <w:tab w:leader="none" w:pos="420" w:val="left"/>
        </w:tabs>
        <w:rPr>
          <w:sz w:val="20"/>
          <w:szCs w:val="20"/>
          <w:color w:val="auto"/>
        </w:rPr>
      </w:pPr>
      <w:r>
        <w:rPr>
          <w:rFonts w:ascii="Arial" w:cs="Arial" w:eastAsia="Arial" w:hAnsi="Arial"/>
          <w:sz w:val="18"/>
          <w:szCs w:val="18"/>
          <w:color w:val="auto"/>
        </w:rPr>
        <w:t>1.2</w:t>
        <w:tab/>
        <w:t>“Account Balance” means, with respect to a Participant, a credit on the records of the Employer equal to the sum of (a) the Deferral Account balance, (b) the Company Contribution Account balance and (c) the Rollover Account balance. The Account Balance will be a bookkeeping entry only and will be used solely to measure and determine the amounts to be paid to a Participant, or his or her designated Beneficiary, pursuant to this Plan.</w:t>
      </w:r>
    </w:p>
    <w:p>
      <w:pPr>
        <w:spacing w:after="0" w:line="376" w:lineRule="exact"/>
        <w:rPr>
          <w:sz w:val="20"/>
          <w:szCs w:val="20"/>
          <w:color w:val="auto"/>
        </w:rPr>
      </w:pPr>
    </w:p>
    <w:p>
      <w:pPr>
        <w:ind w:left="440" w:right="240" w:hanging="417"/>
        <w:spacing w:after="0" w:line="311" w:lineRule="auto"/>
        <w:tabs>
          <w:tab w:leader="none" w:pos="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“Annual Bonus” means any compensation, in addition to Base Annual Salary, relating to services performed during any calendar year, whether or not paid in that calendar year or included on the Federal Income Tax Form W-2 for that calendar year, payable to a Participant as an Employee under any Employer’s annual bonus and cash incentive plans, excluding Stock options, restricted Stock or any other Stock awards.</w:t>
      </w:r>
    </w:p>
    <w:p>
      <w:pPr>
        <w:spacing w:after="0" w:line="33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“Annual Company Contribution Amount” means, for any one Plan Year, the amount determined in accordance with Section 3.5.</w:t>
      </w:r>
    </w:p>
    <w:p>
      <w:pPr>
        <w:spacing w:after="0" w:line="200" w:lineRule="exact"/>
        <w:rPr>
          <w:sz w:val="20"/>
          <w:szCs w:val="20"/>
          <w:color w:val="auto"/>
        </w:rPr>
      </w:pPr>
    </w:p>
    <w:p>
      <w:pPr>
        <w:spacing w:after="0" w:line="201" w:lineRule="exact"/>
        <w:rPr>
          <w:sz w:val="20"/>
          <w:szCs w:val="20"/>
          <w:color w:val="auto"/>
        </w:rPr>
      </w:pPr>
    </w:p>
    <w:p>
      <w:pPr>
        <w:ind w:left="440" w:right="440" w:hanging="417"/>
        <w:spacing w:after="0" w:line="277" w:lineRule="auto"/>
        <w:tabs>
          <w:tab w:leader="none" w:pos="420" w:val="left"/>
        </w:tabs>
        <w:rPr>
          <w:sz w:val="20"/>
          <w:szCs w:val="20"/>
          <w:color w:val="auto"/>
        </w:rPr>
      </w:pPr>
      <w:r>
        <w:rPr>
          <w:rFonts w:ascii="Arial" w:cs="Arial" w:eastAsia="Arial" w:hAnsi="Arial"/>
          <w:sz w:val="18"/>
          <w:szCs w:val="18"/>
          <w:color w:val="auto"/>
        </w:rPr>
        <w:t>1.5</w:t>
        <w:tab/>
        <w:t>“Annual Deferral Amount” means that portion of a Participant’s Base Annual Salary and Annual Bonus that a Participant elects to defer, and is deferred, in accordance with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3492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39" w:lineRule="exact"/>
        <w:rPr>
          <w:sz w:val="20"/>
          <w:szCs w:val="20"/>
          <w:color w:val="auto"/>
        </w:rPr>
      </w:pPr>
    </w:p>
    <w:p>
      <w:pPr>
        <w:ind w:left="440" w:right="260"/>
        <w:spacing w:after="0" w:line="342" w:lineRule="auto"/>
        <w:rPr>
          <w:sz w:val="20"/>
          <w:szCs w:val="20"/>
          <w:color w:val="auto"/>
        </w:rPr>
      </w:pPr>
      <w:r>
        <w:rPr>
          <w:rFonts w:ascii="Arial" w:cs="Arial" w:eastAsia="Arial" w:hAnsi="Arial"/>
          <w:sz w:val="16"/>
          <w:szCs w:val="16"/>
          <w:color w:val="auto"/>
        </w:rPr>
        <w:t>3, for any one Plan Year. In the event of a Participant’s Retirement, Disability (if deferrals cease in accordance with Section 8.1), death, or a Separation from Service before the end of a Plan Year, that year’s Annual Deferral Amount will be the actual amount withheld prior to that event.</w:t>
      </w:r>
    </w:p>
    <w:p>
      <w:pPr>
        <w:sectPr>
          <w:pgSz w:w="11900" w:h="16838" w:orient="portrait"/>
          <w:cols w:equalWidth="0" w:num="1">
            <w:col w:w="11180"/>
          </w:cols>
          <w:pgMar w:left="320" w:top="1440" w:right="399" w:bottom="1440" w:gutter="0" w:footer="0" w:header="0"/>
        </w:sectPr>
      </w:pPr>
    </w:p>
    <w:bookmarkStart w:id="126" w:name="page127"/>
    <w:bookmarkEnd w:id="126"/>
    <w:p>
      <w:pPr>
        <w:spacing w:after="0" w:line="36" w:lineRule="exact"/>
        <w:rPr>
          <w:sz w:val="20"/>
          <w:szCs w:val="20"/>
          <w:color w:val="auto"/>
        </w:rPr>
      </w:pPr>
    </w:p>
    <w:p>
      <w:pPr>
        <w:ind w:left="420" w:right="60" w:hanging="417"/>
        <w:spacing w:after="0" w:line="272" w:lineRule="auto"/>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“Annual Installment Method” means annual installment payments over the number of years selected by the Participant in accordance with this Plan. The Account Balance of the Participant will be calculated as of the close of business on or around the Participant’s Benefit Distribution Date. The annual installment will be calculated by multiplying this balance by a fraction, the numerator of which is one, and the denominator of which is the remaining number of annual payments due the Participant. By way of example, if the Participant elects a 10-year Annual Installment Method, the first payment will be 1/10 of the Account Balance, calculated as described in this definition. The following year, the payment will be 1/9 of the Account Balance, calculated as described in this definition. Each annual installment shall be calculated and paid on or around the anniversary of the Participant’s Benefit Distribution Date.</w:t>
      </w:r>
    </w:p>
    <w:p>
      <w:pPr>
        <w:spacing w:after="0" w:line="366" w:lineRule="exact"/>
        <w:rPr>
          <w:sz w:val="20"/>
          <w:szCs w:val="20"/>
          <w:color w:val="auto"/>
        </w:rPr>
      </w:pPr>
    </w:p>
    <w:p>
      <w:pPr>
        <w:ind w:left="420" w:hanging="417"/>
        <w:spacing w:after="0" w:line="270" w:lineRule="auto"/>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“Base Annual Salary” means the annual cash compensation relating to services performed during any calendar year, whether or not paid in that calendar year or included on the Federal Income Tax Form W-2 for that calendar year, excluding bonuses, commissions, overtime, fringe benefits, Stock options or other Stock awards, relocation expenses, incentive payments, non-monetary awards, directors fees and other fees, automobile and other allowances paid to a Participant for employment services rendered (whether or not such allowances are included in the Employee’s gross income). Base Annual Salary will be calculated before reduction for compensation voluntarily deferred or contributed by the Participant pursuant to any qualified or non-qualified plans of any Employer and will be calculated to include amounts not otherwise included in the Participant’s gross income under Code Sections 125, 402(e)(3), 402(h) and 132(f)(4), pursuant to plans established by any Employer; provided, however, that all such amounts will be included in compensation only to the extent that, had there been no such plan, the amount would have been payable in cash to the Employee.</w:t>
      </w:r>
    </w:p>
    <w:p>
      <w:pPr>
        <w:spacing w:after="0" w:line="356" w:lineRule="exact"/>
        <w:rPr>
          <w:sz w:val="20"/>
          <w:szCs w:val="20"/>
          <w:color w:val="auto"/>
        </w:rPr>
      </w:pPr>
    </w:p>
    <w:p>
      <w:pPr>
        <w:ind w:left="420" w:right="80" w:hanging="417"/>
        <w:spacing w:after="0" w:line="277" w:lineRule="auto"/>
        <w:tabs>
          <w:tab w:leader="none" w:pos="400" w:val="left"/>
        </w:tabs>
        <w:rPr>
          <w:sz w:val="20"/>
          <w:szCs w:val="20"/>
          <w:color w:val="auto"/>
        </w:rPr>
      </w:pPr>
      <w:r>
        <w:rPr>
          <w:rFonts w:ascii="Arial" w:cs="Arial" w:eastAsia="Arial" w:hAnsi="Arial"/>
          <w:sz w:val="18"/>
          <w:szCs w:val="18"/>
          <w:color w:val="auto"/>
        </w:rPr>
        <w:t>1.8</w:t>
        <w:tab/>
        <w:t>“Beneficiary” means, with respect to a Participant, one or more persons, trusts, estates or other entities, designated in accordance with Article 10, that are entitled to receive benefits under this Plan upon the Participant’s death.</w:t>
      </w:r>
    </w:p>
    <w:p>
      <w:pPr>
        <w:spacing w:after="0" w:line="359" w:lineRule="exact"/>
        <w:rPr>
          <w:sz w:val="20"/>
          <w:szCs w:val="20"/>
          <w:color w:val="auto"/>
        </w:rPr>
      </w:pPr>
    </w:p>
    <w:p>
      <w:pPr>
        <w:ind w:left="420" w:right="140" w:hanging="417"/>
        <w:spacing w:after="0" w:line="277" w:lineRule="auto"/>
        <w:tabs>
          <w:tab w:leader="none" w:pos="400" w:val="left"/>
        </w:tabs>
        <w:rPr>
          <w:sz w:val="20"/>
          <w:szCs w:val="20"/>
          <w:color w:val="auto"/>
        </w:rPr>
      </w:pPr>
      <w:r>
        <w:rPr>
          <w:rFonts w:ascii="Arial" w:cs="Arial" w:eastAsia="Arial" w:hAnsi="Arial"/>
          <w:sz w:val="18"/>
          <w:szCs w:val="18"/>
          <w:color w:val="auto"/>
        </w:rPr>
        <w:t>1.9</w:t>
        <w:tab/>
        <w:t>“Beneficiary Designation Form” means the form established from time to time by the Committee that a Participant completes, signs, and returns to the Committee to designate one or more Beneficiaries.</w:t>
      </w:r>
    </w:p>
    <w:p>
      <w:pPr>
        <w:spacing w:after="0" w:line="359" w:lineRule="exact"/>
        <w:rPr>
          <w:sz w:val="20"/>
          <w:szCs w:val="20"/>
          <w:color w:val="auto"/>
        </w:rPr>
      </w:pPr>
    </w:p>
    <w:p>
      <w:pPr>
        <w:ind w:left="420" w:right="200" w:hanging="417"/>
        <w:spacing w:after="0" w:line="277" w:lineRule="auto"/>
        <w:rPr>
          <w:sz w:val="20"/>
          <w:szCs w:val="20"/>
          <w:color w:val="auto"/>
        </w:rPr>
      </w:pPr>
      <w:r>
        <w:rPr>
          <w:rFonts w:ascii="Arial" w:cs="Arial" w:eastAsia="Arial" w:hAnsi="Arial"/>
          <w:sz w:val="18"/>
          <w:szCs w:val="18"/>
          <w:color w:val="auto"/>
        </w:rPr>
        <w:t>1.10 “Benefit Distribution Date” means the date upon which all or an objectively determinable portion of a Participant’s vested benefits will become eligible for distribution. Except as otherwise provided in the Plan, a Participant’s Benefit Distribution Date shall be</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determined based on the earliest to occur of an event or scheduled date set forth in Articles 4 through 9, as applicable.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1.11 “Board” means the board of directors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1.12 “Change in Control” means any of the following events:</w:t>
      </w:r>
    </w:p>
    <w:p>
      <w:pPr>
        <w:sectPr>
          <w:pgSz w:w="11900" w:h="16838" w:orient="portrait"/>
          <w:cols w:equalWidth="0" w:num="1">
            <w:col w:w="10960"/>
          </w:cols>
          <w:pgMar w:left="340" w:top="1440" w:right="599" w:bottom="1440" w:gutter="0" w:footer="0" w:header="0"/>
        </w:sectPr>
      </w:pPr>
    </w:p>
    <w:bookmarkStart w:id="127" w:name="page128"/>
    <w:bookmarkEnd w:id="127"/>
    <w:p>
      <w:pPr>
        <w:spacing w:after="0" w:line="36" w:lineRule="exact"/>
        <w:rPr>
          <w:sz w:val="20"/>
          <w:szCs w:val="20"/>
          <w:color w:val="auto"/>
        </w:rPr>
      </w:pPr>
    </w:p>
    <w:p>
      <w:pPr>
        <w:ind w:left="580" w:hanging="576"/>
        <w:spacing w:after="0" w:line="290"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Securities Exchange Act of 1934, as amended, the “Act”) (a “Person”) of beneficial ownership (within the meaning of Rule 13d-3 promulgated under the Act) of fifty percent (50%) or more of either (1) the then outstanding shares of the Company (the “Outstanding Company Shares”) or (2) the combined voting power of the then outstanding voting securities of the Company entitled to vote generally in the election of directors (the “Outstanding Company Voting Securities”); provided, however, that for purposes of this Subsection (a),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or (D) any acquisition pursuant to a transaction which complies with clauses (1), (2) and (3) of Subsection (c) below; or</w:t>
      </w:r>
    </w:p>
    <w:p>
      <w:pPr>
        <w:spacing w:after="0" w:line="354" w:lineRule="exact"/>
        <w:rPr>
          <w:rFonts w:ascii="Arial" w:cs="Arial" w:eastAsia="Arial" w:hAnsi="Arial"/>
          <w:sz w:val="16"/>
          <w:szCs w:val="16"/>
          <w:color w:val="auto"/>
        </w:rPr>
      </w:pPr>
    </w:p>
    <w:p>
      <w:pPr>
        <w:ind w:left="580" w:hanging="576"/>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80" w:right="40" w:hanging="576"/>
        <w:spacing w:after="0" w:line="287"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or sale or other disposition of all or substantially all of the assets of the Company or the acquisition of assets of another entity (each, a “Corporate Transaction”), in each case, unless, following such Corporate Transaction, (1) all or substantially all of the individuals and entities who were the beneficial owners, respectively, of the Outstanding Company Shares and Outstanding Company Voting Securities immediately prior to such Corporate Transaction beneficially own, directly or indirectly, more than fifty percent (50%) of, respectively, the then outstanding shares and the combined voting power of the then outstanding voting securities entitled to vote generally in the election of directors, as the case may be, of the corporation or other entity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Shares and Outstanding Company Voting Securities, as the case may be, (2) no Person (excluding any employee benefit plan or related trust of the Company or such corporation resulting from such Corporate Transaction) beneficially owns, directly</w:t>
      </w:r>
    </w:p>
    <w:p>
      <w:pPr>
        <w:spacing w:after="0" w:line="34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53492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580" w:right="80"/>
        <w:spacing w:after="0" w:line="255" w:lineRule="auto"/>
        <w:rPr>
          <w:sz w:val="20"/>
          <w:szCs w:val="20"/>
          <w:color w:val="auto"/>
        </w:rPr>
      </w:pPr>
      <w:r>
        <w:rPr>
          <w:rFonts w:ascii="Arial" w:cs="Arial" w:eastAsia="Arial" w:hAnsi="Arial"/>
          <w:sz w:val="18"/>
          <w:szCs w:val="18"/>
          <w:color w:val="auto"/>
        </w:rPr>
        <w:t>or indirectly, twenty percent (20%) or more of, respectively, the then outstanding shares of the corporation resulting from such Corporate Transaction or the combined voting power of the then outstanding voting securities of such corporation except to the extent that such ownership of the Company existed prior to the Corporate Transaction and (3) at least a majority of the members of the board of directors of the corporation (or other governing board of a non-corporate entity) resulting from such Corporate Transaction were members of the Incumbent Board at the time of the execution of the initial agreement, or of the action of the Board, providing for such Corporate Transaction; or</w:t>
      </w:r>
    </w:p>
    <w:p>
      <w:pPr>
        <w:sectPr>
          <w:pgSz w:w="11900" w:h="16838" w:orient="portrait"/>
          <w:cols w:equalWidth="0" w:num="1">
            <w:col w:w="10520"/>
          </w:cols>
          <w:pgMar w:left="760" w:top="1440" w:right="619" w:bottom="1440" w:gutter="0" w:footer="0" w:header="0"/>
        </w:sectPr>
      </w:pPr>
    </w:p>
    <w:bookmarkStart w:id="128" w:name="page129"/>
    <w:bookmarkEnd w:id="128"/>
    <w:p>
      <w:pPr>
        <w:spacing w:after="0" w:line="36" w:lineRule="exact"/>
        <w:rPr>
          <w:sz w:val="20"/>
          <w:szCs w:val="20"/>
          <w:color w:val="auto"/>
        </w:rPr>
      </w:pPr>
    </w:p>
    <w:p>
      <w:pPr>
        <w:ind w:left="1000" w:hanging="576"/>
        <w:spacing w:after="0" w:line="254"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(2/3)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208" w:lineRule="exact"/>
        <w:rPr>
          <w:sz w:val="20"/>
          <w:szCs w:val="20"/>
          <w:color w:val="auto"/>
        </w:rPr>
      </w:pPr>
    </w:p>
    <w:p>
      <w:pPr>
        <w:ind w:left="980" w:right="60"/>
        <w:spacing w:after="0" w:line="308" w:lineRule="auto"/>
        <w:rPr>
          <w:sz w:val="20"/>
          <w:szCs w:val="20"/>
          <w:color w:val="auto"/>
        </w:rPr>
      </w:pPr>
      <w:r>
        <w:rPr>
          <w:rFonts w:ascii="Arial" w:cs="Arial" w:eastAsia="Arial" w:hAnsi="Arial"/>
          <w:sz w:val="17"/>
          <w:szCs w:val="17"/>
          <w:color w:val="auto"/>
        </w:rPr>
        <w:t>Each of the foregoing events shall only be deemed to be a Change in Control for purposes of Article 9 of the Plan to the extent such event qualifies as a “change in control event” for purposes of Section 409A of the Code and the regulations issued thereunder.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1.13 “Claimant” has the meaning set forth in Section 15.1.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1.14 “Code” means the Internal Revenue Code of 1986, as amended from time to time.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1.15 “Committee” means the committee described in Article 13.</w:t>
      </w:r>
    </w:p>
    <w:p>
      <w:pPr>
        <w:spacing w:after="0" w:line="200" w:lineRule="exact"/>
        <w:rPr>
          <w:sz w:val="20"/>
          <w:szCs w:val="20"/>
          <w:color w:val="auto"/>
        </w:rPr>
      </w:pPr>
    </w:p>
    <w:p>
      <w:pPr>
        <w:spacing w:after="0" w:line="214" w:lineRule="exact"/>
        <w:rPr>
          <w:sz w:val="20"/>
          <w:szCs w:val="20"/>
          <w:color w:val="auto"/>
        </w:rPr>
      </w:pPr>
    </w:p>
    <w:p>
      <w:pPr>
        <w:ind w:left="420" w:right="100" w:hanging="417"/>
        <w:spacing w:after="0" w:line="277" w:lineRule="auto"/>
        <w:rPr>
          <w:sz w:val="20"/>
          <w:szCs w:val="20"/>
          <w:color w:val="auto"/>
        </w:rPr>
      </w:pPr>
      <w:r>
        <w:rPr>
          <w:rFonts w:ascii="Arial" w:cs="Arial" w:eastAsia="Arial" w:hAnsi="Arial"/>
          <w:sz w:val="18"/>
          <w:szCs w:val="18"/>
          <w:color w:val="auto"/>
        </w:rPr>
        <w:t>1.16 “Company” means Penn National Gaming, Inc., a Pennsylvania corporation, and any successor to all or substantially all of the Company’s assets or business.</w:t>
      </w:r>
    </w:p>
    <w:p>
      <w:pPr>
        <w:spacing w:after="0" w:line="346" w:lineRule="exact"/>
        <w:rPr>
          <w:sz w:val="20"/>
          <w:szCs w:val="20"/>
          <w:color w:val="auto"/>
        </w:rPr>
      </w:pPr>
    </w:p>
    <w:p>
      <w:pPr>
        <w:ind w:left="420" w:right="40" w:hanging="417"/>
        <w:spacing w:after="0" w:line="311" w:lineRule="auto"/>
        <w:rPr>
          <w:sz w:val="20"/>
          <w:szCs w:val="20"/>
          <w:color w:val="auto"/>
        </w:rPr>
      </w:pPr>
      <w:r>
        <w:rPr>
          <w:rFonts w:ascii="Arial" w:cs="Arial" w:eastAsia="Arial" w:hAnsi="Arial"/>
          <w:sz w:val="16"/>
          <w:szCs w:val="16"/>
          <w:color w:val="auto"/>
        </w:rPr>
        <w:t>1.17 “Company Contribution Account” means (a) the sum of the Participant’s Annual Company Contribution Amounts, plus (b) amounts credited in accordance with all the applicable crediting provisions of this Plan that relate to the Participant’s Company Contribution Account, less (c) all distributions made to the Participant or his or her Beneficiary pursuant to this Plan that relate to the Participant’s Company Contribution Account.</w:t>
      </w: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420" w:right="20" w:hanging="417"/>
        <w:spacing w:after="0" w:line="259" w:lineRule="auto"/>
        <w:rPr>
          <w:sz w:val="20"/>
          <w:szCs w:val="20"/>
          <w:color w:val="auto"/>
        </w:rPr>
      </w:pPr>
      <w:r>
        <w:rPr>
          <w:rFonts w:ascii="Arial" w:cs="Arial" w:eastAsia="Arial" w:hAnsi="Arial"/>
          <w:sz w:val="18"/>
          <w:szCs w:val="18"/>
          <w:color w:val="auto"/>
        </w:rPr>
        <w:t>1.18 “Compensation” means all cash remuneration paid to the Employee by the Company which is required to be reported as compensation on the Employee’s Form W-2 and shall also include compensation which is not currently includible in gross income by reason of the application of Code Sections 125, 402(e)(3), 132(f)(4) and 402(h)(1)(B); provided, however, that Compensation shall not include any income recognized as a result of an Employee exercising a nonqualified Stock option.</w:t>
      </w:r>
    </w:p>
    <w:p>
      <w:pPr>
        <w:sectPr>
          <w:pgSz w:w="11900" w:h="16838" w:orient="portrait"/>
          <w:cols w:equalWidth="0" w:num="1">
            <w:col w:w="10960"/>
          </w:cols>
          <w:pgMar w:left="340" w:top="1440" w:right="599" w:bottom="1440" w:gutter="0" w:footer="0" w:header="0"/>
        </w:sectPr>
      </w:pPr>
    </w:p>
    <w:bookmarkStart w:id="129" w:name="page130"/>
    <w:bookmarkEnd w:id="129"/>
    <w:p>
      <w:pPr>
        <w:spacing w:after="0" w:line="36" w:lineRule="exact"/>
        <w:rPr>
          <w:sz w:val="20"/>
          <w:szCs w:val="20"/>
          <w:color w:val="auto"/>
        </w:rPr>
      </w:pPr>
    </w:p>
    <w:p>
      <w:pPr>
        <w:ind w:left="420" w:hanging="417"/>
        <w:spacing w:after="0" w:line="268" w:lineRule="auto"/>
        <w:rPr>
          <w:sz w:val="20"/>
          <w:szCs w:val="20"/>
          <w:color w:val="auto"/>
        </w:rPr>
      </w:pPr>
      <w:r>
        <w:rPr>
          <w:rFonts w:ascii="Arial" w:cs="Arial" w:eastAsia="Arial" w:hAnsi="Arial"/>
          <w:sz w:val="17"/>
          <w:szCs w:val="17"/>
          <w:color w:val="auto"/>
        </w:rPr>
        <w:t>1.19 “Deduction Limitation” means the following described limitation on a benefit that may otherwise be distributable pursuant to the provisions of this Plan. Except as otherwise provided herein, this limitation will be applied to all distributions that are “subject to the Deduction Limitation” under this Plan. If an Employer determines in good faith prior to a Change in Control that there is a reasonable likelihood that any compensation paid to a Participant for a taxable year of the Employer would not be deductible by the Employer solely by reason of the limitation under Code Section 162(m), then to the extent deemed necessary by the Employer to ensure that the entire amount of any distribution to the Participant pursuant to this Plan prior to the Change in Control is deductible, to the extent permitted by Treas. Reg. § 1.409A-2(b)(7)(i), the Employer may defer all or any portion of a distribution under this Plan. Any amounts deferred pursuant to this limitation will continue to be credited/debited with additional amounts in accordance with Section 3.9 even if the amount is being paid out in installments. The amounts so deferred and amounts credited thereon shall be distributed to the Participant or his or her Beneficiary (in the event of the Participant’s death) at the earliest possible date, as determined by the Employer in good faith, on which the deductibility of compensation paid or payable to the Participant for the taxable year of the Employer during which the distribution is made will not be limited by Section 162(m), or if earlier, the effective date of a Change in Control. Notwithstanding anything to the contrary in this Plan, the Deduction Limitation will not apply to any distributions made after a Change in Control.</w:t>
      </w:r>
    </w:p>
    <w:p>
      <w:pPr>
        <w:spacing w:after="0" w:line="375" w:lineRule="exact"/>
        <w:rPr>
          <w:sz w:val="20"/>
          <w:szCs w:val="20"/>
          <w:color w:val="auto"/>
        </w:rPr>
      </w:pPr>
    </w:p>
    <w:p>
      <w:pPr>
        <w:ind w:left="420" w:right="60" w:hanging="417"/>
        <w:spacing w:after="0" w:line="263" w:lineRule="auto"/>
        <w:rPr>
          <w:sz w:val="20"/>
          <w:szCs w:val="20"/>
          <w:color w:val="auto"/>
        </w:rPr>
      </w:pPr>
      <w:r>
        <w:rPr>
          <w:rFonts w:ascii="Arial" w:cs="Arial" w:eastAsia="Arial" w:hAnsi="Arial"/>
          <w:sz w:val="18"/>
          <w:szCs w:val="18"/>
          <w:color w:val="auto"/>
        </w:rPr>
        <w:t>1.20 “Deferral Account” means (a) the sum of all of a Participant’s Annual Deferral Amounts, plus (b) amounts credited in accordance with all the applicable crediting provisions of this Plan that relate to the Participant’s Deferral Account, less (c) all distributions made to the Participant or his or her Beneficiary pursuant to this Plan that relate to his or her Deferral Account.</w:t>
      </w:r>
    </w:p>
    <w:p>
      <w:pPr>
        <w:spacing w:after="0" w:line="359" w:lineRule="exact"/>
        <w:rPr>
          <w:sz w:val="20"/>
          <w:szCs w:val="20"/>
          <w:color w:val="auto"/>
        </w:rPr>
      </w:pPr>
    </w:p>
    <w:p>
      <w:pPr>
        <w:ind w:left="420" w:hanging="417"/>
        <w:spacing w:after="0" w:line="273" w:lineRule="auto"/>
        <w:rPr>
          <w:sz w:val="20"/>
          <w:szCs w:val="20"/>
          <w:color w:val="auto"/>
        </w:rPr>
      </w:pPr>
      <w:r>
        <w:rPr>
          <w:rFonts w:ascii="Arial" w:cs="Arial" w:eastAsia="Arial" w:hAnsi="Arial"/>
          <w:sz w:val="17"/>
          <w:szCs w:val="17"/>
          <w:color w:val="auto"/>
        </w:rPr>
        <w:t>1.21 “Disability” means that a Participant is either (a) unable to engage in any substantial gainful activity by reason of any medically determinable physical or mental impairment that can be expected to result in death or can be expected to last for a continuous period of not less than 12 months, or (b)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or health plan covering employees of the Company. A Participant shall be deemed to have a Disability if determined to be disabled in accordance with the terms of the applicable long-term disability insurance</w:t>
      </w:r>
    </w:p>
    <w:p>
      <w:pPr>
        <w:spacing w:after="0" w:line="3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jc w:val="both"/>
        <w:ind w:left="420" w:right="80"/>
        <w:spacing w:after="0" w:line="263" w:lineRule="auto"/>
        <w:rPr>
          <w:sz w:val="20"/>
          <w:szCs w:val="20"/>
          <w:color w:val="auto"/>
        </w:rPr>
      </w:pPr>
      <w:r>
        <w:rPr>
          <w:rFonts w:ascii="Arial" w:cs="Arial" w:eastAsia="Arial" w:hAnsi="Arial"/>
          <w:sz w:val="18"/>
          <w:szCs w:val="18"/>
          <w:color w:val="auto"/>
        </w:rPr>
        <w:t>program maintained by the Participant’s Employer, provided that the definition of “disability” applied under such long-term disability insurance program complies with the requirements of this Section. Determinations relating to the existence of a Disability shall be made by the Committee, in its sole discretion.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1.22 “Disability Benefit” means the benefit described in Article 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1.23 “Effective Date” means April 4, 2013. The Plan was originally effective as of January 1, 2005.</w:t>
      </w:r>
    </w:p>
    <w:p>
      <w:pPr>
        <w:spacing w:after="0" w:line="200" w:lineRule="exact"/>
        <w:rPr>
          <w:sz w:val="20"/>
          <w:szCs w:val="20"/>
          <w:color w:val="auto"/>
        </w:rPr>
      </w:pPr>
    </w:p>
    <w:p>
      <w:pPr>
        <w:spacing w:after="0" w:line="214" w:lineRule="exact"/>
        <w:rPr>
          <w:sz w:val="20"/>
          <w:szCs w:val="20"/>
          <w:color w:val="auto"/>
        </w:rPr>
      </w:pPr>
    </w:p>
    <w:p>
      <w:pPr>
        <w:ind w:left="420" w:hanging="417"/>
        <w:spacing w:after="0" w:line="277" w:lineRule="auto"/>
        <w:rPr>
          <w:sz w:val="20"/>
          <w:szCs w:val="20"/>
          <w:color w:val="auto"/>
        </w:rPr>
      </w:pPr>
      <w:r>
        <w:rPr>
          <w:rFonts w:ascii="Arial" w:cs="Arial" w:eastAsia="Arial" w:hAnsi="Arial"/>
          <w:sz w:val="18"/>
          <w:szCs w:val="18"/>
          <w:color w:val="auto"/>
        </w:rPr>
        <w:t>1.24 “Election Form” means the form established from time to time by the Committee that a Participant completes, signs, and returns to the Committee to make an election under the Plan.</w:t>
      </w:r>
    </w:p>
    <w:p>
      <w:pPr>
        <w:sectPr>
          <w:pgSz w:w="11900" w:h="16838" w:orient="portrait"/>
          <w:cols w:equalWidth="0" w:num="1">
            <w:col w:w="10960"/>
          </w:cols>
          <w:pgMar w:left="340" w:top="1440" w:right="599" w:bottom="1440" w:gutter="0" w:footer="0" w:header="0"/>
        </w:sectPr>
      </w:pPr>
    </w:p>
    <w:bookmarkStart w:id="130" w:name="page131"/>
    <w:bookmarkEnd w:id="130"/>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1.25 “Employee” means a person who is an employee of any Employer.</w:t>
      </w:r>
    </w:p>
    <w:p>
      <w:pPr>
        <w:spacing w:after="0" w:line="200" w:lineRule="exact"/>
        <w:rPr>
          <w:sz w:val="20"/>
          <w:szCs w:val="20"/>
          <w:color w:val="auto"/>
        </w:rPr>
      </w:pPr>
    </w:p>
    <w:p>
      <w:pPr>
        <w:spacing w:after="0" w:line="214" w:lineRule="exact"/>
        <w:rPr>
          <w:sz w:val="20"/>
          <w:szCs w:val="20"/>
          <w:color w:val="auto"/>
        </w:rPr>
      </w:pPr>
    </w:p>
    <w:p>
      <w:pPr>
        <w:jc w:val="both"/>
        <w:ind w:left="420" w:right="100" w:hanging="417"/>
        <w:spacing w:after="0" w:line="263" w:lineRule="auto"/>
        <w:rPr>
          <w:sz w:val="20"/>
          <w:szCs w:val="20"/>
          <w:color w:val="auto"/>
        </w:rPr>
      </w:pPr>
      <w:r>
        <w:rPr>
          <w:rFonts w:ascii="Arial" w:cs="Arial" w:eastAsia="Arial" w:hAnsi="Arial"/>
          <w:sz w:val="18"/>
          <w:szCs w:val="18"/>
          <w:color w:val="auto"/>
        </w:rPr>
        <w:t>1.26 “Employer(s)” means the Company and any of its subsidiaries or affiliates (now in existence or subsequently formed or acquired) that have been selected by the Board to participate in the Plan and that have adopted the Plan as a participating Employer. A list of the Employers is set forth in Appendix A hereto.</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1.27 “ERISA” means the Employee Retirement Income Security Act of 1974, as amended from time to time.</w:t>
      </w:r>
    </w:p>
    <w:p>
      <w:pPr>
        <w:spacing w:after="0" w:line="200" w:lineRule="exact"/>
        <w:rPr>
          <w:sz w:val="20"/>
          <w:szCs w:val="20"/>
          <w:color w:val="auto"/>
        </w:rPr>
      </w:pPr>
    </w:p>
    <w:p>
      <w:pPr>
        <w:spacing w:after="0" w:line="214" w:lineRule="exact"/>
        <w:rPr>
          <w:sz w:val="20"/>
          <w:szCs w:val="20"/>
          <w:color w:val="auto"/>
        </w:rPr>
      </w:pPr>
    </w:p>
    <w:p>
      <w:pPr>
        <w:ind w:left="420" w:right="340" w:hanging="417"/>
        <w:spacing w:after="0" w:line="277" w:lineRule="auto"/>
        <w:rPr>
          <w:sz w:val="20"/>
          <w:szCs w:val="20"/>
          <w:color w:val="auto"/>
        </w:rPr>
      </w:pPr>
      <w:r>
        <w:rPr>
          <w:rFonts w:ascii="Arial" w:cs="Arial" w:eastAsia="Arial" w:hAnsi="Arial"/>
          <w:sz w:val="18"/>
          <w:szCs w:val="18"/>
          <w:color w:val="auto"/>
        </w:rPr>
        <w:t>1.28 “Measurement Fund” means those certain mutual funds selected by the Committee for the purpose of determining the value of a Participant’s Account Balance.</w:t>
      </w:r>
    </w:p>
    <w:p>
      <w:pPr>
        <w:spacing w:after="0" w:line="359" w:lineRule="exact"/>
        <w:rPr>
          <w:sz w:val="20"/>
          <w:szCs w:val="20"/>
          <w:color w:val="auto"/>
        </w:rPr>
      </w:pPr>
    </w:p>
    <w:p>
      <w:pPr>
        <w:ind w:left="420" w:right="340" w:hanging="417"/>
        <w:spacing w:after="0" w:line="259" w:lineRule="auto"/>
        <w:rPr>
          <w:sz w:val="20"/>
          <w:szCs w:val="20"/>
          <w:color w:val="auto"/>
        </w:rPr>
      </w:pPr>
      <w:r>
        <w:rPr>
          <w:rFonts w:ascii="Arial" w:cs="Arial" w:eastAsia="Arial" w:hAnsi="Arial"/>
          <w:sz w:val="18"/>
          <w:szCs w:val="18"/>
          <w:color w:val="auto"/>
        </w:rPr>
        <w:t>1.29 “Participant” means any Employee (a) who is selected to participate in the Plan, (b) who elects to participate in the Plan; (c) who signs a Plan Agreement, an Election Form, and a Beneficiary Designation Form; (d) whose signed Plan Agreement, Election Form and Beneficiary Designation Form are accepted by the Committee; (e) who commences participation in the Plan; and (f) whose Plan Agreement has not terminated.</w:t>
      </w:r>
    </w:p>
    <w:p>
      <w:pPr>
        <w:spacing w:after="0" w:line="362" w:lineRule="exact"/>
        <w:rPr>
          <w:sz w:val="20"/>
          <w:szCs w:val="20"/>
          <w:color w:val="auto"/>
        </w:rPr>
      </w:pPr>
    </w:p>
    <w:p>
      <w:pPr>
        <w:ind w:left="420" w:hanging="417"/>
        <w:spacing w:after="0" w:line="277" w:lineRule="auto"/>
        <w:rPr>
          <w:sz w:val="20"/>
          <w:szCs w:val="20"/>
          <w:color w:val="auto"/>
        </w:rPr>
      </w:pPr>
      <w:r>
        <w:rPr>
          <w:rFonts w:ascii="Arial" w:cs="Arial" w:eastAsia="Arial" w:hAnsi="Arial"/>
          <w:sz w:val="18"/>
          <w:szCs w:val="18"/>
          <w:color w:val="auto"/>
        </w:rPr>
        <w:t>1.30 “Plan” means the Penn National Gaming, Inc. Deferred Compensation Plan, as evidenced by this instrument and by each Plan Agreement, as they may be amended from time to time.</w:t>
      </w:r>
    </w:p>
    <w:p>
      <w:pPr>
        <w:spacing w:after="0" w:line="359" w:lineRule="exact"/>
        <w:rPr>
          <w:sz w:val="20"/>
          <w:szCs w:val="20"/>
          <w:color w:val="auto"/>
        </w:rPr>
      </w:pPr>
    </w:p>
    <w:p>
      <w:pPr>
        <w:ind w:left="420" w:right="40" w:hanging="417"/>
        <w:spacing w:after="0" w:line="257" w:lineRule="auto"/>
        <w:rPr>
          <w:sz w:val="20"/>
          <w:szCs w:val="20"/>
          <w:color w:val="auto"/>
        </w:rPr>
      </w:pPr>
      <w:r>
        <w:rPr>
          <w:rFonts w:ascii="Arial" w:cs="Arial" w:eastAsia="Arial" w:hAnsi="Arial"/>
          <w:sz w:val="18"/>
          <w:szCs w:val="18"/>
          <w:color w:val="auto"/>
        </w:rPr>
        <w:t>1.31 “Plan Agreement” means a written agreement, as amended from time to time, that is entered into by and between an Employer and a Participant. Each Plan Agreement executed by a Participant and the Participant’s Employer will provide for the entire benefit to which the Participant is entitled under the Plan. If there is more than one Plan Agreement, the Plan Agreement bearing the latest date of acceptance by the Employer will supersede all previous Plan Agreements in their entirety and will govern the Participant’s entitlement to benefits under the Plan. The terms of any Plan Agreement may be different for any</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ind w:left="420" w:right="200"/>
        <w:spacing w:after="0" w:line="342" w:lineRule="auto"/>
        <w:rPr>
          <w:sz w:val="20"/>
          <w:szCs w:val="20"/>
          <w:color w:val="auto"/>
        </w:rPr>
      </w:pPr>
      <w:r>
        <w:rPr>
          <w:rFonts w:ascii="Arial" w:cs="Arial" w:eastAsia="Arial" w:hAnsi="Arial"/>
          <w:sz w:val="16"/>
          <w:szCs w:val="16"/>
          <w:color w:val="auto"/>
        </w:rPr>
        <w:t>Participant, and any Plan Agreement may provide additional benefits not set forth in the Plan or limit the benefits otherwise provided under the Plan; provided, however, that any such additional benefits or benefit limitations must be agreed to by both the Employer and the Participant.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1.32 “Plan Year” means, except as provided in Section 1.46, the calendar year.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1.33 “Pre-Retirement Survivor Benefit” means the benefit set described in Article 6.</w:t>
      </w:r>
    </w:p>
    <w:p>
      <w:pPr>
        <w:spacing w:after="0" w:line="200" w:lineRule="exact"/>
        <w:rPr>
          <w:sz w:val="20"/>
          <w:szCs w:val="20"/>
          <w:color w:val="auto"/>
        </w:rPr>
      </w:pPr>
    </w:p>
    <w:p>
      <w:pPr>
        <w:spacing w:after="0" w:line="201" w:lineRule="exact"/>
        <w:rPr>
          <w:sz w:val="20"/>
          <w:szCs w:val="20"/>
          <w:color w:val="auto"/>
        </w:rPr>
      </w:pPr>
    </w:p>
    <w:p>
      <w:pPr>
        <w:ind w:left="420" w:right="120" w:hanging="417"/>
        <w:spacing w:after="0" w:line="277" w:lineRule="auto"/>
        <w:rPr>
          <w:sz w:val="20"/>
          <w:szCs w:val="20"/>
          <w:color w:val="auto"/>
        </w:rPr>
      </w:pPr>
      <w:r>
        <w:rPr>
          <w:rFonts w:ascii="Arial" w:cs="Arial" w:eastAsia="Arial" w:hAnsi="Arial"/>
          <w:sz w:val="18"/>
          <w:szCs w:val="18"/>
          <w:color w:val="auto"/>
        </w:rPr>
        <w:t>1.34 “Retirement,” “Retire(s)” or “Retired” means, with respect to an Employee, termination of employment from all Employers for any reason other than a leave of absence, death, or Disability on or after the attainment of age sixty-five (65).</w:t>
      </w:r>
    </w:p>
    <w:p>
      <w:pPr>
        <w:sectPr>
          <w:pgSz w:w="11900" w:h="16838" w:orient="portrait"/>
          <w:cols w:equalWidth="0" w:num="1">
            <w:col w:w="10940"/>
          </w:cols>
          <w:pgMar w:left="340" w:top="1440" w:right="619" w:bottom="1440" w:gutter="0" w:footer="0" w:header="0"/>
        </w:sectPr>
      </w:pPr>
    </w:p>
    <w:bookmarkStart w:id="131" w:name="page132"/>
    <w:bookmarkEnd w:id="131"/>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1.35 “Retirement Benefit” means the benefit in Article 5.</w:t>
      </w:r>
    </w:p>
    <w:p>
      <w:pPr>
        <w:spacing w:after="0" w:line="200" w:lineRule="exact"/>
        <w:rPr>
          <w:sz w:val="20"/>
          <w:szCs w:val="20"/>
          <w:color w:val="auto"/>
        </w:rPr>
      </w:pPr>
    </w:p>
    <w:p>
      <w:pPr>
        <w:spacing w:after="0" w:line="214" w:lineRule="exact"/>
        <w:rPr>
          <w:sz w:val="20"/>
          <w:szCs w:val="20"/>
          <w:color w:val="auto"/>
        </w:rPr>
      </w:pPr>
    </w:p>
    <w:p>
      <w:pPr>
        <w:ind w:left="420" w:right="380" w:hanging="417"/>
        <w:spacing w:after="0" w:line="263" w:lineRule="auto"/>
        <w:rPr>
          <w:sz w:val="20"/>
          <w:szCs w:val="20"/>
          <w:color w:val="auto"/>
        </w:rPr>
      </w:pPr>
      <w:r>
        <w:rPr>
          <w:rFonts w:ascii="Arial" w:cs="Arial" w:eastAsia="Arial" w:hAnsi="Arial"/>
          <w:sz w:val="18"/>
          <w:szCs w:val="18"/>
          <w:color w:val="auto"/>
        </w:rPr>
        <w:t>1.36 “Rollover Account” means (a) the sum of a Participant’s Rollover Amount, plus (b) amounts credited in accordance with all the applicable crediting provisions of this Plan that relate to the Participant’s Rollover Account, less (c) all distributions made to the Participant or his or her Beneficiary pursuant to this Plan that relate to the Participant’s Rollover Account.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1.37 “Rollover Amount” means the amount described in Section 3.6.</w:t>
      </w:r>
    </w:p>
    <w:p>
      <w:pPr>
        <w:spacing w:after="0" w:line="200" w:lineRule="exact"/>
        <w:rPr>
          <w:sz w:val="20"/>
          <w:szCs w:val="20"/>
          <w:color w:val="auto"/>
        </w:rPr>
      </w:pPr>
    </w:p>
    <w:p>
      <w:pPr>
        <w:spacing w:after="0" w:line="214" w:lineRule="exact"/>
        <w:rPr>
          <w:sz w:val="20"/>
          <w:szCs w:val="20"/>
          <w:color w:val="auto"/>
        </w:rPr>
      </w:pPr>
    </w:p>
    <w:p>
      <w:pPr>
        <w:ind w:left="420" w:right="360" w:hanging="417"/>
        <w:spacing w:after="0" w:line="342" w:lineRule="auto"/>
        <w:rPr>
          <w:sz w:val="20"/>
          <w:szCs w:val="20"/>
          <w:color w:val="auto"/>
        </w:rPr>
      </w:pPr>
      <w:r>
        <w:rPr>
          <w:rFonts w:ascii="Arial" w:cs="Arial" w:eastAsia="Arial" w:hAnsi="Arial"/>
          <w:sz w:val="16"/>
          <w:szCs w:val="16"/>
          <w:color w:val="auto"/>
        </w:rPr>
        <w:t>1.38 “Separation from Service” means a termination of services provided by a Participant to his Employer, whether voluntary or involuntary, other than by reason of Retirement, death or Disability, as determined by the Committee in accordance with the Treas. Reg. § 1.409A-1(h).</w:t>
      </w:r>
    </w:p>
    <w:p>
      <w:pPr>
        <w:spacing w:after="0" w:line="313" w:lineRule="exact"/>
        <w:rPr>
          <w:sz w:val="20"/>
          <w:szCs w:val="20"/>
          <w:color w:val="auto"/>
        </w:rPr>
      </w:pPr>
    </w:p>
    <w:p>
      <w:pPr>
        <w:ind w:left="420" w:hanging="417"/>
        <w:spacing w:after="0" w:line="257" w:lineRule="auto"/>
        <w:rPr>
          <w:sz w:val="20"/>
          <w:szCs w:val="20"/>
          <w:color w:val="auto"/>
        </w:rPr>
      </w:pPr>
      <w:r>
        <w:rPr>
          <w:rFonts w:ascii="Arial" w:cs="Arial" w:eastAsia="Arial" w:hAnsi="Arial"/>
          <w:sz w:val="18"/>
          <w:szCs w:val="18"/>
          <w:color w:val="auto"/>
        </w:rPr>
        <w:t>1.39 “Specified Employee” means any Participant who has determined to be a “key employee” (as defined under Code Section 416(i) without regard to paragraph (5) thereof) for the applicable period, as determined annually by the Committee in accordance with Treas. Reg. §1.409A-1(i). As of the Effective Date and until such time as the Committee determines to utilize another methodology, a Specified Employee must be classified by the Company as a member of one of the following categories of Employees: (i) a Level One Employee, (ii) a Level Two Employee or (iii) a General Manager of a wholly owned subsidiary of the Company.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1.40 “Stock” means Company common stock or any other equity securities of the Company designated by the Committee.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1.41 “Termination Benefit” means the benefit described in Article 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1.42 “Trust” means one or more trusts established pursuant to the Trust Agreement.</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1.43 “Trust Agreement” means the Trust Agreement between the Trustee and the Company, as amended from time to time.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1.44 “Trustee” means the trustee of the Trust and any successor trustee.</w:t>
      </w:r>
    </w:p>
    <w:p>
      <w:pPr>
        <w:sectPr>
          <w:pgSz w:w="11900" w:h="16838" w:orient="portrait"/>
          <w:cols w:equalWidth="0" w:num="1">
            <w:col w:w="10980"/>
          </w:cols>
          <w:pgMar w:left="340" w:top="1440" w:right="579" w:bottom="1440" w:gutter="0" w:footer="0" w:header="0"/>
        </w:sectPr>
      </w:pPr>
    </w:p>
    <w:bookmarkStart w:id="132" w:name="page133"/>
    <w:bookmarkEnd w:id="132"/>
    <w:p>
      <w:pPr>
        <w:spacing w:after="0" w:line="36" w:lineRule="exact"/>
        <w:rPr>
          <w:sz w:val="20"/>
          <w:szCs w:val="20"/>
          <w:color w:val="auto"/>
        </w:rPr>
      </w:pPr>
    </w:p>
    <w:p>
      <w:pPr>
        <w:ind w:left="420" w:right="40" w:hanging="417"/>
        <w:spacing w:after="0" w:line="291" w:lineRule="auto"/>
        <w:rPr>
          <w:sz w:val="20"/>
          <w:szCs w:val="20"/>
          <w:color w:val="auto"/>
        </w:rPr>
      </w:pPr>
      <w:r>
        <w:rPr>
          <w:rFonts w:ascii="Arial" w:cs="Arial" w:eastAsia="Arial" w:hAnsi="Arial"/>
          <w:sz w:val="16"/>
          <w:szCs w:val="16"/>
          <w:color w:val="auto"/>
        </w:rPr>
        <w:t>1.45 “Unforeseeable Emergency” means a severe financial hardship of the Participant resulting from (a) an illness or accident of the Participant, the Participant’s spouse, the Participant’s Beneficiary or the Participant’s dependent (as defined in Code Section 152 without regard to paragraphs (b)</w:t>
      </w:r>
    </w:p>
    <w:p>
      <w:pPr>
        <w:ind w:left="420" w:right="80"/>
        <w:spacing w:after="0" w:line="255" w:lineRule="auto"/>
        <w:rPr>
          <w:sz w:val="20"/>
          <w:szCs w:val="20"/>
          <w:color w:val="auto"/>
        </w:rPr>
      </w:pPr>
      <w:r>
        <w:rPr>
          <w:rFonts w:ascii="Arial" w:cs="Arial" w:eastAsia="Arial" w:hAnsi="Arial"/>
          <w:sz w:val="18"/>
          <w:szCs w:val="18"/>
          <w:color w:val="auto"/>
        </w:rPr>
        <w:t>(1), (b)(2) and (d)(1)(B) thereof), (b) the loss of a Participant’s property due to casualty, or (c) such other similar extraordinary and unforeseeable circumstances arising as a result of the events beyond the control of the Participant, all is determined by the Committee, in its sole discretion, based on the relevant facts and circumstances.</w:t>
      </w:r>
    </w:p>
    <w:p>
      <w:pPr>
        <w:spacing w:after="0" w:line="379" w:lineRule="exact"/>
        <w:rPr>
          <w:sz w:val="20"/>
          <w:szCs w:val="20"/>
          <w:color w:val="auto"/>
        </w:rPr>
      </w:pPr>
    </w:p>
    <w:p>
      <w:pPr>
        <w:ind w:left="420" w:right="240" w:hanging="417"/>
        <w:spacing w:after="0" w:line="342" w:lineRule="auto"/>
        <w:rPr>
          <w:sz w:val="20"/>
          <w:szCs w:val="20"/>
          <w:color w:val="auto"/>
        </w:rPr>
      </w:pPr>
      <w:r>
        <w:rPr>
          <w:rFonts w:ascii="Arial" w:cs="Arial" w:eastAsia="Arial" w:hAnsi="Arial"/>
          <w:sz w:val="16"/>
          <w:szCs w:val="16"/>
          <w:color w:val="auto"/>
        </w:rPr>
        <w:t>1.46 “Year of Service” means a Year of Service as determined pursuant to the terms of the Penn National Gaming, Inc. 401(k) Plan; provided, however, that the term “Plan Year” as utilized therein shall mean the 12-month period commencing on November 1 and ending on October 31.</w:t>
      </w: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u w:val="single" w:color="auto"/>
          <w:color w:val="auto"/>
        </w:rPr>
        <w:t>Selection, Enrollment, Eligibility</w:t>
      </w:r>
    </w:p>
    <w:p>
      <w:pPr>
        <w:spacing w:after="0" w:line="296" w:lineRule="exact"/>
        <w:rPr>
          <w:sz w:val="20"/>
          <w:szCs w:val="20"/>
          <w:color w:val="auto"/>
        </w:rPr>
      </w:pPr>
    </w:p>
    <w:p>
      <w:pPr>
        <w:ind w:left="420" w:right="300" w:hanging="417"/>
        <w:spacing w:after="0" w:line="282" w:lineRule="auto"/>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u w:val="single" w:color="auto"/>
          <w:color w:val="auto"/>
        </w:rPr>
        <w:t>Selection by Committee</w:t>
      </w:r>
      <w:r>
        <w:rPr>
          <w:rFonts w:ascii="Arial" w:cs="Arial" w:eastAsia="Arial" w:hAnsi="Arial"/>
          <w:sz w:val="18"/>
          <w:szCs w:val="18"/>
          <w:color w:val="auto"/>
        </w:rPr>
        <w:t>. Participation in the Plan will be limited to a select group of management and highly compensated Employees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Employers, as determined by the Committee, in its sole discretion.</w:t>
      </w:r>
    </w:p>
    <w:p>
      <w:pPr>
        <w:spacing w:after="0" w:line="351"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Enrollment Requirements</w:t>
      </w:r>
      <w:r>
        <w:rPr>
          <w:rFonts w:ascii="Arial" w:cs="Arial" w:eastAsia="Arial" w:hAnsi="Arial"/>
          <w:sz w:val="16"/>
          <w:szCs w:val="16"/>
          <w:color w:val="auto"/>
        </w:rPr>
        <w:t>. As a condition of participation, each selected Employee will complete, execute, and return to the Committee a Plan</w:t>
      </w:r>
    </w:p>
    <w:p>
      <w:pPr>
        <w:spacing w:after="0" w:line="27"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Agreement, an Election Form and a Beneficiary Designation Form by the deadline(s) established by the Committee in accordance with the applicable provisions of the Plan. In addition, the Committee will establish from time to time such other enrollment requirements as it determines, in its sole discretion, are necessary.</w:t>
      </w:r>
    </w:p>
    <w:p>
      <w:pPr>
        <w:spacing w:after="0" w:line="375" w:lineRule="exact"/>
        <w:rPr>
          <w:sz w:val="20"/>
          <w:szCs w:val="20"/>
          <w:color w:val="auto"/>
        </w:rPr>
      </w:pPr>
    </w:p>
    <w:p>
      <w:pPr>
        <w:ind w:left="420" w:right="40" w:hanging="417"/>
        <w:spacing w:after="0" w:line="256" w:lineRule="auto"/>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u w:val="single" w:color="auto"/>
          <w:color w:val="auto"/>
        </w:rPr>
        <w:t>Eligibility; Commencement of Participation</w:t>
      </w:r>
      <w:r>
        <w:rPr>
          <w:rFonts w:ascii="Arial" w:cs="Arial" w:eastAsia="Arial" w:hAnsi="Arial"/>
          <w:sz w:val="18"/>
          <w:szCs w:val="18"/>
          <w:color w:val="auto"/>
        </w:rPr>
        <w:t>. Provided that an Employee selected to participate in the Plan has met all enrollment requirements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set forth in this Plan and required by the Committee, including returning all required documents to the Committee within the specified time period, that Employee will commence participation in the Plan on the first day of the month following the month in which the Employee completes all enrollment requirements. If an Employee fails to meet all such requirements within the period required, in accordance with Section 2.2, that Employee will not be eligible to participate in the Plan until the first day of the Plan Year following the delivery to and acceptance by the Committee of the required documents.</w:t>
      </w:r>
    </w:p>
    <w:p>
      <w:pPr>
        <w:spacing w:after="0" w:line="3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1" w:lineRule="exact"/>
        <w:rPr>
          <w:sz w:val="20"/>
          <w:szCs w:val="20"/>
          <w:color w:val="auto"/>
        </w:rPr>
      </w:pPr>
    </w:p>
    <w:p>
      <w:pPr>
        <w:ind w:left="420" w:right="60" w:hanging="417"/>
        <w:spacing w:after="0" w:line="258" w:lineRule="auto"/>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u w:val="single" w:color="auto"/>
          <w:color w:val="auto"/>
        </w:rPr>
        <w:t>Termination of Participation and/or Deferrals</w:t>
      </w:r>
      <w:r>
        <w:rPr>
          <w:rFonts w:ascii="Arial" w:cs="Arial" w:eastAsia="Arial" w:hAnsi="Arial"/>
          <w:sz w:val="18"/>
          <w:szCs w:val="18"/>
          <w:color w:val="auto"/>
        </w:rPr>
        <w:t>. If the Committee determines in good faith that a Participant no longer qualifies as a member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 select group of management or highly compensated employees, as membership in that group is determined in accordance with Sections 201(2), 301(a)(3) and 401(a)(1) of ERISA, the Committee will have the right, in its sole discretion, to (a) terminate any deferral election the Participant has made for the remainder of the Plan Year in which the Participant’s membership status changes and (b) prevent the Participant from making future deferral elections.</w:t>
      </w: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u w:val="single" w:color="auto"/>
          <w:color w:val="auto"/>
        </w:rPr>
        <w:t>Deferral Commitments/Company Contribution/Crediting/Taxes</w:t>
      </w:r>
    </w:p>
    <w:p>
      <w:pPr>
        <w:spacing w:after="0" w:line="29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u w:val="single" w:color="auto"/>
          <w:color w:val="auto"/>
        </w:rPr>
        <w:t>Minimum Deferrals</w:t>
      </w:r>
      <w:r>
        <w:rPr>
          <w:rFonts w:ascii="Arial" w:cs="Arial" w:eastAsia="Arial" w:hAnsi="Arial"/>
          <w:sz w:val="17"/>
          <w:szCs w:val="17"/>
          <w:color w:val="auto"/>
        </w:rPr>
        <w:t>.</w:t>
      </w:r>
    </w:p>
    <w:p>
      <w:pPr>
        <w:sectPr>
          <w:pgSz w:w="11900" w:h="16838" w:orient="portrait"/>
          <w:cols w:equalWidth="0" w:num="1">
            <w:col w:w="10940"/>
          </w:cols>
          <w:pgMar w:left="340" w:top="1440" w:right="619" w:bottom="1440" w:gutter="0" w:footer="0" w:header="0"/>
        </w:sectPr>
      </w:pPr>
    </w:p>
    <w:bookmarkStart w:id="133" w:name="page134"/>
    <w:bookmarkEnd w:id="133"/>
    <w:p>
      <w:pPr>
        <w:spacing w:after="0" w:line="36" w:lineRule="exact"/>
        <w:rPr>
          <w:sz w:val="20"/>
          <w:szCs w:val="20"/>
          <w:color w:val="auto"/>
        </w:rPr>
      </w:pPr>
    </w:p>
    <w:p>
      <w:pPr>
        <w:ind w:left="1000" w:right="140" w:hanging="576"/>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 Annual Salary and Annual Bonus. For each Plan Year, a Participant may elect to defer, as his or her Annual Deferral Amount, a percentage of Base Annual Salary and/or Annual Bonus; provided, however, that a Participant must elect to defer a sum of Base Annual Salary and/or Annual Bonus of at least $3,000.</w:t>
      </w:r>
    </w:p>
    <w:p>
      <w:pPr>
        <w:spacing w:after="0" w:line="372" w:lineRule="exact"/>
        <w:rPr>
          <w:rFonts w:ascii="Arial" w:cs="Arial" w:eastAsia="Arial" w:hAnsi="Arial"/>
          <w:sz w:val="18"/>
          <w:szCs w:val="18"/>
          <w:color w:val="auto"/>
        </w:rPr>
      </w:pPr>
    </w:p>
    <w:p>
      <w:pPr>
        <w:ind w:left="1000" w:hanging="57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 election is made for less than stated minimum amounts, or if no election is made, the amount deferred will be zero.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00" w:right="20" w:hanging="576"/>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Short Plan Year. Notwithstanding the foregoing, if a Participant first becomes a Participant after the first day of a Plan Year, the minimum deferral shall be an amount equal to the minimum set forth above, multiplied by a fraction, the numerator of which is the number of complete months remaining in the Plan Year and the denominator of which is 12.</w:t>
      </w:r>
    </w:p>
    <w:p>
      <w:pPr>
        <w:spacing w:after="0" w:line="369" w:lineRule="exact"/>
        <w:rPr>
          <w:sz w:val="20"/>
          <w:szCs w:val="20"/>
          <w:color w:val="auto"/>
        </w:rPr>
      </w:pPr>
    </w:p>
    <w:p>
      <w:pPr>
        <w:ind w:left="420" w:right="40" w:hanging="417"/>
        <w:spacing w:after="0" w:line="261" w:lineRule="auto"/>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u w:val="single" w:color="auto"/>
          <w:color w:val="auto"/>
        </w:rPr>
        <w:t>Maximum Deferral</w:t>
      </w:r>
      <w:r>
        <w:rPr>
          <w:rFonts w:ascii="Arial" w:cs="Arial" w:eastAsia="Arial" w:hAnsi="Arial"/>
          <w:sz w:val="18"/>
          <w:szCs w:val="18"/>
          <w:color w:val="auto"/>
        </w:rPr>
        <w:t>. For each Plan Year, a Participant may elect to defer, as his or her Annual Deferral Amount up to 90% of his Base Annual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Salary and/or Annual Bonus. Notwithstanding the foregoing, if a Participant first becomes a Participant after the first day of a Plan Year, the maximum Annual Deferral Amount will be limited to the amount of Compensation not yet earned by the Participant as of the date the Participant submits a Plan Agreement and Election Form to the Committee for acceptance.</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Election to Defer; Effect of Election Form</w:t>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ind w:left="1000" w:right="40" w:hanging="576"/>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First Plan Year. In connection with a Participant’s commencement of participation in the Plan, the Participant will make an irrevocable deferral election for the Plan Year in which the Participant commences participation in the Plan, along with such other elections as the Committee deems necessary or desirable under the Plan. For these elections to be valid, the Election Form must be completed and signed by the Participant, timely delivered to the Committee (in accordance with Section 2.2</w:t>
      </w: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000" w:right="160"/>
        <w:spacing w:after="0" w:line="277" w:lineRule="auto"/>
        <w:rPr>
          <w:sz w:val="20"/>
          <w:szCs w:val="20"/>
          <w:color w:val="auto"/>
        </w:rPr>
      </w:pPr>
      <w:r>
        <w:rPr>
          <w:rFonts w:ascii="Arial" w:cs="Arial" w:eastAsia="Arial" w:hAnsi="Arial"/>
          <w:sz w:val="18"/>
          <w:szCs w:val="18"/>
          <w:color w:val="auto"/>
        </w:rPr>
        <w:t>above, but in no event later than the December 31st preceding the Plan Year in which such compensation shall be earned), and accepted by the Committee.</w:t>
      </w:r>
    </w:p>
    <w:p>
      <w:pPr>
        <w:spacing w:after="0" w:line="346" w:lineRule="exact"/>
        <w:rPr>
          <w:sz w:val="20"/>
          <w:szCs w:val="20"/>
          <w:color w:val="auto"/>
        </w:rPr>
      </w:pPr>
    </w:p>
    <w:p>
      <w:pPr>
        <w:ind w:left="1000" w:right="40" w:hanging="576"/>
        <w:spacing w:after="0" w:line="25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Subsequent Plan Years. For each succeeding Plan Year, a Participant may make an irrevocable deferral election for that Plan Year, and such other elections as the Committee deems necessary or desirable under the Plan, by timely delivering to the Committee, in accordance with its rules and procedures, before the end of the Plan Year preceding the Plan Year for which the election is made and in which such compensation shall be earned, a new Election Form. If the Participant does not timely deliver an Election Form for a Plan Year, the Participant’s Annual Deferral Amount will be zero for that Plan Year.</w:t>
      </w:r>
    </w:p>
    <w:p>
      <w:pPr>
        <w:spacing w:after="0" w:line="376" w:lineRule="exact"/>
        <w:rPr>
          <w:rFonts w:ascii="Arial" w:cs="Arial" w:eastAsia="Arial" w:hAnsi="Arial"/>
          <w:sz w:val="18"/>
          <w:szCs w:val="18"/>
          <w:color w:val="auto"/>
        </w:rPr>
      </w:pPr>
    </w:p>
    <w:p>
      <w:pPr>
        <w:ind w:left="1000" w:hanging="576"/>
        <w:spacing w:after="0" w:line="25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New Participants. An eligible Employee who first becomes eligible to participate in the Plan on or after the beginning of a Plan Year may be permitted to make an election to defer a portion of his Base Annual Salary and/or Annual Bonus attributable to his services to be performed after such election, provided that the Participant submits an Election Form to the Committee on or before the deadline established by the Committee, which in no event shall be later than 30 days after the Participant first becomes eligible to participate in the Plan.</w:t>
      </w:r>
    </w:p>
    <w:p>
      <w:pPr>
        <w:sectPr>
          <w:pgSz w:w="11900" w:h="16838" w:orient="portrait"/>
          <w:cols w:equalWidth="0" w:num="1">
            <w:col w:w="10920"/>
          </w:cols>
          <w:pgMar w:left="340" w:top="1440" w:right="639" w:bottom="1440" w:gutter="0" w:footer="0" w:header="0"/>
        </w:sectPr>
      </w:pPr>
    </w:p>
    <w:bookmarkStart w:id="134" w:name="page135"/>
    <w:bookmarkEnd w:id="134"/>
    <w:p>
      <w:pPr>
        <w:spacing w:after="0" w:line="153" w:lineRule="exact"/>
        <w:rPr>
          <w:sz w:val="20"/>
          <w:szCs w:val="20"/>
          <w:color w:val="auto"/>
        </w:rPr>
      </w:pPr>
    </w:p>
    <w:p>
      <w:pPr>
        <w:ind w:left="420" w:hanging="417"/>
        <w:spacing w:after="0" w:line="261" w:lineRule="auto"/>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u w:val="single" w:color="auto"/>
          <w:color w:val="auto"/>
        </w:rPr>
        <w:t>Withholding of Annual Deferral Amounts</w:t>
      </w:r>
      <w:r>
        <w:rPr>
          <w:rFonts w:ascii="Arial" w:cs="Arial" w:eastAsia="Arial" w:hAnsi="Arial"/>
          <w:sz w:val="18"/>
          <w:szCs w:val="18"/>
          <w:color w:val="auto"/>
        </w:rPr>
        <w:t>. For each Plan Year, the Base Annual Salary portion of the Annual Deferral Amount will be withheld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from each regularly scheduled Base Annual Salary payroll in equal amounts, as adjusted from time to time for increases and decreases in Base Annual Salary. The Annual Bonus portion of the Annual Deferral Amount will be withheld at the time the Annual Bonus is or otherwise would be paid to the Participant, whether or not this occurs during the Plan Year itself.</w:t>
      </w:r>
    </w:p>
    <w:p>
      <w:pPr>
        <w:spacing w:after="0" w:line="369" w:lineRule="exact"/>
        <w:rPr>
          <w:sz w:val="20"/>
          <w:szCs w:val="20"/>
          <w:color w:val="auto"/>
        </w:rPr>
      </w:pPr>
    </w:p>
    <w:p>
      <w:pPr>
        <w:ind w:left="420" w:right="140" w:hanging="417"/>
        <w:spacing w:after="0" w:line="274"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u w:val="single" w:color="auto"/>
          <w:color w:val="auto"/>
        </w:rPr>
        <w:t>Annual Company Contribution Amount</w:t>
      </w:r>
      <w:r>
        <w:rPr>
          <w:rFonts w:ascii="Arial" w:cs="Arial" w:eastAsia="Arial" w:hAnsi="Arial"/>
          <w:sz w:val="17"/>
          <w:szCs w:val="17"/>
          <w:color w:val="auto"/>
        </w:rPr>
        <w:t>. The Company shall credit to the Account of each Participant an amount equal to 50% of the</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Participant’s Annual Deferral Amounts up to a maximum credit of 5%. For each Plan Year, the Company, in its sole discretion, may, but is not required to, credit any amount it desires to any Participant’s Company Contribution Account under this Plan. The amount so credited to a Participant may be smaller or larger than the amount credited to any other Participant, and the amount credited to any Participant for a Plan Year may be zero, even though one or more other Participants receive an Annual Company Contribution Amount for that Plan Year. All discretionary contributions to a Participant’s Company Contribution Account shall be subject to the approval of the Board.</w:t>
      </w:r>
    </w:p>
    <w:p>
      <w:pPr>
        <w:spacing w:after="0" w:line="349" w:lineRule="exact"/>
        <w:rPr>
          <w:sz w:val="20"/>
          <w:szCs w:val="20"/>
          <w:color w:val="auto"/>
        </w:rPr>
      </w:pPr>
    </w:p>
    <w:p>
      <w:pPr>
        <w:jc w:val="both"/>
        <w:ind w:left="420" w:right="100" w:hanging="417"/>
        <w:spacing w:after="0" w:line="266" w:lineRule="auto"/>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u w:val="single" w:color="auto"/>
          <w:color w:val="auto"/>
        </w:rPr>
        <w:t>Rollover Amount</w:t>
      </w:r>
      <w:r>
        <w:rPr>
          <w:rFonts w:ascii="Arial" w:cs="Arial" w:eastAsia="Arial" w:hAnsi="Arial"/>
          <w:sz w:val="18"/>
          <w:szCs w:val="18"/>
          <w:color w:val="auto"/>
        </w:rPr>
        <w:t>. Upon the effective date of his participation in the Plan, a Participant may elect to have his account balance or accrued benefit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 any other nonqualified deferred compensation or nonqualified retirement plan maintained by an Employer transferred to this Plan and credited to his Account hereunder.</w:t>
      </w: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1" w:lineRule="exact"/>
        <w:rPr>
          <w:sz w:val="20"/>
          <w:szCs w:val="20"/>
          <w:color w:val="auto"/>
        </w:rPr>
      </w:pPr>
    </w:p>
    <w:p>
      <w:pPr>
        <w:ind w:left="420" w:right="40" w:hanging="417"/>
        <w:spacing w:after="0" w:line="289" w:lineRule="auto"/>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b w:val="1"/>
          <w:bCs w:val="1"/>
          <w:u w:val="single" w:color="auto"/>
          <w:color w:val="auto"/>
        </w:rPr>
        <w:t>Investment of Trust Assets</w:t>
      </w:r>
      <w:r>
        <w:rPr>
          <w:rFonts w:ascii="Arial" w:cs="Arial" w:eastAsia="Arial" w:hAnsi="Arial"/>
          <w:sz w:val="17"/>
          <w:szCs w:val="17"/>
          <w:color w:val="auto"/>
        </w:rPr>
        <w:t>. The Trustee of the Trust will be authorized, upon written instructions received from the Committee or an investment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manager appointed by the Committee, to invest and reinvest the assets of the Trust in accordance with the Trust Agreement, including the disposition of Stock and reinvestment of the proceeds in one or more investment vehicles designated by the Committee.</w:t>
      </w:r>
    </w:p>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u w:val="single" w:color="auto"/>
          <w:color w:val="auto"/>
        </w:rPr>
        <w:t>Vesting</w:t>
      </w:r>
      <w:r>
        <w:rPr>
          <w:rFonts w:ascii="Arial" w:cs="Arial" w:eastAsia="Arial" w:hAnsi="Arial"/>
          <w:sz w:val="15"/>
          <w:szCs w:val="15"/>
          <w:color w:val="auto"/>
        </w:rPr>
        <w:t>.</w:t>
      </w:r>
    </w:p>
    <w:p>
      <w:pPr>
        <w:spacing w:after="0" w:line="200" w:lineRule="exact"/>
        <w:rPr>
          <w:sz w:val="20"/>
          <w:szCs w:val="20"/>
          <w:color w:val="auto"/>
        </w:rPr>
      </w:pPr>
    </w:p>
    <w:p>
      <w:pPr>
        <w:spacing w:after="0" w:line="218" w:lineRule="exact"/>
        <w:rPr>
          <w:sz w:val="20"/>
          <w:szCs w:val="20"/>
          <w:color w:val="auto"/>
        </w:rPr>
      </w:pPr>
    </w:p>
    <w:p>
      <w:pPr>
        <w:ind w:left="1000" w:hanging="576"/>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Participant will be 100% vested at all times in his or her Deferral Account.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00" w:right="240" w:hanging="576"/>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herein, a Participant will become vested in his or her Company Contribution Account in accordance with the following schedule:</w:t>
      </w:r>
    </w:p>
    <w:p>
      <w:pPr>
        <w:sectPr>
          <w:pgSz w:w="11900" w:h="16838" w:orient="portrait"/>
          <w:cols w:equalWidth="0" w:num="1">
            <w:col w:w="10960"/>
          </w:cols>
          <w:pgMar w:left="340" w:top="1440" w:right="599" w:bottom="1440" w:gutter="0" w:footer="0" w:header="0"/>
        </w:sectPr>
      </w:pPr>
    </w:p>
    <w:bookmarkStart w:id="135" w:name="page136"/>
    <w:bookmarkEnd w:id="135"/>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of Service on Date of</w:t>
            </w:r>
          </w:p>
        </w:tc>
        <w:tc>
          <w:tcPr>
            <w:tcW w:w="2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Vested Percentage of Company</w:t>
            </w:r>
          </w:p>
        </w:tc>
      </w:tr>
      <w:tr>
        <w:trPr>
          <w:trHeight w:val="186"/>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Termination of Employment</w:t>
            </w:r>
          </w:p>
        </w:tc>
        <w:tc>
          <w:tcPr>
            <w:tcW w:w="28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Contribution Account</w:t>
            </w:r>
          </w:p>
        </w:tc>
      </w:tr>
      <w:tr>
        <w:trPr>
          <w:trHeight w:val="26"/>
        </w:trPr>
        <w:tc>
          <w:tcPr>
            <w:tcW w:w="340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43"/>
        </w:trPr>
        <w:tc>
          <w:tcPr>
            <w:tcW w:w="4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Less than 1 year</w:t>
            </w:r>
          </w:p>
        </w:tc>
        <w:tc>
          <w:tcPr>
            <w:tcW w:w="2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r>
      <w:tr>
        <w:trPr>
          <w:trHeight w:val="24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1 year</w:t>
            </w:r>
          </w:p>
        </w:tc>
        <w:tc>
          <w:tcPr>
            <w:tcW w:w="282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r>
      <w:tr>
        <w:trPr>
          <w:trHeight w:val="27"/>
        </w:trPr>
        <w:tc>
          <w:tcPr>
            <w:tcW w:w="3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2 years</w:t>
            </w:r>
          </w:p>
        </w:tc>
        <w:tc>
          <w:tcPr>
            <w:tcW w:w="2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40 %</w:t>
            </w:r>
          </w:p>
        </w:tc>
      </w:tr>
      <w:tr>
        <w:trPr>
          <w:trHeight w:val="24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3 years</w:t>
            </w:r>
          </w:p>
        </w:tc>
        <w:tc>
          <w:tcPr>
            <w:tcW w:w="2820" w:type="dxa"/>
            <w:vAlign w:val="bottom"/>
            <w:gridSpan w:val="2"/>
          </w:tcPr>
          <w:p>
            <w:pPr>
              <w:jc w:val="right"/>
              <w:ind w:right="80"/>
              <w:spacing w:after="0"/>
              <w:rPr>
                <w:sz w:val="20"/>
                <w:szCs w:val="20"/>
                <w:color w:val="auto"/>
              </w:rPr>
            </w:pPr>
            <w:r>
              <w:rPr>
                <w:rFonts w:ascii="Arial" w:cs="Arial" w:eastAsia="Arial" w:hAnsi="Arial"/>
                <w:sz w:val="18"/>
                <w:szCs w:val="18"/>
                <w:color w:val="auto"/>
              </w:rPr>
              <w:t>60 %</w:t>
            </w:r>
          </w:p>
        </w:tc>
      </w:tr>
      <w:tr>
        <w:trPr>
          <w:trHeight w:val="27"/>
        </w:trPr>
        <w:tc>
          <w:tcPr>
            <w:tcW w:w="3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4 years</w:t>
            </w:r>
          </w:p>
        </w:tc>
        <w:tc>
          <w:tcPr>
            <w:tcW w:w="2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80 %</w:t>
            </w:r>
          </w:p>
        </w:tc>
      </w:tr>
      <w:tr>
        <w:trPr>
          <w:trHeight w:val="24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5 years or more</w:t>
            </w:r>
          </w:p>
        </w:tc>
        <w:tc>
          <w:tcPr>
            <w:tcW w:w="2820" w:type="dxa"/>
            <w:vAlign w:val="bottom"/>
            <w:gridSpan w:val="2"/>
          </w:tcPr>
          <w:p>
            <w:pPr>
              <w:jc w:val="right"/>
              <w:ind w:right="80"/>
              <w:spacing w:after="0"/>
              <w:rPr>
                <w:sz w:val="20"/>
                <w:szCs w:val="20"/>
                <w:color w:val="auto"/>
              </w:rPr>
            </w:pPr>
            <w:r>
              <w:rPr>
                <w:rFonts w:ascii="Arial" w:cs="Arial" w:eastAsia="Arial" w:hAnsi="Arial"/>
                <w:sz w:val="18"/>
                <w:szCs w:val="18"/>
                <w:color w:val="auto"/>
              </w:rPr>
              <w:t>100 %</w:t>
            </w:r>
          </w:p>
        </w:tc>
      </w:tr>
    </w:tbl>
    <w:p>
      <w:pPr>
        <w:spacing w:after="0" w:line="391" w:lineRule="exact"/>
        <w:rPr>
          <w:sz w:val="20"/>
          <w:szCs w:val="20"/>
          <w:color w:val="auto"/>
        </w:rPr>
      </w:pPr>
    </w:p>
    <w:p>
      <w:pPr>
        <w:jc w:val="both"/>
        <w:ind w:left="1020" w:right="60" w:hanging="576"/>
        <w:spacing w:after="0" w:line="263"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3.8, in the event of a Participant’s death or Retirement, or in the event of a Change in Control, a Participant’s Company Contribution Account will immediately become 100% vested (if it is not already 100% vested in accordance with the above vesting schedule).</w:t>
      </w:r>
    </w:p>
    <w:p>
      <w:pPr>
        <w:spacing w:after="0" w:line="359" w:lineRule="exact"/>
        <w:rPr>
          <w:rFonts w:ascii="Arial" w:cs="Arial" w:eastAsia="Arial" w:hAnsi="Arial"/>
          <w:sz w:val="18"/>
          <w:szCs w:val="18"/>
          <w:color w:val="auto"/>
        </w:rPr>
      </w:pPr>
    </w:p>
    <w:p>
      <w:pPr>
        <w:ind w:left="1020" w:right="60" w:hanging="576"/>
        <w:spacing w:after="0" w:line="270" w:lineRule="auto"/>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Notwithstanding subsection (c), the vesting schedule for a Participant’s Company Contribution Account will not be accelerated to the extent that the Committee determines that acceleration would cause the deduction limitations of Code Section 280G to become effective. In the event that all of a Participant’s Company Contribution Account is not vested pursuant to such a determination, the Participant may request independent verification of the Committee’s calculations with respect to the application of Code Section 280G. In that case, the Committee must provide to the Participant within 30 business days of receipt such a request an opinion from a nationally recognized accounting firm selected by the Participant (the “Accounting Firm”). The opinion will state the Accounting Firm’s opinion that any limitation in the vested percentage under this Plan is necessary to avoid the limits of Code Section 280G and contain supporting calculations. The Company will pay the cost of obtaining the opinion. If the vesting schedule for a Participant’s Company Contribution Account is not accelerated due to the application of this</w:t>
      </w: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Section 3.8(d) and the Participant’s employment with the Employer is involuntarily terminated subsequent to the Change in Control that would have resulted in the acceleration of the vesting schedule but for the application of this Section 3.8(d), the Participant’s Company Contribution Account will immediately become 100% vested (if it is not already 100% vested in accordance with the vesting schedule set forth in Section 3.8(b)).</w:t>
      </w:r>
    </w:p>
    <w:p>
      <w:pPr>
        <w:sectPr>
          <w:pgSz w:w="11900" w:h="16838" w:orient="portrait"/>
          <w:cols w:equalWidth="0" w:num="1">
            <w:col w:w="10920"/>
          </w:cols>
          <w:pgMar w:left="320" w:top="1440" w:right="659" w:bottom="1440" w:gutter="0" w:footer="0" w:header="0"/>
        </w:sectPr>
      </w:pPr>
    </w:p>
    <w:bookmarkStart w:id="136" w:name="page137"/>
    <w:bookmarkEnd w:id="136"/>
    <w:p>
      <w:pPr>
        <w:spacing w:after="0" w:line="36" w:lineRule="exact"/>
        <w:rPr>
          <w:sz w:val="20"/>
          <w:szCs w:val="20"/>
          <w:color w:val="auto"/>
        </w:rPr>
      </w:pPr>
    </w:p>
    <w:p>
      <w:pPr>
        <w:ind w:left="760" w:hanging="576"/>
        <w:spacing w:after="0" w:line="255"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Participant will be eligible to receive benefits under the Plan that are credited to his or her Company Contribution Account if he or she violates the terms and conditions of any agreement or Company policy relating to matters of confidentiality or trade secrets of the Company, competition with the Company, solicitation of employees or customers of the Company, or engages in embezzlement, theft, fraud or any felony or any other act that is materially injurious to the Company. The determination as to whether a Participant has engaged in any such impermissible activity shall be made by the Committee, in its sole discretion.</w:t>
      </w:r>
    </w:p>
    <w:p>
      <w:pPr>
        <w:spacing w:after="0" w:line="381" w:lineRule="exact"/>
        <w:rPr>
          <w:rFonts w:ascii="Arial" w:cs="Arial" w:eastAsia="Arial" w:hAnsi="Arial"/>
          <w:sz w:val="18"/>
          <w:szCs w:val="18"/>
          <w:color w:val="auto"/>
        </w:rPr>
      </w:pPr>
    </w:p>
    <w:p>
      <w:pPr>
        <w:ind w:left="760" w:right="80" w:hanging="576"/>
        <w:spacing w:after="0" w:line="259"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event that any portion of a Participant’s Account is forfeited by reason of it not being fully vested or as a result of a divestiture pursuant to Section 3.8(e), any such forfeiture shall remain the property of the Company. The Committee may, however, in its sole discretion, elect to allocate all or a portion of any such forfeiture to the Accounts of any other Participants in the Plan in such manner and at such time as the Committee may determine.</w:t>
      </w:r>
    </w:p>
    <w:p>
      <w:pPr>
        <w:spacing w:after="0" w:line="362" w:lineRule="exact"/>
        <w:rPr>
          <w:rFonts w:ascii="Arial" w:cs="Arial" w:eastAsia="Arial" w:hAnsi="Arial"/>
          <w:sz w:val="18"/>
          <w:szCs w:val="18"/>
          <w:color w:val="auto"/>
        </w:rPr>
      </w:pPr>
    </w:p>
    <w:p>
      <w:pPr>
        <w:ind w:left="760" w:right="720" w:hanging="576"/>
        <w:spacing w:after="0" w:line="342"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event of a Participant’s Disability or involuntary termination of employment (except as is described in Section 3.8(d)), the Committee may, in its sole discretion, accelerate the vesting schedule for a Participant’s Company Contribution Account.</w:t>
      </w:r>
    </w:p>
    <w:p>
      <w:pPr>
        <w:spacing w:after="0" w:line="200" w:lineRule="exact"/>
        <w:rPr>
          <w:sz w:val="20"/>
          <w:szCs w:val="20"/>
          <w:color w:val="auto"/>
        </w:rPr>
      </w:pPr>
    </w:p>
    <w:p>
      <w:pPr>
        <w:spacing w:after="0" w:line="365" w:lineRule="exact"/>
        <w:rPr>
          <w:sz w:val="20"/>
          <w:szCs w:val="20"/>
          <w:color w:val="auto"/>
        </w:rPr>
      </w:pPr>
    </w:p>
    <w:p>
      <w:pPr>
        <w:ind w:left="180" w:right="140" w:hanging="417"/>
        <w:spacing w:after="0" w:line="347" w:lineRule="auto"/>
        <w:tabs>
          <w:tab w:leader="none" w:pos="1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u w:val="single" w:color="auto"/>
          <w:color w:val="auto"/>
        </w:rPr>
        <w:t>Crediting/Debiting of Account Balances</w:t>
      </w:r>
      <w:r>
        <w:rPr>
          <w:rFonts w:ascii="Arial" w:cs="Arial" w:eastAsia="Arial" w:hAnsi="Arial"/>
          <w:sz w:val="16"/>
          <w:szCs w:val="16"/>
          <w:color w:val="auto"/>
        </w:rPr>
        <w:t>. In accordance with, and subject to, the rules and procedures that are established from time to time by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Committee, in its sole discretion, amounts shall be credited or debited to a Participant’s Account in accordance with the following rules:</w:t>
      </w:r>
    </w:p>
    <w:p>
      <w:pPr>
        <w:spacing w:after="0" w:line="305" w:lineRule="exact"/>
        <w:rPr>
          <w:sz w:val="20"/>
          <w:szCs w:val="20"/>
          <w:color w:val="auto"/>
        </w:rPr>
      </w:pPr>
    </w:p>
    <w:p>
      <w:pPr>
        <w:ind w:left="760" w:right="20" w:hanging="576"/>
        <w:spacing w:after="0" w:line="255"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Election of Measurement Funds</w:t>
      </w:r>
      <w:r>
        <w:rPr>
          <w:rFonts w:ascii="Arial" w:cs="Arial" w:eastAsia="Arial" w:hAnsi="Arial"/>
          <w:sz w:val="18"/>
          <w:szCs w:val="18"/>
          <w:color w:val="auto"/>
        </w:rPr>
        <w:t>. A Participant, in connection with his or her initial deferral election under Section 3.3(a) above, will</w:t>
      </w:r>
      <w:r>
        <w:rPr>
          <w:rFonts w:ascii="Arial" w:cs="Arial" w:eastAsia="Arial" w:hAnsi="Arial"/>
          <w:sz w:val="18"/>
          <w:szCs w:val="18"/>
          <w:b w:val="1"/>
          <w:bCs w:val="1"/>
          <w:color w:val="auto"/>
        </w:rPr>
        <w:t xml:space="preserve"> </w:t>
      </w:r>
      <w:r>
        <w:rPr>
          <w:rFonts w:ascii="Arial" w:cs="Arial" w:eastAsia="Arial" w:hAnsi="Arial"/>
          <w:sz w:val="18"/>
          <w:szCs w:val="18"/>
          <w:color w:val="auto"/>
        </w:rPr>
        <w:t>elect, on the Election Form, the Measurement Fund to be used to determine the additional amounts to be credited to his or her Account for the first day in which the Participant commences participation in the Plan, and continuing thereafter for each subsequent day in which the Participant participates in the Plan, unless changed in accordance with the next sentence. Commencing with the first business day that follows the Participant’s commencement of participation in the Plan and continuing thereafter for each subsequent day in which the Participant participates in the Plan, the Participant may (but is not required to) elect, by submitting an Election Form to the Committee that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34924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760" w:right="180"/>
        <w:spacing w:after="0" w:line="301" w:lineRule="auto"/>
        <w:rPr>
          <w:sz w:val="20"/>
          <w:szCs w:val="20"/>
          <w:color w:val="auto"/>
        </w:rPr>
      </w:pPr>
      <w:r>
        <w:rPr>
          <w:rFonts w:ascii="Arial" w:cs="Arial" w:eastAsia="Arial" w:hAnsi="Arial"/>
          <w:sz w:val="16"/>
          <w:szCs w:val="16"/>
          <w:color w:val="auto"/>
        </w:rPr>
        <w:t>is accepted by the Committee, to add or delete one or more Measurement Fund(s) to be used to determine the additional amounts to be credited to his or her Account or to change the portion of his or her Account allocated to each previously or newly elected Measurement Fund. If an election is made in accordance with the previous sentence, it will apply to the next business day and continue thereafter for each subsequent day in which the Participant participates in the Plan, unless changed in accordance with the previous sentence.</w:t>
      </w:r>
    </w:p>
    <w:p>
      <w:pPr>
        <w:spacing w:after="0" w:line="342" w:lineRule="exact"/>
        <w:rPr>
          <w:sz w:val="20"/>
          <w:szCs w:val="20"/>
          <w:color w:val="auto"/>
        </w:rPr>
      </w:pPr>
    </w:p>
    <w:p>
      <w:pPr>
        <w:ind w:left="760" w:right="120" w:hanging="576"/>
        <w:spacing w:after="0" w:line="289"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Proportionate Allocation</w:t>
      </w:r>
      <w:r>
        <w:rPr>
          <w:rFonts w:ascii="Arial" w:cs="Arial" w:eastAsia="Arial" w:hAnsi="Arial"/>
          <w:sz w:val="17"/>
          <w:szCs w:val="17"/>
          <w:color w:val="auto"/>
        </w:rPr>
        <w:t>. In making any election described in Section 3.8 (a) above, the Participant must specify on the Election Form,</w:t>
      </w:r>
      <w:r>
        <w:rPr>
          <w:rFonts w:ascii="Arial" w:cs="Arial" w:eastAsia="Arial" w:hAnsi="Arial"/>
          <w:sz w:val="17"/>
          <w:szCs w:val="17"/>
          <w:b w:val="1"/>
          <w:bCs w:val="1"/>
          <w:color w:val="auto"/>
        </w:rPr>
        <w:t xml:space="preserve"> </w:t>
      </w:r>
      <w:r>
        <w:rPr>
          <w:rFonts w:ascii="Arial" w:cs="Arial" w:eastAsia="Arial" w:hAnsi="Arial"/>
          <w:sz w:val="17"/>
          <w:szCs w:val="17"/>
          <w:color w:val="auto"/>
        </w:rPr>
        <w:t>in increments of one percentage point (1%), the percentage of his or her Account to be allocated to a Measurement Fund (as if the Participant was making an investment in that Measurement Fund with that portion of his or her Account).</w:t>
      </w:r>
    </w:p>
    <w:p>
      <w:pPr>
        <w:sectPr>
          <w:pgSz w:w="11900" w:h="16838" w:orient="portrait"/>
          <w:cols w:equalWidth="0" w:num="1">
            <w:col w:w="10720"/>
          </w:cols>
          <w:pgMar w:left="580" w:top="1440" w:right="599" w:bottom="1440" w:gutter="0" w:footer="0" w:header="0"/>
        </w:sectPr>
      </w:pPr>
    </w:p>
    <w:bookmarkStart w:id="137" w:name="page138"/>
    <w:bookmarkEnd w:id="137"/>
    <w:p>
      <w:pPr>
        <w:spacing w:after="0" w:line="32" w:lineRule="exact"/>
        <w:rPr>
          <w:sz w:val="20"/>
          <w:szCs w:val="20"/>
          <w:color w:val="auto"/>
        </w:rPr>
      </w:pPr>
    </w:p>
    <w:p>
      <w:pPr>
        <w:ind w:left="1000" w:hanging="576"/>
        <w:spacing w:after="0" w:line="26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Crediting or Debiting Method</w:t>
      </w:r>
      <w:r>
        <w:rPr>
          <w:rFonts w:ascii="Arial" w:cs="Arial" w:eastAsia="Arial" w:hAnsi="Arial"/>
          <w:sz w:val="17"/>
          <w:szCs w:val="17"/>
          <w:color w:val="auto"/>
        </w:rPr>
        <w:t>. The performance of each elected Measurement Fund (either positive or negative) will be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in its sole discretion, based on the performance of the Measurement Funds themselves. A Participant’s Account will be credited or debited on a daily basis based on the performance of each Measurement Fund selected by the Participant, as determined by the Committee, in its sole discretion, as though (1) a Participant’s Account were invested in the Measurement Fund(s) selected by the Participant, in the percentages applicable to that day, at the closing price on that date; (2) the portion of the Annual Deferral Amount that was actually deferred during any business day were invested in the Measurement Fund(s) selected by the Participant, in the percentages applicable to that day, no later than the close of business on the first business day after the day on which the amounts are actually deferred from the Participant’s Base Annual Salary through reductions in his or her payroll, at the closing price on that date; and (3) any distribution made to a Participant that decreases the Participant’s Account ceased being invested in the Measurement Fund(s), in the percentages applicable to the day, no earlier than one business day prior to the distribution, at the closing price on that date. The Participant’s Rollover Amount will be credited to his or her Account for purposes of this Section 3.9 (c) as of the close of business on the Effective Date or, if later, the first day of the Participant’s participation in the Plan. The Participant’s Annual Company Contribution Amount will be credited to his or her Company Contribution Account for purposes of this Section 3.9 (c) as of the close of business on the date selected by the Committee, in its sole discretion.</w:t>
      </w:r>
    </w:p>
    <w:p>
      <w:pPr>
        <w:spacing w:after="0" w:line="373" w:lineRule="exact"/>
        <w:rPr>
          <w:rFonts w:ascii="Arial" w:cs="Arial" w:eastAsia="Arial" w:hAnsi="Arial"/>
          <w:sz w:val="17"/>
          <w:szCs w:val="17"/>
          <w:color w:val="auto"/>
        </w:rPr>
      </w:pPr>
    </w:p>
    <w:p>
      <w:pPr>
        <w:jc w:val="both"/>
        <w:ind w:left="1000" w:right="40" w:hanging="576"/>
        <w:spacing w:after="0" w:line="261"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No Actual Investment</w:t>
      </w:r>
      <w:r>
        <w:rPr>
          <w:rFonts w:ascii="Arial" w:cs="Arial" w:eastAsia="Arial" w:hAnsi="Arial"/>
          <w:sz w:val="18"/>
          <w:szCs w:val="18"/>
          <w:color w:val="auto"/>
        </w:rPr>
        <w:t>. Notwithstanding any other provision of this Plan that may be interpreted to the contrary, the Measurement Funds</w:t>
      </w:r>
      <w:r>
        <w:rPr>
          <w:rFonts w:ascii="Arial" w:cs="Arial" w:eastAsia="Arial" w:hAnsi="Arial"/>
          <w:sz w:val="18"/>
          <w:szCs w:val="18"/>
          <w:b w:val="1"/>
          <w:bCs w:val="1"/>
          <w:color w:val="auto"/>
        </w:rPr>
        <w:t xml:space="preserve"> </w:t>
      </w:r>
      <w:r>
        <w:rPr>
          <w:rFonts w:ascii="Arial" w:cs="Arial" w:eastAsia="Arial" w:hAnsi="Arial"/>
          <w:sz w:val="18"/>
          <w:szCs w:val="18"/>
          <w:color w:val="auto"/>
        </w:rPr>
        <w:t>are to be used for measurement purposes only, and a Participant’s election of any Measurement Fund, the allocation to his or her Account Balance to any Measurement Fund, the calculation of additional amounts, and the crediting or debiting of those amounts to a Participant’s Account will not be considered or construed in any manner as an</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000" w:right="320"/>
        <w:spacing w:after="0" w:line="257" w:lineRule="auto"/>
        <w:rPr>
          <w:sz w:val="20"/>
          <w:szCs w:val="20"/>
          <w:color w:val="auto"/>
        </w:rPr>
      </w:pPr>
      <w:r>
        <w:rPr>
          <w:rFonts w:ascii="Arial" w:cs="Arial" w:eastAsia="Arial" w:hAnsi="Arial"/>
          <w:sz w:val="18"/>
          <w:szCs w:val="18"/>
          <w:color w:val="auto"/>
        </w:rPr>
        <w:t>actual investment of his or her Account Balance in any Measurement Fund. In the event that the Company or the Trustee, in its own discretion, decides to invest funds in any or all of the Measurement Funds, no Participant will have any rights in or to the investments themselves. Without limiting the foregoing, a Participant’s Account Balance will at all times be a bookkeeping entry only and will not represent any investment made on his or her behalf by the Company or the Trust; the Participant will at all times remain an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u w:val="single" w:color="auto"/>
          <w:color w:val="auto"/>
        </w:rPr>
        <w:t>FICA and Other Taxes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000" w:right="140" w:hanging="576"/>
        <w:spacing w:after="0" w:line="303"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Annual Deferral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For each Plan Year in which an Annual Deferral Amount is being withheld from a Participant,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Employer(s) will withhold from that portion of the Participant’s Base Annual Salary and Annual Bonus that is not being deferred, in a manner determined by the Employers, the Participant’s share of FICA and other employment taxes on the Annual Deferral Amount. If necessary, the Committee may reduce the Annual Deferral Amount in order to comply with this Section 3.10(a).</w:t>
      </w:r>
    </w:p>
    <w:p>
      <w:pPr>
        <w:sectPr>
          <w:pgSz w:w="11900" w:h="16838" w:orient="portrait"/>
          <w:cols w:equalWidth="0" w:num="1">
            <w:col w:w="10960"/>
          </w:cols>
          <w:pgMar w:left="340" w:top="1440" w:right="599" w:bottom="1440" w:gutter="0" w:footer="0" w:header="0"/>
        </w:sectPr>
      </w:pPr>
    </w:p>
    <w:bookmarkStart w:id="138" w:name="page139"/>
    <w:bookmarkEnd w:id="138"/>
    <w:p>
      <w:pPr>
        <w:spacing w:after="0" w:line="32" w:lineRule="exact"/>
        <w:rPr>
          <w:sz w:val="20"/>
          <w:szCs w:val="20"/>
          <w:color w:val="auto"/>
        </w:rPr>
      </w:pPr>
    </w:p>
    <w:p>
      <w:pPr>
        <w:jc w:val="both"/>
        <w:ind w:left="720" w:right="260" w:hanging="576"/>
        <w:spacing w:after="0" w:line="281" w:lineRule="auto"/>
        <w:tabs>
          <w:tab w:leader="none" w:pos="72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 Contribution Account</w:t>
      </w:r>
      <w:r>
        <w:rPr>
          <w:rFonts w:ascii="Arial" w:cs="Arial" w:eastAsia="Arial" w:hAnsi="Arial"/>
          <w:sz w:val="17"/>
          <w:szCs w:val="17"/>
          <w:color w:val="auto"/>
        </w:rPr>
        <w:t>. When a Participant becomes vested in a portion of his or her Company Contribution Account,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Employer will withhold from the Participant’s Base Annual Salary and/or Annual Bonus that is not deferred, in a manner determined by the Employer, the Participant’s share of FICA and other employment taxes. If necessary, the Committee may reduce the vested portion of the Participant’s Company Contribution Account to comply with this Section 3.10(b).</w:t>
      </w:r>
    </w:p>
    <w:p>
      <w:pPr>
        <w:spacing w:after="0" w:line="353" w:lineRule="exact"/>
        <w:rPr>
          <w:rFonts w:ascii="Arial" w:cs="Arial" w:eastAsia="Arial" w:hAnsi="Arial"/>
          <w:sz w:val="17"/>
          <w:szCs w:val="17"/>
          <w:color w:val="auto"/>
        </w:rPr>
      </w:pPr>
    </w:p>
    <w:p>
      <w:pPr>
        <w:ind w:left="720" w:right="100" w:hanging="576"/>
        <w:spacing w:after="0" w:line="314"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Distributions</w:t>
      </w:r>
      <w:r>
        <w:rPr>
          <w:rFonts w:ascii="Arial" w:cs="Arial" w:eastAsia="Arial" w:hAnsi="Arial"/>
          <w:sz w:val="16"/>
          <w:szCs w:val="16"/>
          <w:color w:val="auto"/>
        </w:rPr>
        <w:t>. The Participant’s Employer, or the Trustee of the Trust, will withhold from any payments made to a Participant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all federal, state, and local income, employment, and other taxes required to be withheld by the Employer or the Trustee, in connection with those payments, in amounts and in a manner to be determined in the sole discretion of the Employer and the Trustee.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Scheduled Distributions; Unforeseeable Emergencies</w:t>
      </w:r>
    </w:p>
    <w:p>
      <w:pPr>
        <w:spacing w:after="0" w:line="301" w:lineRule="exact"/>
        <w:rPr>
          <w:sz w:val="20"/>
          <w:szCs w:val="20"/>
          <w:color w:val="auto"/>
        </w:rPr>
      </w:pPr>
    </w:p>
    <w:p>
      <w:pPr>
        <w:ind w:left="140" w:right="60" w:hanging="417"/>
        <w:spacing w:after="0" w:line="298" w:lineRule="auto"/>
        <w:tabs>
          <w:tab w:leader="none" w:pos="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Scheduled Distributions</w:t>
      </w:r>
      <w:r>
        <w:rPr>
          <w:rFonts w:ascii="Arial" w:cs="Arial" w:eastAsia="Arial" w:hAnsi="Arial"/>
          <w:sz w:val="16"/>
          <w:szCs w:val="16"/>
          <w:color w:val="auto"/>
        </w:rPr>
        <w:t>. In connection with each election to defer an Annual Deferral Amount, a Participant may elect to receive a scheduled</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distribution from the Plan with respect to the Annual Deferral Amount. Subject to the Deduction Limitation, the distribution will be a lump sum payment in an amount that is equal to the Annual Deferral Amount plus amounts credited or debited in the manner provided in Section 3.9 above on that amount, determined at the time that the distribution becomes payable (rather than the date of a Separation from Service). The Benefit Distribution Date for the amount subject to a scheduled distribution election shall be the within 30 days after the last day of any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534924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40"/>
        <w:spacing w:after="0" w:line="259" w:lineRule="auto"/>
        <w:rPr>
          <w:sz w:val="20"/>
          <w:szCs w:val="20"/>
          <w:color w:val="auto"/>
        </w:rPr>
      </w:pPr>
      <w:r>
        <w:rPr>
          <w:rFonts w:ascii="Arial" w:cs="Arial" w:eastAsia="Arial" w:hAnsi="Arial"/>
          <w:sz w:val="18"/>
          <w:szCs w:val="18"/>
          <w:color w:val="auto"/>
        </w:rPr>
        <w:t>Year designated by the Participant, which may be no sooner than three Plan Years after the end of the Plan Year to which the Participant’s deferral election relates, unless otherwise provided on an Election Form approved by the Committee. Subject to the Deduction Limitation and the other terms and conditions of this Plan, each scheduled distribution elected will be paid out during a thirty (30)-day period commencing immediately after the last day of any Plan Year designated by the Participant.</w:t>
      </w:r>
    </w:p>
    <w:p>
      <w:pPr>
        <w:spacing w:after="0" w:line="200" w:lineRule="exact"/>
        <w:rPr>
          <w:sz w:val="20"/>
          <w:szCs w:val="20"/>
          <w:color w:val="auto"/>
        </w:rPr>
      </w:pPr>
    </w:p>
    <w:p>
      <w:pPr>
        <w:spacing w:after="0" w:line="293" w:lineRule="exact"/>
        <w:rPr>
          <w:sz w:val="20"/>
          <w:szCs w:val="20"/>
          <w:color w:val="auto"/>
        </w:rPr>
      </w:pPr>
    </w:p>
    <w:p>
      <w:pPr>
        <w:ind w:left="140" w:right="80" w:hanging="417"/>
        <w:spacing w:after="0" w:line="266" w:lineRule="auto"/>
        <w:tabs>
          <w:tab w:leader="none" w:pos="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u w:val="single" w:color="auto"/>
          <w:color w:val="auto"/>
        </w:rPr>
        <w:t>Other Benefits Take Precedence Over Scheduled Distributions</w:t>
      </w:r>
      <w:r>
        <w:rPr>
          <w:rFonts w:ascii="Arial" w:cs="Arial" w:eastAsia="Arial" w:hAnsi="Arial"/>
          <w:sz w:val="18"/>
          <w:szCs w:val="18"/>
          <w:color w:val="auto"/>
        </w:rPr>
        <w:t>. If an event occurs that triggers a benefit under Article 5, 6, 7, 8 or 9,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Annual Deferral Amount, plus amounts credited or debited on them, that is subject to a scheduled distribution election under Section 4.1 will not be paid in accordance with Section 4.1 but will be paid in accordance with the other applicable Article.</w:t>
      </w:r>
    </w:p>
    <w:p>
      <w:pPr>
        <w:sectPr>
          <w:pgSz w:w="11900" w:h="16838" w:orient="portrait"/>
          <w:cols w:equalWidth="0" w:num="1">
            <w:col w:w="10660"/>
          </w:cols>
          <w:pgMar w:left="620" w:top="1440" w:right="619" w:bottom="1440" w:gutter="0" w:footer="0" w:header="0"/>
        </w:sectPr>
      </w:pPr>
    </w:p>
    <w:bookmarkStart w:id="139" w:name="page140"/>
    <w:bookmarkEnd w:id="139"/>
    <w:p>
      <w:pPr>
        <w:spacing w:after="0" w:line="32" w:lineRule="exact"/>
        <w:rPr>
          <w:sz w:val="20"/>
          <w:szCs w:val="20"/>
          <w:color w:val="auto"/>
        </w:rPr>
      </w:pPr>
    </w:p>
    <w:p>
      <w:pPr>
        <w:ind w:left="420" w:right="60" w:hanging="417"/>
        <w:spacing w:after="0" w:line="285" w:lineRule="auto"/>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Suspensions for Unforeseeable Emergencies</w:t>
      </w:r>
      <w:r>
        <w:rPr>
          <w:rFonts w:ascii="Arial" w:cs="Arial" w:eastAsia="Arial" w:hAnsi="Arial"/>
          <w:sz w:val="16"/>
          <w:szCs w:val="16"/>
          <w:color w:val="auto"/>
        </w:rPr>
        <w:t>. If a Participant (or, after a Participant’s death, his or her Beneficiary) experiences an</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Unforeseeable Emergency, the Participant (or Beneficiary) may petition the Committee to (a) suspend any deferrals required to be made by a Participant and/or (b) receive a partial or full payout from the Plan. The payout will not exceed the lesser of the Participant’s vested Account Balance, calculated as if the Participant were receiving a Termination Benefit, or the amount reasonably needed to satisfy the Unforeseeable Emergency, plus amounts necessary to pay Federal, State, or local income taxes or penalties reasonable anticipated as a result of the distribution. A Participant shall not be eligible to receive a payout from the Plan to the extent that the Unforeseeable Emergency is or may be relieved</w:t>
      </w:r>
    </w:p>
    <w:p>
      <w:pPr>
        <w:spacing w:after="0" w:line="3" w:lineRule="exact"/>
        <w:rPr>
          <w:sz w:val="20"/>
          <w:szCs w:val="20"/>
          <w:color w:val="auto"/>
        </w:rPr>
      </w:pPr>
    </w:p>
    <w:p>
      <w:pPr>
        <w:ind w:left="420" w:right="160" w:firstLine="4"/>
        <w:spacing w:after="0" w:line="253" w:lineRule="auto"/>
        <w:tabs>
          <w:tab w:leader="none" w:pos="6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 (b) by liquidation of the Participant’s assets, to the extent that the liquidation of such assets would not itself cause a severe financial hardship or (c) by cessation of deferrals under the Plan. If, subject to the sole discretion of the Committee, the petition for a suspension and/or payout is approved, suspension will take effect upon the date of approval, and any payout will be made within 30 days of the date of approval. The payment of any amount under this Section 4.3 will not be subject to the Deduction Limitation.</w:t>
      </w:r>
    </w:p>
    <w:p>
      <w:pPr>
        <w:spacing w:after="0" w:line="200" w:lineRule="exact"/>
        <w:rPr>
          <w:sz w:val="20"/>
          <w:szCs w:val="20"/>
          <w:color w:val="auto"/>
        </w:rPr>
      </w:pPr>
    </w:p>
    <w:p>
      <w:pPr>
        <w:spacing w:after="0" w:line="32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Retirement Benefit</w:t>
      </w:r>
    </w:p>
    <w:p>
      <w:pPr>
        <w:spacing w:after="0" w:line="301" w:lineRule="exact"/>
        <w:rPr>
          <w:sz w:val="20"/>
          <w:szCs w:val="20"/>
          <w:color w:val="auto"/>
        </w:rPr>
      </w:pPr>
    </w:p>
    <w:p>
      <w:pPr>
        <w:ind w:left="420" w:right="340" w:hanging="417"/>
        <w:spacing w:after="0" w:line="282" w:lineRule="auto"/>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u w:val="single" w:color="auto"/>
          <w:color w:val="auto"/>
        </w:rPr>
        <w:t>Retirement Benefit</w:t>
      </w:r>
      <w:r>
        <w:rPr>
          <w:rFonts w:ascii="Arial" w:cs="Arial" w:eastAsia="Arial" w:hAnsi="Arial"/>
          <w:sz w:val="18"/>
          <w:szCs w:val="18"/>
          <w:color w:val="auto"/>
        </w:rPr>
        <w:t>. Subject to the Deduction Limitation, a Participant who Retires will receive, as a Retirement Benefit, his or her Account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Balance.</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Payment of Retirement Benefit</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ind w:left="1000" w:right="200" w:hanging="576"/>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Participant, in connection with his or her commencement of participation in the Plan, will elect on an Election Form to receive the Retirement Benefit in a lump sum or pursuant to an Annual Installment Method of 5 or 10 years. On the Election Form, the Participant may also elect to defer commencement of the Retirement</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Benefit to a later date, not later than five (5) years after the date on which the Participant retires. If a Participant does not make any election with respect to the payment of the Retirement Benefit, then that benefit will be payable in a lump sum. Unless the Participant has effectively elected a deferred payment commencement date, a lump sum payment will be made, or installment payments will commence, on the later of (i) the first day after the end of the six (6)-month period immediately following the date on which the Participant Retires if the Participant is a Specified Employee or (ii) within thirty (30) days after the last day of the Plan Year in which the Participant Retires. Any payment made will be subject to the Deduction Limitation.</w:t>
      </w:r>
    </w:p>
    <w:p>
      <w:pPr>
        <w:spacing w:after="0" w:line="367" w:lineRule="exact"/>
        <w:rPr>
          <w:sz w:val="20"/>
          <w:szCs w:val="20"/>
          <w:color w:val="auto"/>
        </w:rPr>
      </w:pPr>
    </w:p>
    <w:p>
      <w:pPr>
        <w:ind w:left="1000" w:right="780" w:hanging="576"/>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Participant may change the form of payment for the Retirement Benefit by submitting an Election Form to the Committee in accordance with the following criteria:</w:t>
      </w:r>
    </w:p>
    <w:p>
      <w:pPr>
        <w:spacing w:after="0" w:line="359" w:lineRule="exact"/>
        <w:rPr>
          <w:rFonts w:ascii="Arial" w:cs="Arial" w:eastAsia="Arial" w:hAnsi="Arial"/>
          <w:sz w:val="18"/>
          <w:szCs w:val="18"/>
          <w:color w:val="auto"/>
        </w:rPr>
      </w:pPr>
    </w:p>
    <w:p>
      <w:pPr>
        <w:ind w:left="1440" w:hanging="449"/>
        <w:spacing w:after="0"/>
        <w:tabs>
          <w:tab w:leader="none" w:pos="14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election shall not take effect until at least 12 months after the date on which the election is made;</w:t>
      </w:r>
    </w:p>
    <w:p>
      <w:pPr>
        <w:sectPr>
          <w:pgSz w:w="11900" w:h="16838" w:orient="portrait"/>
          <w:cols w:equalWidth="0" w:num="1">
            <w:col w:w="10900"/>
          </w:cols>
          <w:pgMar w:left="340" w:top="1440" w:right="659" w:bottom="1440" w:gutter="0" w:footer="0" w:header="0"/>
        </w:sectPr>
      </w:pPr>
    </w:p>
    <w:bookmarkStart w:id="140" w:name="page141"/>
    <w:bookmarkEnd w:id="140"/>
    <w:p>
      <w:pPr>
        <w:spacing w:after="0" w:line="36" w:lineRule="exact"/>
        <w:rPr>
          <w:sz w:val="20"/>
          <w:szCs w:val="20"/>
          <w:color w:val="auto"/>
        </w:rPr>
      </w:pPr>
    </w:p>
    <w:p>
      <w:pPr>
        <w:ind w:left="1180" w:right="840" w:hanging="449"/>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new Benefit Distribution Date for the Participant’s Retirement Benefit shall be at least five (5) years after the Benefit Distribution Date that would have otherwise been applicable to such benefits; and</w:t>
      </w:r>
    </w:p>
    <w:p>
      <w:pPr>
        <w:spacing w:after="0" w:line="359" w:lineRule="exact"/>
        <w:rPr>
          <w:rFonts w:ascii="Arial" w:cs="Arial" w:eastAsia="Arial" w:hAnsi="Arial"/>
          <w:sz w:val="18"/>
          <w:szCs w:val="18"/>
          <w:color w:val="auto"/>
        </w:rPr>
      </w:pPr>
    </w:p>
    <w:p>
      <w:pPr>
        <w:ind w:left="1180" w:right="20" w:hanging="449"/>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election must be made at least 12 months prior to the Benefit Distribution Date that would have otherwise been applicable to the Participant’s Retirement Benefit.</w:t>
      </w:r>
    </w:p>
    <w:p>
      <w:pPr>
        <w:spacing w:after="0" w:line="342" w:lineRule="exact"/>
        <w:rPr>
          <w:sz w:val="20"/>
          <w:szCs w:val="20"/>
          <w:color w:val="auto"/>
        </w:rPr>
      </w:pPr>
    </w:p>
    <w:p>
      <w:pPr>
        <w:ind w:left="160" w:right="40" w:hanging="417"/>
        <w:spacing w:after="0" w:line="255" w:lineRule="auto"/>
        <w:tabs>
          <w:tab w:leader="none" w:pos="1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u w:val="single" w:color="auto"/>
          <w:color w:val="auto"/>
        </w:rPr>
        <w:t>Death Prior to Completion of Retirement Benefit</w:t>
      </w:r>
      <w:r>
        <w:rPr>
          <w:rFonts w:ascii="Arial" w:cs="Arial" w:eastAsia="Arial" w:hAnsi="Arial"/>
          <w:sz w:val="18"/>
          <w:szCs w:val="18"/>
          <w:color w:val="auto"/>
        </w:rPr>
        <w:t>. If a Participant dies after Retirement but before the Retirement Benefit is paid in full,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Participant’s unpaid Retirement Benefit payments will continue and will be paid to the Participant’s Beneficiary over the remaining number of years and in the same amounts as that benefit would have been paid to the Participant had the Participant survived. Despite the foregoing, if the Participant’s Account Balance at the time of his or her death is less than the dollar limitation set forth in Code Section 402(g)(1)(B) then in effect, the Committee may determine, in its sole discretion, to distribute the benefit in the form of a lump sum. The lump sum payment will be made within 30 days after the last day of the Plan Year in which the Committee is provided with proof, satisfactory to the Committee, of the Participant’s death.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Pre-Retirement Survivor Benefit</w:t>
      </w:r>
    </w:p>
    <w:p>
      <w:pPr>
        <w:spacing w:after="0" w:line="301" w:lineRule="exact"/>
        <w:rPr>
          <w:sz w:val="20"/>
          <w:szCs w:val="20"/>
          <w:color w:val="auto"/>
        </w:rPr>
      </w:pPr>
    </w:p>
    <w:p>
      <w:pPr>
        <w:ind w:left="160" w:right="380" w:hanging="417"/>
        <w:spacing w:after="0" w:line="282" w:lineRule="auto"/>
        <w:tabs>
          <w:tab w:leader="none" w:pos="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u w:val="single" w:color="auto"/>
          <w:color w:val="auto"/>
        </w:rPr>
        <w:t>Pre-Retirement Survivor Benefit</w:t>
      </w:r>
      <w:r>
        <w:rPr>
          <w:rFonts w:ascii="Arial" w:cs="Arial" w:eastAsia="Arial" w:hAnsi="Arial"/>
          <w:sz w:val="18"/>
          <w:szCs w:val="18"/>
          <w:color w:val="auto"/>
        </w:rPr>
        <w:t>. Subject to the Deduction Limitation, the Participant’s Beneficiary will receive a Pre-Retirement Survivor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Benefit equal to the Participant’s</w:t>
      </w:r>
    </w:p>
    <w:p>
      <w:pPr>
        <w:spacing w:after="0" w:line="34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14605</wp:posOffset>
            </wp:positionV>
            <wp:extent cx="53492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 Balance if the Participant dies before he or she Retires, experiences a Separation from Service, or suffers a Disability.</w:t>
      </w:r>
    </w:p>
    <w:p>
      <w:pPr>
        <w:spacing w:after="0" w:line="200" w:lineRule="exact"/>
        <w:rPr>
          <w:sz w:val="20"/>
          <w:szCs w:val="20"/>
          <w:color w:val="auto"/>
        </w:rPr>
      </w:pPr>
    </w:p>
    <w:p>
      <w:pPr>
        <w:spacing w:after="0" w:line="210" w:lineRule="exact"/>
        <w:rPr>
          <w:sz w:val="20"/>
          <w:szCs w:val="20"/>
          <w:color w:val="auto"/>
        </w:rPr>
      </w:pPr>
    </w:p>
    <w:p>
      <w:pPr>
        <w:ind w:left="160" w:hanging="417"/>
        <w:spacing w:after="0" w:line="292" w:lineRule="auto"/>
        <w:tabs>
          <w:tab w:leader="none" w:pos="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Payment of Pre-Retirement Survivor Benefit</w:t>
      </w:r>
      <w:r>
        <w:rPr>
          <w:rFonts w:ascii="Arial" w:cs="Arial" w:eastAsia="Arial" w:hAnsi="Arial"/>
          <w:sz w:val="16"/>
          <w:szCs w:val="16"/>
          <w:color w:val="auto"/>
        </w:rPr>
        <w:t>. A Participant, in connection with his or her commencement of participation in the Plan, will elect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on an Election Form whether his or her Beneficiary will receive the Pre-Retirement Survivor Benefit in a lump sum or pursuant to an Annual Installment Method of 5 or 10 years. If a Participant does not make any election with respect to the payment of the Pre-Retirement Survivor Benefit, then the benefit will be paid in a lump sum. Despite the foregoing, if the Participant’s Account Balance at the time of his or her death is less than the dollar limitation set forth in Code Section 402(g)(1)(B) then in effect, payment of the Pre-Retirement Survivor Benefit will be made in a lump sum payment. The lump sum payment will be made within 30 days after the last day of the Plan Year in which the Committee is provided with proof, satisfactory to the Committee, of the Participant’s death. Any payment made will be subject to the Deduction Limitation.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Benefit</w:t>
      </w:r>
    </w:p>
    <w:p>
      <w:pPr>
        <w:spacing w:after="0" w:line="301" w:lineRule="exact"/>
        <w:rPr>
          <w:sz w:val="20"/>
          <w:szCs w:val="20"/>
          <w:color w:val="auto"/>
        </w:rPr>
      </w:pPr>
    </w:p>
    <w:p>
      <w:pPr>
        <w:ind w:left="160" w:right="60" w:hanging="417"/>
        <w:spacing w:after="0" w:line="266" w:lineRule="auto"/>
        <w:tabs>
          <w:tab w:leader="none" w:pos="1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u w:val="single" w:color="auto"/>
          <w:color w:val="auto"/>
        </w:rPr>
        <w:t>Termination Benefit</w:t>
      </w:r>
      <w:r>
        <w:rPr>
          <w:rFonts w:ascii="Arial" w:cs="Arial" w:eastAsia="Arial" w:hAnsi="Arial"/>
          <w:sz w:val="18"/>
          <w:szCs w:val="18"/>
          <w:color w:val="auto"/>
        </w:rPr>
        <w:t>. Except as provided in Section 3.8(e) and subject to the Deduction Limitation, the Participant will receive a Termination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Benefit, which will be equal to the Participant’s vested Account Balance, if a Participant experiences a Separation from Service prior to his or her Retirement, death, or Disability.</w:t>
      </w:r>
    </w:p>
    <w:p>
      <w:pPr>
        <w:sectPr>
          <w:pgSz w:w="11900" w:h="16838" w:orient="portrait"/>
          <w:cols w:equalWidth="0" w:num="1">
            <w:col w:w="10700"/>
          </w:cols>
          <w:pgMar w:left="600" w:top="1440" w:right="599" w:bottom="1440" w:gutter="0" w:footer="0" w:header="0"/>
        </w:sectPr>
      </w:pPr>
    </w:p>
    <w:bookmarkStart w:id="141" w:name="page142"/>
    <w:bookmarkEnd w:id="141"/>
    <w:p>
      <w:pPr>
        <w:spacing w:after="0" w:line="32"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Payment of Termination Benefit</w:t>
      </w:r>
      <w:r>
        <w:rPr>
          <w:rFonts w:ascii="Arial" w:cs="Arial" w:eastAsia="Arial" w:hAnsi="Arial"/>
          <w:sz w:val="16"/>
          <w:szCs w:val="16"/>
          <w:color w:val="auto"/>
        </w:rPr>
        <w:t>. The Termination Benefit shall be paid in a lump sum. The lump sum payment shall be made on the later of</w:t>
      </w:r>
    </w:p>
    <w:p>
      <w:pPr>
        <w:spacing w:after="0" w:line="27" w:lineRule="exact"/>
        <w:rPr>
          <w:sz w:val="20"/>
          <w:szCs w:val="20"/>
          <w:color w:val="auto"/>
        </w:rPr>
      </w:pPr>
    </w:p>
    <w:p>
      <w:pPr>
        <w:ind w:left="440" w:right="60" w:firstLine="4"/>
        <w:spacing w:after="0" w:line="255"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after the end of the six (6)-month period immediately following the date on which the Participant experiences the Separation from Service if the Participant is a Specified Employee or (ii) within sixty (60) days after the last day of the Plan Year in which the Participant experiences the Separation from Service. Any payment made shall be subject to the Deduction Limitation.</w:t>
      </w:r>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Disability Waiver and Benefit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Disability Waiver</w:t>
      </w:r>
      <w:r>
        <w:rPr>
          <w:rFonts w:ascii="Arial" w:cs="Arial" w:eastAsia="Arial" w:hAnsi="Arial"/>
          <w:sz w:val="18"/>
          <w:szCs w:val="18"/>
          <w:color w:val="auto"/>
        </w:rPr>
        <w:t>.</w:t>
      </w:r>
    </w:p>
    <w:p>
      <w:pPr>
        <w:spacing w:after="0" w:line="189" w:lineRule="exact"/>
        <w:rPr>
          <w:sz w:val="20"/>
          <w:szCs w:val="20"/>
          <w:color w:val="auto"/>
        </w:rPr>
      </w:pPr>
    </w:p>
    <w:p>
      <w:pPr>
        <w:ind w:left="1020" w:right="220" w:hanging="576"/>
        <w:spacing w:after="0" w:line="25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Waiver of Deferral. A Participant who is determined by the Committee to be suffering from a Disability may be excused from fulfilling that portion of the Annual Deferral Amount commitment that would otherwise have been withheld from a Participant’s Base Annual Salary and/or Annual Bonus for the Plan Year during which the Participant first suffers a Disability. During the period of Disability, the Participant will not be allowed to make any additional deferral elections (unless otherwise determined by the Committee, in its sole discretion) but</w:t>
      </w: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will continue to be considered a Participant for all other purposes of this Plan, including, but not limited to, the vesting provisions set forth in Section 3.8.</w:t>
      </w:r>
    </w:p>
    <w:p>
      <w:pPr>
        <w:spacing w:after="0" w:line="359" w:lineRule="exact"/>
        <w:rPr>
          <w:sz w:val="20"/>
          <w:szCs w:val="20"/>
          <w:color w:val="auto"/>
        </w:rPr>
      </w:pPr>
    </w:p>
    <w:p>
      <w:pPr>
        <w:ind w:left="1020" w:right="20" w:hanging="576"/>
        <w:spacing w:after="0" w:line="279" w:lineRule="auto"/>
        <w:tabs>
          <w:tab w:leader="none" w:pos="10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Return to Work. If a Participant returns to employment with an Employer after a Disability ceases, the Participant may elect to defer an Annual Deferral Amount for the Plan Year following his or her return to employment or service and for every Plan Year thereafter while a Participant in the Plan, provided that the deferral elections are otherwise allowed under the Plan and an Election Form is delivered to and accepted by the Committee for each such election in accordance with Section 3.3 above.</w:t>
      </w:r>
    </w:p>
    <w:p>
      <w:pPr>
        <w:spacing w:after="0" w:line="343" w:lineRule="exact"/>
        <w:rPr>
          <w:sz w:val="20"/>
          <w:szCs w:val="20"/>
          <w:color w:val="auto"/>
        </w:rPr>
      </w:pPr>
    </w:p>
    <w:p>
      <w:pPr>
        <w:ind w:left="440" w:right="20" w:hanging="417"/>
        <w:spacing w:after="0" w:line="255" w:lineRule="auto"/>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u w:val="single" w:color="auto"/>
          <w:color w:val="auto"/>
        </w:rPr>
        <w:t>Disability; Continued Eligibility</w:t>
      </w:r>
      <w:r>
        <w:rPr>
          <w:rFonts w:ascii="Arial" w:cs="Arial" w:eastAsia="Arial" w:hAnsi="Arial"/>
          <w:sz w:val="18"/>
          <w:szCs w:val="18"/>
          <w:color w:val="auto"/>
        </w:rPr>
        <w:t>. For benefit purposes under this Plan, a Participant suffering a Disability will continue to be considered to be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employed and will be eligible for the benefits provided for in Articles 4, 5, 6, 7 or 9, in accordance with the provisions of those Articles. If the Participant’s employment with the Employer is actually terminated, the Participant will be deemed to have Retired as of the date the Participant’s termination of employment. In that case, the Participant will receive a Retirement Benefit in accordance with Article 5; provided, however, that if the Participant is not otherwise 100% vested in his Company Contribution Account on such date, the extent to which the vesting of his Company Contribution Account will be accelerated (if any) shall be determined by the Committee, in its sole discretion. Any payment made shall be subject to the Deduction Limitation.</w:t>
      </w: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Change In Control Benefit</w:t>
      </w:r>
    </w:p>
    <w:p>
      <w:pPr>
        <w:spacing w:after="0" w:line="301" w:lineRule="exact"/>
        <w:rPr>
          <w:sz w:val="20"/>
          <w:szCs w:val="20"/>
          <w:color w:val="auto"/>
        </w:rPr>
      </w:pPr>
    </w:p>
    <w:p>
      <w:pPr>
        <w:ind w:left="440" w:right="180" w:hanging="417"/>
        <w:spacing w:after="0" w:line="282"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u w:val="single" w:color="auto"/>
          <w:color w:val="auto"/>
        </w:rPr>
        <w:t>Change In Control Benefit</w:t>
      </w:r>
      <w:r>
        <w:rPr>
          <w:rFonts w:ascii="Arial" w:cs="Arial" w:eastAsia="Arial" w:hAnsi="Arial"/>
          <w:sz w:val="18"/>
          <w:szCs w:val="18"/>
          <w:color w:val="auto"/>
        </w:rPr>
        <w:t>. In the event of a Change in Control, a Participant will receive his or her Account Balance (the “Change In Control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Benefit”).</w:t>
      </w:r>
    </w:p>
    <w:p>
      <w:pPr>
        <w:sectPr>
          <w:pgSz w:w="11900" w:h="16838" w:orient="portrait"/>
          <w:cols w:equalWidth="0" w:num="1">
            <w:col w:w="10980"/>
          </w:cols>
          <w:pgMar w:left="320" w:top="1440" w:right="599" w:bottom="1440" w:gutter="0" w:footer="0" w:header="0"/>
        </w:sectPr>
      </w:pPr>
    </w:p>
    <w:bookmarkStart w:id="142" w:name="page143"/>
    <w:bookmarkEnd w:id="142"/>
    <w:p>
      <w:pPr>
        <w:spacing w:after="0" w:line="32" w:lineRule="exact"/>
        <w:rPr>
          <w:sz w:val="20"/>
          <w:szCs w:val="20"/>
          <w:color w:val="auto"/>
        </w:rPr>
      </w:pPr>
    </w:p>
    <w:p>
      <w:pPr>
        <w:jc w:val="both"/>
        <w:ind w:left="120" w:right="240" w:hanging="417"/>
        <w:spacing w:after="0" w:line="266" w:lineRule="auto"/>
        <w:tabs>
          <w:tab w:leader="none" w:pos="1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u w:val="single" w:color="auto"/>
          <w:color w:val="auto"/>
        </w:rPr>
        <w:t>Payment of Change In Control Benefit</w:t>
      </w:r>
      <w:r>
        <w:rPr>
          <w:rFonts w:ascii="Arial" w:cs="Arial" w:eastAsia="Arial" w:hAnsi="Arial"/>
          <w:sz w:val="18"/>
          <w:szCs w:val="18"/>
          <w:color w:val="auto"/>
        </w:rPr>
        <w:t>. The Change In Control Benefit, if any, shall be calculated as of the close of business on or around a</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Participant’s Benefit Distribution Date, as determined by the Committee, and paid to the Participant within sixty (60) days after the date of the Change in Control.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Beneficiary Designation</w:t>
      </w:r>
    </w:p>
    <w:p>
      <w:pPr>
        <w:spacing w:after="0" w:line="301" w:lineRule="exact"/>
        <w:rPr>
          <w:sz w:val="20"/>
          <w:szCs w:val="20"/>
          <w:color w:val="auto"/>
        </w:rPr>
      </w:pPr>
    </w:p>
    <w:p>
      <w:pPr>
        <w:ind w:left="120" w:right="360" w:hanging="417"/>
        <w:spacing w:after="0" w:line="31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Beneficiary</w:t>
      </w:r>
      <w:r>
        <w:rPr>
          <w:rFonts w:ascii="Arial" w:cs="Arial" w:eastAsia="Arial" w:hAnsi="Arial"/>
          <w:sz w:val="16"/>
          <w:szCs w:val="16"/>
          <w:color w:val="auto"/>
        </w:rPr>
        <w:t>. Each Participant will have the right, at any time, to designate his or her Beneficiary(ies) (both primary as well as contingent) to receive any benefits payable under the Plan upon the Participant’s death. The Beneficiary designated under this Plan may be the same as or different from the beneficiary designation under any other plan of an Employer in which the Participant participates.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14605</wp:posOffset>
            </wp:positionV>
            <wp:extent cx="53492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1" w:lineRule="exact"/>
        <w:rPr>
          <w:sz w:val="20"/>
          <w:szCs w:val="20"/>
          <w:color w:val="auto"/>
        </w:rPr>
      </w:pPr>
    </w:p>
    <w:p>
      <w:pPr>
        <w:ind w:left="120" w:hanging="417"/>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Beneficiary Designation; Change</w:t>
      </w:r>
      <w:r>
        <w:rPr>
          <w:rFonts w:ascii="Arial" w:cs="Arial" w:eastAsia="Arial" w:hAnsi="Arial"/>
          <w:sz w:val="18"/>
          <w:szCs w:val="18"/>
          <w:color w:val="auto"/>
        </w:rPr>
        <w:t>. A Participant will designate his or her Beneficiary by completing and signing the Beneficiary Designation Form and returning it to the Committee or its designated agent. A Participant will have the right to change a Beneficiary by completing, signing, and otherwise complying with the terms of the Beneficiary Designation Form and the Committee’s rules and procedures, as in effect from time to time. Upon the Committee’s acceptance of a new Beneficiary Designation Form, all Beneficiary designations previously filed will be canceled. The Committee will be entitled to rely on the last Beneficiary Designation Form filed by the Participant and accepted by the Committee prior to his or her death.</w:t>
      </w:r>
    </w:p>
    <w:p>
      <w:pPr>
        <w:spacing w:after="0" w:line="376" w:lineRule="exact"/>
        <w:rPr>
          <w:sz w:val="20"/>
          <w:szCs w:val="20"/>
          <w:color w:val="auto"/>
        </w:rPr>
      </w:pPr>
    </w:p>
    <w:p>
      <w:pPr>
        <w:ind w:left="120" w:right="80" w:hanging="417"/>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No designation or change in designation of a Beneficiary will be effective until received and acknowledged in writing by the Committee or its designated agent.</w:t>
      </w:r>
    </w:p>
    <w:p>
      <w:pPr>
        <w:spacing w:after="0" w:line="337" w:lineRule="exact"/>
        <w:rPr>
          <w:sz w:val="20"/>
          <w:szCs w:val="20"/>
          <w:color w:val="auto"/>
        </w:rPr>
      </w:pPr>
    </w:p>
    <w:p>
      <w:pPr>
        <w:ind w:left="120" w:right="80" w:hanging="417"/>
        <w:spacing w:after="0" w:line="28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No Beneficiary Designation</w:t>
      </w:r>
      <w:r>
        <w:rPr>
          <w:rFonts w:ascii="Arial" w:cs="Arial" w:eastAsia="Arial" w:hAnsi="Arial"/>
          <w:sz w:val="17"/>
          <w:szCs w:val="17"/>
          <w:color w:val="auto"/>
        </w:rPr>
        <w:t>. If a Participant fails to designate a Beneficiary as provided in Sections 10.1, 10.2 and 10.3 above, or if all designated Beneficiaries predecease the Participant or die prior to complete distribution of the Participant’s benefits, then the Participant’s surviving spouse will be deemed to be his or her designated Beneficiary. If the Participant has no surviving spouse, the benefits remaining under the Plan to be paid to a Beneficiary will be payable to the executor or personal representative of the Participant’s estate.</w:t>
      </w:r>
    </w:p>
    <w:p>
      <w:pPr>
        <w:spacing w:after="0" w:line="354" w:lineRule="exact"/>
        <w:rPr>
          <w:sz w:val="20"/>
          <w:szCs w:val="20"/>
          <w:color w:val="auto"/>
        </w:rPr>
      </w:pPr>
    </w:p>
    <w:p>
      <w:pPr>
        <w:jc w:val="both"/>
        <w:ind w:left="120" w:right="80" w:hanging="417"/>
        <w:spacing w:after="0" w:line="26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Doubt as to Beneficiary</w:t>
      </w:r>
      <w:r>
        <w:rPr>
          <w:rFonts w:ascii="Arial" w:cs="Arial" w:eastAsia="Arial" w:hAnsi="Arial"/>
          <w:sz w:val="18"/>
          <w:szCs w:val="18"/>
          <w:color w:val="auto"/>
        </w:rPr>
        <w:t>. If the Committee has any doubt as to the proper Beneficiary to receive payments pursuant to this Plan, the Committee will have the right, exercisable in its sole discretion, to cause the Participant’s Employer to withhold the payments until this matter is resolved to the Committee’s satisfaction.</w:t>
      </w:r>
    </w:p>
    <w:p>
      <w:pPr>
        <w:spacing w:after="0" w:line="365" w:lineRule="exact"/>
        <w:rPr>
          <w:sz w:val="20"/>
          <w:szCs w:val="20"/>
          <w:color w:val="auto"/>
        </w:rPr>
      </w:pPr>
    </w:p>
    <w:p>
      <w:pPr>
        <w:ind w:left="120" w:right="240" w:hanging="417"/>
        <w:spacing w:after="0" w:line="26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Discharge of Obligations</w:t>
      </w:r>
      <w:r>
        <w:rPr>
          <w:rFonts w:ascii="Arial" w:cs="Arial" w:eastAsia="Arial" w:hAnsi="Arial"/>
          <w:sz w:val="18"/>
          <w:szCs w:val="18"/>
          <w:color w:val="auto"/>
        </w:rPr>
        <w:t>. The payment of benefits under the Plan to a Beneficiary will fully and completely discharge all Employers and the Committee from all further obligations under this Plan with respect to the Participant and his or her Beneficiary, and that Participant’s Plan Agreement will terminate upon such full payment of benefits.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Leave of Absence</w:t>
      </w:r>
    </w:p>
    <w:p>
      <w:pPr>
        <w:sectPr>
          <w:pgSz w:w="11900" w:h="16838" w:orient="portrait"/>
          <w:cols w:equalWidth="0" w:num="1">
            <w:col w:w="10600"/>
          </w:cols>
          <w:pgMar w:left="640" w:top="1440" w:right="659" w:bottom="1440" w:gutter="0" w:footer="0" w:header="0"/>
        </w:sectPr>
      </w:pPr>
    </w:p>
    <w:bookmarkStart w:id="143" w:name="page144"/>
    <w:bookmarkEnd w:id="143"/>
    <w:p>
      <w:pPr>
        <w:spacing w:after="0" w:line="32" w:lineRule="exact"/>
        <w:rPr>
          <w:sz w:val="20"/>
          <w:szCs w:val="20"/>
          <w:color w:val="auto"/>
        </w:rPr>
      </w:pPr>
    </w:p>
    <w:p>
      <w:pPr>
        <w:ind w:left="180" w:right="360" w:hanging="417"/>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Paid Leave of Absence</w:t>
      </w:r>
      <w:r>
        <w:rPr>
          <w:rFonts w:ascii="Arial" w:cs="Arial" w:eastAsia="Arial" w:hAnsi="Arial"/>
          <w:sz w:val="18"/>
          <w:szCs w:val="18"/>
          <w:color w:val="auto"/>
        </w:rPr>
        <w:t>. If a Participant is authorized by the Participant’s Employer for any reason to take a paid leave of absence from the employment of the Employer, the Participant will continue to be considered employed by the Employer and the Annual Deferral Amount will continue to be withheld during the paid leave of absence in accordance with Section 3.3.</w:t>
      </w:r>
    </w:p>
    <w:p>
      <w:pPr>
        <w:spacing w:after="0" w:line="365" w:lineRule="exact"/>
        <w:rPr>
          <w:sz w:val="20"/>
          <w:szCs w:val="20"/>
          <w:color w:val="auto"/>
        </w:rPr>
      </w:pPr>
    </w:p>
    <w:p>
      <w:pPr>
        <w:ind w:left="180" w:right="40" w:hanging="417"/>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Unpaid Leave of Absence</w:t>
      </w:r>
      <w:r>
        <w:rPr>
          <w:rFonts w:ascii="Arial" w:cs="Arial" w:eastAsia="Arial" w:hAnsi="Arial"/>
          <w:sz w:val="18"/>
          <w:szCs w:val="18"/>
          <w:color w:val="auto"/>
        </w:rPr>
        <w:t>. If a Participant is authorized by the Participant’s Employer for any reason to take an unpaid leave of absence from the employment of the Employer, the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3492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color w:val="auto"/>
        </w:rPr>
        <w:t>Participant will continue to be considered employed by the Employer, and the Participant will be excused from making deferrals until the earlier of the date the leave of absence expires or the date the Participant returns to a paid employment status. Upon that expiration or return, deferrals will resume for the remaining portion of the Plan Year in which the expiration or return occurs, based on the deferral election, if any, made for that Plan Year. If no election was made for that Plan Year, no deferral will be withheld.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Amendment or Modification</w:t>
      </w:r>
    </w:p>
    <w:p>
      <w:pPr>
        <w:spacing w:after="0" w:line="301" w:lineRule="exact"/>
        <w:rPr>
          <w:sz w:val="20"/>
          <w:szCs w:val="20"/>
          <w:color w:val="auto"/>
        </w:rPr>
      </w:pPr>
    </w:p>
    <w:p>
      <w:pPr>
        <w:ind w:left="180" w:hanging="417"/>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Although each Employer anticipates that it will continue to participate in the Plan for an indefinite period of time, there is no guarantee that the Company will continue the Plan, or that any Employer will continue to participate in the Plan, or that the Company will not terminate the Plan at any time in the future. Accordingly, each Employer reserves the right to discontinue its participation in the Plan at any time, and the Company reserves the right to terminate the Plan at any time by action of Board. A participating Employer may terminate its participation in the Plan at any time with respect to any or all of its participating Employees by action of its board of directors. Upon the termination of the Plan with respect to any Employer, the Plan Agreements of the affected Participants who are employed by that Employer will terminate, and their Account Balances, determined as if they had experienced a Separation from Service on the date of Plan termination, will be paid to the Participants in a lump sum. The termination of the Plan will not adversely affect any Participant or Beneficiary who has become entitled to the payment of any benefits under the Plan as of the date of termination. Any distributions pursuant to this Section 12.1, will be subject to the following conditions:</w:t>
      </w:r>
    </w:p>
    <w:p>
      <w:pPr>
        <w:spacing w:after="0" w:line="356" w:lineRule="exact"/>
        <w:rPr>
          <w:sz w:val="20"/>
          <w:szCs w:val="20"/>
          <w:color w:val="auto"/>
        </w:rPr>
      </w:pPr>
    </w:p>
    <w:p>
      <w:pPr>
        <w:ind w:left="760" w:hanging="576"/>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termination of Plan does not occur proximate to a downturn in the financial health of the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60" w:right="60" w:hanging="576"/>
        <w:spacing w:after="0" w:line="259"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terminates and liquidates all agreements, methods, programs and other arrangements sponsored by the Company that would be aggregated with any terminated and liquidated agreements, methods, programs and other arrangements under Treas. Reg. § 1.409A-1(c) if the same Participant had deferrals of compensation under all such agreements, methods, programs and other arrangements that are terminated and liquidated;</w:t>
      </w:r>
    </w:p>
    <w:p>
      <w:pPr>
        <w:spacing w:after="0" w:line="375" w:lineRule="exact"/>
        <w:rPr>
          <w:rFonts w:ascii="Arial" w:cs="Arial" w:eastAsia="Arial" w:hAnsi="Arial"/>
          <w:sz w:val="18"/>
          <w:szCs w:val="18"/>
          <w:color w:val="auto"/>
        </w:rPr>
      </w:pPr>
    </w:p>
    <w:p>
      <w:pPr>
        <w:ind w:left="760" w:right="140" w:hanging="576"/>
        <w:spacing w:after="0" w:line="263"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payments from the Plan are made within 12 months of the date the Company takes all necessary action to irrevocably terminate and liquidate the Plan other than payments that would be payable under the terms of the Plan if action to terminate and liquidate the Plan had not occurred;</w:t>
      </w:r>
    </w:p>
    <w:p>
      <w:pPr>
        <w:sectPr>
          <w:pgSz w:w="11900" w:h="16838" w:orient="portrait"/>
          <w:cols w:equalWidth="0" w:num="1">
            <w:col w:w="10740"/>
          </w:cols>
          <w:pgMar w:left="580" w:top="1440" w:right="579" w:bottom="1440" w:gutter="0" w:footer="0" w:header="0"/>
        </w:sectPr>
      </w:pPr>
    </w:p>
    <w:bookmarkStart w:id="144" w:name="page145"/>
    <w:bookmarkEnd w:id="144"/>
    <w:p>
      <w:pPr>
        <w:spacing w:after="0" w:line="36" w:lineRule="exact"/>
        <w:rPr>
          <w:sz w:val="20"/>
          <w:szCs w:val="20"/>
          <w:color w:val="auto"/>
        </w:rPr>
      </w:pPr>
    </w:p>
    <w:p>
      <w:pPr>
        <w:ind w:left="1000" w:right="200" w:hanging="57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payments under the Plan are made within 24 months of the date the Company takes all necessary action to irrevocably terminate and liquidate the Plan; and</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ind w:left="1000" w:right="320" w:hanging="576"/>
        <w:spacing w:after="0" w:line="342"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does not adopt a new Plan that would be aggregated with any terminated Plan under Treas. Reg. § 1.409A-1(c) any time within three years following the date that the Company takes all necessary action to irrevocably terminate and liquidate the Plan.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The Company may, at any time, amend or modify the Plan in whole or in part by the action of its Board; provided, however, that:</w:t>
      </w:r>
    </w:p>
    <w:p>
      <w:pPr>
        <w:spacing w:after="0" w:line="50" w:lineRule="exact"/>
        <w:rPr>
          <w:sz w:val="20"/>
          <w:szCs w:val="20"/>
          <w:color w:val="auto"/>
        </w:rPr>
      </w:pPr>
    </w:p>
    <w:p>
      <w:pPr>
        <w:ind w:left="420" w:right="40" w:firstLine="4"/>
        <w:spacing w:after="0" w:line="288" w:lineRule="auto"/>
        <w:tabs>
          <w:tab w:leader="none" w:pos="665"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amendment or modification will be effective to decrease or restrict the value of a Participant’s Account Balance in existence at the time the amendment or modification is made, calculated as if the Participant had experienced a Separation from Service as of the effective date of the amendment or modification or, if the amendment or modification occurs after the date upon which the Participant was eligible to Retire, the Participant had Retired as of the effective date of the amendment or modification, and (b) no amendment or modification of this Section 12.2 or Section 13.2 of the Plan will be effective. The amendment or modification of the Plan will not affect any Participant or Beneficiary who has become entitled to the payment of benefits under the Plan as of the date of the amendment or modification; provided, however, that, in the event of a Change in Control, the Employer will accelerate installment payments by paying the Account Balance in a lump sum pursuant to Section 9.2.</w:t>
      </w:r>
    </w:p>
    <w:p>
      <w:pPr>
        <w:spacing w:after="0" w:line="353" w:lineRule="exact"/>
        <w:rPr>
          <w:sz w:val="20"/>
          <w:szCs w:val="20"/>
          <w:color w:val="auto"/>
        </w:rPr>
      </w:pPr>
    </w:p>
    <w:p>
      <w:pPr>
        <w:ind w:left="420" w:right="180" w:hanging="417"/>
        <w:spacing w:after="0" w:line="34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u w:val="single" w:color="auto"/>
          <w:color w:val="auto"/>
        </w:rPr>
        <w:t>Plan Agreement</w:t>
      </w:r>
      <w:r>
        <w:rPr>
          <w:rFonts w:ascii="Arial" w:cs="Arial" w:eastAsia="Arial" w:hAnsi="Arial"/>
          <w:sz w:val="16"/>
          <w:szCs w:val="16"/>
          <w:color w:val="auto"/>
        </w:rPr>
        <w:t>. Despite the provisions of Sections 12.1 and 12.2 above, if a Participant’s Plan Agreement contains benefits or limitations that are not in this Plan document, the Employer may only amend or terminate those provisions with the consent of the Participant.</w:t>
      </w:r>
    </w:p>
    <w:p>
      <w:pPr>
        <w:spacing w:after="0" w:line="291" w:lineRule="exact"/>
        <w:rPr>
          <w:sz w:val="20"/>
          <w:szCs w:val="20"/>
          <w:color w:val="auto"/>
        </w:rPr>
      </w:pPr>
    </w:p>
    <w:p>
      <w:pPr>
        <w:ind w:left="420" w:hanging="417"/>
        <w:spacing w:after="0" w:line="312"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u w:val="single" w:color="auto"/>
          <w:color w:val="auto"/>
        </w:rPr>
        <w:t>Effect of Payment</w:t>
      </w:r>
      <w:r>
        <w:rPr>
          <w:rFonts w:ascii="Arial" w:cs="Arial" w:eastAsia="Arial" w:hAnsi="Arial"/>
          <w:sz w:val="17"/>
          <w:szCs w:val="17"/>
          <w:color w:val="auto"/>
        </w:rPr>
        <w:t>. The full payment of the applicable benefit under Articles 4, 5, 6, 7, 8 or 9 of the Plan will completely discharge all obligations to a Participant and his or her designated Beneficiaries under this Plan, and the Participant’s Plan Agreement will terminate.</w:t>
      </w: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Administration</w:t>
      </w:r>
    </w:p>
    <w:p>
      <w:pPr>
        <w:spacing w:after="0" w:line="301" w:lineRule="exact"/>
        <w:rPr>
          <w:sz w:val="20"/>
          <w:szCs w:val="20"/>
          <w:color w:val="auto"/>
        </w:rPr>
      </w:pPr>
    </w:p>
    <w:p>
      <w:pPr>
        <w:ind w:left="420" w:right="80" w:hanging="417"/>
        <w:spacing w:after="0" w:line="29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Committee Duties</w:t>
      </w:r>
      <w:r>
        <w:rPr>
          <w:rFonts w:ascii="Arial" w:cs="Arial" w:eastAsia="Arial" w:hAnsi="Arial"/>
          <w:sz w:val="16"/>
          <w:szCs w:val="16"/>
          <w:color w:val="auto"/>
        </w:rPr>
        <w:t>. Except as otherwise provided in this Article 13, this Plan will be administered by the Committee. The Committee will have the discretion and authority to (a) make, amend, interpret, and enforce all appropriate rules and regulations for the administration of this Plan and</w:t>
      </w:r>
    </w:p>
    <w:p>
      <w:pPr>
        <w:spacing w:after="0" w:line="1" w:lineRule="exact"/>
        <w:rPr>
          <w:sz w:val="20"/>
          <w:szCs w:val="20"/>
          <w:color w:val="auto"/>
        </w:rPr>
      </w:pPr>
    </w:p>
    <w:p>
      <w:pPr>
        <w:ind w:left="420" w:right="840" w:firstLine="4"/>
        <w:spacing w:after="0" w:line="323" w:lineRule="auto"/>
        <w:tabs>
          <w:tab w:leader="none" w:pos="6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decide or resolve any and all questions, including interpretations of this Plan that arise in connection with the Plan. When making a determination or calculation, the Committee will be entitled to rely on information furnished by a Participant or an Employer.</w:t>
      </w:r>
    </w:p>
    <w:p>
      <w:pPr>
        <w:spacing w:after="0" w:line="323" w:lineRule="exact"/>
        <w:rPr>
          <w:sz w:val="20"/>
          <w:szCs w:val="20"/>
          <w:color w:val="auto"/>
        </w:rPr>
      </w:pPr>
    </w:p>
    <w:p>
      <w:pPr>
        <w:ind w:left="420" w:right="660" w:hanging="417"/>
        <w:spacing w:after="0" w:line="28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u w:val="single" w:color="auto"/>
          <w:color w:val="auto"/>
        </w:rPr>
        <w:t>Administration Upon Change In Control</w:t>
      </w:r>
      <w:r>
        <w:rPr>
          <w:rFonts w:ascii="Arial" w:cs="Arial" w:eastAsia="Arial" w:hAnsi="Arial"/>
          <w:sz w:val="18"/>
          <w:szCs w:val="18"/>
          <w:color w:val="auto"/>
        </w:rPr>
        <w:t>. For purposes of this Plan, the Committee will be the “Administrator” at all times prior to the occurrence of a Change in Control. Upon</w:t>
      </w: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0960"/>
          </w:cols>
          <w:pgMar w:left="340" w:top="1440" w:right="599" w:bottom="1440" w:gutter="0" w:footer="0" w:header="0"/>
        </w:sectPr>
      </w:pPr>
    </w:p>
    <w:bookmarkStart w:id="145" w:name="page146"/>
    <w:bookmarkEnd w:id="145"/>
    <w:p>
      <w:pPr>
        <w:spacing w:after="0" w:line="36" w:lineRule="exact"/>
        <w:rPr>
          <w:sz w:val="20"/>
          <w:szCs w:val="20"/>
          <w:color w:val="auto"/>
        </w:rPr>
      </w:pPr>
    </w:p>
    <w:p>
      <w:pPr>
        <w:ind w:left="420"/>
        <w:spacing w:after="0" w:line="286" w:lineRule="auto"/>
        <w:rPr>
          <w:sz w:val="20"/>
          <w:szCs w:val="20"/>
          <w:color w:val="auto"/>
        </w:rPr>
      </w:pPr>
      <w:r>
        <w:rPr>
          <w:rFonts w:ascii="Arial" w:cs="Arial" w:eastAsia="Arial" w:hAnsi="Arial"/>
          <w:sz w:val="16"/>
          <w:szCs w:val="16"/>
          <w:color w:val="auto"/>
        </w:rPr>
        <w:t>and after the occurrence of a Change in Control, the “Administrator” will be an independent third party selected by the Trustee and approved by the individual who, immediately prior to that event, was the Company’s Chief Executive Officer or, if not so identified, the Company’s highest ranking officer (the “Ex-CEO”). The Administrator will have the discretionary power to determine all questions arising in connection with the administration of the Plan and the interpretation of the Plan and Trust including, but not limited to, benefit entitlement determinations; provided, however, that upon and after the occurrence of a Change in Control, the Administrator will have no power to direct the investment of Plan or Trust assets or select any investment manager or custodial firm for the Plan or Trust. Upon and after the occurrence of a Change in Control, the Company must: (a) pay all reasonable administrative expenses and fees of the Administrator; (b) indemnify the Administrator against any costs, expenses and liabilities including, without limitation, attorney’s fees and expenses arising in connection with the performance of the Administrator under this Plan, except with respect to matters resulting from the negligence or willful misconduct of the Administrator or its employees or agents; and (c) supply full and timely information to the Administrator on all matters relating to the Plan, the Trust, the Participants, and their Beneficiaries, the Account Balances of the Participants, the date and circumstances of the Retirement, Disability, death, or Separation from Service of the Participants, and such other pertinent information as the Administrator may reasonably require. Upon and after a Change in Control, the Administrator may be terminated (and a replacement appointed) by the Trustee only with the approval of the Ex-CEO. Upon and after a Change in Control, the Administrator may not be terminated by the Company.</w:t>
      </w:r>
    </w:p>
    <w:p>
      <w:pPr>
        <w:spacing w:after="0" w:line="356" w:lineRule="exact"/>
        <w:rPr>
          <w:sz w:val="20"/>
          <w:szCs w:val="20"/>
          <w:color w:val="auto"/>
        </w:rPr>
      </w:pPr>
    </w:p>
    <w:p>
      <w:pPr>
        <w:ind w:left="420" w:right="80" w:hanging="417"/>
        <w:spacing w:after="0" w:line="26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In the administration of this Plan, the Committee may, from time to time, employ agents and delegate to them such administrative duties as it sees fit (including acting through a duly appointed representative) and may from time to time consult with counsel who may be counsel to any Employer.</w:t>
      </w:r>
    </w:p>
    <w:p>
      <w:pPr>
        <w:spacing w:after="0" w:line="351" w:lineRule="exact"/>
        <w:rPr>
          <w:sz w:val="20"/>
          <w:szCs w:val="20"/>
          <w:color w:val="auto"/>
        </w:rPr>
      </w:pPr>
    </w:p>
    <w:p>
      <w:pPr>
        <w:ind w:left="420" w:right="220" w:hanging="417"/>
        <w:spacing w:after="0" w:line="26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Binding Effect of Decisions</w:t>
      </w:r>
      <w:r>
        <w:rPr>
          <w:rFonts w:ascii="Arial" w:cs="Arial" w:eastAsia="Arial" w:hAnsi="Arial"/>
          <w:sz w:val="18"/>
          <w:szCs w:val="18"/>
          <w:color w:val="auto"/>
        </w:rPr>
        <w:t>. The decision or action of the Administrator with respect to any question arising out of or in connection with the administration, interpretation, and application of the Plan and the rules and regulations promulgated under the Plan will be final and conclusive and binding upon all persons having any interest in the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u w:val="single" w:color="auto"/>
          <w:color w:val="auto"/>
        </w:rPr>
        <w:t>Indemnity of Committee</w:t>
      </w:r>
      <w:r>
        <w:rPr>
          <w:rFonts w:ascii="Arial" w:cs="Arial" w:eastAsia="Arial" w:hAnsi="Arial"/>
          <w:sz w:val="16"/>
          <w:szCs w:val="16"/>
          <w:color w:val="auto"/>
        </w:rPr>
        <w:t>. All Employers will indemnify and hold harmless the members of the Committee, any Employee to whom the duties of</w:t>
      </w:r>
    </w:p>
    <w:p>
      <w:pPr>
        <w:spacing w:after="0" w:line="50" w:lineRule="exact"/>
        <w:rPr>
          <w:sz w:val="20"/>
          <w:szCs w:val="20"/>
          <w:color w:val="auto"/>
        </w:rPr>
      </w:pPr>
    </w:p>
    <w:p>
      <w:pPr>
        <w:ind w:left="420" w:right="420"/>
        <w:spacing w:after="0" w:line="255" w:lineRule="auto"/>
        <w:rPr>
          <w:sz w:val="20"/>
          <w:szCs w:val="20"/>
          <w:color w:val="auto"/>
        </w:rPr>
      </w:pPr>
      <w:r>
        <w:rPr>
          <w:rFonts w:ascii="Arial" w:cs="Arial" w:eastAsia="Arial" w:hAnsi="Arial"/>
          <w:sz w:val="18"/>
          <w:szCs w:val="18"/>
          <w:color w:val="auto"/>
        </w:rPr>
        <w:t>the Committee may be delegated, and the Administrator, against any and all claims, losses, damages, expenses or liabilities arising from any action or failure to act with respect to this Plan, except in the case of willful misconduct by the Committee, any of its members, any such Employee, or the Administrator.</w:t>
      </w:r>
    </w:p>
    <w:p>
      <w:pPr>
        <w:spacing w:after="0" w:line="375" w:lineRule="exact"/>
        <w:rPr>
          <w:sz w:val="20"/>
          <w:szCs w:val="20"/>
          <w:color w:val="auto"/>
        </w:rPr>
      </w:pPr>
    </w:p>
    <w:p>
      <w:pPr>
        <w:ind w:left="420" w:hanging="417"/>
        <w:spacing w:after="0" w:line="28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u w:val="single" w:color="auto"/>
          <w:color w:val="auto"/>
        </w:rPr>
        <w:t>Employer Information</w:t>
      </w:r>
      <w:r>
        <w:rPr>
          <w:rFonts w:ascii="Arial" w:cs="Arial" w:eastAsia="Arial" w:hAnsi="Arial"/>
          <w:sz w:val="18"/>
          <w:szCs w:val="18"/>
          <w:color w:val="auto"/>
        </w:rPr>
        <w:t>. To enable the Committee and the Administrator to perform their functions, the Company and each Employer will supply full and timely information to the Committee or Administrator, as the case may be, on all matters relating to the</w:t>
      </w:r>
    </w:p>
    <w:p>
      <w:pPr>
        <w:spacing w:after="0" w:line="32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420" w:right="180"/>
        <w:spacing w:after="0" w:line="263" w:lineRule="auto"/>
        <w:rPr>
          <w:sz w:val="20"/>
          <w:szCs w:val="20"/>
          <w:color w:val="auto"/>
        </w:rPr>
      </w:pPr>
      <w:r>
        <w:rPr>
          <w:rFonts w:ascii="Arial" w:cs="Arial" w:eastAsia="Arial" w:hAnsi="Arial"/>
          <w:sz w:val="18"/>
          <w:szCs w:val="18"/>
          <w:color w:val="auto"/>
        </w:rPr>
        <w:t>compensation of its Participants, the date and circumstances of the Retirement, Disability, death, or circumstances of the Retirement, Disability, death, or Separation from Service of its Participants, and such other pertinent information as the Committee or Administrator may reasonably require.</w:t>
      </w:r>
    </w:p>
    <w:p>
      <w:pPr>
        <w:spacing w:after="0" w:line="200" w:lineRule="exact"/>
        <w:rPr>
          <w:sz w:val="20"/>
          <w:szCs w:val="20"/>
          <w:color w:val="auto"/>
        </w:rPr>
      </w:pPr>
    </w:p>
    <w:p>
      <w:pPr>
        <w:spacing w:after="0" w:line="3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Other Benefits and Agreements</w:t>
      </w:r>
    </w:p>
    <w:p>
      <w:pPr>
        <w:sectPr>
          <w:pgSz w:w="11900" w:h="16838" w:orient="portrait"/>
          <w:cols w:equalWidth="0" w:num="1">
            <w:col w:w="10940"/>
          </w:cols>
          <w:pgMar w:left="340" w:top="1440" w:right="619" w:bottom="1440" w:gutter="0" w:footer="0" w:header="0"/>
        </w:sectPr>
      </w:pPr>
    </w:p>
    <w:bookmarkStart w:id="146" w:name="page147"/>
    <w:bookmarkEnd w:id="146"/>
    <w:p>
      <w:pPr>
        <w:spacing w:after="0" w:line="32" w:lineRule="exact"/>
        <w:rPr>
          <w:sz w:val="20"/>
          <w:szCs w:val="20"/>
          <w:color w:val="auto"/>
        </w:rPr>
      </w:pPr>
    </w:p>
    <w:p>
      <w:pPr>
        <w:ind w:left="180" w:right="120" w:hanging="417"/>
        <w:spacing w:after="0" w:line="314"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Coordination with Other Benefits</w:t>
      </w:r>
      <w:r>
        <w:rPr>
          <w:rFonts w:ascii="Arial" w:cs="Arial" w:eastAsia="Arial" w:hAnsi="Arial"/>
          <w:sz w:val="16"/>
          <w:szCs w:val="16"/>
          <w:color w:val="auto"/>
        </w:rPr>
        <w:t>. The benefits provided for a Participant and Participant’s Beneficiary under the Plan are in addition to any other benefits available to that Participant or Beneficiary under any other plan or program for employees of the Participant’s Employer. The Plan will supplement and will not supersede, modify or amend any other such plan or program except as may otherwise be expressly provided.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Claims Procedures</w:t>
      </w:r>
    </w:p>
    <w:p>
      <w:pPr>
        <w:spacing w:after="0" w:line="166" w:lineRule="exact"/>
        <w:rPr>
          <w:sz w:val="20"/>
          <w:szCs w:val="20"/>
          <w:color w:val="auto"/>
        </w:rPr>
      </w:pPr>
    </w:p>
    <w:p>
      <w:pPr>
        <w:ind w:left="180" w:right="20" w:hanging="417"/>
        <w:spacing w:after="0" w:line="27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u w:val="single" w:color="auto"/>
          <w:color w:val="auto"/>
        </w:rPr>
        <w:t>Presentation of Claim</w:t>
      </w:r>
      <w:r>
        <w:rPr>
          <w:rFonts w:ascii="Arial" w:cs="Arial" w:eastAsia="Arial" w:hAnsi="Arial"/>
          <w:sz w:val="17"/>
          <w:szCs w:val="17"/>
          <w:color w:val="auto"/>
        </w:rPr>
        <w:t>. Any Participant or Beneficiary of a deceased Participant (such Participant or Beneficiary being referred to below as a “Claimant”) may deliver to the Committee a written claim for a determination with respect to the amounts distributable to such Claimant from the Plan. If such a claim relates to the contents of a notice received by the Claimant, the claim must be made within sixty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343" w:lineRule="exact"/>
        <w:rPr>
          <w:sz w:val="20"/>
          <w:szCs w:val="20"/>
          <w:color w:val="auto"/>
        </w:rPr>
      </w:pPr>
    </w:p>
    <w:p>
      <w:pPr>
        <w:ind w:left="180" w:right="160" w:hanging="417"/>
        <w:spacing w:after="0" w:line="25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Notification of Decision</w:t>
      </w:r>
      <w:r>
        <w:rPr>
          <w:rFonts w:ascii="Arial" w:cs="Arial" w:eastAsia="Arial" w:hAnsi="Arial"/>
          <w:sz w:val="18"/>
          <w:szCs w:val="18"/>
          <w:color w:val="auto"/>
        </w:rPr>
        <w:t>. The Committee shall consider a Claimant’s claim within a reasonable time, but no later than ninety (90) days after receiving the claim. If the Committee determines that special circumstances require an extension of time for processing the claim, written notice of the extension shall be furnished to the Claimant prior to the termination of the initial ninety (90)-day period. In no event shall such extension exceed a period of ninety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380" w:lineRule="exact"/>
        <w:rPr>
          <w:sz w:val="20"/>
          <w:szCs w:val="20"/>
          <w:color w:val="auto"/>
        </w:rPr>
      </w:pPr>
    </w:p>
    <w:p>
      <w:pPr>
        <w:ind w:left="760" w:hanging="576"/>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Claimant’s requested determination has been made, and that the claim has been allowed in full;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60" w:hanging="576"/>
        <w:spacing w:after="0" w:line="277"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Committee has reached a conclusion contrary, in whole or in part, to the Claimant’s requested determination, and such notice must set forth in a manner calculated to be understood by the Claimant: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3492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1200" w:hanging="449"/>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specific reason(s) for the denial of the claim, or any part of it;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00" w:hanging="449"/>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specific reference(s) to pertinent provisions of the Plan upon which such denial was based;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right="200" w:hanging="449"/>
        <w:spacing w:after="0" w:line="277" w:lineRule="auto"/>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359" w:lineRule="exact"/>
        <w:rPr>
          <w:rFonts w:ascii="Arial" w:cs="Arial" w:eastAsia="Arial" w:hAnsi="Arial"/>
          <w:sz w:val="18"/>
          <w:szCs w:val="18"/>
          <w:color w:val="auto"/>
        </w:rPr>
      </w:pPr>
    </w:p>
    <w:p>
      <w:pPr>
        <w:ind w:left="1200" w:hanging="449"/>
        <w:spacing w:after="0"/>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explanation of the claim review procedure set forth in Section 15.3 below;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00" w:right="200" w:hanging="449"/>
        <w:spacing w:after="0" w:line="277" w:lineRule="auto"/>
        <w:tabs>
          <w:tab w:leader="none" w:pos="1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 following an adverse benefit determination on review.</w:t>
      </w:r>
    </w:p>
    <w:p>
      <w:pPr>
        <w:sectPr>
          <w:pgSz w:w="11900" w:h="16838" w:orient="portrait"/>
          <w:cols w:equalWidth="0" w:num="1">
            <w:col w:w="10720"/>
          </w:cols>
          <w:pgMar w:left="580" w:top="1440" w:right="599" w:bottom="1440" w:gutter="0" w:footer="0" w:header="0"/>
        </w:sectPr>
      </w:pPr>
    </w:p>
    <w:bookmarkStart w:id="147" w:name="page148"/>
    <w:bookmarkEnd w:id="147"/>
    <w:p>
      <w:pPr>
        <w:spacing w:after="0" w:line="32" w:lineRule="exact"/>
        <w:rPr>
          <w:sz w:val="20"/>
          <w:szCs w:val="20"/>
          <w:color w:val="auto"/>
        </w:rPr>
      </w:pPr>
    </w:p>
    <w:p>
      <w:pPr>
        <w:jc w:val="both"/>
        <w:ind w:left="140" w:right="20" w:hanging="417"/>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u w:val="single" w:color="auto"/>
          <w:color w:val="auto"/>
        </w:rPr>
        <w:t>Review of a Denied Claim</w:t>
      </w:r>
      <w:r>
        <w:rPr>
          <w:rFonts w:ascii="Arial" w:cs="Arial" w:eastAsia="Arial" w:hAnsi="Arial"/>
          <w:sz w:val="18"/>
          <w:szCs w:val="18"/>
          <w:color w:val="auto"/>
        </w:rPr>
        <w:t>. On or before sixty (60) days after receiving a notice from the Committee that a claim has been denied, in whole or in part, a Claimant (or the Claimant’s duly authorized representative) may file with the Committee a written request for a review of the denial of the claim. The Claimant (or the Claimant’s duly authorized representative):</w:t>
      </w:r>
    </w:p>
    <w:p>
      <w:pPr>
        <w:spacing w:after="0" w:line="369" w:lineRule="exact"/>
        <w:rPr>
          <w:sz w:val="20"/>
          <w:szCs w:val="20"/>
          <w:color w:val="auto"/>
        </w:rPr>
      </w:pPr>
    </w:p>
    <w:p>
      <w:pPr>
        <w:ind w:left="720" w:right="180" w:hanging="576"/>
        <w:spacing w:after="0" w:line="277"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upon request and free of charge, have reasonable access to, and copies of, all documents, records and other information relevant to the claim for benefits;</w:t>
      </w:r>
    </w:p>
    <w:p>
      <w:pPr>
        <w:spacing w:after="0" w:line="345" w:lineRule="exact"/>
        <w:rPr>
          <w:rFonts w:ascii="Arial" w:cs="Arial" w:eastAsia="Arial" w:hAnsi="Arial"/>
          <w:sz w:val="18"/>
          <w:szCs w:val="18"/>
          <w:color w:val="auto"/>
        </w:rPr>
      </w:pPr>
    </w:p>
    <w:p>
      <w:pPr>
        <w:ind w:left="720" w:hanging="57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submit written comments or other documents; and/or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20" w:hanging="57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request a hearing, which the Committee, in its sole discretion, may grant.</w:t>
      </w:r>
    </w:p>
    <w:p>
      <w:pPr>
        <w:spacing w:after="0" w:line="200" w:lineRule="exact"/>
        <w:rPr>
          <w:sz w:val="20"/>
          <w:szCs w:val="20"/>
          <w:color w:val="auto"/>
        </w:rPr>
      </w:pPr>
    </w:p>
    <w:p>
      <w:pPr>
        <w:spacing w:after="0" w:line="210" w:lineRule="exact"/>
        <w:rPr>
          <w:sz w:val="20"/>
          <w:szCs w:val="20"/>
          <w:color w:val="auto"/>
        </w:rPr>
      </w:pPr>
    </w:p>
    <w:p>
      <w:pPr>
        <w:ind w:left="140" w:hanging="417"/>
        <w:spacing w:after="0" w:line="29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Decision on Review</w:t>
      </w:r>
      <w:r>
        <w:rPr>
          <w:rFonts w:ascii="Arial" w:cs="Arial" w:eastAsia="Arial" w:hAnsi="Arial"/>
          <w:sz w:val="16"/>
          <w:szCs w:val="16"/>
          <w:color w:val="auto"/>
        </w:rPr>
        <w:t>. The Committee shall render its decision on review promptly, and no later than sixty (60) days after the Committee receives the Claimant’s written request for a review of the denial of the claim. If the Committee determines that special circumstances require an extension of time for processing the claim, written notice of the extension shall be furnished to the Claimant prior to the termination of the initial sixty (60)-day period. In no event shall such extension exceed a period of sixty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spacing w:after="0" w:line="339" w:lineRule="exact"/>
        <w:rPr>
          <w:sz w:val="20"/>
          <w:szCs w:val="20"/>
          <w:color w:val="auto"/>
        </w:rPr>
      </w:pPr>
    </w:p>
    <w:p>
      <w:pPr>
        <w:ind w:left="720" w:hanging="57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specific reasons for the decision;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534924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720" w:hanging="57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specific reference(s) to the pertinent Plan provisions upon which the decision was based;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0" w:right="300" w:hanging="576"/>
        <w:spacing w:after="0" w:line="342" w:lineRule="auto"/>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312" w:lineRule="exact"/>
        <w:rPr>
          <w:rFonts w:ascii="Arial" w:cs="Arial" w:eastAsia="Arial" w:hAnsi="Arial"/>
          <w:sz w:val="16"/>
          <w:szCs w:val="16"/>
          <w:color w:val="auto"/>
        </w:rPr>
      </w:pPr>
    </w:p>
    <w:p>
      <w:pPr>
        <w:ind w:left="720" w:hanging="57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under ERISA Section 502(a).</w:t>
      </w:r>
    </w:p>
    <w:p>
      <w:pPr>
        <w:spacing w:after="0" w:line="200" w:lineRule="exact"/>
        <w:rPr>
          <w:sz w:val="20"/>
          <w:szCs w:val="20"/>
          <w:color w:val="auto"/>
        </w:rPr>
      </w:pPr>
    </w:p>
    <w:p>
      <w:pPr>
        <w:spacing w:after="0" w:line="210" w:lineRule="exact"/>
        <w:rPr>
          <w:sz w:val="20"/>
          <w:szCs w:val="20"/>
          <w:color w:val="auto"/>
        </w:rPr>
      </w:pPr>
    </w:p>
    <w:p>
      <w:pPr>
        <w:ind w:left="140" w:right="480" w:hanging="417"/>
        <w:spacing w:after="0" w:line="282"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Legal Action</w:t>
      </w:r>
      <w:r>
        <w:rPr>
          <w:rFonts w:ascii="Arial" w:cs="Arial" w:eastAsia="Arial" w:hAnsi="Arial"/>
          <w:sz w:val="18"/>
          <w:szCs w:val="18"/>
          <w:color w:val="auto"/>
        </w:rPr>
        <w:t>. A Claimant’s compliance with the foregoing provisions of this Article 15 is a mandatory prerequisite to a Claimant’s right to commence any legal action with respect to any claim for benefits under this Plan.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Trust</w:t>
      </w:r>
    </w:p>
    <w:p>
      <w:pPr>
        <w:sectPr>
          <w:pgSz w:w="11900" w:h="16838" w:orient="portrait"/>
          <w:cols w:equalWidth="0" w:num="1">
            <w:col w:w="10660"/>
          </w:cols>
          <w:pgMar w:left="620" w:top="1440" w:right="619" w:bottom="1440" w:gutter="0" w:footer="0" w:header="0"/>
        </w:sectPr>
      </w:pPr>
    </w:p>
    <w:bookmarkStart w:id="148" w:name="page149"/>
    <w:bookmarkEnd w:id="148"/>
    <w:p>
      <w:pPr>
        <w:spacing w:after="0" w:line="32" w:lineRule="exact"/>
        <w:rPr>
          <w:sz w:val="20"/>
          <w:szCs w:val="20"/>
          <w:color w:val="auto"/>
        </w:rPr>
      </w:pPr>
    </w:p>
    <w:p>
      <w:pPr>
        <w:ind w:right="20" w:hanging="417"/>
        <w:spacing w:after="0" w:line="26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u w:val="single" w:color="auto"/>
          <w:color w:val="auto"/>
        </w:rPr>
        <w:t>Establishment of the Trust</w:t>
      </w:r>
      <w:r>
        <w:rPr>
          <w:rFonts w:ascii="Arial" w:cs="Arial" w:eastAsia="Arial" w:hAnsi="Arial"/>
          <w:sz w:val="18"/>
          <w:szCs w:val="18"/>
          <w:color w:val="auto"/>
        </w:rPr>
        <w:t>. The Company may choose to establish a Trust, and, if the Trust is established, each Employer will, at least annually, transfer to the Trust such assets as the Employer determines, in its sole discretion, are necessary or desirable to provide, on a present value basis, for its respective future liabilities created with respect to the Annual Deferral Amounts, Annual Company Contribution Amounts, and Rollover Amounts for the Employer’s Employees who are Participants.</w:t>
      </w:r>
    </w:p>
    <w:p>
      <w:pPr>
        <w:spacing w:after="0" w:line="369" w:lineRule="exact"/>
        <w:rPr>
          <w:sz w:val="20"/>
          <w:szCs w:val="20"/>
          <w:color w:val="auto"/>
        </w:rPr>
      </w:pPr>
    </w:p>
    <w:p>
      <w:pPr>
        <w:ind w:hanging="417"/>
        <w:spacing w:after="0" w:line="31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b w:val="1"/>
          <w:bCs w:val="1"/>
          <w:u w:val="single" w:color="auto"/>
          <w:color w:val="auto"/>
        </w:rPr>
        <w:t>Interrelationship of the Plan and the Trust</w:t>
      </w:r>
      <w:r>
        <w:rPr>
          <w:rFonts w:ascii="Arial" w:cs="Arial" w:eastAsia="Arial" w:hAnsi="Arial"/>
          <w:sz w:val="16"/>
          <w:szCs w:val="16"/>
          <w:color w:val="auto"/>
        </w:rPr>
        <w:t>. The provisions of the Plan and the Plan Agreement will govern the rights of a Participant to receive distributions pursuant to the Plan. The provisions of the Trust will govern the rights of the Employers, Participants, and the creditors of the Employers to the assets transferred to the Trust. Each Employer will at all times remain liable to carry out its obligations under the Plan.</w:t>
      </w:r>
    </w:p>
    <w:p>
      <w:pPr>
        <w:spacing w:after="0" w:line="317" w:lineRule="exact"/>
        <w:rPr>
          <w:sz w:val="20"/>
          <w:szCs w:val="20"/>
          <w:color w:val="auto"/>
        </w:rPr>
      </w:pPr>
    </w:p>
    <w:p>
      <w:pPr>
        <w:ind w:hanging="417"/>
        <w:spacing w:after="0" w:line="282"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u w:val="single" w:color="auto"/>
          <w:color w:val="auto"/>
        </w:rPr>
        <w:t>Distributions From the Trust</w:t>
      </w:r>
      <w:r>
        <w:rPr>
          <w:rFonts w:ascii="Arial" w:cs="Arial" w:eastAsia="Arial" w:hAnsi="Arial"/>
          <w:sz w:val="18"/>
          <w:szCs w:val="18"/>
          <w:color w:val="auto"/>
        </w:rPr>
        <w:t>. Each Employer’s obligations under the Plan may be satisfied with Trust assets distributed pursuant to the terms of the Trust, and any such distribution will reduce the Employer’s obligations under this Plan.</w:t>
      </w:r>
    </w:p>
    <w:p>
      <w:pPr>
        <w:spacing w:after="0" w:line="200" w:lineRule="exact"/>
        <w:rPr>
          <w:sz w:val="20"/>
          <w:szCs w:val="20"/>
          <w:color w:val="auto"/>
        </w:rPr>
      </w:pPr>
    </w:p>
    <w:p>
      <w:pPr>
        <w:spacing w:after="0" w:line="29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Miscellaneous</w:t>
      </w:r>
    </w:p>
    <w:p>
      <w:pPr>
        <w:spacing w:after="0" w:line="166" w:lineRule="exact"/>
        <w:rPr>
          <w:sz w:val="20"/>
          <w:szCs w:val="20"/>
          <w:color w:val="auto"/>
        </w:rPr>
      </w:pPr>
    </w:p>
    <w:p>
      <w:pPr>
        <w:ind w:right="360" w:hanging="417"/>
        <w:spacing w:after="0" w:line="266"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u w:val="single" w:color="auto"/>
          <w:color w:val="auto"/>
        </w:rPr>
        <w:t>Status of Plan</w:t>
      </w:r>
      <w:r>
        <w:rPr>
          <w:rFonts w:ascii="Arial" w:cs="Arial" w:eastAsia="Arial" w:hAnsi="Arial"/>
          <w:sz w:val="18"/>
          <w:szCs w:val="18"/>
          <w:color w:val="auto"/>
        </w:rPr>
        <w:t>. The Plan is intended to be a plan that is not qualified within the meaning of Code Section 401(a) and that “is unfunded and is maintained by an employer primarily for the purpose of providing deferred compensation for a select group of management or highly compensated employee” within the meaning of ERISA Sections 201(2), 301(a)(3)</w:t>
      </w:r>
    </w:p>
    <w:p>
      <w:pPr>
        <w:spacing w:after="0" w:line="35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534924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 401(a)(1). The Plan will be administered and interpreted to the extent possible in a manner consistent with that intent.</w:t>
      </w:r>
    </w:p>
    <w:p>
      <w:pPr>
        <w:spacing w:after="0" w:line="200" w:lineRule="exact"/>
        <w:rPr>
          <w:sz w:val="20"/>
          <w:szCs w:val="20"/>
          <w:color w:val="auto"/>
        </w:rPr>
      </w:pPr>
    </w:p>
    <w:p>
      <w:pPr>
        <w:spacing w:after="0" w:line="210" w:lineRule="exact"/>
        <w:rPr>
          <w:sz w:val="20"/>
          <w:szCs w:val="20"/>
          <w:color w:val="auto"/>
        </w:rPr>
      </w:pPr>
    </w:p>
    <w:p>
      <w:pPr>
        <w:ind w:right="40" w:hanging="417"/>
        <w:spacing w:after="0" w:line="261"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u w:val="single" w:color="auto"/>
          <w:color w:val="auto"/>
        </w:rPr>
        <w:t>Unsecured General Creditor</w:t>
      </w:r>
      <w:r>
        <w:rPr>
          <w:rFonts w:ascii="Arial" w:cs="Arial" w:eastAsia="Arial" w:hAnsi="Arial"/>
          <w:sz w:val="18"/>
          <w:szCs w:val="18"/>
          <w:color w:val="auto"/>
        </w:rPr>
        <w:t>. Participants and their Beneficiaries, heirs, successors, and assigns will have no legal or equitable rights, interests, or claims in any property or assets of an Employer. For purposes of the payment of benefits under this Plan, any and all of an Employer’s assets will be, and remain, the general, unpledged, and unrestricted assets of the Employer. An Employer’s obligation under the Plan will be merely that of an unfunded and unsecured promise to pay money in the future.</w:t>
      </w:r>
    </w:p>
    <w:p>
      <w:pPr>
        <w:spacing w:after="0" w:line="369" w:lineRule="exact"/>
        <w:rPr>
          <w:sz w:val="20"/>
          <w:szCs w:val="20"/>
          <w:color w:val="auto"/>
        </w:rPr>
      </w:pPr>
    </w:p>
    <w:p>
      <w:pPr>
        <w:ind w:right="20" w:hanging="417"/>
        <w:spacing w:after="0" w:line="266"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u w:val="single" w:color="auto"/>
          <w:color w:val="auto"/>
        </w:rPr>
        <w:t>Employer’s Liability</w:t>
      </w:r>
      <w:r>
        <w:rPr>
          <w:rFonts w:ascii="Arial" w:cs="Arial" w:eastAsia="Arial" w:hAnsi="Arial"/>
          <w:sz w:val="18"/>
          <w:szCs w:val="18"/>
          <w:color w:val="auto"/>
        </w:rPr>
        <w:t>. An Employer’s liability for the payment of benefits will be defined only by the Plan and the Plan Agreement, as entered into between the Employer and a Participant. An Employer will have no obligation to a Participant under the Plan except as expressly provided in the Plan and his or her Plan Agreement.</w:t>
      </w:r>
    </w:p>
    <w:p>
      <w:pPr>
        <w:sectPr>
          <w:pgSz w:w="11900" w:h="16838" w:orient="portrait"/>
          <w:cols w:equalWidth="0" w:num="1">
            <w:col w:w="10520"/>
          </w:cols>
          <w:pgMar w:left="760" w:top="1440" w:right="619" w:bottom="1440" w:gutter="0" w:footer="0" w:header="0"/>
        </w:sectPr>
      </w:pPr>
    </w:p>
    <w:bookmarkStart w:id="149" w:name="page150"/>
    <w:bookmarkEnd w:id="149"/>
    <w:p>
      <w:pPr>
        <w:spacing w:after="0" w:line="32" w:lineRule="exact"/>
        <w:rPr>
          <w:sz w:val="20"/>
          <w:szCs w:val="20"/>
          <w:color w:val="auto"/>
        </w:rPr>
      </w:pPr>
    </w:p>
    <w:p>
      <w:pPr>
        <w:ind w:left="140" w:right="60" w:hanging="417"/>
        <w:spacing w:after="0" w:line="294"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u w:val="single" w:color="auto"/>
          <w:color w:val="auto"/>
        </w:rPr>
        <w:t>Nonassignability</w:t>
      </w:r>
      <w:r>
        <w:rPr>
          <w:rFonts w:ascii="Arial" w:cs="Arial" w:eastAsia="Arial" w:hAnsi="Arial"/>
          <w:sz w:val="16"/>
          <w:szCs w:val="16"/>
          <w:color w:val="auto"/>
        </w:rPr>
        <w:t>. Neither a Participant nor any other person will have any right to commute, sell, assign, transfer, pledge, anticipate, mortgage, or otherwise encumber, transfer, hypothecate, alienate, or convey in advance of actual receipt, the amounts, if any, payable under the Plan, or any part of those amounts, which are, and all rights to which are expressly declared to be, unassignable and non-transferable. No part of the amounts payable will,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349" w:lineRule="exact"/>
        <w:rPr>
          <w:sz w:val="20"/>
          <w:szCs w:val="20"/>
          <w:color w:val="auto"/>
        </w:rPr>
      </w:pPr>
    </w:p>
    <w:p>
      <w:pPr>
        <w:ind w:left="140" w:hanging="417"/>
        <w:spacing w:after="0" w:line="277"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b w:val="1"/>
          <w:bCs w:val="1"/>
          <w:u w:val="single" w:color="auto"/>
          <w:color w:val="auto"/>
        </w:rPr>
        <w:t>Not a Contract of Employment</w:t>
      </w:r>
      <w:r>
        <w:rPr>
          <w:rFonts w:ascii="Arial" w:cs="Arial" w:eastAsia="Arial" w:hAnsi="Arial"/>
          <w:sz w:val="17"/>
          <w:szCs w:val="17"/>
          <w:color w:val="auto"/>
        </w:rPr>
        <w:t>. The terms and conditions of this Plan will not be deemed to constitute a contract of employment between any Employer and the Participant. Such employment is hereby acknowledged to be an “at will” employment relationship that can be terminated at any time for any reason, or no reason, with or without cause, and with or without notice, unless expressly provided otherwise in a written employment agreement. Nothing in this Plan will be deemed to give a Participant the right to be retained in the service of any Employer as an Employee or to interfere with the right of any Employer to discipline or discharge the Participant at any time.</w:t>
      </w:r>
    </w:p>
    <w:p>
      <w:pPr>
        <w:spacing w:after="0" w:line="343" w:lineRule="exact"/>
        <w:rPr>
          <w:sz w:val="20"/>
          <w:szCs w:val="20"/>
          <w:color w:val="auto"/>
        </w:rPr>
      </w:pPr>
    </w:p>
    <w:p>
      <w:pPr>
        <w:ind w:left="140" w:right="60" w:hanging="417"/>
        <w:spacing w:after="0" w:line="314"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b w:val="1"/>
          <w:bCs w:val="1"/>
          <w:u w:val="single" w:color="auto"/>
          <w:color w:val="auto"/>
        </w:rPr>
        <w:t>Furnishing Information</w:t>
      </w:r>
      <w:r>
        <w:rPr>
          <w:rFonts w:ascii="Arial" w:cs="Arial" w:eastAsia="Arial" w:hAnsi="Arial"/>
          <w:sz w:val="16"/>
          <w:szCs w:val="16"/>
          <w:color w:val="auto"/>
        </w:rPr>
        <w:t>. A Participant or his or her Beneficiary will cooperate with the Committee by furnishing any and all information requested by the Committee and take such other actions as may be requested in order to facilitate the administration of the Plan and the payments of benefits under the Plan, including but not limited to taking such physical examinations as the Committee may deem necessary.</w:t>
      </w:r>
    </w:p>
    <w:p>
      <w:pPr>
        <w:spacing w:after="0" w:line="331" w:lineRule="exact"/>
        <w:rPr>
          <w:sz w:val="20"/>
          <w:szCs w:val="20"/>
          <w:color w:val="auto"/>
        </w:rPr>
      </w:pPr>
    </w:p>
    <w:p>
      <w:pPr>
        <w:ind w:left="140" w:right="100" w:hanging="417"/>
        <w:spacing w:after="0" w:line="282"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Whenever any words are used in the Plan in the masculine, they will be construed as though they were in the feminine in all cases where they would so apply; and whenever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53492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51" w:lineRule="exact"/>
        <w:rPr>
          <w:sz w:val="20"/>
          <w:szCs w:val="20"/>
          <w:color w:val="auto"/>
        </w:rPr>
      </w:pPr>
    </w:p>
    <w:p>
      <w:pPr>
        <w:ind w:left="140" w:right="80"/>
        <w:spacing w:after="0" w:line="277" w:lineRule="auto"/>
        <w:rPr>
          <w:sz w:val="20"/>
          <w:szCs w:val="20"/>
          <w:color w:val="auto"/>
        </w:rPr>
      </w:pPr>
      <w:r>
        <w:rPr>
          <w:rFonts w:ascii="Arial" w:cs="Arial" w:eastAsia="Arial" w:hAnsi="Arial"/>
          <w:sz w:val="18"/>
          <w:szCs w:val="18"/>
          <w:color w:val="auto"/>
        </w:rPr>
        <w:t>any words are used in the Plan in the singular or in the plural, they will be construed as though they were used in the plural or the singular, as the case may be, in all cases where they would so apply.</w:t>
      </w:r>
    </w:p>
    <w:p>
      <w:pPr>
        <w:spacing w:after="0" w:line="355" w:lineRule="exact"/>
        <w:rPr>
          <w:sz w:val="20"/>
          <w:szCs w:val="20"/>
          <w:color w:val="auto"/>
        </w:rPr>
      </w:pPr>
    </w:p>
    <w:p>
      <w:pPr>
        <w:ind w:left="140" w:right="20" w:hanging="417"/>
        <w:spacing w:after="0" w:line="282"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captions of the articles, sections, and paragraphs of this Plan are for convenience only and will not control or affect the meaning or construction of any of its provisions.</w:t>
      </w:r>
    </w:p>
    <w:p>
      <w:pPr>
        <w:spacing w:after="0" w:line="351" w:lineRule="exact"/>
        <w:rPr>
          <w:sz w:val="20"/>
          <w:szCs w:val="20"/>
          <w:color w:val="auto"/>
        </w:rPr>
      </w:pPr>
    </w:p>
    <w:p>
      <w:pPr>
        <w:ind w:left="140" w:right="920" w:hanging="417"/>
        <w:spacing w:after="0" w:line="282"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Subject to ERISA, the provisions of this Plan will be construed and interpreted according to the internal laws of the Commonwealth of Pennsylvania without regard to its conflicts of laws principles.</w:t>
      </w:r>
    </w:p>
    <w:p>
      <w:pPr>
        <w:spacing w:after="0" w:line="337" w:lineRule="exact"/>
        <w:rPr>
          <w:sz w:val="20"/>
          <w:szCs w:val="20"/>
          <w:color w:val="auto"/>
        </w:rPr>
      </w:pPr>
    </w:p>
    <w:p>
      <w:pPr>
        <w:ind w:left="240" w:right="660" w:hanging="512"/>
        <w:spacing w:after="0" w:line="282"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or filing required or permitted to be given to the Committee under this Plan will be sufficient if in writing and hand-delivered, or sent by registered or certified mail, to the address below:</w:t>
      </w:r>
    </w:p>
    <w:p>
      <w:pPr>
        <w:sectPr>
          <w:pgSz w:w="11900" w:h="16838" w:orient="portrait"/>
          <w:cols w:equalWidth="0" w:num="1">
            <w:col w:w="10660"/>
          </w:cols>
          <w:pgMar w:left="620" w:top="1440" w:right="619" w:bottom="1440" w:gutter="0" w:footer="0" w:header="0"/>
        </w:sectPr>
      </w:pPr>
    </w:p>
    <w:bookmarkStart w:id="150" w:name="page151"/>
    <w:bookmarkEnd w:id="150"/>
    <w:p>
      <w:pPr>
        <w:spacing w:after="0" w:line="306"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Gail L. Gonzales</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Corporate Director, Human Resources</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Penn National Gaming, Inc.</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825 Berkshire Boulevard</w:t>
      </w:r>
    </w:p>
    <w:p>
      <w:pPr>
        <w:spacing w:after="0" w:line="6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Wyomissing, PA 19610</w:t>
      </w:r>
    </w:p>
    <w:p>
      <w:pPr>
        <w:spacing w:after="0" w:line="239"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The notice will be deemed given as of the date of delivery or, if delivery is made by mail, as of the date shown on the postmark on the receipt for registration or certification.</w:t>
      </w:r>
    </w:p>
    <w:p>
      <w:pPr>
        <w:spacing w:after="0" w:line="62"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color w:val="auto"/>
        </w:rPr>
        <w:t>Any notice or filing required or permitted to be given to a Participant under this Plan will be sufficient if in writing and hand-delivered, or sent by mail, to the Participant’s last known address.</w:t>
      </w:r>
    </w:p>
    <w:p>
      <w:pPr>
        <w:spacing w:after="0" w:line="126" w:lineRule="exact"/>
        <w:rPr>
          <w:sz w:val="20"/>
          <w:szCs w:val="20"/>
          <w:color w:val="auto"/>
        </w:rPr>
      </w:pPr>
    </w:p>
    <w:p>
      <w:pPr>
        <w:ind w:left="520" w:right="260" w:hanging="512"/>
        <w:spacing w:after="0" w:line="282"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The provisions of this Plan will bind and inure to the benefit of the Participant’s Employer and its successors and assigns and the Participant and the Participant’s designated Beneficiaries.</w:t>
      </w:r>
    </w:p>
    <w:p>
      <w:pPr>
        <w:spacing w:after="0" w:line="337" w:lineRule="exact"/>
        <w:rPr>
          <w:sz w:val="20"/>
          <w:szCs w:val="20"/>
          <w:color w:val="auto"/>
        </w:rPr>
      </w:pPr>
    </w:p>
    <w:p>
      <w:pPr>
        <w:ind w:left="520" w:right="120" w:hanging="512"/>
        <w:spacing w:after="0" w:line="266"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u w:val="single" w:color="auto"/>
          <w:color w:val="auto"/>
        </w:rPr>
        <w:t>Spouse’s Interest</w:t>
      </w:r>
      <w:r>
        <w:rPr>
          <w:rFonts w:ascii="Arial" w:cs="Arial" w:eastAsia="Arial" w:hAnsi="Arial"/>
          <w:sz w:val="18"/>
          <w:szCs w:val="18"/>
          <w:color w:val="auto"/>
        </w:rPr>
        <w:t>. Any interest in the Plan benefits of a Participant’s spouse who has predeceased the Participant will automatically pass to the Participant and will not be transferable by the spouse in any manner, including, but not limited to, the spouse’s will, nor will the interest pass under the laws of intestate succession.</w:t>
      </w:r>
    </w:p>
    <w:p>
      <w:pPr>
        <w:spacing w:after="0" w:line="365" w:lineRule="exact"/>
        <w:rPr>
          <w:sz w:val="20"/>
          <w:szCs w:val="20"/>
          <w:color w:val="auto"/>
        </w:rPr>
      </w:pPr>
    </w:p>
    <w:p>
      <w:pPr>
        <w:ind w:left="520" w:right="200" w:hanging="512"/>
        <w:spacing w:after="0" w:line="347"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b w:val="1"/>
          <w:bCs w:val="1"/>
          <w:u w:val="single" w:color="auto"/>
          <w:color w:val="auto"/>
        </w:rPr>
        <w:t>Validity</w:t>
      </w:r>
      <w:r>
        <w:rPr>
          <w:rFonts w:ascii="Arial" w:cs="Arial" w:eastAsia="Arial" w:hAnsi="Arial"/>
          <w:sz w:val="16"/>
          <w:szCs w:val="16"/>
          <w:color w:val="auto"/>
        </w:rPr>
        <w:t>. In case any provision of this Plan is declared illegal or invalid for any reason, the illegality or invalidity will not affect the remaining parts of the Plan, but the Plan will be construed and enforced as if the illegal or invalid provision had never been inserted in the Plan.</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47" w:lineRule="exact"/>
        <w:rPr>
          <w:sz w:val="20"/>
          <w:szCs w:val="20"/>
          <w:color w:val="auto"/>
        </w:rPr>
      </w:pPr>
    </w:p>
    <w:p>
      <w:pPr>
        <w:ind w:left="520" w:hanging="512"/>
        <w:spacing w:after="0" w:line="274" w:lineRule="auto"/>
        <w:rPr>
          <w:sz w:val="20"/>
          <w:szCs w:val="20"/>
          <w:color w:val="auto"/>
        </w:rPr>
      </w:pPr>
      <w:r>
        <w:rPr>
          <w:rFonts w:ascii="Arial" w:cs="Arial" w:eastAsia="Arial" w:hAnsi="Arial"/>
          <w:sz w:val="17"/>
          <w:szCs w:val="17"/>
          <w:color w:val="auto"/>
        </w:rPr>
        <w:t xml:space="preserve">17.14 </w:t>
      </w:r>
      <w:r>
        <w:rPr>
          <w:rFonts w:ascii="Arial" w:cs="Arial" w:eastAsia="Arial" w:hAnsi="Arial"/>
          <w:sz w:val="17"/>
          <w:szCs w:val="17"/>
          <w:b w:val="1"/>
          <w:bCs w:val="1"/>
          <w:u w:val="single" w:color="auto"/>
          <w:color w:val="auto"/>
        </w:rPr>
        <w:t>Incompetent</w:t>
      </w:r>
      <w:r>
        <w:rPr>
          <w:rFonts w:ascii="Arial" w:cs="Arial" w:eastAsia="Arial" w:hAnsi="Arial"/>
          <w:sz w:val="17"/>
          <w:szCs w:val="17"/>
          <w:color w:val="auto"/>
        </w:rPr>
        <w:t>. If the Committee determines, in its sole discretion, that a benefit under this Plan is to be paid to a minor, a person declared incompetent, or a person incapable of handling the disposition of that person’s property, the Committee may direct payment of that benefit to the guardian, legal representative, or person having the care and custody of the minor, incompetent, or incapable person. The Committee may require proof of minority, incompetence, incapacity or guardianship, as it may deem appropriate prior to distribution of the benefit. Any payment of a benefit will be a payment for the account of the Participant or the Participant’s Beneficiary, as the case may be, and will be a complete discharge of any liability under the Plan for that payment amount.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b w:val="1"/>
          <w:bCs w:val="1"/>
          <w:u w:val="single" w:color="auto"/>
          <w:color w:val="auto"/>
        </w:rPr>
        <w:t>Distribution in the Event of Taxation</w:t>
      </w:r>
      <w:r>
        <w:rPr>
          <w:rFonts w:ascii="Arial" w:cs="Arial" w:eastAsia="Arial" w:hAnsi="Arial"/>
          <w:sz w:val="18"/>
          <w:szCs w:val="18"/>
          <w:color w:val="auto"/>
        </w:rPr>
        <w:t>.</w:t>
      </w:r>
    </w:p>
    <w:p>
      <w:pPr>
        <w:sectPr>
          <w:pgSz w:w="11900" w:h="16838" w:orient="portrait"/>
          <w:cols w:equalWidth="0" w:num="1">
            <w:col w:w="10960"/>
          </w:cols>
          <w:pgMar w:left="340" w:top="1440" w:right="599" w:bottom="1440" w:gutter="0" w:footer="0" w:header="0"/>
        </w:sectPr>
      </w:pPr>
    </w:p>
    <w:bookmarkStart w:id="151" w:name="page152"/>
    <w:bookmarkEnd w:id="151"/>
    <w:p>
      <w:pPr>
        <w:spacing w:after="0" w:line="36" w:lineRule="exact"/>
        <w:rPr>
          <w:sz w:val="20"/>
          <w:szCs w:val="20"/>
          <w:color w:val="auto"/>
        </w:rPr>
      </w:pPr>
    </w:p>
    <w:p>
      <w:pPr>
        <w:ind w:left="760" w:right="60" w:hanging="576"/>
        <w:spacing w:after="0" w:line="269" w:lineRule="auto"/>
        <w:tabs>
          <w:tab w:leader="none" w:pos="7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General. If, for any reason, all or any portion of a Participant’s benefits under this Plan becomes taxable to the Participant prior to receipt, a Participant may petition the Committee before a Change in Control, or the Trustee of the Trust after a Change in Control, for a distribution of that portion of his or her benefit that has become taxable. Upon the grant of such a petition, which grant will not be unreasonably withheld (and, after a Change in Control, will be granted), a Participant’s Employer will distribute to the Participant immediately available funds in an amount equal to the tax attributable to his or her benefit (which amount will not exceed a Participant’s unpaid Account Balance under the Plan). Additionally, the Committee may cause distribution to be made hereunder to pay the income tax at the source and wages imposed under Code Section 3401 where the corresponding withholding provisions of applicable state, local or foreign tax laws as a result of the payment of the preceding amount. If the petition is granted, the tax liability distribution will be made within 90 days of the date when the Participant’s petition is granted. Such a distribution will affect and reduce the benefits to be paid under this Plan. Distributions hereunder may be made for the following reasons:</w:t>
      </w:r>
    </w:p>
    <w:p>
      <w:pPr>
        <w:spacing w:after="0" w:line="374" w:lineRule="exact"/>
        <w:rPr>
          <w:rFonts w:ascii="Arial" w:cs="Arial" w:eastAsia="Arial" w:hAnsi="Arial"/>
          <w:sz w:val="17"/>
          <w:szCs w:val="17"/>
          <w:color w:val="auto"/>
        </w:rPr>
      </w:pPr>
    </w:p>
    <w:p>
      <w:pPr>
        <w:ind w:left="1200" w:hanging="449"/>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payment of employment taxes;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49"/>
        <w:spacing w:after="0"/>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payment of state, local or foreign taxes;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00" w:right="560" w:hanging="449"/>
        <w:spacing w:after="0" w:line="277" w:lineRule="auto"/>
        <w:tabs>
          <w:tab w:leader="none" w:pos="12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payment of income inclusion under Code Section 409A (with respect to which the entire amount required to be included into income as a result of such failure may be distributed).</w:t>
      </w:r>
    </w:p>
    <w:p>
      <w:pPr>
        <w:spacing w:after="0" w:line="359" w:lineRule="exact"/>
        <w:rPr>
          <w:rFonts w:ascii="Arial" w:cs="Arial" w:eastAsia="Arial" w:hAnsi="Arial"/>
          <w:sz w:val="18"/>
          <w:szCs w:val="18"/>
          <w:color w:val="auto"/>
        </w:rPr>
      </w:pPr>
    </w:p>
    <w:p>
      <w:pPr>
        <w:ind w:left="760" w:right="240" w:hanging="576"/>
        <w:spacing w:after="0" w:line="277" w:lineRule="auto"/>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Trust. If the Trust terminates in accordance with its terms and benefits are distributed from the Trust to a Participant in accordance with those terms, the Participant’s benefits under this Plan will be reduced to the extent of those distributions.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3492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1" w:lineRule="exact"/>
        <w:rPr>
          <w:sz w:val="20"/>
          <w:szCs w:val="20"/>
          <w:color w:val="auto"/>
        </w:rPr>
      </w:pPr>
    </w:p>
    <w:p>
      <w:pPr>
        <w:ind w:left="280" w:hanging="512"/>
        <w:spacing w:after="0" w:line="277"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Employers, on their own behalf or on behalf of the Trustee and, in their sole discretion, may apply for and procure insurance on the life of a Participant, in such amounts and in such forms as the Employers may choose. The Employers or the Trustee, as the case may be, will be the sole owner and beneficiary of any such insurance. The Participant will not have any interest whatsoever in any such policy or policies, and at the request of the Employers will submit to medical examinations and supply such information and execute such documents as may be required by the insurance company or companies to which the Employers have applied for insurance.</w:t>
      </w:r>
    </w:p>
    <w:p>
      <w:pPr>
        <w:sectPr>
          <w:pgSz w:w="11900" w:h="16838" w:orient="portrait"/>
          <w:cols w:equalWidth="0" w:num="1">
            <w:col w:w="10740"/>
          </w:cols>
          <w:pgMar w:left="580" w:top="1440" w:right="579" w:bottom="1440" w:gutter="0" w:footer="0" w:header="0"/>
        </w:sectPr>
      </w:pPr>
    </w:p>
    <w:bookmarkStart w:id="152" w:name="page153"/>
    <w:bookmarkEnd w:id="152"/>
    <w:p>
      <w:pPr>
        <w:spacing w:after="0" w:line="32" w:lineRule="exact"/>
        <w:rPr>
          <w:sz w:val="20"/>
          <w:szCs w:val="20"/>
          <w:color w:val="auto"/>
        </w:rPr>
      </w:pPr>
    </w:p>
    <w:p>
      <w:pPr>
        <w:ind w:left="520" w:hanging="512"/>
        <w:spacing w:after="0" w:line="287" w:lineRule="auto"/>
        <w:rPr>
          <w:sz w:val="20"/>
          <w:szCs w:val="20"/>
          <w:color w:val="auto"/>
        </w:rPr>
      </w:pPr>
      <w:r>
        <w:rPr>
          <w:rFonts w:ascii="Arial" w:cs="Arial" w:eastAsia="Arial" w:hAnsi="Arial"/>
          <w:sz w:val="16"/>
          <w:szCs w:val="16"/>
          <w:color w:val="auto"/>
        </w:rPr>
        <w:t xml:space="preserve">17.17 </w:t>
      </w:r>
      <w:r>
        <w:rPr>
          <w:rFonts w:ascii="Arial" w:cs="Arial" w:eastAsia="Arial" w:hAnsi="Arial"/>
          <w:sz w:val="16"/>
          <w:szCs w:val="16"/>
          <w:b w:val="1"/>
          <w:bCs w:val="1"/>
          <w:u w:val="single" w:color="auto"/>
          <w:color w:val="auto"/>
        </w:rPr>
        <w:t>Legal Fees To Enforce Rights After Change in Control</w:t>
      </w:r>
      <w:r>
        <w:rPr>
          <w:rFonts w:ascii="Arial" w:cs="Arial" w:eastAsia="Arial" w:hAnsi="Arial"/>
          <w:sz w:val="16"/>
          <w:szCs w:val="16"/>
          <w:color w:val="auto"/>
        </w:rPr>
        <w:t>. The Company and each Employer is aware that upon the occurrence of a Change in Control, the Board or the board of directors of a Participant’s Employer (which might then be composed of new members) or a shareholder of the Company or the Participant’s Employer, or of any successor corporation might then cause or attempt to cause the Company, the Participant’s Employer, or the successor to refuse to comply with its obligations under the Plan and might cause or attempt to cause the Company or the Participant’s Employer to institute, or may institute, litigation seeking to deny Participants the benefits intended under the Plan. In these circumstances, the purpose of the Plan could be frustrated. Accordingly, if, following a Change in Control, it should appear to any Participant that the Company, the Participant’s Employer, or any successor corporation has failed to comply with any of its obligations under the Plan or any agreement thereunder or, if the Company, an Employer, or any other person takes any action to declare the Plan void or unenforceable or institutes any litigation or other legal action designed to deny, diminish, or to recover from any Participant the benefits intended to be provided, then the Company and the Participant’s Employer irrevocably authorize the Participant to retain counsel of his or her choice at the expense of the Company and the Participant’s Employer (who will be jointly and severally liable) to represent the Participant in connection with the initiation or defense of any litigation or other legal action, whether by or against the Company, the Participant’s Employer, or any director, officer, shareholder or other person affiliated with the Company, the Participant’s Employer, or any successor to either of them in any jurisdiction.</w:t>
      </w:r>
    </w:p>
    <w:p>
      <w:pPr>
        <w:spacing w:after="0" w:line="353" w:lineRule="exact"/>
        <w:rPr>
          <w:sz w:val="20"/>
          <w:szCs w:val="20"/>
          <w:color w:val="auto"/>
        </w:rPr>
      </w:pPr>
    </w:p>
    <w:p>
      <w:pPr>
        <w:ind w:left="520" w:hanging="512"/>
        <w:spacing w:after="0" w:line="261" w:lineRule="auto"/>
        <w:rPr>
          <w:sz w:val="20"/>
          <w:szCs w:val="20"/>
          <w:color w:val="auto"/>
        </w:rPr>
      </w:pPr>
      <w:r>
        <w:rPr>
          <w:rFonts w:ascii="Arial" w:cs="Arial" w:eastAsia="Arial" w:hAnsi="Arial"/>
          <w:sz w:val="18"/>
          <w:szCs w:val="18"/>
          <w:color w:val="auto"/>
        </w:rPr>
        <w:t xml:space="preserve">17.18 </w:t>
      </w:r>
      <w:r>
        <w:rPr>
          <w:rFonts w:ascii="Arial" w:cs="Arial" w:eastAsia="Arial" w:hAnsi="Arial"/>
          <w:sz w:val="18"/>
          <w:szCs w:val="18"/>
          <w:b w:val="1"/>
          <w:bCs w:val="1"/>
          <w:u w:val="single" w:color="auto"/>
          <w:color w:val="auto"/>
        </w:rPr>
        <w:t>Domestic Relations Orders</w:t>
      </w:r>
      <w:r>
        <w:rPr>
          <w:rFonts w:ascii="Arial" w:cs="Arial" w:eastAsia="Arial" w:hAnsi="Arial"/>
          <w:sz w:val="18"/>
          <w:szCs w:val="18"/>
          <w:color w:val="auto"/>
        </w:rPr>
        <w:t>. If necessary to comply with a domestic relations order, as defined in Code Section 414(p)(1)(B), pursuant to which a court has determined that a spouse or former spouse of a Participant has an interest in the Participant’s benefits under the Plan, the Committee shall have the right to immediately distribute the spouse’s or former spouse’s interest in the Participant’s benefits under the Plan to such spouse or former spouse.</w:t>
      </w:r>
    </w:p>
    <w:p>
      <w:pPr>
        <w:spacing w:after="0" w:line="355" w:lineRule="exact"/>
        <w:rPr>
          <w:sz w:val="20"/>
          <w:szCs w:val="20"/>
          <w:color w:val="auto"/>
        </w:rPr>
      </w:pPr>
    </w:p>
    <w:p>
      <w:pPr>
        <w:ind w:left="520" w:right="200" w:hanging="512"/>
        <w:spacing w:after="0" w:line="261" w:lineRule="auto"/>
        <w:rPr>
          <w:sz w:val="20"/>
          <w:szCs w:val="20"/>
          <w:color w:val="auto"/>
        </w:rPr>
      </w:pPr>
      <w:r>
        <w:rPr>
          <w:rFonts w:ascii="Arial" w:cs="Arial" w:eastAsia="Arial" w:hAnsi="Arial"/>
          <w:sz w:val="18"/>
          <w:szCs w:val="18"/>
          <w:color w:val="auto"/>
        </w:rPr>
        <w:t xml:space="preserve">17.19 </w:t>
      </w: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The terms of the Plan and its operation are intended to comply with Section 409A of the Code. The Plan shall be administered, interpreted and construed in a manner consistent with Section 409A of the Code. Notwithstanding anything in the Plan to the contrary, distributions under the Plan may only be made upon an event and in a manner consistent with Section 409A of the Code. Should any provision of the Plan, or</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65" w:lineRule="exact"/>
        <w:rPr>
          <w:sz w:val="20"/>
          <w:szCs w:val="20"/>
          <w:color w:val="auto"/>
        </w:rPr>
      </w:pPr>
    </w:p>
    <w:p>
      <w:pPr>
        <w:ind w:left="420" w:right="40"/>
        <w:spacing w:after="0" w:line="296" w:lineRule="auto"/>
        <w:rPr>
          <w:sz w:val="20"/>
          <w:szCs w:val="20"/>
          <w:color w:val="auto"/>
        </w:rPr>
      </w:pPr>
      <w:r>
        <w:rPr>
          <w:rFonts w:ascii="Arial" w:cs="Arial" w:eastAsia="Arial" w:hAnsi="Arial"/>
          <w:sz w:val="16"/>
          <w:szCs w:val="16"/>
          <w:color w:val="auto"/>
        </w:rPr>
        <w:t>any other agreement or arrangement contemplated by the Plan or used in conjunction with the Plan be found not to comply with, or otherwise be exempt from, the provisions of Section 409A of the Code, such requirements shall be modified and given effect (retroactively if necessary), in the sole discretion of the Committee, in such manner as the Committee determines to be necessary or appropriate to comply with, or to effectuate an exemption from, Section 409A of the Code. If such modification is not possible, any such provision that is not in compliance with Section 409A of the Code shall be deemed ineffective if its application would result in a violation of the requirements set forth in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WITNESS WHEREOF, the Company has executed this Plan document on this 5th day of April, 2013, to be effective as of April 4, 2013.</w:t>
      </w:r>
    </w:p>
    <w:p>
      <w:pPr>
        <w:sectPr>
          <w:pgSz w:w="11900" w:h="16838" w:orient="portrait"/>
          <w:cols w:equalWidth="0" w:num="1">
            <w:col w:w="10960"/>
          </w:cols>
          <w:pgMar w:left="340" w:top="1440" w:right="599" w:bottom="1440" w:gutter="0" w:footer="0" w:header="0"/>
        </w:sectPr>
      </w:pPr>
    </w:p>
    <w:bookmarkStart w:id="153" w:name="page154"/>
    <w:bookmarkEnd w:id="153"/>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ATTEST:</w:t>
            </w:r>
          </w:p>
        </w:tc>
        <w:tc>
          <w:tcPr>
            <w:tcW w:w="6000" w:type="dxa"/>
            <w:vAlign w:val="bottom"/>
            <w:gridSpan w:val="3"/>
          </w:tcPr>
          <w:p>
            <w:pPr>
              <w:ind w:left="720"/>
              <w:spacing w:after="0"/>
              <w:rPr>
                <w:sz w:val="20"/>
                <w:szCs w:val="20"/>
                <w:color w:val="auto"/>
              </w:rPr>
            </w:pPr>
            <w:r>
              <w:rPr>
                <w:rFonts w:ascii="Arial" w:cs="Arial" w:eastAsia="Arial" w:hAnsi="Arial"/>
                <w:sz w:val="18"/>
                <w:szCs w:val="18"/>
                <w:color w:val="auto"/>
              </w:rPr>
              <w:t>PENN NATIONAL GAMING, INC.</w:t>
            </w:r>
          </w:p>
        </w:tc>
      </w:tr>
      <w:tr>
        <w:trPr>
          <w:trHeight w:val="54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By:  /s/ Jordan B. Savitch</w:t>
            </w:r>
          </w:p>
        </w:tc>
        <w:tc>
          <w:tcPr>
            <w:tcW w:w="1220" w:type="dxa"/>
            <w:vAlign w:val="bottom"/>
          </w:tcPr>
          <w:p>
            <w:pPr>
              <w:ind w:left="720"/>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/s/ Robert S. Ippolito</w:t>
            </w:r>
          </w:p>
        </w:tc>
      </w:tr>
      <w:tr>
        <w:trPr>
          <w:trHeight w:val="27"/>
        </w:trPr>
        <w:tc>
          <w:tcPr>
            <w:tcW w:w="3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493"/>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Title:</w:t>
            </w:r>
          </w:p>
        </w:tc>
        <w:tc>
          <w:tcPr>
            <w:tcW w:w="4780" w:type="dxa"/>
            <w:vAlign w:val="bottom"/>
            <w:gridSpan w:val="2"/>
          </w:tcPr>
          <w:p>
            <w:pPr>
              <w:ind w:left="140"/>
              <w:spacing w:after="0"/>
              <w:rPr>
                <w:sz w:val="20"/>
                <w:szCs w:val="20"/>
                <w:color w:val="auto"/>
              </w:rPr>
            </w:pPr>
            <w:r>
              <w:rPr>
                <w:rFonts w:ascii="Arial" w:cs="Arial" w:eastAsia="Arial" w:hAnsi="Arial"/>
                <w:sz w:val="18"/>
                <w:szCs w:val="18"/>
                <w:color w:val="auto"/>
              </w:rPr>
              <w:t>Vice President, Secretary and Treasurer</w:t>
            </w:r>
          </w:p>
        </w:tc>
      </w:tr>
      <w:tr>
        <w:trPr>
          <w:trHeight w:val="614"/>
        </w:trPr>
        <w:tc>
          <w:tcPr>
            <w:tcW w:w="340" w:type="dxa"/>
            <w:vAlign w:val="bottom"/>
            <w:tcBorders>
              <w:bottom w:val="single" w:sz="8" w:color="999999"/>
            </w:tcBorders>
          </w:tcPr>
          <w:p>
            <w:pPr>
              <w:spacing w:after="0"/>
              <w:rPr>
                <w:sz w:val="24"/>
                <w:szCs w:val="24"/>
                <w:color w:val="auto"/>
              </w:rPr>
            </w:pPr>
          </w:p>
        </w:tc>
        <w:tc>
          <w:tcPr>
            <w:tcW w:w="4640" w:type="dxa"/>
            <w:vAlign w:val="bottom"/>
            <w:tcBorders>
              <w:bottom w:val="single" w:sz="8" w:color="999999"/>
            </w:tcBorders>
          </w:tcPr>
          <w:p>
            <w:pPr>
              <w:spacing w:after="0"/>
              <w:rPr>
                <w:sz w:val="24"/>
                <w:szCs w:val="24"/>
                <w:color w:val="auto"/>
              </w:rPr>
            </w:pPr>
          </w:p>
        </w:tc>
        <w:tc>
          <w:tcPr>
            <w:tcW w:w="1220" w:type="dxa"/>
            <w:vAlign w:val="bottom"/>
            <w:tcBorders>
              <w:bottom w:val="single" w:sz="8" w:color="999999"/>
            </w:tcBorders>
          </w:tcPr>
          <w:p>
            <w:pPr>
              <w:ind w:left="560"/>
              <w:spacing w:after="0"/>
              <w:rPr>
                <w:sz w:val="20"/>
                <w:szCs w:val="20"/>
                <w:color w:val="auto"/>
              </w:rPr>
            </w:pPr>
            <w:r>
              <w:rPr>
                <w:rFonts w:ascii="Arial" w:cs="Arial" w:eastAsia="Arial" w:hAnsi="Arial"/>
                <w:sz w:val="18"/>
                <w:szCs w:val="18"/>
                <w:color w:val="auto"/>
              </w:rPr>
              <w:t>30</w:t>
            </w:r>
          </w:p>
        </w:tc>
        <w:tc>
          <w:tcPr>
            <w:tcW w:w="2240" w:type="dxa"/>
            <w:vAlign w:val="bottom"/>
            <w:tcBorders>
              <w:bottom w:val="single" w:sz="8" w:color="999999"/>
            </w:tcBorders>
          </w:tcPr>
          <w:p>
            <w:pPr>
              <w:spacing w:after="0"/>
              <w:rPr>
                <w:sz w:val="24"/>
                <w:szCs w:val="24"/>
                <w:color w:val="auto"/>
              </w:rPr>
            </w:pPr>
          </w:p>
        </w:tc>
        <w:tc>
          <w:tcPr>
            <w:tcW w:w="2540" w:type="dxa"/>
            <w:vAlign w:val="bottom"/>
          </w:tcPr>
          <w:p>
            <w:pPr>
              <w:spacing w:after="0"/>
              <w:rPr>
                <w:sz w:val="24"/>
                <w:szCs w:val="24"/>
                <w:color w:val="auto"/>
              </w:rPr>
            </w:pPr>
          </w:p>
        </w:tc>
      </w:tr>
      <w:tr>
        <w:trPr>
          <w:trHeight w:val="297"/>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w w:val="99"/>
              </w:rPr>
              <w:t>APPENDIX A</w:t>
            </w:r>
          </w:p>
        </w:tc>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757"/>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DBA</w:t>
            </w:r>
          </w:p>
        </w:tc>
        <w:tc>
          <w:tcPr>
            <w:tcW w:w="6000" w:type="dxa"/>
            <w:vAlign w:val="bottom"/>
            <w:gridSpan w:val="3"/>
          </w:tcPr>
          <w:p>
            <w:pPr>
              <w:ind w:left="800"/>
              <w:spacing w:after="0"/>
              <w:rPr>
                <w:sz w:val="20"/>
                <w:szCs w:val="20"/>
                <w:color w:val="auto"/>
              </w:rPr>
            </w:pPr>
            <w:r>
              <w:rPr>
                <w:rFonts w:ascii="Arial" w:cs="Arial" w:eastAsia="Arial" w:hAnsi="Arial"/>
                <w:sz w:val="14"/>
                <w:szCs w:val="14"/>
                <w:b w:val="1"/>
                <w:bCs w:val="1"/>
                <w:color w:val="auto"/>
              </w:rPr>
              <w:t>Legal Entity Name</w:t>
            </w:r>
          </w:p>
        </w:tc>
      </w:tr>
      <w:tr>
        <w:trPr>
          <w:trHeight w:val="53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Argosy Casino Alton</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Alton Gaming Company</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Argosy Casino Riverside</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The Missouri Gaming Company Iowa Gaming Company</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Argosy Casino Sioux City</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Penn Bullwhackers,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Bullwhackers Casino</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PHK Staffing, LLC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at Kansas Speedway</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Louisiana Casino Cruises,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Baton Rouge</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Central Ohio Gaming Ventures, LLC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Columbus</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St Louis Gaming Ventures, LLC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St. Louis</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Toledo Gaming Ventures,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Toledo</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Hollywood Casino Tunica,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Tunica</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Bangor Historic Track,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Slots at Bangor</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Raceway Park,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Raceway Park</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Beulah Park Gaming Ventures, Inc.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Beulah Park</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Boomtown Casino Biloxi</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Boomtown Casino Biloxi</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PNGI CharlesTown Gaming, LLC</w:t>
            </w:r>
          </w:p>
        </w:tc>
      </w:tr>
      <w:tr>
        <w:trPr>
          <w:trHeight w:val="27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Hollywood Casino at Charles Town</w:t>
            </w:r>
          </w:p>
        </w:tc>
        <w:tc>
          <w:tcPr>
            <w:tcW w:w="6000" w:type="dxa"/>
            <w:vAlign w:val="bottom"/>
            <w:gridSpan w:val="3"/>
          </w:tcPr>
          <w:p>
            <w:pPr>
              <w:ind w:left="800"/>
              <w:spacing w:after="0"/>
              <w:rPr>
                <w:sz w:val="20"/>
                <w:szCs w:val="20"/>
                <w:color w:val="auto"/>
              </w:rPr>
            </w:pPr>
            <w:r>
              <w:rPr>
                <w:rFonts w:ascii="Arial" w:cs="Arial" w:eastAsia="Arial" w:hAnsi="Arial"/>
                <w:sz w:val="18"/>
                <w:szCs w:val="18"/>
                <w:color w:val="auto"/>
              </w:rPr>
              <w:t>Mountainview T.R.A., Inc.</w:t>
            </w:r>
          </w:p>
        </w:tc>
      </w:tr>
    </w:tbl>
    <w:p>
      <w:pPr>
        <w:sectPr>
          <w:pgSz w:w="11900" w:h="16838" w:orient="portrait"/>
          <w:cols w:equalWidth="0" w:num="1">
            <w:col w:w="10980"/>
          </w:cols>
          <w:pgMar w:left="320" w:top="1440" w:right="599" w:bottom="1440" w:gutter="0" w:footer="0" w:header="0"/>
        </w:sectPr>
      </w:pPr>
    </w:p>
    <w:bookmarkStart w:id="154" w:name="page155"/>
    <w:bookmarkEnd w:id="15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at PNRC</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Hollywood Casino Aurora</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Aurora</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Hollywood Casino Bay St. Louis</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Bay St. Louis</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w w:val="97"/>
              </w:rPr>
              <w:t>Empress Casino Joliet Corporation</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Joliet</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Indiana Gaming Company, L.P.</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Lawrenceburg</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Penn Cecil Maryland Inc.</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Hollywood Casino Perryville</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Penn National Gaming, Inc.</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Penn National Gaming, Inc.</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w w:val="89"/>
              </w:rPr>
              <w:t>Prince Georges Racing Ventures LLC</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Rosecroft Raceway</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Sanford Orlando Kennel Club</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Sanford Orlando Kennel Club</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Zia Park, LLC</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Zia Park</w:t>
            </w:r>
          </w:p>
        </w:tc>
        <w:tc>
          <w:tcPr>
            <w:tcW w:w="5180" w:type="dxa"/>
            <w:vAlign w:val="bottom"/>
            <w:gridSpan w:val="2"/>
          </w:tcPr>
          <w:p>
            <w:pPr>
              <w:ind w:left="2460"/>
              <w:spacing w:after="0"/>
              <w:rPr>
                <w:sz w:val="20"/>
                <w:szCs w:val="20"/>
                <w:color w:val="auto"/>
              </w:rPr>
            </w:pPr>
            <w:r>
              <w:rPr>
                <w:rFonts w:ascii="Arial" w:cs="Arial" w:eastAsia="Arial" w:hAnsi="Arial"/>
                <w:sz w:val="18"/>
                <w:szCs w:val="18"/>
                <w:color w:val="auto"/>
              </w:rPr>
              <w:t>LV Gaming Ventures, Inc.</w:t>
            </w: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The M Resort</w:t>
            </w:r>
          </w:p>
        </w:tc>
        <w:tc>
          <w:tcPr>
            <w:tcW w:w="51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614"/>
        </w:trPr>
        <w:tc>
          <w:tcPr>
            <w:tcW w:w="3320" w:type="dxa"/>
            <w:vAlign w:val="bottom"/>
            <w:tcBorders>
              <w:bottom w:val="single" w:sz="8" w:color="999999"/>
            </w:tcBorders>
          </w:tcPr>
          <w:p>
            <w:pPr>
              <w:spacing w:after="0"/>
              <w:rPr>
                <w:sz w:val="24"/>
                <w:szCs w:val="24"/>
                <w:color w:val="auto"/>
              </w:rPr>
            </w:pPr>
          </w:p>
        </w:tc>
        <w:tc>
          <w:tcPr>
            <w:tcW w:w="5120" w:type="dxa"/>
            <w:vAlign w:val="bottom"/>
            <w:tcBorders>
              <w:bottom w:val="single" w:sz="8" w:color="999999"/>
            </w:tcBorders>
          </w:tcPr>
          <w:p>
            <w:pPr>
              <w:jc w:val="center"/>
              <w:ind w:right="410"/>
              <w:spacing w:after="0"/>
              <w:rPr>
                <w:sz w:val="20"/>
                <w:szCs w:val="20"/>
                <w:color w:val="auto"/>
              </w:rPr>
            </w:pPr>
            <w:r>
              <w:rPr>
                <w:rFonts w:ascii="Arial" w:cs="Arial" w:eastAsia="Arial" w:hAnsi="Arial"/>
                <w:sz w:val="18"/>
                <w:szCs w:val="18"/>
                <w:color w:val="auto"/>
                <w:w w:val="89"/>
              </w:rPr>
              <w:t>31</w:t>
            </w:r>
          </w:p>
        </w:tc>
        <w:tc>
          <w:tcPr>
            <w:tcW w:w="60" w:type="dxa"/>
            <w:vAlign w:val="bottom"/>
          </w:tcPr>
          <w:p>
            <w:pPr>
              <w:spacing w:after="0"/>
              <w:rPr>
                <w:sz w:val="24"/>
                <w:szCs w:val="24"/>
                <w:color w:val="auto"/>
              </w:rPr>
            </w:pPr>
          </w:p>
        </w:tc>
      </w:tr>
      <w:tr>
        <w:trPr>
          <w:trHeight w:val="283"/>
        </w:trPr>
        <w:tc>
          <w:tcPr>
            <w:tcW w:w="3320" w:type="dxa"/>
            <w:vAlign w:val="bottom"/>
          </w:tcPr>
          <w:p>
            <w:pPr>
              <w:spacing w:after="0"/>
              <w:rPr>
                <w:sz w:val="24"/>
                <w:szCs w:val="24"/>
                <w:color w:val="auto"/>
              </w:rPr>
            </w:pPr>
          </w:p>
        </w:tc>
        <w:tc>
          <w:tcPr>
            <w:tcW w:w="518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FIRST AMENDMENT</w:t>
            </w:r>
          </w:p>
        </w:tc>
      </w:tr>
      <w:tr>
        <w:trPr>
          <w:trHeight w:val="216"/>
        </w:trPr>
        <w:tc>
          <w:tcPr>
            <w:tcW w:w="3320" w:type="dxa"/>
            <w:vAlign w:val="bottom"/>
          </w:tcPr>
          <w:p>
            <w:pPr>
              <w:spacing w:after="0"/>
              <w:rPr>
                <w:sz w:val="18"/>
                <w:szCs w:val="18"/>
                <w:color w:val="auto"/>
              </w:rPr>
            </w:pPr>
          </w:p>
        </w:tc>
        <w:tc>
          <w:tcPr>
            <w:tcW w:w="5180" w:type="dxa"/>
            <w:vAlign w:val="bottom"/>
            <w:gridSpan w:val="2"/>
          </w:tcPr>
          <w:p>
            <w:pPr>
              <w:jc w:val="center"/>
              <w:ind w:right="580"/>
              <w:spacing w:after="0"/>
              <w:rPr>
                <w:sz w:val="20"/>
                <w:szCs w:val="20"/>
                <w:color w:val="auto"/>
              </w:rPr>
            </w:pPr>
            <w:r>
              <w:rPr>
                <w:rFonts w:ascii="Arial" w:cs="Arial" w:eastAsia="Arial" w:hAnsi="Arial"/>
                <w:sz w:val="18"/>
                <w:szCs w:val="18"/>
                <w:color w:val="auto"/>
                <w:w w:val="96"/>
              </w:rPr>
              <w:t>TO THE</w:t>
            </w:r>
          </w:p>
        </w:tc>
      </w:tr>
      <w:tr>
        <w:trPr>
          <w:trHeight w:val="216"/>
        </w:trPr>
        <w:tc>
          <w:tcPr>
            <w:tcW w:w="3320" w:type="dxa"/>
            <w:vAlign w:val="bottom"/>
          </w:tcPr>
          <w:p>
            <w:pPr>
              <w:spacing w:after="0"/>
              <w:rPr>
                <w:sz w:val="18"/>
                <w:szCs w:val="18"/>
                <w:color w:val="auto"/>
              </w:rPr>
            </w:pPr>
          </w:p>
        </w:tc>
        <w:tc>
          <w:tcPr>
            <w:tcW w:w="518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PENN NATIONAL GAMING, INC.</w:t>
            </w:r>
          </w:p>
        </w:tc>
      </w:tr>
      <w:tr>
        <w:trPr>
          <w:trHeight w:val="230"/>
        </w:trPr>
        <w:tc>
          <w:tcPr>
            <w:tcW w:w="3320" w:type="dxa"/>
            <w:vAlign w:val="bottom"/>
          </w:tcPr>
          <w:p>
            <w:pPr>
              <w:spacing w:after="0"/>
              <w:rPr>
                <w:sz w:val="20"/>
                <w:szCs w:val="20"/>
                <w:color w:val="auto"/>
              </w:rPr>
            </w:pPr>
          </w:p>
        </w:tc>
        <w:tc>
          <w:tcPr>
            <w:tcW w:w="518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DEFERRED COMPENSATION PLAN</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Section 12.2 of the Plan provides that the Company may amend the Plan at any time by action of the Board;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wishes to amend the Plan to address the eligibility of certain employees to participate in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effective November 1, 2013 as follows:</w:t>
      </w:r>
    </w:p>
    <w:p>
      <w:pPr>
        <w:spacing w:after="0" w:line="185" w:lineRule="exact"/>
        <w:rPr>
          <w:sz w:val="20"/>
          <w:szCs w:val="20"/>
          <w:color w:val="auto"/>
        </w:rPr>
      </w:pPr>
    </w:p>
    <w:p>
      <w:pPr>
        <w:ind w:left="1020" w:hanging="576"/>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Section 2.1 is amended by adding the following to the end thereof:</w:t>
      </w:r>
    </w:p>
    <w:p>
      <w:pPr>
        <w:spacing w:after="0" w:line="347" w:lineRule="exact"/>
        <w:rPr>
          <w:sz w:val="20"/>
          <w:szCs w:val="20"/>
          <w:color w:val="auto"/>
        </w:rPr>
      </w:pPr>
    </w:p>
    <w:p>
      <w:pPr>
        <w:jc w:val="both"/>
        <w:ind w:right="20" w:firstLine="992"/>
        <w:spacing w:after="0" w:line="263" w:lineRule="auto"/>
        <w:rPr>
          <w:sz w:val="20"/>
          <w:szCs w:val="20"/>
          <w:color w:val="auto"/>
        </w:rPr>
      </w:pPr>
      <w:r>
        <w:rPr>
          <w:rFonts w:ascii="Arial" w:cs="Arial" w:eastAsia="Arial" w:hAnsi="Arial"/>
          <w:sz w:val="18"/>
          <w:szCs w:val="18"/>
          <w:color w:val="auto"/>
        </w:rPr>
        <w:t>“Any Employee who becomes an Employee during the 24-month period commencing on November 1, 2013 and who had been a participant in the Gaming and Leisure Properties, Inc. Deferred Compensation Plan shall be eligible to participate in the Plan as soon as practicable following the date he becomes an Employee.”</w:t>
      </w:r>
    </w:p>
    <w:p>
      <w:pPr>
        <w:spacing w:after="0" w:line="143" w:lineRule="exact"/>
        <w:rPr>
          <w:sz w:val="20"/>
          <w:szCs w:val="20"/>
          <w:color w:val="auto"/>
        </w:rPr>
      </w:pPr>
    </w:p>
    <w:p>
      <w:pPr>
        <w:ind w:left="1020" w:hanging="576"/>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all other respects, the Plan shall remain as previously written.</w:t>
      </w: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this First Amendment has been adopted this 6th day of January, 2014.</w:t>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ATTEST:</w:t>
            </w:r>
          </w:p>
        </w:tc>
        <w:tc>
          <w:tcPr>
            <w:tcW w:w="5860" w:type="dxa"/>
            <w:vAlign w:val="bottom"/>
            <w:gridSpan w:val="3"/>
          </w:tcPr>
          <w:p>
            <w:pPr>
              <w:ind w:left="140"/>
              <w:spacing w:after="0"/>
              <w:rPr>
                <w:sz w:val="20"/>
                <w:szCs w:val="20"/>
                <w:color w:val="auto"/>
              </w:rPr>
            </w:pPr>
            <w:r>
              <w:rPr>
                <w:rFonts w:ascii="Arial" w:cs="Arial" w:eastAsia="Arial" w:hAnsi="Arial"/>
                <w:sz w:val="18"/>
                <w:szCs w:val="18"/>
                <w:color w:val="auto"/>
              </w:rPr>
              <w:t>PENN NATIONAL GAMING, INC.</w:t>
            </w:r>
          </w:p>
        </w:tc>
      </w:tr>
      <w:tr>
        <w:trPr>
          <w:trHeight w:val="540"/>
        </w:trPr>
        <w:tc>
          <w:tcPr>
            <w:tcW w:w="5160" w:type="dxa"/>
            <w:vAlign w:val="bottom"/>
          </w:tcPr>
          <w:p>
            <w:pPr>
              <w:ind w:left="20"/>
              <w:spacing w:after="0"/>
              <w:rPr>
                <w:sz w:val="20"/>
                <w:szCs w:val="20"/>
                <w:color w:val="auto"/>
              </w:rPr>
            </w:pPr>
            <w:r>
              <w:rPr>
                <w:rFonts w:ascii="Arial" w:cs="Arial" w:eastAsia="Arial" w:hAnsi="Arial"/>
                <w:sz w:val="18"/>
                <w:szCs w:val="18"/>
                <w:color w:val="auto"/>
              </w:rPr>
              <w:t>/s/ Tammy Albrecht</w:t>
            </w:r>
          </w:p>
        </w:tc>
        <w:tc>
          <w:tcPr>
            <w:tcW w:w="5860" w:type="dxa"/>
            <w:vAlign w:val="bottom"/>
            <w:gridSpan w:val="3"/>
          </w:tcPr>
          <w:p>
            <w:pPr>
              <w:ind w:left="140"/>
              <w:spacing w:after="0"/>
              <w:rPr>
                <w:sz w:val="20"/>
                <w:szCs w:val="20"/>
                <w:color w:val="auto"/>
              </w:rPr>
            </w:pPr>
            <w:r>
              <w:rPr>
                <w:rFonts w:ascii="Arial" w:cs="Arial" w:eastAsia="Arial" w:hAnsi="Arial"/>
                <w:sz w:val="18"/>
                <w:szCs w:val="18"/>
                <w:color w:val="auto"/>
              </w:rPr>
              <w:t>By:    /s/ Robert S. Ippolito</w:t>
            </w:r>
          </w:p>
        </w:tc>
      </w:tr>
      <w:tr>
        <w:trPr>
          <w:trHeight w:val="27"/>
        </w:trPr>
        <w:tc>
          <w:tcPr>
            <w:tcW w:w="51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03"/>
        </w:trPr>
        <w:tc>
          <w:tcPr>
            <w:tcW w:w="5160" w:type="dxa"/>
            <w:vAlign w:val="bottom"/>
            <w:tcBorders>
              <w:bottom w:val="single" w:sz="8" w:color="999999"/>
            </w:tcBorders>
          </w:tcPr>
          <w:p>
            <w:pPr>
              <w:spacing w:after="0"/>
              <w:rPr>
                <w:sz w:val="17"/>
                <w:szCs w:val="17"/>
                <w:color w:val="auto"/>
              </w:rPr>
            </w:pPr>
          </w:p>
        </w:tc>
        <w:tc>
          <w:tcPr>
            <w:tcW w:w="560" w:type="dxa"/>
            <w:vAlign w:val="bottom"/>
            <w:tcBorders>
              <w:bottom w:val="single" w:sz="8" w:color="999999"/>
            </w:tcBorders>
          </w:tcPr>
          <w:p>
            <w:pPr>
              <w:spacing w:after="0"/>
              <w:rPr>
                <w:sz w:val="17"/>
                <w:szCs w:val="17"/>
                <w:color w:val="auto"/>
              </w:rPr>
            </w:pPr>
          </w:p>
        </w:tc>
        <w:tc>
          <w:tcPr>
            <w:tcW w:w="2720" w:type="dxa"/>
            <w:vAlign w:val="bottom"/>
            <w:tcBorders>
              <w:bottom w:val="single" w:sz="8" w:color="999999"/>
            </w:tcBorders>
          </w:tcPr>
          <w:p>
            <w:pPr>
              <w:spacing w:after="0"/>
              <w:rPr>
                <w:sz w:val="17"/>
                <w:szCs w:val="17"/>
                <w:color w:val="auto"/>
              </w:rPr>
            </w:pPr>
          </w:p>
        </w:tc>
        <w:tc>
          <w:tcPr>
            <w:tcW w:w="2580" w:type="dxa"/>
            <w:vAlign w:val="bottom"/>
          </w:tcPr>
          <w:p>
            <w:pPr>
              <w:spacing w:after="0"/>
              <w:rPr>
                <w:sz w:val="17"/>
                <w:szCs w:val="17"/>
                <w:color w:val="auto"/>
              </w:rPr>
            </w:pPr>
          </w:p>
        </w:tc>
      </w:tr>
    </w:tbl>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SECOND AMENDMENT TO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PENN NATIONAL GAMING,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DEFERRED COMPENSATION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Section 12.2 of the Plan provides that the Company may amend the Plan at any time by action of the Board;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wishes to amend the Plan to revise the provisions governing retirement distributions.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effective October 1, 2015, as follows:</w:t>
      </w:r>
    </w:p>
    <w:p>
      <w:pPr>
        <w:spacing w:after="0" w:line="185" w:lineRule="exact"/>
        <w:rPr>
          <w:sz w:val="20"/>
          <w:szCs w:val="20"/>
          <w:color w:val="auto"/>
        </w:rPr>
      </w:pPr>
    </w:p>
    <w:p>
      <w:pPr>
        <w:ind w:left="440" w:hanging="414"/>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Section 1.34 is amended by adding the following to the end thereof:</w:t>
      </w:r>
    </w:p>
    <w:p>
      <w:pPr>
        <w:spacing w:after="0" w:line="238" w:lineRule="exact"/>
        <w:rPr>
          <w:rFonts w:ascii="Arial" w:cs="Arial" w:eastAsia="Arial" w:hAnsi="Arial"/>
          <w:sz w:val="18"/>
          <w:szCs w:val="18"/>
          <w:color w:val="auto"/>
        </w:rPr>
      </w:pPr>
    </w:p>
    <w:p>
      <w:pPr>
        <w:ind w:left="440" w:right="40"/>
        <w:spacing w:after="0" w:line="257" w:lineRule="auto"/>
        <w:rPr>
          <w:rFonts w:ascii="Arial" w:cs="Arial" w:eastAsia="Arial" w:hAnsi="Arial"/>
          <w:sz w:val="18"/>
          <w:szCs w:val="18"/>
          <w:color w:val="auto"/>
        </w:rPr>
      </w:pPr>
      <w:r>
        <w:rPr>
          <w:rFonts w:ascii="Arial" w:cs="Arial" w:eastAsia="Arial" w:hAnsi="Arial"/>
          <w:sz w:val="18"/>
          <w:szCs w:val="18"/>
          <w:color w:val="auto"/>
        </w:rPr>
        <w:t>“Effective January 1, 2017, with respect to amounts credited to a Participant’s Account relating to periods of service with an Employer beginning on or after January 1, 2017, ‘Retirement,’ ‘Retire(s)’ or ‘Retired’ means, with respect to an Employee, termination of employment from all Employers for any reason other than a leave of absence, death, or Disability (i) on or after the attainment of age 55 with at least ten (10) Years of Service or (ii) on or after the attainment of age 65. For purposes of this Plan, any ‘termination of employment’ shall be construed in accordance with the requirements for a ‘separation from service’ under Treas. Reg. §1.409A-1(h).”</w:t>
      </w:r>
    </w:p>
    <w:p>
      <w:pPr>
        <w:spacing w:after="0" w:line="147" w:lineRule="exact"/>
        <w:rPr>
          <w:rFonts w:ascii="Arial" w:cs="Arial" w:eastAsia="Arial" w:hAnsi="Arial"/>
          <w:sz w:val="18"/>
          <w:szCs w:val="18"/>
          <w:color w:val="auto"/>
        </w:rPr>
      </w:pPr>
    </w:p>
    <w:p>
      <w:pPr>
        <w:ind w:left="440" w:hanging="414"/>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Section 1.46 is amended by adding the following to the end thereof:</w:t>
      </w:r>
    </w:p>
    <w:p>
      <w:pPr>
        <w:spacing w:after="0" w:line="238" w:lineRule="exact"/>
        <w:rPr>
          <w:rFonts w:ascii="Arial" w:cs="Arial" w:eastAsia="Arial" w:hAnsi="Arial"/>
          <w:sz w:val="18"/>
          <w:szCs w:val="18"/>
          <w:color w:val="auto"/>
        </w:rPr>
      </w:pPr>
    </w:p>
    <w:p>
      <w:pPr>
        <w:ind w:left="440"/>
        <w:spacing w:after="0" w:line="259" w:lineRule="auto"/>
        <w:rPr>
          <w:rFonts w:ascii="Arial" w:cs="Arial" w:eastAsia="Arial" w:hAnsi="Arial"/>
          <w:sz w:val="18"/>
          <w:szCs w:val="18"/>
          <w:color w:val="auto"/>
        </w:rPr>
      </w:pPr>
      <w:r>
        <w:rPr>
          <w:rFonts w:ascii="Arial" w:cs="Arial" w:eastAsia="Arial" w:hAnsi="Arial"/>
          <w:sz w:val="18"/>
          <w:szCs w:val="18"/>
          <w:color w:val="auto"/>
        </w:rPr>
        <w:t>“In addition, for purposes of determining whether a Participant has been credited with at least ten (10) Years of Service for purposes of determining his eligibility for a Retirement distribution, if a Participant incurs a Separation from Service with an Employer and is subsequently reemployed more than thirty (30) days after the effective date of such Separation from Service, all Years of Service credited prior to such Separation from Service shall be disregarded.”</w:t>
      </w:r>
    </w:p>
    <w:p>
      <w:pPr>
        <w:spacing w:after="0" w:line="146" w:lineRule="exact"/>
        <w:rPr>
          <w:rFonts w:ascii="Arial" w:cs="Arial" w:eastAsia="Arial" w:hAnsi="Arial"/>
          <w:sz w:val="18"/>
          <w:szCs w:val="18"/>
          <w:color w:val="auto"/>
        </w:rPr>
      </w:pPr>
    </w:p>
    <w:p>
      <w:pPr>
        <w:ind w:left="440" w:hanging="414"/>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Section 3.5 is amended by adding the following to the end thereof:</w:t>
      </w:r>
    </w:p>
    <w:p>
      <w:pPr>
        <w:spacing w:after="0" w:line="225" w:lineRule="exact"/>
        <w:rPr>
          <w:rFonts w:ascii="Arial" w:cs="Arial" w:eastAsia="Arial" w:hAnsi="Arial"/>
          <w:sz w:val="18"/>
          <w:szCs w:val="18"/>
          <w:color w:val="auto"/>
        </w:rPr>
      </w:pPr>
    </w:p>
    <w:p>
      <w:pPr>
        <w:ind w:left="440" w:right="20"/>
        <w:spacing w:after="0" w:line="296" w:lineRule="auto"/>
        <w:rPr>
          <w:rFonts w:ascii="Arial" w:cs="Arial" w:eastAsia="Arial" w:hAnsi="Arial"/>
          <w:sz w:val="18"/>
          <w:szCs w:val="18"/>
          <w:color w:val="auto"/>
        </w:rPr>
      </w:pPr>
      <w:r>
        <w:rPr>
          <w:rFonts w:ascii="Arial" w:cs="Arial" w:eastAsia="Arial" w:hAnsi="Arial"/>
          <w:sz w:val="16"/>
          <w:szCs w:val="16"/>
          <w:color w:val="auto"/>
        </w:rPr>
        <w:t>“Effective October 1, 2015, all discretionary contributions to a Participant’s Company Contribution Account shall be subject to the approval of the Chief Executive Officer of the Company (the “CEO”) or the executive officer of the Company designated by the CEO. A discretionary contribution to a Participant may not be in excess of Twenty Thousand and no/100 Dollars ($20,000.00) in a Plan Year and the total discretionary contributions to Participants in a Plan Year may not exceed One Hundred Thousand and no/100 Dollars ($100,000.00). In addition, in no event may a discretionary contribution be allocated to the Company Contribution Account of any Participant who is a named executive officer of the Company.”</w:t>
      </w:r>
    </w:p>
    <w:p>
      <w:pPr>
        <w:spacing w:after="0" w:line="120" w:lineRule="exact"/>
        <w:rPr>
          <w:rFonts w:ascii="Arial" w:cs="Arial" w:eastAsia="Arial" w:hAnsi="Arial"/>
          <w:sz w:val="18"/>
          <w:szCs w:val="18"/>
          <w:color w:val="auto"/>
        </w:rPr>
      </w:pPr>
    </w:p>
    <w:p>
      <w:pPr>
        <w:ind w:left="440" w:hanging="414"/>
        <w:spacing w:after="0"/>
        <w:tabs>
          <w:tab w:leader="none" w:pos="4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Section 5.2(a) is amended by adding the following after the first sentence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3492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6" w:name="page157"/>
    <w:bookmarkEnd w:id="156"/>
    <w:p>
      <w:pPr>
        <w:ind w:left="440" w:right="40"/>
        <w:spacing w:after="0" w:line="259" w:lineRule="auto"/>
        <w:rPr>
          <w:sz w:val="20"/>
          <w:szCs w:val="20"/>
          <w:color w:val="auto"/>
        </w:rPr>
      </w:pPr>
      <w:r>
        <w:rPr>
          <w:rFonts w:ascii="Arial" w:cs="Arial" w:eastAsia="Arial" w:hAnsi="Arial"/>
          <w:sz w:val="18"/>
          <w:szCs w:val="18"/>
          <w:color w:val="auto"/>
        </w:rPr>
        <w:t>“Effective January 1, 2017, with respect to amounts credited to a Participant’s Account relating to periods of service with an Employer beginning on or after January 1, 2017, a Participant will elect on an Election Form to receive the Retirement Benefit in a lump sum or pursuant to an Annual installment Method of five (5) or ten (10) years with respect to amounts credited to his Account for each calendar year period for which he is making a deferral election pursuant to Section 3.3.”</w:t>
      </w:r>
    </w:p>
    <w:p>
      <w:pPr>
        <w:spacing w:after="0" w:line="146" w:lineRule="exact"/>
        <w:rPr>
          <w:sz w:val="20"/>
          <w:szCs w:val="20"/>
          <w:color w:val="auto"/>
        </w:rPr>
      </w:pPr>
    </w:p>
    <w:p>
      <w:pPr>
        <w:ind w:left="440" w:hanging="414"/>
        <w:spacing w:after="0"/>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new Section 7.3 is added to read, it its entirety, as follows:</w:t>
      </w:r>
    </w:p>
    <w:p>
      <w:pPr>
        <w:spacing w:after="0" w:line="234" w:lineRule="exact"/>
        <w:rPr>
          <w:rFonts w:ascii="Arial" w:cs="Arial" w:eastAsia="Arial" w:hAnsi="Arial"/>
          <w:sz w:val="18"/>
          <w:szCs w:val="18"/>
          <w:color w:val="auto"/>
        </w:rPr>
      </w:pPr>
    </w:p>
    <w:p>
      <w:pPr>
        <w:ind w:left="44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Termination Benefit Election</w:t>
      </w:r>
      <w:r>
        <w:rPr>
          <w:rFonts w:ascii="Arial" w:cs="Arial" w:eastAsia="Arial" w:hAnsi="Arial"/>
          <w:sz w:val="16"/>
          <w:szCs w:val="16"/>
          <w:color w:val="auto"/>
        </w:rPr>
        <w:t>. With respect to amounts credited to a Participant’s Account relating to periods of service with an Employer prior to January 1, 2017, a Participant may change the form or timing of the payment of his Termination Benefit from a lump sum distribution to (i) an annual installment method of five (5) or ten (10) years or (ii) a lump sum that is payable at least five (5) years after his Separation from Service with the Employer. The change may be made by submitting an Election Form to the Committee in accordance with the following criteria:</w:t>
      </w:r>
    </w:p>
    <w:p>
      <w:pPr>
        <w:spacing w:after="0" w:line="46" w:lineRule="exact"/>
        <w:rPr>
          <w:rFonts w:ascii="Arial" w:cs="Arial" w:eastAsia="Arial" w:hAnsi="Arial"/>
          <w:sz w:val="18"/>
          <w:szCs w:val="18"/>
          <w:color w:val="auto"/>
        </w:rPr>
      </w:pPr>
    </w:p>
    <w:p>
      <w:pPr>
        <w:ind w:left="1100" w:hanging="210"/>
        <w:spacing w:after="0"/>
        <w:tabs>
          <w:tab w:leader="none" w:pos="11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election shall not take effect until at least twelve (12) months after date on which the election is made;</w:t>
      </w:r>
    </w:p>
    <w:p>
      <w:pPr>
        <w:spacing w:after="0" w:line="117" w:lineRule="exact"/>
        <w:rPr>
          <w:rFonts w:ascii="Arial" w:cs="Arial" w:eastAsia="Arial" w:hAnsi="Arial"/>
          <w:sz w:val="18"/>
          <w:szCs w:val="18"/>
          <w:color w:val="auto"/>
        </w:rPr>
      </w:pPr>
    </w:p>
    <w:p>
      <w:pPr>
        <w:ind w:left="1160" w:hanging="270"/>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new Benefit Distribution Date for the Participant’s</w:t>
      </w:r>
    </w:p>
    <w:p>
      <w:pPr>
        <w:spacing w:after="0" w:line="117" w:lineRule="exact"/>
        <w:rPr>
          <w:sz w:val="20"/>
          <w:szCs w:val="20"/>
          <w:color w:val="auto"/>
        </w:rPr>
      </w:pPr>
    </w:p>
    <w:p>
      <w:pPr>
        <w:ind w:left="440" w:right="540" w:firstLine="441"/>
        <w:spacing w:after="0" w:line="277" w:lineRule="auto"/>
        <w:rPr>
          <w:sz w:val="20"/>
          <w:szCs w:val="20"/>
          <w:color w:val="auto"/>
        </w:rPr>
      </w:pPr>
      <w:r>
        <w:rPr>
          <w:rFonts w:ascii="Arial" w:cs="Arial" w:eastAsia="Arial" w:hAnsi="Arial"/>
          <w:sz w:val="18"/>
          <w:szCs w:val="18"/>
          <w:color w:val="auto"/>
        </w:rPr>
        <w:t>Termination Benefit shall be at least five (5) years after the Benefit Distribution Date that would have been otherwise applicable to such benefits;</w:t>
      </w:r>
    </w:p>
    <w:p>
      <w:pPr>
        <w:spacing w:after="0" w:line="62" w:lineRule="exact"/>
        <w:rPr>
          <w:sz w:val="20"/>
          <w:szCs w:val="20"/>
          <w:color w:val="auto"/>
        </w:rPr>
      </w:pPr>
    </w:p>
    <w:p>
      <w:pPr>
        <w:ind w:left="440" w:right="80" w:firstLine="450"/>
        <w:spacing w:after="0" w:line="277" w:lineRule="auto"/>
        <w:tabs>
          <w:tab w:leader="none" w:pos="11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election must be made at least twelve (12) months prior to the Benefit Distribution Date that would have otherwise been applicable to the Participant’s Termination Benefit; and</w:t>
      </w:r>
    </w:p>
    <w:p>
      <w:pPr>
        <w:spacing w:after="0" w:line="62" w:lineRule="exact"/>
        <w:rPr>
          <w:rFonts w:ascii="Arial" w:cs="Arial" w:eastAsia="Arial" w:hAnsi="Arial"/>
          <w:sz w:val="18"/>
          <w:szCs w:val="18"/>
          <w:color w:val="auto"/>
        </w:rPr>
      </w:pPr>
    </w:p>
    <w:p>
      <w:pPr>
        <w:ind w:left="440" w:right="200" w:firstLine="450"/>
        <w:spacing w:after="0" w:line="277" w:lineRule="auto"/>
        <w:tabs>
          <w:tab w:leader="none" w:pos="11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Participant must have attained age fifty-five (55) with at least ten (10) Years of Service as of the date of his Separation from Service giving rise to the Participant’s Termination Benefit.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election opportunity will first be made available to a Participant following the Participant’s attainment of age fifty-three (53) with at least eight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Years of Service.”</w:t>
      </w:r>
    </w:p>
    <w:p>
      <w:pPr>
        <w:spacing w:after="0" w:line="170" w:lineRule="exact"/>
        <w:rPr>
          <w:sz w:val="20"/>
          <w:szCs w:val="20"/>
          <w:color w:val="auto"/>
        </w:rPr>
      </w:pPr>
    </w:p>
    <w:p>
      <w:pPr>
        <w:ind w:left="440" w:hanging="414"/>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Section 17.10 is amended by replacing “Gail L. Gonzales, Corporate Director, Human Resources” with “Corporate Director of Benefits.”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40" w:hanging="414"/>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all other respects, the Plan shall remain as previously written.</w:t>
      </w:r>
    </w:p>
    <w:p>
      <w:pPr>
        <w:spacing w:after="0" w:line="34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WITNESS WHEREOF, this Second Amendment has been adopted this 28th day of December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ATTEST:</w:t>
            </w:r>
          </w:p>
        </w:tc>
        <w:tc>
          <w:tcPr>
            <w:tcW w:w="2560" w:type="dxa"/>
            <w:vAlign w:val="bottom"/>
          </w:tcPr>
          <w:p>
            <w:pPr>
              <w:spacing w:after="0"/>
              <w:rPr>
                <w:sz w:val="20"/>
                <w:szCs w:val="20"/>
                <w:color w:val="auto"/>
              </w:rPr>
            </w:pPr>
          </w:p>
        </w:tc>
        <w:tc>
          <w:tcPr>
            <w:tcW w:w="5860" w:type="dxa"/>
            <w:vAlign w:val="bottom"/>
            <w:gridSpan w:val="3"/>
          </w:tcPr>
          <w:p>
            <w:pPr>
              <w:ind w:left="140"/>
              <w:spacing w:after="0"/>
              <w:rPr>
                <w:sz w:val="20"/>
                <w:szCs w:val="20"/>
                <w:color w:val="auto"/>
              </w:rPr>
            </w:pPr>
            <w:r>
              <w:rPr>
                <w:rFonts w:ascii="Arial" w:cs="Arial" w:eastAsia="Arial" w:hAnsi="Arial"/>
                <w:sz w:val="18"/>
                <w:szCs w:val="18"/>
                <w:color w:val="auto"/>
              </w:rPr>
              <w:t>PENN NATIONAL GAMING, INC.</w:t>
            </w:r>
          </w:p>
        </w:tc>
      </w:tr>
      <w:tr>
        <w:trPr>
          <w:trHeight w:val="540"/>
        </w:trPr>
        <w:tc>
          <w:tcPr>
            <w:tcW w:w="2600" w:type="dxa"/>
            <w:vAlign w:val="bottom"/>
          </w:tcPr>
          <w:p>
            <w:pPr>
              <w:ind w:left="20"/>
              <w:spacing w:after="0"/>
              <w:rPr>
                <w:sz w:val="20"/>
                <w:szCs w:val="20"/>
                <w:color w:val="auto"/>
              </w:rPr>
            </w:pPr>
            <w:r>
              <w:rPr>
                <w:rFonts w:ascii="Arial" w:cs="Arial" w:eastAsia="Arial" w:hAnsi="Arial"/>
                <w:sz w:val="18"/>
                <w:szCs w:val="18"/>
                <w:color w:val="auto"/>
              </w:rPr>
              <w:t>/s/ Lori Heyer</w:t>
            </w:r>
          </w:p>
        </w:tc>
        <w:tc>
          <w:tcPr>
            <w:tcW w:w="2560" w:type="dxa"/>
            <w:vAlign w:val="bottom"/>
          </w:tcPr>
          <w:p>
            <w:pPr>
              <w:spacing w:after="0"/>
              <w:rPr>
                <w:sz w:val="24"/>
                <w:szCs w:val="24"/>
                <w:color w:val="auto"/>
              </w:rPr>
            </w:pPr>
          </w:p>
        </w:tc>
        <w:tc>
          <w:tcPr>
            <w:tcW w:w="5860" w:type="dxa"/>
            <w:vAlign w:val="bottom"/>
            <w:gridSpan w:val="3"/>
          </w:tcPr>
          <w:p>
            <w:pPr>
              <w:ind w:left="140"/>
              <w:spacing w:after="0"/>
              <w:rPr>
                <w:sz w:val="20"/>
                <w:szCs w:val="20"/>
                <w:color w:val="auto"/>
              </w:rPr>
            </w:pPr>
            <w:r>
              <w:rPr>
                <w:rFonts w:ascii="Arial" w:cs="Arial" w:eastAsia="Arial" w:hAnsi="Arial"/>
                <w:sz w:val="18"/>
                <w:szCs w:val="18"/>
                <w:color w:val="auto"/>
              </w:rPr>
              <w:t>By:    /s/ Saul V. Reibstein</w:t>
            </w:r>
          </w:p>
        </w:tc>
      </w:tr>
      <w:tr>
        <w:trPr>
          <w:trHeight w:val="27"/>
        </w:trPr>
        <w:tc>
          <w:tcPr>
            <w:tcW w:w="26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581"/>
        </w:trPr>
        <w:tc>
          <w:tcPr>
            <w:tcW w:w="2600" w:type="dxa"/>
            <w:vAlign w:val="bottom"/>
            <w:tcBorders>
              <w:bottom w:val="single" w:sz="8" w:color="999999"/>
            </w:tcBorders>
          </w:tcPr>
          <w:p>
            <w:pPr>
              <w:spacing w:after="0"/>
              <w:rPr>
                <w:sz w:val="24"/>
                <w:szCs w:val="24"/>
                <w:color w:val="auto"/>
              </w:rPr>
            </w:pPr>
          </w:p>
        </w:tc>
        <w:tc>
          <w:tcPr>
            <w:tcW w:w="3120" w:type="dxa"/>
            <w:vAlign w:val="bottom"/>
            <w:tcBorders>
              <w:bottom w:val="single" w:sz="8" w:color="999999"/>
            </w:tcBorders>
            <w:gridSpan w:val="2"/>
          </w:tcPr>
          <w:p>
            <w:pPr>
              <w:jc w:val="center"/>
              <w:ind w:left="2830"/>
              <w:spacing w:after="0"/>
              <w:rPr>
                <w:sz w:val="20"/>
                <w:szCs w:val="20"/>
                <w:color w:val="auto"/>
              </w:rPr>
            </w:pPr>
            <w:r>
              <w:rPr>
                <w:rFonts w:ascii="Arial" w:cs="Arial" w:eastAsia="Arial" w:hAnsi="Arial"/>
                <w:sz w:val="18"/>
                <w:szCs w:val="18"/>
                <w:color w:val="auto"/>
                <w:w w:val="79"/>
              </w:rPr>
              <w:t>2</w:t>
            </w:r>
          </w:p>
        </w:tc>
        <w:tc>
          <w:tcPr>
            <w:tcW w:w="2720" w:type="dxa"/>
            <w:vAlign w:val="bottom"/>
            <w:tcBorders>
              <w:bottom w:val="single" w:sz="8" w:color="999999"/>
            </w:tcBorders>
          </w:tcPr>
          <w:p>
            <w:pPr>
              <w:spacing w:after="0"/>
              <w:rPr>
                <w:sz w:val="24"/>
                <w:szCs w:val="24"/>
                <w:color w:val="auto"/>
              </w:rPr>
            </w:pPr>
          </w:p>
        </w:tc>
        <w:tc>
          <w:tcPr>
            <w:tcW w:w="2580" w:type="dxa"/>
            <w:vAlign w:val="bottom"/>
          </w:tcPr>
          <w:p>
            <w:pPr>
              <w:spacing w:after="0"/>
              <w:rPr>
                <w:sz w:val="24"/>
                <w:szCs w:val="24"/>
                <w:color w:val="auto"/>
              </w:rPr>
            </w:pPr>
          </w:p>
        </w:tc>
      </w:tr>
      <w:tr>
        <w:trPr>
          <w:trHeight w:val="283"/>
        </w:trPr>
        <w:tc>
          <w:tcPr>
            <w:tcW w:w="2600" w:type="dxa"/>
            <w:vAlign w:val="bottom"/>
          </w:tcPr>
          <w:p>
            <w:pPr>
              <w:spacing w:after="0"/>
              <w:rPr>
                <w:sz w:val="24"/>
                <w:szCs w:val="24"/>
                <w:color w:val="auto"/>
              </w:rPr>
            </w:pPr>
          </w:p>
        </w:tc>
        <w:tc>
          <w:tcPr>
            <w:tcW w:w="8420" w:type="dxa"/>
            <w:vAlign w:val="bottom"/>
            <w:gridSpan w:val="4"/>
          </w:tcPr>
          <w:p>
            <w:pPr>
              <w:jc w:val="center"/>
              <w:ind w:right="2380"/>
              <w:spacing w:after="0"/>
              <w:rPr>
                <w:sz w:val="20"/>
                <w:szCs w:val="20"/>
                <w:color w:val="auto"/>
              </w:rPr>
            </w:pPr>
            <w:r>
              <w:rPr>
                <w:rFonts w:ascii="Arial" w:cs="Arial" w:eastAsia="Arial" w:hAnsi="Arial"/>
                <w:sz w:val="18"/>
                <w:szCs w:val="18"/>
                <w:color w:val="auto"/>
                <w:w w:val="98"/>
              </w:rPr>
              <w:t>THIRD AMENDMENT TO THE</w:t>
            </w:r>
          </w:p>
        </w:tc>
      </w:tr>
      <w:tr>
        <w:trPr>
          <w:trHeight w:val="216"/>
        </w:trPr>
        <w:tc>
          <w:tcPr>
            <w:tcW w:w="2600" w:type="dxa"/>
            <w:vAlign w:val="bottom"/>
          </w:tcPr>
          <w:p>
            <w:pPr>
              <w:spacing w:after="0"/>
              <w:rPr>
                <w:sz w:val="18"/>
                <w:szCs w:val="18"/>
                <w:color w:val="auto"/>
              </w:rPr>
            </w:pPr>
          </w:p>
        </w:tc>
        <w:tc>
          <w:tcPr>
            <w:tcW w:w="8420" w:type="dxa"/>
            <w:vAlign w:val="bottom"/>
            <w:gridSpan w:val="4"/>
          </w:tcPr>
          <w:p>
            <w:pPr>
              <w:jc w:val="center"/>
              <w:ind w:right="2360"/>
              <w:spacing w:after="0"/>
              <w:rPr>
                <w:sz w:val="20"/>
                <w:szCs w:val="20"/>
                <w:color w:val="auto"/>
              </w:rPr>
            </w:pPr>
            <w:r>
              <w:rPr>
                <w:rFonts w:ascii="Arial" w:cs="Arial" w:eastAsia="Arial" w:hAnsi="Arial"/>
                <w:sz w:val="18"/>
                <w:szCs w:val="18"/>
                <w:color w:val="auto"/>
                <w:w w:val="98"/>
              </w:rPr>
              <w:t>PENN NATIONAL GAMING, INC.</w:t>
            </w:r>
          </w:p>
        </w:tc>
      </w:tr>
      <w:tr>
        <w:trPr>
          <w:trHeight w:val="230"/>
        </w:trPr>
        <w:tc>
          <w:tcPr>
            <w:tcW w:w="2600" w:type="dxa"/>
            <w:vAlign w:val="bottom"/>
          </w:tcPr>
          <w:p>
            <w:pPr>
              <w:spacing w:after="0"/>
              <w:rPr>
                <w:sz w:val="20"/>
                <w:szCs w:val="20"/>
                <w:color w:val="auto"/>
              </w:rPr>
            </w:pPr>
          </w:p>
        </w:tc>
        <w:tc>
          <w:tcPr>
            <w:tcW w:w="8420" w:type="dxa"/>
            <w:vAlign w:val="bottom"/>
            <w:gridSpan w:val="4"/>
          </w:tcPr>
          <w:p>
            <w:pPr>
              <w:jc w:val="center"/>
              <w:ind w:right="2380"/>
              <w:spacing w:after="0"/>
              <w:rPr>
                <w:sz w:val="20"/>
                <w:szCs w:val="20"/>
                <w:color w:val="auto"/>
              </w:rPr>
            </w:pPr>
            <w:r>
              <w:rPr>
                <w:rFonts w:ascii="Arial" w:cs="Arial" w:eastAsia="Arial" w:hAnsi="Arial"/>
                <w:sz w:val="18"/>
                <w:szCs w:val="18"/>
                <w:color w:val="auto"/>
                <w:w w:val="95"/>
              </w:rPr>
              <w:t>DEFERRED COMPENSATION PLAN</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ectPr>
          <w:pgSz w:w="11900" w:h="16838" w:orient="portrait"/>
          <w:cols w:equalWidth="0" w:num="1">
            <w:col w:w="11220"/>
          </w:cols>
          <w:pgMar w:left="320" w:top="1421" w:right="359" w:bottom="1440" w:gutter="0" w:footer="0" w:header="0"/>
        </w:sectPr>
      </w:pPr>
    </w:p>
    <w:bookmarkStart w:id="157" w:name="page158"/>
    <w:bookmarkEnd w:id="157"/>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Section 12.2 of the Plan provides that the Company may amend the Plan at any time by action of the Board;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wishes to amend the Plan to clarify the annual deferral provision;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Board approved these amendments at its meeting on December 2, 2016. NOW, THEREFORE, the Plan is hereby amended,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2017, as follows:</w:t>
      </w:r>
    </w:p>
    <w:p>
      <w:pPr>
        <w:spacing w:after="0" w:line="170" w:lineRule="exact"/>
        <w:rPr>
          <w:sz w:val="20"/>
          <w:szCs w:val="20"/>
          <w:color w:val="auto"/>
        </w:rPr>
      </w:pPr>
    </w:p>
    <w:p>
      <w:pPr>
        <w:ind w:left="440" w:hanging="414"/>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Section 3.1 is amended to read, in its entirety, as follows:</w:t>
      </w:r>
    </w:p>
    <w:p>
      <w:pPr>
        <w:spacing w:after="0" w:line="234" w:lineRule="exact"/>
        <w:rPr>
          <w:rFonts w:ascii="Arial" w:cs="Arial" w:eastAsia="Arial" w:hAnsi="Arial"/>
          <w:sz w:val="18"/>
          <w:szCs w:val="18"/>
          <w:color w:val="auto"/>
        </w:rPr>
      </w:pPr>
    </w:p>
    <w:p>
      <w:pPr>
        <w:ind w:left="440" w:right="3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Annual Deferrals</w:t>
      </w:r>
      <w:r>
        <w:rPr>
          <w:rFonts w:ascii="Arial" w:cs="Arial" w:eastAsia="Arial" w:hAnsi="Arial"/>
          <w:sz w:val="18"/>
          <w:szCs w:val="18"/>
          <w:color w:val="auto"/>
        </w:rPr>
        <w:t>. For each Plan Year, a Participant may elect to defer, as his or her Annual Deferral Amount, a percentage of Base Annual Salary and/or Annual Bonus. If no election is made, the amount deferred will be deemed to be zero.”</w:t>
      </w:r>
    </w:p>
    <w:p>
      <w:pPr>
        <w:spacing w:after="0" w:line="125" w:lineRule="exact"/>
        <w:rPr>
          <w:rFonts w:ascii="Arial" w:cs="Arial" w:eastAsia="Arial" w:hAnsi="Arial"/>
          <w:sz w:val="18"/>
          <w:szCs w:val="18"/>
          <w:color w:val="auto"/>
        </w:rPr>
      </w:pPr>
    </w:p>
    <w:p>
      <w:pPr>
        <w:ind w:left="440" w:hanging="414"/>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Section 12.2 is amended by adding the following to the end thereof</w:t>
      </w:r>
    </w:p>
    <w:p>
      <w:pPr>
        <w:spacing w:after="0" w:line="225" w:lineRule="exact"/>
        <w:rPr>
          <w:rFonts w:ascii="Arial" w:cs="Arial" w:eastAsia="Arial" w:hAnsi="Arial"/>
          <w:sz w:val="18"/>
          <w:szCs w:val="18"/>
          <w:color w:val="auto"/>
        </w:rPr>
      </w:pPr>
    </w:p>
    <w:p>
      <w:pPr>
        <w:ind w:left="440" w:right="20"/>
        <w:spacing w:after="0" w:line="257" w:lineRule="auto"/>
        <w:rPr>
          <w:rFonts w:ascii="Arial" w:cs="Arial" w:eastAsia="Arial" w:hAnsi="Arial"/>
          <w:sz w:val="18"/>
          <w:szCs w:val="18"/>
          <w:color w:val="auto"/>
        </w:rPr>
      </w:pPr>
      <w:r>
        <w:rPr>
          <w:rFonts w:ascii="Arial" w:cs="Arial" w:eastAsia="Arial" w:hAnsi="Arial"/>
          <w:sz w:val="18"/>
          <w:szCs w:val="18"/>
          <w:color w:val="auto"/>
        </w:rPr>
        <w:t>“Effective January 1, 2017, the Plan may be amended by action of the Compensation Committee of the Board (the “Compensation Committee”) with respect to significant Plan design changes and/or any changes having a significant economic impact on the Company or on senior executives of the Company. The Compensation Committee shall notify the Board of any actions taken with respect to the Plan. All other administrative and/or mandatory legal amendments may be adopted by action of the CEO. The CEO shall notify the Compensation Committee of any action taken with respect to the Plan.”</w:t>
      </w:r>
    </w:p>
    <w:p>
      <w:pPr>
        <w:spacing w:after="0" w:line="147" w:lineRule="exact"/>
        <w:rPr>
          <w:rFonts w:ascii="Arial" w:cs="Arial" w:eastAsia="Arial" w:hAnsi="Arial"/>
          <w:sz w:val="18"/>
          <w:szCs w:val="18"/>
          <w:color w:val="auto"/>
        </w:rPr>
      </w:pPr>
    </w:p>
    <w:p>
      <w:pPr>
        <w:ind w:left="440" w:hanging="414"/>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all other respects, the Plan shall remain as previously written.</w:t>
      </w:r>
    </w:p>
    <w:p>
      <w:pPr>
        <w:spacing w:after="0" w:line="34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WITNESS WHEREOF, this Third Amendment has been adopted this 9th day of June,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ATTEST:</w:t>
            </w:r>
          </w:p>
        </w:tc>
        <w:tc>
          <w:tcPr>
            <w:tcW w:w="5860" w:type="dxa"/>
            <w:vAlign w:val="bottom"/>
            <w:gridSpan w:val="2"/>
          </w:tcPr>
          <w:p>
            <w:pPr>
              <w:ind w:left="140"/>
              <w:spacing w:after="0"/>
              <w:rPr>
                <w:sz w:val="20"/>
                <w:szCs w:val="20"/>
                <w:color w:val="auto"/>
              </w:rPr>
            </w:pPr>
            <w:r>
              <w:rPr>
                <w:rFonts w:ascii="Arial" w:cs="Arial" w:eastAsia="Arial" w:hAnsi="Arial"/>
                <w:sz w:val="18"/>
                <w:szCs w:val="18"/>
                <w:color w:val="auto"/>
              </w:rPr>
              <w:t>PENN NATIONAL GAMING, INC.</w:t>
            </w:r>
          </w:p>
        </w:tc>
      </w:tr>
      <w:tr>
        <w:trPr>
          <w:trHeight w:val="540"/>
        </w:trPr>
        <w:tc>
          <w:tcPr>
            <w:tcW w:w="5160" w:type="dxa"/>
            <w:vAlign w:val="bottom"/>
          </w:tcPr>
          <w:p>
            <w:pPr>
              <w:ind w:left="20"/>
              <w:spacing w:after="0"/>
              <w:rPr>
                <w:sz w:val="20"/>
                <w:szCs w:val="20"/>
                <w:color w:val="auto"/>
              </w:rPr>
            </w:pPr>
            <w:r>
              <w:rPr>
                <w:rFonts w:ascii="Arial" w:cs="Arial" w:eastAsia="Arial" w:hAnsi="Arial"/>
                <w:sz w:val="18"/>
                <w:szCs w:val="18"/>
                <w:color w:val="auto"/>
              </w:rPr>
              <w:t>/s/ Rebecca A. Fink</w:t>
            </w:r>
          </w:p>
        </w:tc>
        <w:tc>
          <w:tcPr>
            <w:tcW w:w="5860" w:type="dxa"/>
            <w:vAlign w:val="bottom"/>
            <w:gridSpan w:val="2"/>
          </w:tcPr>
          <w:p>
            <w:pPr>
              <w:ind w:left="140"/>
              <w:spacing w:after="0"/>
              <w:rPr>
                <w:sz w:val="20"/>
                <w:szCs w:val="20"/>
                <w:color w:val="auto"/>
              </w:rPr>
            </w:pPr>
            <w:r>
              <w:rPr>
                <w:rFonts w:ascii="Arial" w:cs="Arial" w:eastAsia="Arial" w:hAnsi="Arial"/>
                <w:sz w:val="18"/>
                <w:szCs w:val="18"/>
                <w:color w:val="auto"/>
              </w:rPr>
              <w:t>By:    /s/ Carl Sottosanti</w:t>
            </w:r>
          </w:p>
        </w:tc>
      </w:tr>
      <w:tr>
        <w:trPr>
          <w:trHeight w:val="27"/>
        </w:trPr>
        <w:tc>
          <w:tcPr>
            <w:tcW w:w="51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24"/>
        </w:trPr>
        <w:tc>
          <w:tcPr>
            <w:tcW w:w="5160" w:type="dxa"/>
            <w:vAlign w:val="bottom"/>
          </w:tcPr>
          <w:p>
            <w:pPr>
              <w:spacing w:after="0"/>
              <w:rPr>
                <w:sz w:val="19"/>
                <w:szCs w:val="19"/>
                <w:color w:val="auto"/>
              </w:rPr>
            </w:pPr>
          </w:p>
        </w:tc>
        <w:tc>
          <w:tcPr>
            <w:tcW w:w="58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34924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FOURTH AMENDMENT TO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PENN NATIONAL GAMING,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DEFERRED COMPENSATION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Section 12.2 of the Plan provides that the CEO may adopt administrative amendments to the Plan;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wishes to amend the Plan to clarify the annual company contribution provision.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effective as of January 1, 2017, as follows:</w:t>
      </w:r>
    </w:p>
    <w:p>
      <w:pPr>
        <w:spacing w:after="0" w:line="320" w:lineRule="exact"/>
        <w:rPr>
          <w:sz w:val="20"/>
          <w:szCs w:val="20"/>
          <w:color w:val="auto"/>
        </w:rPr>
      </w:pPr>
    </w:p>
    <w:p>
      <w:pPr>
        <w:ind w:left="440" w:hanging="414"/>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first sentence of Section 3.5 is amended to read, in its entirety, as follows:</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90"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“The Company shall credit to the Account of each Participant an amount equal to the sum of (i) 50% of the Participant’s Annual Deferral Amount attributable to Base Annual Salary (but only with respect to a maximum deferral of 10%) and (ii) 50% of the Participant’s Annual Deferral Amount attributable to Annual Bonus (but only with respect to a maximum deferral of 10%).”</w:t>
      </w:r>
    </w:p>
    <w:p>
      <w:pPr>
        <w:spacing w:after="0" w:line="143" w:lineRule="exact"/>
        <w:rPr>
          <w:sz w:val="20"/>
          <w:szCs w:val="20"/>
          <w:color w:val="auto"/>
        </w:rPr>
      </w:pPr>
    </w:p>
    <w:p>
      <w:pPr>
        <w:ind w:left="440" w:hanging="414"/>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all other respects, the Plan shall remain as previously written.</w:t>
      </w:r>
    </w:p>
    <w:p>
      <w:pPr>
        <w:spacing w:after="0" w:line="34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WITNESS WHEREOF, this Fourth Amendment has been adopted this 30th day of October, 2017.</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TIMOTHY J. WILMOTT,</w:t>
            </w:r>
          </w:p>
        </w:tc>
      </w:tr>
      <w:tr>
        <w:trPr>
          <w:trHeight w:val="244"/>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ATTEST:</w:t>
            </w:r>
          </w:p>
        </w:tc>
        <w:tc>
          <w:tcPr>
            <w:tcW w:w="53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4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/s/ Carl Sottosanti</w:t>
            </w:r>
          </w:p>
        </w:tc>
        <w:tc>
          <w:tcPr>
            <w:tcW w:w="5300" w:type="dxa"/>
            <w:vAlign w:val="bottom"/>
          </w:tcPr>
          <w:p>
            <w:pPr>
              <w:ind w:left="160"/>
              <w:spacing w:after="0"/>
              <w:rPr>
                <w:sz w:val="20"/>
                <w:szCs w:val="20"/>
                <w:color w:val="auto"/>
              </w:rPr>
            </w:pPr>
            <w:r>
              <w:rPr>
                <w:rFonts w:ascii="Arial" w:cs="Arial" w:eastAsia="Arial" w:hAnsi="Arial"/>
                <w:sz w:val="18"/>
                <w:szCs w:val="18"/>
                <w:color w:val="auto"/>
              </w:rPr>
              <w:t>/s/ Timothy J. Wilmott</w:t>
            </w:r>
          </w:p>
        </w:tc>
      </w:tr>
      <w:tr>
        <w:trPr>
          <w:trHeight w:val="27"/>
        </w:trPr>
        <w:tc>
          <w:tcPr>
            <w:tcW w:w="51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34924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SIXTH AMENDMENT TO THE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PENN NATIONAL GAMING,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DEFERRED COMPENSATION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pacing w:after="0" w:line="248" w:lineRule="exact"/>
        <w:rPr>
          <w:sz w:val="20"/>
          <w:szCs w:val="20"/>
          <w:color w:val="auto"/>
        </w:rPr>
      </w:pPr>
    </w:p>
    <w:p>
      <w:pPr>
        <w:ind w:right="320" w:firstLine="441"/>
        <w:spacing w:after="0" w:line="263" w:lineRule="auto"/>
        <w:rPr>
          <w:sz w:val="20"/>
          <w:szCs w:val="20"/>
          <w:color w:val="auto"/>
        </w:rPr>
      </w:pPr>
      <w:r>
        <w:rPr>
          <w:rFonts w:ascii="Arial" w:cs="Arial" w:eastAsia="Arial" w:hAnsi="Arial"/>
          <w:sz w:val="18"/>
          <w:szCs w:val="18"/>
          <w:color w:val="auto"/>
        </w:rPr>
        <w:t>WHEREAS, Section 12.2 of the Plan provides that the Compensation Committee of the Board of Directors of the Company (the “Compensation Committee”) may amend the Plan with respect to significant Plan design changes and/or any changes having a significant economic impact on the Company or on senior executives of the Company;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Compensation Committee wishes to amend the Plan to cease annual Company contributions thereto effective as of April 1, 2020.</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effective as of April 1, 2020,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1.Section 3.5 is amended by adding the following after the first sentence therein: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“Effective April 1, 2020, no amounts shall be credited to the Company Contribution Account of any Participant pursuant to the preceding sentence with respect to any compensation received by a Participant on or after April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2.In all other respects, the Plan shall remain as previously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this Sixth Amendment has been adopted this 24</w:t>
      </w:r>
      <w:r>
        <w:rPr>
          <w:rFonts w:ascii="Arial" w:cs="Arial" w:eastAsia="Arial" w:hAnsi="Arial"/>
          <w:sz w:val="9"/>
          <w:szCs w:val="9"/>
          <w:color w:val="auto"/>
        </w:rPr>
        <w:t>th</w:t>
      </w:r>
      <w:r>
        <w:rPr>
          <w:rFonts w:ascii="Arial" w:cs="Arial" w:eastAsia="Arial" w:hAnsi="Arial"/>
          <w:sz w:val="18"/>
          <w:szCs w:val="18"/>
          <w:color w:val="auto"/>
        </w:rPr>
        <w:t xml:space="preserve"> day of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534924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SEVENTH AMENDMENT TO THE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PENN NATIONAL GAMING,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DEFERRED COMPENSATION 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Penn National Gaming, Inc. (the “Company”) maintains the Penn National Gaming, Inc. Deferred Compensation Plan (the “Plan”); and</w:t>
      </w:r>
    </w:p>
    <w:p>
      <w:pPr>
        <w:sectPr>
          <w:pgSz w:w="11900" w:h="16838" w:orient="portrait"/>
          <w:cols w:equalWidth="0" w:num="1">
            <w:col w:w="11180"/>
          </w:cols>
          <w:pgMar w:left="320" w:top="1440" w:right="399" w:bottom="1440" w:gutter="0" w:footer="0" w:header="0"/>
        </w:sectPr>
      </w:pPr>
    </w:p>
    <w:bookmarkStart w:id="159" w:name="page160"/>
    <w:bookmarkEnd w:id="159"/>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Section 12.2 of the Plan provides that the CEO may adopt administrative amendments to the Plan;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wishes to amend the Plan to resume annual Company contributions thereto effective as of October 1, 2020;</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Plan is hereby amended, effective as of October 1, 2020,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3.5 is amended by adding the following after the second sentence therein: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“Effective October 1, 2020, amounts shall be credited to the Company Contribution Account of any Participant pursuant to the first sentence of this paragraph with respect to any compensation received by a Participant on or after October 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In all other respects, the Plan shall remain as previously written.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this Seventh Amendment has been adopted this 29 day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-10160</wp:posOffset>
            </wp:positionV>
            <wp:extent cx="1428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JAY A. SNOWDEN</w:t>
            </w:r>
          </w:p>
        </w:tc>
      </w:tr>
      <w:tr>
        <w:trPr>
          <w:trHeight w:val="244"/>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ATTEST:</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w:t>
            </w:r>
          </w:p>
        </w:tc>
      </w:tr>
      <w:tr>
        <w:trPr>
          <w:trHeight w:val="54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/s/ Lori A. Heyer</w:t>
            </w:r>
          </w:p>
        </w:tc>
        <w:tc>
          <w:tcPr>
            <w:tcW w:w="5280" w:type="dxa"/>
            <w:vAlign w:val="bottom"/>
            <w:gridSpan w:val="2"/>
          </w:tcPr>
          <w:p>
            <w:pPr>
              <w:ind w:left="140"/>
              <w:spacing w:after="0"/>
              <w:rPr>
                <w:sz w:val="20"/>
                <w:szCs w:val="20"/>
                <w:color w:val="auto"/>
              </w:rPr>
            </w:pPr>
            <w:r>
              <w:rPr>
                <w:rFonts w:ascii="Arial" w:cs="Arial" w:eastAsia="Arial" w:hAnsi="Arial"/>
                <w:sz w:val="18"/>
                <w:szCs w:val="18"/>
                <w:color w:val="auto"/>
              </w:rPr>
              <w:t>/s/ Jay A. Snowden</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03"/>
        </w:trPr>
        <w:tc>
          <w:tcPr>
            <w:tcW w:w="5120" w:type="dxa"/>
            <w:vAlign w:val="bottom"/>
            <w:tcBorders>
              <w:bottom w:val="single" w:sz="8" w:color="999999"/>
            </w:tcBorders>
          </w:tcPr>
          <w:p>
            <w:pPr>
              <w:spacing w:after="0"/>
              <w:rPr>
                <w:sz w:val="17"/>
                <w:szCs w:val="17"/>
                <w:color w:val="auto"/>
              </w:rPr>
            </w:pPr>
          </w:p>
        </w:tc>
        <w:tc>
          <w:tcPr>
            <w:tcW w:w="620" w:type="dxa"/>
            <w:vAlign w:val="bottom"/>
            <w:tcBorders>
              <w:bottom w:val="single" w:sz="8" w:color="999999"/>
            </w:tcBorders>
          </w:tcPr>
          <w:p>
            <w:pPr>
              <w:spacing w:after="0"/>
              <w:rPr>
                <w:sz w:val="17"/>
                <w:szCs w:val="17"/>
                <w:color w:val="auto"/>
              </w:rPr>
            </w:pPr>
          </w:p>
        </w:tc>
        <w:tc>
          <w:tcPr>
            <w:tcW w:w="2700" w:type="dxa"/>
            <w:vAlign w:val="bottom"/>
            <w:tcBorders>
              <w:bottom w:val="single" w:sz="8" w:color="999999"/>
            </w:tcBorders>
          </w:tcPr>
          <w:p>
            <w:pPr>
              <w:spacing w:after="0"/>
              <w:rPr>
                <w:sz w:val="17"/>
                <w:szCs w:val="17"/>
                <w:color w:val="auto"/>
              </w:rPr>
            </w:pPr>
          </w:p>
        </w:tc>
        <w:tc>
          <w:tcPr>
            <w:tcW w:w="2580" w:type="dxa"/>
            <w:vAlign w:val="bottom"/>
          </w:tcPr>
          <w:p>
            <w:pPr>
              <w:spacing w:after="0"/>
              <w:rPr>
                <w:sz w:val="17"/>
                <w:szCs w:val="17"/>
                <w:color w:val="auto"/>
              </w:rPr>
            </w:pPr>
          </w:p>
        </w:tc>
      </w:tr>
    </w:tbl>
    <w:p>
      <w:pPr>
        <w:sectPr>
          <w:pgSz w:w="11900" w:h="16838" w:orient="portrait"/>
          <w:cols w:equalWidth="0" w:num="1">
            <w:col w:w="11020"/>
          </w:cols>
          <w:pgMar w:left="320" w:top="1440" w:right="55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AGREEMENT</w:t>
      </w:r>
    </w:p>
    <w:p>
      <w:pPr>
        <w:spacing w:after="0" w:line="229"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 xml:space="preserve">This EXECUTIVE AGREEMENT (this “Agreement”) is entered into on this </w:t>
      </w:r>
      <w:r>
        <w:rPr>
          <w:rFonts w:ascii="Arial" w:cs="Arial" w:eastAsia="Arial" w:hAnsi="Arial"/>
          <w:sz w:val="18"/>
          <w:szCs w:val="18"/>
          <w:u w:val="single" w:color="auto"/>
          <w:color w:val="auto"/>
        </w:rPr>
        <w:t>30</w:t>
      </w:r>
      <w:r>
        <w:rPr>
          <w:rFonts w:ascii="Arial" w:cs="Arial" w:eastAsia="Arial" w:hAnsi="Arial"/>
          <w:sz w:val="9"/>
          <w:szCs w:val="9"/>
          <w:u w:val="single" w:color="auto"/>
          <w:color w:val="auto"/>
        </w:rPr>
        <w:t>th</w:t>
      </w:r>
      <w:r>
        <w:rPr>
          <w:rFonts w:ascii="Arial" w:cs="Arial" w:eastAsia="Arial" w:hAnsi="Arial"/>
          <w:sz w:val="18"/>
          <w:szCs w:val="18"/>
          <w:color w:val="auto"/>
        </w:rPr>
        <w:t xml:space="preserve"> day of December, 2019 and shall be effective as of January 1, 2020 (the “Effective Date”), by Penn National Gaming, Inc., a Pennsylvania corporation (the “Company”), and the senior executive who has executed this Agreement below (“Executive”).</w:t>
      </w:r>
    </w:p>
    <w:p>
      <w:pPr>
        <w:spacing w:after="0" w:line="184"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WHEREAS, each of the parties wishes to enter into this Agreement, the terms of which are intended to be in compliance with the requirements of Section 409A of the Internal Revenue Code of 1986, as amended (“Section 409A”, see also Section 21 hereof);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this Agreement is intended to supersede the September 25, 2018 employment agreement, which shall have no further effect.</w:t>
      </w:r>
    </w:p>
    <w:p>
      <w:pPr>
        <w:spacing w:after="0" w:line="23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NOW, THEREFORE, the parties, in exchange for the mutual promises described herein and other good and valuable consideration and intending to be legally bound, agree as follows:</w:t>
      </w:r>
    </w:p>
    <w:p>
      <w:pPr>
        <w:spacing w:after="0" w:line="170" w:lineRule="exact"/>
        <w:rPr>
          <w:sz w:val="20"/>
          <w:szCs w:val="20"/>
          <w:color w:val="auto"/>
        </w:rPr>
      </w:pPr>
    </w:p>
    <w:p>
      <w:pPr>
        <w:ind w:left="800" w:hanging="351"/>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Term and Compensation</w:t>
      </w:r>
      <w:r>
        <w:rPr>
          <w:rFonts w:ascii="Arial" w:cs="Arial" w:eastAsia="Arial" w:hAnsi="Arial"/>
          <w:sz w:val="18"/>
          <w:szCs w:val="18"/>
          <w:color w:val="auto"/>
        </w:rPr>
        <w:t>.</w:t>
      </w:r>
    </w:p>
    <w:p>
      <w:pPr>
        <w:spacing w:after="0" w:line="225" w:lineRule="exact"/>
        <w:rPr>
          <w:sz w:val="20"/>
          <w:szCs w:val="20"/>
          <w:color w:val="auto"/>
        </w:rPr>
      </w:pPr>
    </w:p>
    <w:p>
      <w:pPr>
        <w:ind w:right="160" w:firstLine="449"/>
        <w:spacing w:after="0" w:line="263" w:lineRule="auto"/>
        <w:tabs>
          <w:tab w:leader="none" w:pos="8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hereby agrees to employ Executive and Executive hereby accepts such employment, in accordance with the terms, conditions and provisions hereinafter set forth in this Agreement, at Executive’s new 2020 compensation, which will be reviewed periodically in the same manner as peer executives.</w:t>
      </w:r>
    </w:p>
    <w:p>
      <w:pPr>
        <w:spacing w:after="0" w:line="183" w:lineRule="exact"/>
        <w:rPr>
          <w:rFonts w:ascii="Arial" w:cs="Arial" w:eastAsia="Arial" w:hAnsi="Arial"/>
          <w:sz w:val="18"/>
          <w:szCs w:val="18"/>
          <w:color w:val="auto"/>
        </w:rPr>
      </w:pPr>
    </w:p>
    <w:p>
      <w:pPr>
        <w:ind w:right="280" w:firstLine="449"/>
        <w:spacing w:after="0" w:line="286" w:lineRule="auto"/>
        <w:tabs>
          <w:tab w:leader="none" w:pos="87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term of this Agreement shall begin on the Effective Date and shall terminate on the earlier of the third anniversary of the Effective Date (“Term”) or the termination of Executive’ s employment with the Company; provided, however, notwithstanding anything in this Agreement to the contrary, Sections 5 through 22 shall survive until the expiration of any applicable time periods set forth in Sections 6, 7 and 8.</w:t>
      </w:r>
    </w:p>
    <w:p>
      <w:pPr>
        <w:spacing w:after="0" w:line="165" w:lineRule="exact"/>
        <w:rPr>
          <w:rFonts w:ascii="Arial" w:cs="Arial" w:eastAsia="Arial" w:hAnsi="Arial"/>
          <w:sz w:val="17"/>
          <w:szCs w:val="17"/>
          <w:color w:val="auto"/>
        </w:rPr>
      </w:pPr>
    </w:p>
    <w:p>
      <w:pPr>
        <w:ind w:right="60" w:firstLine="449"/>
        <w:spacing w:after="0" w:line="342" w:lineRule="auto"/>
        <w:tabs>
          <w:tab w:leader="none" w:pos="86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addition, Executive is currently enrolled in the Executive Masters of Business Administration program at Villanova University (“Program”). The Company shall continue to pay directly to Villanova University the Executive’s tuition for the Program (the “Tuition Reimbursement”).</w:t>
      </w:r>
    </w:p>
    <w:p>
      <w:pPr>
        <w:spacing w:after="0" w:line="123" w:lineRule="exact"/>
        <w:rPr>
          <w:rFonts w:ascii="Arial" w:cs="Arial" w:eastAsia="Arial" w:hAnsi="Arial"/>
          <w:sz w:val="16"/>
          <w:szCs w:val="16"/>
          <w:color w:val="auto"/>
        </w:rPr>
      </w:pPr>
    </w:p>
    <w:p>
      <w:pPr>
        <w:ind w:right="220" w:firstLine="449"/>
        <w:spacing w:after="0" w:line="263" w:lineRule="auto"/>
        <w:tabs>
          <w:tab w:leader="none" w:pos="87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this Agreement is terminated pursuant to Sections 2(c) or 3, Executive shall promptly repay the following to the Company: (i) prior to completion of the Program, all Tuition Reimbursement paid to date; (ii) in year one post-graduation, the full Tuition Reimbursement and (iii) in year two post-graduation, two thirds of the Tuition Reimbursement.</w:t>
      </w:r>
    </w:p>
    <w:p>
      <w:pPr>
        <w:spacing w:after="0" w:line="184" w:lineRule="exact"/>
        <w:rPr>
          <w:sz w:val="20"/>
          <w:szCs w:val="20"/>
          <w:color w:val="auto"/>
        </w:rPr>
      </w:pPr>
    </w:p>
    <w:p>
      <w:pPr>
        <w:ind w:left="800" w:hanging="351"/>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w:t>
      </w:r>
    </w:p>
    <w:p>
      <w:pPr>
        <w:spacing w:after="0" w:line="225" w:lineRule="exact"/>
        <w:rPr>
          <w:sz w:val="20"/>
          <w:szCs w:val="20"/>
          <w:color w:val="auto"/>
        </w:rPr>
      </w:pPr>
    </w:p>
    <w:p>
      <w:pPr>
        <w:ind w:left="880" w:hanging="431"/>
        <w:spacing w:after="0"/>
        <w:tabs>
          <w:tab w:leader="none" w:pos="880"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Company may terminate Executive’s employment at any time without Cause (as such term is defined in subsection</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below), with Cause, or at the end of the Term by non-renewal of this Agreement.</w:t>
      </w:r>
    </w:p>
    <w:p>
      <w:pPr>
        <w:spacing w:after="0" w:line="210" w:lineRule="exact"/>
        <w:rPr>
          <w:rFonts w:ascii="Arial" w:cs="Arial" w:eastAsia="Arial" w:hAnsi="Arial"/>
          <w:sz w:val="18"/>
          <w:szCs w:val="18"/>
          <w:color w:val="auto"/>
        </w:rPr>
      </w:pPr>
    </w:p>
    <w:p>
      <w:pPr>
        <w:ind w:left="880" w:hanging="431"/>
        <w:spacing w:after="0"/>
        <w:tabs>
          <w:tab w:leader="none" w:pos="88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Without Cause</w:t>
      </w:r>
      <w:r>
        <w:rPr>
          <w:rFonts w:ascii="Arial" w:cs="Arial" w:eastAsia="Arial" w:hAnsi="Arial"/>
          <w:sz w:val="17"/>
          <w:szCs w:val="17"/>
          <w:color w:val="auto"/>
        </w:rPr>
        <w:t>. The Company may terminate Executive’s employment at any time without Cause (as such term is defined in subsection</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below) by delivery of written notice to Executive, which notice shall set forth the effective date of such termination.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40" w:firstLine="449"/>
        <w:spacing w:after="0" w:line="277" w:lineRule="auto"/>
        <w:tabs>
          <w:tab w:leader="none" w:pos="86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With Cause</w:t>
      </w:r>
      <w:r>
        <w:rPr>
          <w:rFonts w:ascii="Arial" w:cs="Arial" w:eastAsia="Arial" w:hAnsi="Arial"/>
          <w:sz w:val="18"/>
          <w:szCs w:val="18"/>
          <w:color w:val="auto"/>
        </w:rPr>
        <w:t>. The Company may terminate Executive’s employment at any time for Cause effective immediately upon delivery of written notice to Executive. As used herein, the term “Cause” shall mean:</w:t>
      </w:r>
    </w:p>
    <w:p>
      <w:pPr>
        <w:spacing w:after="0" w:line="170" w:lineRule="exact"/>
        <w:rPr>
          <w:sz w:val="20"/>
          <w:szCs w:val="20"/>
          <w:color w:val="auto"/>
        </w:rPr>
      </w:pPr>
    </w:p>
    <w:p>
      <w:pPr>
        <w:ind w:right="320" w:firstLine="449"/>
        <w:spacing w:after="0" w:line="277" w:lineRule="auto"/>
        <w:tabs>
          <w:tab w:leader="none" w:pos="8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Executive shall have been convicted of, or pled guilty or nolo contendere to, a criminal offense involving allegations of fraud, dishonesty or physical harm during the term of this Agreement;</w:t>
      </w:r>
    </w:p>
    <w:p>
      <w:pPr>
        <w:sectPr>
          <w:pgSz w:w="11900" w:h="16838" w:orient="portrait"/>
          <w:cols w:equalWidth="0" w:num="1">
            <w:col w:w="11240"/>
          </w:cols>
          <w:pgMar w:left="320" w:top="1417" w:right="339" w:bottom="1440" w:gutter="0" w:footer="0" w:header="0"/>
        </w:sectPr>
      </w:pPr>
    </w:p>
    <w:bookmarkStart w:id="161" w:name="page162"/>
    <w:bookmarkEnd w:id="161"/>
    <w:p>
      <w:pPr>
        <w:spacing w:after="0" w:line="198" w:lineRule="exact"/>
        <w:rPr>
          <w:sz w:val="20"/>
          <w:szCs w:val="20"/>
          <w:color w:val="auto"/>
        </w:rPr>
      </w:pPr>
    </w:p>
    <w:p>
      <w:pPr>
        <w:ind w:left="-20" w:right="100" w:firstLine="449"/>
        <w:spacing w:after="0" w:line="277" w:lineRule="auto"/>
        <w:tabs>
          <w:tab w:leader="none" w:pos="86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is found (or is reasonably likely to be found) disqualified or not suitable to hold a casino or other gaming license by a governmental gaming authority in any jurisdiction where Executive is required to be found qualified, suitable or licensed;</w:t>
      </w:r>
    </w:p>
    <w:p>
      <w:pPr>
        <w:spacing w:after="0" w:line="170" w:lineRule="exact"/>
        <w:rPr>
          <w:rFonts w:ascii="Arial" w:cs="Arial" w:eastAsia="Arial" w:hAnsi="Arial"/>
          <w:sz w:val="18"/>
          <w:szCs w:val="18"/>
          <w:color w:val="auto"/>
        </w:rPr>
      </w:pPr>
    </w:p>
    <w:p>
      <w:pPr>
        <w:ind w:left="-20" w:right="40" w:firstLine="449"/>
        <w:spacing w:after="0" w:line="263" w:lineRule="auto"/>
        <w:tabs>
          <w:tab w:leader="none" w:pos="9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breaches any significant Company policy (such as the Business Code of Conduct or the Harassment Policy) or term of this Agreement, including, without limitation, Sections 5 through 8 of this Agreement and, in each case, fails to cure such breach within 15 days after receipt of written notice thereof (to the extent curable);</w:t>
      </w:r>
    </w:p>
    <w:p>
      <w:pPr>
        <w:spacing w:after="0" w:line="183" w:lineRule="exact"/>
        <w:rPr>
          <w:rFonts w:ascii="Arial" w:cs="Arial" w:eastAsia="Arial" w:hAnsi="Arial"/>
          <w:sz w:val="18"/>
          <w:szCs w:val="18"/>
          <w:color w:val="auto"/>
        </w:rPr>
      </w:pPr>
    </w:p>
    <w:p>
      <w:pPr>
        <w:ind w:left="920" w:hanging="491"/>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misappropriates corporate funds or resources as determined in good faith by the Audit Committee of the Board;</w:t>
      </w:r>
    </w:p>
    <w:p>
      <w:pPr>
        <w:spacing w:after="0" w:line="225" w:lineRule="exact"/>
        <w:rPr>
          <w:rFonts w:ascii="Arial" w:cs="Arial" w:eastAsia="Arial" w:hAnsi="Arial"/>
          <w:sz w:val="18"/>
          <w:szCs w:val="18"/>
          <w:color w:val="auto"/>
        </w:rPr>
      </w:pPr>
    </w:p>
    <w:p>
      <w:pPr>
        <w:ind w:left="-20" w:right="100" w:firstLine="449"/>
        <w:spacing w:after="0" w:line="277" w:lineRule="auto"/>
        <w:tabs>
          <w:tab w:leader="none" w:pos="85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determines in its reasonable discretion that Executive has failed to perform Executive’s duties with the Company (other than any such failure resulting from incapacity due to physical disability or mental illness) or in the case of repeated insubordination;</w:t>
      </w:r>
    </w:p>
    <w:p>
      <w:pPr>
        <w:spacing w:after="0" w:line="170" w:lineRule="exact"/>
        <w:rPr>
          <w:rFonts w:ascii="Arial" w:cs="Arial" w:eastAsia="Arial" w:hAnsi="Arial"/>
          <w:sz w:val="18"/>
          <w:szCs w:val="18"/>
          <w:color w:val="auto"/>
        </w:rPr>
      </w:pPr>
    </w:p>
    <w:p>
      <w:pPr>
        <w:ind w:left="-20" w:right="740" w:firstLine="449"/>
        <w:spacing w:after="0" w:line="277" w:lineRule="auto"/>
        <w:tabs>
          <w:tab w:leader="none" w:pos="9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determines in its reasonable discretion that Executive has engaged in illegal conduct or gross misconduct which is or is reasonably expected to be materially injurious to the Company or one of its affiliates;</w:t>
      </w:r>
    </w:p>
    <w:p>
      <w:pPr>
        <w:spacing w:after="0" w:line="170" w:lineRule="exact"/>
        <w:rPr>
          <w:rFonts w:ascii="Arial" w:cs="Arial" w:eastAsia="Arial" w:hAnsi="Arial"/>
          <w:sz w:val="18"/>
          <w:szCs w:val="18"/>
          <w:color w:val="auto"/>
        </w:rPr>
      </w:pPr>
    </w:p>
    <w:p>
      <w:pPr>
        <w:ind w:left="960" w:hanging="531"/>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Executive’s death (this Agreement and Executive’s employment will terminate automatically upon Executive’s death); or</w:t>
      </w:r>
    </w:p>
    <w:p>
      <w:pPr>
        <w:spacing w:after="0" w:line="225" w:lineRule="exact"/>
        <w:rPr>
          <w:rFonts w:ascii="Arial" w:cs="Arial" w:eastAsia="Arial" w:hAnsi="Arial"/>
          <w:sz w:val="18"/>
          <w:szCs w:val="18"/>
          <w:color w:val="auto"/>
        </w:rPr>
      </w:pPr>
    </w:p>
    <w:p>
      <w:pPr>
        <w:ind w:left="-20" w:right="700" w:firstLine="449"/>
        <w:spacing w:after="0" w:line="277" w:lineRule="auto"/>
        <w:tabs>
          <w:tab w:leader="none" w:pos="10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Executive’s inability to perform the essential functions of Executive’s job (with or without reasonable accommodation) by reason of disability, where such inability continues for a period of ninety (90) days continuously.</w:t>
      </w:r>
    </w:p>
    <w:p>
      <w:pPr>
        <w:spacing w:after="0" w:line="170" w:lineRule="exact"/>
        <w:rPr>
          <w:sz w:val="20"/>
          <w:szCs w:val="20"/>
          <w:color w:val="auto"/>
        </w:rPr>
      </w:pPr>
    </w:p>
    <w:p>
      <w:pPr>
        <w:ind w:left="-20" w:right="200" w:firstLine="449"/>
        <w:spacing w:after="0" w:line="277" w:lineRule="auto"/>
        <w:tabs>
          <w:tab w:leader="none" w:pos="7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by Executive</w:t>
      </w:r>
      <w:r>
        <w:rPr>
          <w:rFonts w:ascii="Arial" w:cs="Arial" w:eastAsia="Arial" w:hAnsi="Arial"/>
          <w:sz w:val="18"/>
          <w:szCs w:val="18"/>
          <w:color w:val="auto"/>
        </w:rPr>
        <w:t>. Executive may voluntarily terminate employment for any reason effective upon 60 days’ prior written notice to the Company, in which case no severance payments or benefits shall be due.</w:t>
      </w:r>
    </w:p>
    <w:p>
      <w:pPr>
        <w:spacing w:after="0" w:line="170" w:lineRule="exact"/>
        <w:rPr>
          <w:rFonts w:ascii="Arial" w:cs="Arial" w:eastAsia="Arial" w:hAnsi="Arial"/>
          <w:sz w:val="18"/>
          <w:szCs w:val="18"/>
          <w:color w:val="auto"/>
        </w:rPr>
      </w:pPr>
    </w:p>
    <w:p>
      <w:pPr>
        <w:jc w:val="both"/>
        <w:ind w:left="-20" w:right="120" w:firstLine="449"/>
        <w:spacing w:after="0" w:line="279" w:lineRule="auto"/>
        <w:tabs>
          <w:tab w:leader="none" w:pos="781"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Severance Pay and Benefits</w:t>
      </w:r>
      <w:r>
        <w:rPr>
          <w:rFonts w:ascii="Arial" w:cs="Arial" w:eastAsia="Arial" w:hAnsi="Arial"/>
          <w:sz w:val="17"/>
          <w:szCs w:val="17"/>
          <w:color w:val="auto"/>
        </w:rPr>
        <w:t>. Subject to the terms and conditions set forth in this Agreement, if Executive’s employment is terminated under Section 2(b) or by the Company’s non-renewal of Executive’s employment under this Agreement or substantially-similar terms, then the Company will provide Executive with the following severance pay and benefits (except in the event of a breach of the Release, as defined below); provided, for purposes of Section 409A, each payment of severance pay under this Section 4 shall be considered a separate payment:</w:t>
      </w:r>
    </w:p>
    <w:p>
      <w:pPr>
        <w:spacing w:after="0" w:line="171" w:lineRule="exact"/>
        <w:rPr>
          <w:sz w:val="20"/>
          <w:szCs w:val="20"/>
          <w:color w:val="auto"/>
        </w:rPr>
      </w:pPr>
    </w:p>
    <w:p>
      <w:pPr>
        <w:jc w:val="both"/>
        <w:ind w:left="-20" w:right="20" w:firstLine="449"/>
        <w:spacing w:after="0" w:line="259" w:lineRule="auto"/>
        <w:tabs>
          <w:tab w:leader="none" w:pos="84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Amount of Post-Employment Base Salary</w:t>
      </w:r>
      <w:r>
        <w:rPr>
          <w:rFonts w:ascii="Arial" w:cs="Arial" w:eastAsia="Arial" w:hAnsi="Arial"/>
          <w:sz w:val="18"/>
          <w:szCs w:val="18"/>
          <w:color w:val="auto"/>
        </w:rPr>
        <w:t>. Subject to Sections 4(d) and 21, the Company shall pay to Executive an amount equal to 24 months (the “Severance Period”) of base salary at the rate in effect on the date of Executive’s separation from service (the “Termination Date”). Such amount shall be paid over the Severance Period in accordance with the Company’s regular payroll procedures for similarly situated executives following the Termination Date.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53492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ind w:left="-20" w:right="60" w:firstLine="449"/>
        <w:spacing w:after="0" w:line="259" w:lineRule="auto"/>
        <w:tabs>
          <w:tab w:leader="none" w:pos="85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Amount of Post-Employment Bonus</w:t>
      </w:r>
      <w:r>
        <w:rPr>
          <w:rFonts w:ascii="Arial" w:cs="Arial" w:eastAsia="Arial" w:hAnsi="Arial"/>
          <w:sz w:val="18"/>
          <w:szCs w:val="18"/>
          <w:color w:val="auto"/>
        </w:rPr>
        <w:t>. In addition to the Post-Employment Base Salary provided under Section 4(a) above, and subject to Section 4(e), the Company shall pay to Executive an amount equal to the product of 1.5 times the amount of the average of the last two full years bonuses paid to Executive based on the actual performance of the Company. Such amount paid to Executive under this Section 4(b) shall be paid on the date annual bonuses are paid to similarly-situated executives after the Termination Date.</w:t>
      </w:r>
    </w:p>
    <w:p>
      <w:pPr>
        <w:spacing w:after="0" w:line="186" w:lineRule="exact"/>
        <w:rPr>
          <w:rFonts w:ascii="Arial" w:cs="Arial" w:eastAsia="Arial" w:hAnsi="Arial"/>
          <w:sz w:val="18"/>
          <w:szCs w:val="18"/>
          <w:color w:val="auto"/>
        </w:rPr>
      </w:pPr>
    </w:p>
    <w:p>
      <w:pPr>
        <w:jc w:val="both"/>
        <w:ind w:left="-20" w:firstLine="449"/>
        <w:spacing w:after="0" w:line="263" w:lineRule="auto"/>
        <w:tabs>
          <w:tab w:leader="none" w:pos="84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Continued Medical Benefits Coverage</w:t>
      </w:r>
      <w:r>
        <w:rPr>
          <w:rFonts w:ascii="Arial" w:cs="Arial" w:eastAsia="Arial" w:hAnsi="Arial"/>
          <w:sz w:val="18"/>
          <w:szCs w:val="18"/>
          <w:color w:val="auto"/>
        </w:rPr>
        <w:t>. During the Severance Period, Executive and Executive’s dependents will have the opportunity under the provisions of the Consolidated Omnibus Budget Reconciliation Act of 1986, as amended (“COBRA”) to elect COBRA continuation coverage. If Employee so elects and pays for</w:t>
      </w:r>
    </w:p>
    <w:p>
      <w:pPr>
        <w:sectPr>
          <w:pgSz w:w="11900" w:h="16838" w:orient="portrait"/>
          <w:cols w:equalWidth="0" w:num="1">
            <w:col w:w="11220"/>
          </w:cols>
          <w:pgMar w:left="340" w:top="1440" w:right="339" w:bottom="1440" w:gutter="0" w:footer="0" w:header="0"/>
        </w:sectPr>
      </w:pPr>
    </w:p>
    <w:bookmarkStart w:id="162" w:name="page163"/>
    <w:bookmarkEnd w:id="162"/>
    <w:p>
      <w:pPr>
        <w:spacing w:after="0" w:line="198"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COBRA coverage in a timely manner, the Company shall reimburse Executive for the cost of purchasing COBRA coverage through the end of the Severance Period (or until such earlier date as Executive and Executive’s dependents cease to receive COBRA coverage).</w:t>
      </w:r>
    </w:p>
    <w:p>
      <w:pPr>
        <w:spacing w:after="0" w:line="146" w:lineRule="exact"/>
        <w:rPr>
          <w:sz w:val="20"/>
          <w:szCs w:val="20"/>
          <w:color w:val="auto"/>
        </w:rPr>
      </w:pPr>
    </w:p>
    <w:p>
      <w:pPr>
        <w:ind w:right="40" w:firstLine="449"/>
        <w:spacing w:after="0" w:line="273" w:lineRule="auto"/>
        <w:tabs>
          <w:tab w:leader="none" w:pos="87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Certain Other Terms</w:t>
      </w:r>
      <w:r>
        <w:rPr>
          <w:rFonts w:ascii="Arial" w:cs="Arial" w:eastAsia="Arial" w:hAnsi="Arial"/>
          <w:sz w:val="17"/>
          <w:szCs w:val="17"/>
          <w:color w:val="auto"/>
        </w:rPr>
        <w:t>. In the event that the Company announces that it has signed a definitive agreement with respect to a Change of Control (as defined below) or any potential acquirer has publicly announced its intent to consummate a Change of Control with respect to the Company, and if, during the period after the public announcement and immediately preceding the date such transaction is consummated or terminated, the Company terminates Executive’s employment without Cause; subject to Section 5( e), the Company shall pay to Executive on the sixtieth day following the employment termination date a lump sum equal to the excess, if any of (i) two times Executive’s targeted amount of annual cash bonus at the rate in effect coincident with the employment termination date, over (ii) the amount determined in Section 5(b).</w:t>
      </w:r>
    </w:p>
    <w:p>
      <w:pPr>
        <w:spacing w:after="0" w:line="177" w:lineRule="exact"/>
        <w:rPr>
          <w:rFonts w:ascii="Arial" w:cs="Arial" w:eastAsia="Arial" w:hAnsi="Arial"/>
          <w:sz w:val="17"/>
          <w:szCs w:val="17"/>
          <w:color w:val="auto"/>
        </w:rPr>
      </w:pPr>
    </w:p>
    <w:p>
      <w:pPr>
        <w:ind w:right="20" w:firstLine="449"/>
        <w:spacing w:after="0" w:line="293" w:lineRule="auto"/>
        <w:tabs>
          <w:tab w:leader="none" w:pos="86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Release Agreement</w:t>
      </w:r>
      <w:r>
        <w:rPr>
          <w:rFonts w:ascii="Arial" w:cs="Arial" w:eastAsia="Arial" w:hAnsi="Arial"/>
          <w:sz w:val="16"/>
          <w:szCs w:val="16"/>
          <w:color w:val="auto"/>
        </w:rPr>
        <w:t>. Executive’s entitlement to any severance pay and benefit entitlements under this Section 4 is conditioned upon Executive’s first entering into a release substantially in the form attached as Exhibit A (“Release”) and the Release becoming effective no later than the sixtieth day following the employment termination date, the Release shall be delivered to Executive within 14 days after the Termination Date. Notwithstanding any other provision hereof, all severance payments to Executive shall be delayed until after the expiration of any applicable revocation period with respect to the release, but in the event the applicable revocation period spans two calendar years, the payments shall commence in the second calendar year. Executive also acknowledges that any severance pay under this Section 4 is subject to the Company’s then current recoupment policy.</w:t>
      </w:r>
    </w:p>
    <w:p>
      <w:pPr>
        <w:spacing w:after="0" w:line="164" w:lineRule="exact"/>
        <w:rPr>
          <w:sz w:val="20"/>
          <w:szCs w:val="20"/>
          <w:color w:val="auto"/>
        </w:rPr>
      </w:pPr>
    </w:p>
    <w:p>
      <w:pPr>
        <w:ind w:firstLine="449"/>
        <w:spacing w:after="0" w:line="272" w:lineRule="auto"/>
        <w:tabs>
          <w:tab w:leader="none" w:pos="80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No Conflicts of Interest</w:t>
      </w:r>
      <w:r>
        <w:rPr>
          <w:rFonts w:ascii="Arial" w:cs="Arial" w:eastAsia="Arial" w:hAnsi="Arial"/>
          <w:sz w:val="17"/>
          <w:szCs w:val="17"/>
          <w:color w:val="auto"/>
        </w:rPr>
        <w:t>. Executive agrees that throughout the period of Executive’s employment hereunder, Executive will not perform any activities or services, or accept other employment, that would materially interfere with or present a conflict of interest concerning Executive’s employment with the Company. Executive agrees and acknowledges that Executive’s employment is conditioned upon Executive adhering to and complying with the business practices and requirements of ethical conduct set forth in writing from time to time by the Company in its employee manual, code of conduct or similar publication. Executive represents and warrants that no other contract, agreement or understanding to which Executive is a party or may be subject to will be violated by the execution of this Agreement by Executive. Executive further agrees to not accept any position on the board of a for-profit company without the written consent of the Penn National Gaming, Inc. Chief Executive Officer.</w:t>
      </w:r>
    </w:p>
    <w:p>
      <w:pPr>
        <w:spacing w:after="0" w:line="177" w:lineRule="exact"/>
        <w:rPr>
          <w:rFonts w:ascii="Arial" w:cs="Arial" w:eastAsia="Arial" w:hAnsi="Arial"/>
          <w:sz w:val="17"/>
          <w:szCs w:val="17"/>
          <w:color w:val="auto"/>
        </w:rPr>
      </w:pPr>
    </w:p>
    <w:p>
      <w:pPr>
        <w:ind w:left="800" w:hanging="351"/>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Confidentialitv</w:t>
      </w:r>
      <w:r>
        <w:rPr>
          <w:rFonts w:ascii="Arial" w:cs="Arial" w:eastAsia="Arial" w:hAnsi="Arial"/>
          <w:sz w:val="18"/>
          <w:szCs w:val="18"/>
          <w:color w:val="auto"/>
        </w:rPr>
        <w:t>.</w:t>
      </w:r>
    </w:p>
    <w:p>
      <w:pPr>
        <w:spacing w:after="0" w:line="225" w:lineRule="exact"/>
        <w:rPr>
          <w:sz w:val="20"/>
          <w:szCs w:val="20"/>
          <w:color w:val="auto"/>
        </w:rPr>
      </w:pPr>
    </w:p>
    <w:p>
      <w:pPr>
        <w:ind w:right="540" w:firstLine="449"/>
        <w:spacing w:after="0" w:line="263" w:lineRule="auto"/>
        <w:tabs>
          <w:tab w:leader="none" w:pos="86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“Confidential Information” means data and information relating to the business of the Company or its affiliates, (i) which the Company or its affiliates have disclosed to Executive, or of which Executive became aware as a consequence of or in the course of Executive’s employment with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Company, (ii) which have value to the Company or its affiliates, and (iii) which are not generally known to its competitors. Confidential Information will not include any data or information that the Company or its affiliates have voluntarily disclosed to the public (except where Executive made or caused that public disclosure without authorization), that others have independently developed and disclosed to the public, or that otherwise enters the public domain through lawful means.</w:t>
      </w:r>
    </w:p>
    <w:p>
      <w:pPr>
        <w:spacing w:after="0" w:line="187" w:lineRule="exact"/>
        <w:rPr>
          <w:sz w:val="20"/>
          <w:szCs w:val="20"/>
          <w:color w:val="auto"/>
        </w:rPr>
      </w:pPr>
    </w:p>
    <w:p>
      <w:pPr>
        <w:ind w:right="60" w:firstLine="449"/>
        <w:spacing w:after="0" w:line="286" w:lineRule="auto"/>
        <w:tabs>
          <w:tab w:leader="none" w:pos="87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Executive agrees to treat as confidential and will not, without the prior written approval of the Company in each instance, directly or indirectly use (other than in the performance of Executive’s duties of employment with the Company or its affiliates), publish, disclose, copyright or authorize anyone else to use, publish, disclose or copyright, any Confidential Information obtained during Employee’s employment with the Company or its affiliates, whether or not the Confidential Information is in written or other tangible form. This restriction will continue to apply for a period of two</w:t>
      </w:r>
    </w:p>
    <w:p>
      <w:pPr>
        <w:spacing w:after="0" w:line="1" w:lineRule="exact"/>
        <w:rPr>
          <w:rFonts w:ascii="Arial" w:cs="Arial" w:eastAsia="Arial" w:hAnsi="Arial"/>
          <w:sz w:val="16"/>
          <w:szCs w:val="16"/>
          <w:color w:val="auto"/>
        </w:rPr>
      </w:pPr>
    </w:p>
    <w:p>
      <w:pPr>
        <w:ind w:right="340" w:firstLine="8"/>
        <w:spacing w:after="0" w:line="255"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years after the Termination Date. Executive acknowledges and agrees that the prohibitions against disclosure and use of Confidential Information recited in this section are in addition to, and not in lieu of, any rights or remedies that the Company or its affiliates may have available under applicable laws.</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8" w:lineRule="exact"/>
        <w:rPr>
          <w:sz w:val="20"/>
          <w:szCs w:val="20"/>
          <w:color w:val="auto"/>
        </w:rPr>
      </w:pPr>
    </w:p>
    <w:p>
      <w:pPr>
        <w:ind w:right="400" w:firstLine="449"/>
        <w:spacing w:after="0" w:line="263" w:lineRule="auto"/>
        <w:tabs>
          <w:tab w:leader="none" w:pos="8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Nothing in this Agreement or in the Release shall prohibit Executive from reporting possible violations of federal law or regulation to any governmental agency or entity, or making other disclosures that are protected under the whistleblower provisions of applicable federal or state law or regulation.</w:t>
      </w:r>
    </w:p>
    <w:p>
      <w:pPr>
        <w:spacing w:after="0" w:line="184" w:lineRule="exact"/>
        <w:rPr>
          <w:sz w:val="20"/>
          <w:szCs w:val="20"/>
          <w:color w:val="auto"/>
        </w:rPr>
      </w:pPr>
    </w:p>
    <w:p>
      <w:pPr>
        <w:ind w:left="800" w:hanging="351"/>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sz w:val="20"/>
          <w:szCs w:val="20"/>
          <w:color w:val="auto"/>
        </w:rPr>
      </w:pPr>
    </w:p>
    <w:p>
      <w:pPr>
        <w:ind w:right="220" w:firstLine="449"/>
        <w:spacing w:after="0" w:line="311" w:lineRule="auto"/>
        <w:tabs>
          <w:tab w:leader="none" w:pos="8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used in this Section 7, the term “Restriction Period” shall mean a period equal to: (i) the six-month period immediately following the Termination Date if Executive’s employment terminates under circumstances where Executive is not entitled to payments under Section 4 or 9 or (ii) the Severance Period if Executive’s employment terminates under circumstances where Executive is entitled to payments under Section 4 or 9.</w:t>
      </w:r>
    </w:p>
    <w:p>
      <w:pPr>
        <w:spacing w:after="0" w:line="148" w:lineRule="exact"/>
        <w:rPr>
          <w:rFonts w:ascii="Arial" w:cs="Arial" w:eastAsia="Arial" w:hAnsi="Arial"/>
          <w:sz w:val="16"/>
          <w:szCs w:val="16"/>
          <w:color w:val="auto"/>
        </w:rPr>
      </w:pPr>
    </w:p>
    <w:p>
      <w:pPr>
        <w:ind w:right="20" w:firstLine="449"/>
        <w:spacing w:after="0" w:line="254" w:lineRule="auto"/>
        <w:tabs>
          <w:tab w:leader="none" w:pos="87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During the term of this Agreement and for the duration of the Restriction Period thereafter, Executive shall not, except with the prior written consent of the Company, directly or indirectly, own, manage, operate, join, control, finance or participate in the ownership, management, operation, control or financing of, or be connected as an officer, director, employee, partner, principal, agent, representative, consultant or otherwise with, or use or permit Executive’s name to be used in connection with, any Competing Business. A “Competing Business” includes any business enterprise which owns or operates, or is publicly seeking to own or operate, a gaming facility located within 150 miles of any facility in which Company or its affiliates owns or operates or is actively seeking to own or operate a facility at such time (the “Restricted Area”). Executive acknowledges that any business which offers gaming, racing, sports wagering or internet real money </w:t>
      </w:r>
      <w:r>
        <w:rPr>
          <w:rFonts w:ascii="Arial" w:cs="Arial" w:eastAsia="Arial" w:hAnsi="Arial"/>
          <w:sz w:val="18"/>
          <w:szCs w:val="18"/>
          <w:i w:val="1"/>
          <w:iCs w:val="1"/>
          <w:color w:val="auto"/>
        </w:rPr>
        <w:t>/</w:t>
      </w:r>
      <w:r>
        <w:rPr>
          <w:rFonts w:ascii="Arial" w:cs="Arial" w:eastAsia="Arial" w:hAnsi="Arial"/>
          <w:sz w:val="18"/>
          <w:szCs w:val="18"/>
          <w:color w:val="auto"/>
        </w:rPr>
        <w:t xml:space="preserve"> social gaming, and which markets to any customers in the Restricted Area, is a Competing Business.</w:t>
      </w:r>
    </w:p>
    <w:p>
      <w:pPr>
        <w:spacing w:after="0" w:line="191" w:lineRule="exact"/>
        <w:rPr>
          <w:rFonts w:ascii="Arial" w:cs="Arial" w:eastAsia="Arial" w:hAnsi="Arial"/>
          <w:sz w:val="18"/>
          <w:szCs w:val="18"/>
          <w:color w:val="auto"/>
        </w:rPr>
      </w:pPr>
    </w:p>
    <w:p>
      <w:pPr>
        <w:ind w:right="20" w:firstLine="449"/>
        <w:spacing w:after="0" w:line="275" w:lineRule="auto"/>
        <w:tabs>
          <w:tab w:leader="none" w:pos="86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foregoing restrictions shall not be construed to prohibit Executive’s ownership of less than 5% of any class of securities of any corporation which is engaged in any of the foregoing businesses and has a class of securities registered pursuant to the Securities Exchange Act of 1934, provided that such ownership represents a passive investment and that neither Executive nor any group of persons including Executive in any way, either directly or indirectly, manages or exercises control of any such corporation, guarantees any of its financial obligations, otherwise takes any part in its business, other than exercising Executive’s rights as a shareholder, or seeks to do any of the foregoing.</w:t>
      </w:r>
    </w:p>
    <w:p>
      <w:pPr>
        <w:spacing w:after="0" w:line="176" w:lineRule="exact"/>
        <w:rPr>
          <w:rFonts w:ascii="Arial" w:cs="Arial" w:eastAsia="Arial" w:hAnsi="Arial"/>
          <w:sz w:val="17"/>
          <w:szCs w:val="17"/>
          <w:color w:val="auto"/>
        </w:rPr>
      </w:pPr>
    </w:p>
    <w:p>
      <w:pPr>
        <w:ind w:right="340" w:firstLine="449"/>
        <w:spacing w:after="0" w:line="277" w:lineRule="auto"/>
        <w:tabs>
          <w:tab w:leader="none" w:pos="87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Executive acknowledges that the covenants contained in Sections 6 through 8 hereof are reasonable and necessary to protect the legitimate interests of the Company and its affiliates and, in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particular, that the duration and geographic scope of such covenants are reasonable given the nature of this Agreement and the position that Executive will hold within the Company. Executive further agrees to disclose the existence and terms of such covenants to any employer that Executive works for during the Restriction Period.</w:t>
      </w:r>
    </w:p>
    <w:p>
      <w:pPr>
        <w:spacing w:after="0" w:line="184" w:lineRule="exact"/>
        <w:rPr>
          <w:sz w:val="20"/>
          <w:szCs w:val="20"/>
          <w:color w:val="auto"/>
        </w:rPr>
      </w:pPr>
    </w:p>
    <w:p>
      <w:pPr>
        <w:jc w:val="both"/>
        <w:ind w:firstLine="449"/>
        <w:spacing w:after="0" w:line="301" w:lineRule="auto"/>
        <w:tabs>
          <w:tab w:leader="none" w:pos="80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Executive will not, except with the prior written consent of the Company, during the term of this Agreement and for a period of 18 months after the Termination Date, directly or indirectly, solicit or hire, or encourage the solicitation or hiring of, any person who is, or was within a six month period prior to such solicitation or hiring, an executive or management (or higher) level employee of the Company or any of its affiliates, for any position as an employee, independent contractor, consultant or otherwise for the benefit of any entity not affiliated with the Company.</w:t>
      </w:r>
    </w:p>
    <w:p>
      <w:pPr>
        <w:spacing w:after="0" w:line="157" w:lineRule="exact"/>
        <w:rPr>
          <w:rFonts w:ascii="Arial" w:cs="Arial" w:eastAsia="Arial" w:hAnsi="Arial"/>
          <w:sz w:val="16"/>
          <w:szCs w:val="16"/>
          <w:color w:val="auto"/>
        </w:rPr>
      </w:pPr>
    </w:p>
    <w:p>
      <w:pPr>
        <w:ind w:left="800" w:hanging="351"/>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right="620" w:firstLine="449"/>
        <w:spacing w:after="0" w:line="277" w:lineRule="auto"/>
        <w:tabs>
          <w:tab w:leader="none" w:pos="865"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The term Change of Control (“COC”) shall have the meaning given to such term in the Company’s then current Long Term Incentive Compensation Plan.</w:t>
      </w:r>
    </w:p>
    <w:p>
      <w:pPr>
        <w:spacing w:after="0" w:line="170" w:lineRule="exact"/>
        <w:rPr>
          <w:rFonts w:ascii="Arial" w:cs="Arial" w:eastAsia="Arial" w:hAnsi="Arial"/>
          <w:sz w:val="18"/>
          <w:szCs w:val="18"/>
          <w:color w:val="auto"/>
        </w:rPr>
      </w:pPr>
    </w:p>
    <w:p>
      <w:pPr>
        <w:ind w:right="40" w:firstLine="449"/>
        <w:spacing w:after="0" w:line="291" w:lineRule="auto"/>
        <w:tabs>
          <w:tab w:leader="none" w:pos="875"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In the event of a Change of Control, and either (A) Executive’s employment is terminated without Cause within 12 months after the effective date of the Change of Control or (B) Executive resigns from employment for Post-COC Good Reason (as such term is defined in subsection</w:t>
      </w:r>
    </w:p>
    <w:p>
      <w:pPr>
        <w:ind w:left="240" w:hanging="232"/>
        <w:spacing w:after="0"/>
        <w:tabs>
          <w:tab w:leader="none" w:pos="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below) within 12 months after the</w:t>
      </w:r>
    </w:p>
    <w:p>
      <w:pPr>
        <w:sectPr>
          <w:pgSz w:w="11900" w:h="16838" w:orient="portrait"/>
          <w:cols w:equalWidth="0" w:num="1">
            <w:col w:w="11200"/>
          </w:cols>
          <w:pgMar w:left="320" w:top="1440" w:right="379" w:bottom="1440" w:gutter="0" w:footer="0" w:header="0"/>
        </w:sectPr>
      </w:pPr>
    </w:p>
    <w:bookmarkStart w:id="164" w:name="page165"/>
    <w:bookmarkEnd w:id="164"/>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effective date of the Change of Control (the effective date of such termination or resignation, the “Activation Date”), subject to Section 9(d), Executive shall be entitled to receive, on the sixtieth day following the employment termination date, a cash payment in an amount equal to the product of two times the sum of the Executive’s: (i) base salary and (ii) targeted amount of annual cash bonus, at the rate in effect coincident with the Change of Control or the Activation Date, whichever is greater; provided, however, that if the Change of Control is not a “change in control event” for purposes of Code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409A, then only those amounts that do not constitute non-qualified deferred compensation under Section 409A shall be paid in a lump sum and the remaining payments shall be paid over the Severance Period in accordance with the Company’s regular payroll procedures for similarly-situated executives. Such payment shall be in lieu of any payment to which Executive would be entitled under Section 4 (a)-(b), provided that Executive shall also be entitled to receive the benefits set forth in Section 4(c).</w:t>
      </w:r>
    </w:p>
    <w:p>
      <w:pPr>
        <w:spacing w:after="0" w:line="193" w:lineRule="exact"/>
        <w:rPr>
          <w:sz w:val="20"/>
          <w:szCs w:val="20"/>
          <w:color w:val="auto"/>
        </w:rPr>
      </w:pPr>
    </w:p>
    <w:p>
      <w:pPr>
        <w:ind w:right="120" w:firstLine="449"/>
        <w:spacing w:after="0" w:line="308" w:lineRule="auto"/>
        <w:tabs>
          <w:tab w:leader="none" w:pos="86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Restrictive Provisions</w:t>
      </w:r>
      <w:r>
        <w:rPr>
          <w:rFonts w:ascii="Arial" w:cs="Arial" w:eastAsia="Arial" w:hAnsi="Arial"/>
          <w:sz w:val="17"/>
          <w:szCs w:val="17"/>
          <w:color w:val="auto"/>
        </w:rPr>
        <w:t>. As consideration for the payments under Sections 9(b) or 4, Executive agrees not to challenge the enforceability of any of the restrictions contained in Sections 6, 7 or 8 of this Agreement upon or after the occurrence of a Change of Control.</w:t>
      </w:r>
    </w:p>
    <w:p>
      <w:pPr>
        <w:spacing w:after="0" w:line="146" w:lineRule="exact"/>
        <w:rPr>
          <w:rFonts w:ascii="Arial" w:cs="Arial" w:eastAsia="Arial" w:hAnsi="Arial"/>
          <w:sz w:val="17"/>
          <w:szCs w:val="17"/>
          <w:color w:val="auto"/>
        </w:rPr>
      </w:pPr>
    </w:p>
    <w:p>
      <w:pPr>
        <w:ind w:right="500" w:firstLine="449"/>
        <w:spacing w:after="0" w:line="275" w:lineRule="auto"/>
        <w:tabs>
          <w:tab w:leader="none" w:pos="875"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Release Agreement and Payment Terms</w:t>
      </w:r>
      <w:r>
        <w:rPr>
          <w:rFonts w:ascii="Arial" w:cs="Arial" w:eastAsia="Arial" w:hAnsi="Arial"/>
          <w:sz w:val="17"/>
          <w:szCs w:val="17"/>
          <w:color w:val="auto"/>
        </w:rPr>
        <w:t>. Executive’s entitlement to any severance pay and benefit entitlements under this Section 9 is conditioned upon Executive’s first entering into a Release as provided by the Company to Executive within 14 days after the Activation Date and the Release becoming effective no later than the sixtieth day following the Activation Date. Notwithstanding any other provision hereof, all payments to Executive shall be delayed until after the expiration of any applicable revocation period with respect to the Release, but in the event the applicable revocation period spans two calendar years, the payments shall commence in the second calendar year.</w:t>
      </w:r>
    </w:p>
    <w:p>
      <w:pPr>
        <w:spacing w:after="0" w:line="176" w:lineRule="exact"/>
        <w:rPr>
          <w:rFonts w:ascii="Arial" w:cs="Arial" w:eastAsia="Arial" w:hAnsi="Arial"/>
          <w:sz w:val="17"/>
          <w:szCs w:val="17"/>
          <w:color w:val="auto"/>
        </w:rPr>
      </w:pPr>
    </w:p>
    <w:p>
      <w:pPr>
        <w:ind w:right="100" w:firstLine="449"/>
        <w:spacing w:after="0" w:line="301" w:lineRule="auto"/>
        <w:tabs>
          <w:tab w:leader="none" w:pos="86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Post-COC Good Reason</w:t>
      </w:r>
      <w:r>
        <w:rPr>
          <w:rFonts w:ascii="Arial" w:cs="Arial" w:eastAsia="Arial" w:hAnsi="Arial"/>
          <w:sz w:val="16"/>
          <w:szCs w:val="16"/>
          <w:color w:val="auto"/>
        </w:rPr>
        <w:t>. As used herein, the term “Post-COC Good Reason” shall mean the occurrence of any of the following events that the Company fails to cure within 10 days after receiving written notice thereof from Executive (which notice must be delivered within 30 days of Executive becoming aware of the applicable event or circumstance): (i) assignment to Executive of any duties inconsistent in any material respect with Executive’s position (including status, titles and reporting requirements), authority, duties or responsibilities or inconsistent with Executive’s legal or fiduciary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obligations; (ii) any reduction in Executive’s compensation or substantial reduction in Executive’s benefits taken as a whole; (iii) any travel requirements materially greater than Executive’s travel requirements prior to the Change of Control; (iv) an office relocation of greater than 50 miles from Executive’s then current office or (v) any breach of any material term of this Agreement by the Company.</w:t>
      </w:r>
    </w:p>
    <w:p>
      <w:pPr>
        <w:spacing w:after="0" w:line="184" w:lineRule="exact"/>
        <w:rPr>
          <w:sz w:val="20"/>
          <w:szCs w:val="20"/>
          <w:color w:val="auto"/>
        </w:rPr>
      </w:pPr>
    </w:p>
    <w:p>
      <w:pPr>
        <w:ind w:right="20" w:firstLine="449"/>
        <w:spacing w:after="0" w:line="301" w:lineRule="auto"/>
        <w:tabs>
          <w:tab w:leader="none" w:pos="89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Property Surrender</w:t>
      </w:r>
      <w:r>
        <w:rPr>
          <w:rFonts w:ascii="Arial" w:cs="Arial" w:eastAsia="Arial" w:hAnsi="Arial"/>
          <w:sz w:val="16"/>
          <w:szCs w:val="16"/>
          <w:color w:val="auto"/>
        </w:rPr>
        <w:t>. Upon termination of Executive’s employment for any reason, Executive shall immediately surrender and deliver to the Company all property that belongs to the Company, including, but not limited to, any keys, equipment, computers, phones, credit cards, disk drives and any documents, correspondence and other information, including all Confidential Information, of any type whatsoever, from the Company or any of its agents, servants, employees, suppliers, and existing or potential customers, that came into Executive’s possession by any means during the course of employment.</w:t>
      </w:r>
    </w:p>
    <w:p>
      <w:pPr>
        <w:spacing w:after="0" w:line="157" w:lineRule="exact"/>
        <w:rPr>
          <w:rFonts w:ascii="Arial" w:cs="Arial" w:eastAsia="Arial" w:hAnsi="Arial"/>
          <w:sz w:val="16"/>
          <w:szCs w:val="16"/>
          <w:color w:val="auto"/>
        </w:rPr>
      </w:pPr>
    </w:p>
    <w:p>
      <w:pPr>
        <w:ind w:right="140" w:firstLine="449"/>
        <w:spacing w:after="0" w:line="277" w:lineRule="auto"/>
        <w:tabs>
          <w:tab w:leader="none" w:pos="88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(and not the law of conflicts) of the Commonwealth of Pennsylvania.</w:t>
      </w:r>
    </w:p>
    <w:p>
      <w:pPr>
        <w:spacing w:after="0" w:line="170" w:lineRule="exact"/>
        <w:rPr>
          <w:rFonts w:ascii="Arial" w:cs="Arial" w:eastAsia="Arial" w:hAnsi="Arial"/>
          <w:sz w:val="18"/>
          <w:szCs w:val="18"/>
          <w:color w:val="auto"/>
        </w:rPr>
      </w:pPr>
    </w:p>
    <w:p>
      <w:pPr>
        <w:ind w:right="40" w:firstLine="449"/>
        <w:spacing w:after="0" w:line="259" w:lineRule="auto"/>
        <w:tabs>
          <w:tab w:leader="none" w:pos="89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parties hereby irrevocably consent to the jurisdiction of the courts of the Commonwealth of Pennsylvania for all purposes in connection with any action or proceeding which arises out of or relates to this Agreement and agree that any action instituted under this Agreement shall be commenced, prosecuted and continued only in the state or federal courts having jurisdiction for matters arising in Wyomissing, Pennsylvania, which shall be the exclusive and only proper forum for adjudicating such a claim.</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8" w:lineRule="exact"/>
        <w:rPr>
          <w:sz w:val="20"/>
          <w:szCs w:val="20"/>
          <w:color w:val="auto"/>
        </w:rPr>
      </w:pPr>
    </w:p>
    <w:p>
      <w:pPr>
        <w:ind w:firstLine="449"/>
        <w:spacing w:after="0" w:line="259" w:lineRule="auto"/>
        <w:tabs>
          <w:tab w:leader="none" w:pos="89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or necessary or convenient in connection herewith shall be in writing and shall be deemed to have been given when hand delivered, delivered by guaranteed next-day delivery or shall be deemed given on the third business day when mailed by registered or certified mail, as follows (provided that notice of change of address shall be deemed given only when received):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Penn National Gaming,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825 Berkshire Boulevard, Suite 200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Wyomissing, Pennsylvania 19610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Chief Executive Officer (with a copy to the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Executive,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Executive’s then current home address as provided by Executive to the Company.</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 to such other names or addresses as the Company or Executive, as the case may be, shall designate by notice to each other person entitled to receive notices in the manner specified in this Section 13.</w:t>
      </w:r>
    </w:p>
    <w:p>
      <w:pPr>
        <w:spacing w:after="0" w:line="170" w:lineRule="exact"/>
        <w:rPr>
          <w:sz w:val="20"/>
          <w:szCs w:val="20"/>
          <w:color w:val="auto"/>
        </w:rPr>
      </w:pPr>
    </w:p>
    <w:p>
      <w:pPr>
        <w:ind w:right="340" w:firstLine="449"/>
        <w:spacing w:after="0" w:line="287" w:lineRule="auto"/>
        <w:tabs>
          <w:tab w:leader="none" w:pos="89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Contents of Agreement; Amendment and Assignment</w:t>
      </w:r>
      <w:r>
        <w:rPr>
          <w:rFonts w:ascii="Arial" w:cs="Arial" w:eastAsia="Arial" w:hAnsi="Arial"/>
          <w:sz w:val="16"/>
          <w:szCs w:val="16"/>
          <w:color w:val="auto"/>
        </w:rPr>
        <w:t>. This Agreement sets forth the entire understanding between the parties hereto with respect to the subject matter hereof and supersedes all prior or contemporaneous agreements or understandings with respect to thereto. This Agreement cannot be changed, modified, extended, waived or terminated except upon a written instrument signed by the party against which it is to be enforced.</w:t>
      </w:r>
    </w:p>
    <w:p>
      <w:pPr>
        <w:spacing w:after="0" w:line="2"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Executive may not assign any of Executive’s rights or obligations under this Agreement. The Company may assign its rights and obligations under this Agreement to any successor to all or substantially all of its assets or business by means of liquidation, dissolution, merger, consolidation, transfer of assets, stock transfer or otherwise.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120" w:firstLine="449"/>
        <w:spacing w:after="0" w:line="254" w:lineRule="auto"/>
        <w:tabs>
          <w:tab w:leader="none" w:pos="891"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anyone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 In addition, if any court determines that any part of Sections 6, 7 or 8 hereof is unenforceable because of its duration, geographical scope or otherwise, such court will have the power to modify such provision and, in its modified form, such provision will then be enforceable.</w:t>
      </w:r>
    </w:p>
    <w:p>
      <w:pPr>
        <w:spacing w:after="0" w:line="194" w:lineRule="exact"/>
        <w:rPr>
          <w:rFonts w:ascii="Arial" w:cs="Arial" w:eastAsia="Arial" w:hAnsi="Arial"/>
          <w:sz w:val="18"/>
          <w:szCs w:val="18"/>
          <w:color w:val="auto"/>
        </w:rPr>
      </w:pPr>
    </w:p>
    <w:p>
      <w:pPr>
        <w:ind w:right="160" w:firstLine="449"/>
        <w:spacing w:after="0" w:line="272" w:lineRule="auto"/>
        <w:tabs>
          <w:tab w:leader="none" w:pos="891"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 Executive acknowledges that money damages would not be a sufficient remedy for any breach of this Agreement by Executive and that the Company shall be entitled to specific performance and injunctive relief as remedies for any such breach, in addition to all other remedies available at law or equity to the Company.</w:t>
      </w:r>
    </w:p>
    <w:p>
      <w:pPr>
        <w:spacing w:after="0" w:line="177" w:lineRule="exact"/>
        <w:rPr>
          <w:rFonts w:ascii="Arial" w:cs="Arial" w:eastAsia="Arial" w:hAnsi="Arial"/>
          <w:sz w:val="17"/>
          <w:szCs w:val="17"/>
          <w:color w:val="auto"/>
        </w:rPr>
      </w:pPr>
    </w:p>
    <w:p>
      <w:pPr>
        <w:ind w:right="120" w:firstLine="449"/>
        <w:spacing w:after="0" w:line="286" w:lineRule="auto"/>
        <w:tabs>
          <w:tab w:leader="none" w:pos="891"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This Agreement is the result of thoughtful negotiations and reflects an arms’ length bargain between two sophisticated parties, each with an opportunity to be represented by counsel. The parties agree that, if this Agreement requires interpretation, neither party should be considered “the drafter” nor be entitled to any presumption that any ambiguities are to be resolved in such party’s favor.</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98" w:lineRule="exact"/>
        <w:rPr>
          <w:sz w:val="20"/>
          <w:szCs w:val="20"/>
          <w:color w:val="auto"/>
        </w:rPr>
      </w:pPr>
    </w:p>
    <w:p>
      <w:pPr>
        <w:ind w:right="80" w:firstLine="449"/>
        <w:spacing w:after="0" w:line="257" w:lineRule="auto"/>
        <w:tabs>
          <w:tab w:leader="none" w:pos="8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Beneficiaries/References</w:t>
      </w:r>
      <w:r>
        <w:rPr>
          <w:rFonts w:ascii="Arial" w:cs="Arial" w:eastAsia="Arial" w:hAnsi="Arial"/>
          <w:sz w:val="18"/>
          <w:szCs w:val="18"/>
          <w:color w:val="auto"/>
        </w:rPr>
        <w:t>. Executive shall be entitled, to the extent permitted under any applicable law, to select and change a beneficiary or beneficiaries to receive any compensation or benefit payable under this Agreement following Executive’s death or incapacity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 Except as provided in this provision or Company affiliates, no third party beneficiaries are intended.</w:t>
      </w:r>
    </w:p>
    <w:p>
      <w:pPr>
        <w:spacing w:after="0" w:line="187" w:lineRule="exact"/>
        <w:rPr>
          <w:rFonts w:ascii="Arial" w:cs="Arial" w:eastAsia="Arial" w:hAnsi="Arial"/>
          <w:sz w:val="18"/>
          <w:szCs w:val="18"/>
          <w:color w:val="auto"/>
        </w:rPr>
      </w:pPr>
    </w:p>
    <w:p>
      <w:pPr>
        <w:jc w:val="both"/>
        <w:ind w:right="160" w:firstLine="449"/>
        <w:spacing w:after="0" w:line="259" w:lineRule="auto"/>
        <w:tabs>
          <w:tab w:leader="none" w:pos="8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w:t>
      </w:r>
    </w:p>
    <w:p>
      <w:pPr>
        <w:spacing w:after="0" w:line="186" w:lineRule="exact"/>
        <w:rPr>
          <w:rFonts w:ascii="Arial" w:cs="Arial" w:eastAsia="Arial" w:hAnsi="Arial"/>
          <w:sz w:val="18"/>
          <w:szCs w:val="18"/>
          <w:color w:val="auto"/>
        </w:rPr>
      </w:pPr>
    </w:p>
    <w:p>
      <w:pPr>
        <w:ind w:right="180" w:firstLine="449"/>
        <w:spacing w:after="0" w:line="263" w:lineRule="auto"/>
        <w:tabs>
          <w:tab w:leader="none" w:pos="8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 The terms and provisions hereof shall be conditioned on and subject to compliance with all laws, rules, and regulations of all jurisdictions, or agencies, boards or commissions thereof, having regulatory jurisdiction over the employment or activities of Executive hereunder.</w:t>
      </w:r>
    </w:p>
    <w:p>
      <w:pPr>
        <w:spacing w:after="0" w:line="183" w:lineRule="exact"/>
        <w:rPr>
          <w:rFonts w:ascii="Arial" w:cs="Arial" w:eastAsia="Arial" w:hAnsi="Arial"/>
          <w:sz w:val="18"/>
          <w:szCs w:val="18"/>
          <w:color w:val="auto"/>
        </w:rPr>
      </w:pPr>
    </w:p>
    <w:p>
      <w:pPr>
        <w:ind w:right="140" w:firstLine="449"/>
        <w:spacing w:after="0" w:line="257" w:lineRule="auto"/>
        <w:tabs>
          <w:tab w:leader="none" w:pos="8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Any amounts that constitute nonqualified deferred compensation as defined in Section 409A that become payable upon a termination of employment shall be payable only if such termination of employment constitutes a separation from service (as defined in Section 409A). The payments due under this Agreement are intended to be exempt from Code Section 409A, but to the extent that such payments are not exempt, this Agreement is intended to comply with the requirements of Section 409A and shall be construed accordingly. Any payments or distributions to be made to Executive under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Agreement upon a separation from service (as defined in Section 409A) of amounts classified as “nonqualified deferred compensation” for purposes of Code Section 409A and do not satisfy an exemption from the time and form of payment requirements of Section 409A, shall in no event be made or commence until six months after such separation from service if Executive is a specified employee (as defined in Section 409A). Each payment of nonqualified deferred compensation under this Agreement shall be treated as a separate payment for purposes of Code Section 409A. Any reimbursements made pursuant to this Agreement shall be paid as soon as practicable but no later than 90 days after Executive submits evidence of such expenses to the Company (which payment date shall in no event be later than the last day of the calendar year following the calendar year in which the expense was incurred). The amount of such reimbursements during any calendar year shall not affect the benefits provided in any other calendar year, and the right to any such benefits shall not be subject to liquidation or exchange for another benefit. Notwithstanding anything herein to the contrary, the Company shall not have any liability to the Executive or to any other person if the payments and benefits provided in this Agreement that are intended to be exempt from or compliant with Code Section 409A are not so exempt or compliant.</w:t>
      </w:r>
    </w:p>
    <w:p>
      <w:pPr>
        <w:spacing w:after="0" w:line="185" w:lineRule="exact"/>
        <w:rPr>
          <w:sz w:val="20"/>
          <w:szCs w:val="20"/>
          <w:color w:val="auto"/>
        </w:rPr>
      </w:pPr>
    </w:p>
    <w:p>
      <w:pPr>
        <w:ind w:firstLine="449"/>
        <w:spacing w:after="0" w:line="254" w:lineRule="auto"/>
        <w:tabs>
          <w:tab w:leader="none" w:pos="89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Defend Trade Secrets Act</w:t>
      </w:r>
      <w:r>
        <w:rPr>
          <w:rFonts w:ascii="Arial" w:cs="Arial" w:eastAsia="Arial" w:hAnsi="Arial"/>
          <w:sz w:val="18"/>
          <w:szCs w:val="18"/>
          <w:color w:val="auto"/>
        </w:rPr>
        <w:t>. Pursuant to the Defend Trade Secrets Act of 2016, Executive acknowledges that Executive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94" w:lineRule="exact"/>
        <w:rPr>
          <w:rFonts w:ascii="Arial" w:cs="Arial" w:eastAsia="Arial" w:hAnsi="Arial"/>
          <w:sz w:val="18"/>
          <w:szCs w:val="18"/>
          <w:color w:val="auto"/>
        </w:rPr>
      </w:pPr>
    </w:p>
    <w:p>
      <w:pPr>
        <w:ind w:left="900" w:hanging="451"/>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Executive acknowledges that Executive has received the Company’s Clawback Policy and agrees to be bound by it.</w:t>
      </w:r>
    </w:p>
    <w:p>
      <w:pPr>
        <w:sectPr>
          <w:pgSz w:w="11900" w:h="16838" w:orient="portrait"/>
          <w:cols w:equalWidth="0" w:num="1">
            <w:col w:w="11200"/>
          </w:cols>
          <w:pgMar w:left="320" w:top="1440" w:right="379" w:bottom="1440" w:gutter="0" w:footer="0" w:header="0"/>
        </w:sectPr>
      </w:pPr>
    </w:p>
    <w:bookmarkStart w:id="167" w:name="page168"/>
    <w:bookmarkEnd w:id="167"/>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PENN NATIONAL GAMING, INC.</w:t>
      </w:r>
    </w:p>
    <w:p>
      <w:pPr>
        <w:spacing w:after="0" w:line="333"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J. Wilmott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31750</wp:posOffset>
            </wp:positionV>
            <wp:extent cx="25971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Timothy J. Wilmott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3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54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/s/ Todd George</w:t>
            </w:r>
          </w:p>
        </w:tc>
        <w:tc>
          <w:tcPr>
            <w:tcW w:w="3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Name: Todd George</w:t>
            </w:r>
          </w:p>
        </w:tc>
        <w:tc>
          <w:tcPr>
            <w:tcW w:w="3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607"/>
        </w:trPr>
        <w:tc>
          <w:tcPr>
            <w:tcW w:w="1300" w:type="dxa"/>
            <w:vAlign w:val="bottom"/>
            <w:tcBorders>
              <w:bottom w:val="single" w:sz="8" w:color="999999"/>
            </w:tcBorders>
          </w:tcPr>
          <w:p>
            <w:pPr>
              <w:spacing w:after="0"/>
              <w:rPr>
                <w:sz w:val="24"/>
                <w:szCs w:val="24"/>
                <w:color w:val="auto"/>
              </w:rPr>
            </w:pPr>
          </w:p>
        </w:tc>
        <w:tc>
          <w:tcPr>
            <w:tcW w:w="900" w:type="dxa"/>
            <w:vAlign w:val="bottom"/>
            <w:tcBorders>
              <w:bottom w:val="single" w:sz="8" w:color="999999"/>
            </w:tcBorders>
          </w:tcPr>
          <w:p>
            <w:pPr>
              <w:spacing w:after="0"/>
              <w:rPr>
                <w:sz w:val="24"/>
                <w:szCs w:val="24"/>
                <w:color w:val="auto"/>
              </w:rPr>
            </w:pPr>
          </w:p>
        </w:tc>
        <w:tc>
          <w:tcPr>
            <w:tcW w:w="5940" w:type="dxa"/>
            <w:vAlign w:val="bottom"/>
            <w:tcBorders>
              <w:bottom w:val="single" w:sz="8" w:color="999999"/>
            </w:tcBorders>
            <w:gridSpan w:val="2"/>
          </w:tcPr>
          <w:p>
            <w:pPr>
              <w:jc w:val="center"/>
              <w:ind w:left="810"/>
              <w:spacing w:after="0"/>
              <w:rPr>
                <w:sz w:val="20"/>
                <w:szCs w:val="20"/>
                <w:color w:val="auto"/>
              </w:rPr>
            </w:pPr>
            <w:r>
              <w:rPr>
                <w:rFonts w:ascii="Arial" w:cs="Arial" w:eastAsia="Arial" w:hAnsi="Arial"/>
                <w:sz w:val="18"/>
                <w:szCs w:val="18"/>
                <w:color w:val="auto"/>
                <w:w w:val="79"/>
              </w:rPr>
              <w:t>8</w:t>
            </w:r>
          </w:p>
        </w:tc>
        <w:tc>
          <w:tcPr>
            <w:tcW w:w="300" w:type="dxa"/>
            <w:vAlign w:val="bottom"/>
            <w:tcBorders>
              <w:bottom w:val="single" w:sz="8" w:color="999999"/>
            </w:tcBorders>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91"/>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4"/>
              </w:rPr>
              <w:t>Exhibit A</w:t>
            </w: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40" w:type="dxa"/>
            <w:vAlign w:val="bottom"/>
            <w:gridSpan w:val="3"/>
          </w:tcPr>
          <w:p>
            <w:pPr>
              <w:jc w:val="center"/>
              <w:ind w:left="510"/>
              <w:spacing w:after="0"/>
              <w:rPr>
                <w:sz w:val="20"/>
                <w:szCs w:val="20"/>
                <w:color w:val="auto"/>
              </w:rPr>
            </w:pPr>
            <w:r>
              <w:rPr>
                <w:rFonts w:ascii="Arial" w:cs="Arial" w:eastAsia="Arial" w:hAnsi="Arial"/>
                <w:sz w:val="18"/>
                <w:szCs w:val="18"/>
                <w:color w:val="auto"/>
                <w:w w:val="96"/>
              </w:rPr>
              <w:t>SEPARATION AGREEMENT AND GENERAL RELEASE</w:t>
            </w: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1"/>
        </w:trPr>
        <w:tc>
          <w:tcPr>
            <w:tcW w:w="8140" w:type="dxa"/>
            <w:vAlign w:val="bottom"/>
            <w:gridSpan w:val="4"/>
          </w:tcPr>
          <w:p>
            <w:pPr>
              <w:ind w:left="440"/>
              <w:spacing w:after="0"/>
              <w:rPr>
                <w:sz w:val="20"/>
                <w:szCs w:val="20"/>
                <w:color w:val="auto"/>
              </w:rPr>
            </w:pPr>
            <w:r>
              <w:rPr>
                <w:rFonts w:ascii="Arial" w:cs="Arial" w:eastAsia="Arial" w:hAnsi="Arial"/>
                <w:sz w:val="18"/>
                <w:szCs w:val="18"/>
                <w:color w:val="auto"/>
                <w:w w:val="90"/>
              </w:rPr>
              <w:t>This is a Separation Agreement and General Release (hereinafter referred to as the “Agreement”) between</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w w:val="91"/>
              </w:rPr>
              <w:t>(hereinafter referred to as the</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6"/>
              </w:rPr>
              <w:t>“Employee”) and</w:t>
            </w:r>
          </w:p>
        </w:tc>
        <w:tc>
          <w:tcPr>
            <w:tcW w:w="900" w:type="dxa"/>
            <w:vAlign w:val="bottom"/>
            <w:tcBorders>
              <w:bottom w:val="single" w:sz="8" w:color="auto"/>
            </w:tcBorders>
          </w:tcPr>
          <w:p>
            <w:pPr>
              <w:spacing w:after="0"/>
              <w:rPr>
                <w:sz w:val="17"/>
                <w:szCs w:val="17"/>
                <w:color w:val="auto"/>
              </w:rPr>
            </w:pPr>
          </w:p>
        </w:tc>
        <w:tc>
          <w:tcPr>
            <w:tcW w:w="9040" w:type="dxa"/>
            <w:vAlign w:val="bottom"/>
            <w:gridSpan w:val="5"/>
          </w:tcPr>
          <w:p>
            <w:pPr>
              <w:ind w:left="60"/>
              <w:spacing w:after="0" w:line="196" w:lineRule="exact"/>
              <w:rPr>
                <w:sz w:val="20"/>
                <w:szCs w:val="20"/>
                <w:color w:val="auto"/>
              </w:rPr>
            </w:pPr>
            <w:r>
              <w:rPr>
                <w:rFonts w:ascii="Arial" w:cs="Arial" w:eastAsia="Arial" w:hAnsi="Arial"/>
                <w:sz w:val="18"/>
                <w:szCs w:val="18"/>
                <w:color w:val="auto"/>
                <w:w w:val="91"/>
              </w:rPr>
              <w:t>and its affiliates (hereinafter referred to as the “Employer”). In consideration of the mutual promises and commitments made</w:t>
            </w: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this Agreement, and intending to be legally bound, Employee, on the one hand, and the Employer on the other hand, agree to the terms set forth in this Agreement.</w:t>
      </w:r>
    </w:p>
    <w:p>
      <w:pPr>
        <w:spacing w:after="0" w:line="170" w:lineRule="exact"/>
        <w:rPr>
          <w:sz w:val="20"/>
          <w:szCs w:val="20"/>
          <w:color w:val="auto"/>
        </w:rPr>
      </w:pPr>
    </w:p>
    <w:p>
      <w:pPr>
        <w:ind w:right="220" w:firstLine="449"/>
        <w:spacing w:after="0" w:line="277" w:lineRule="auto"/>
        <w:tabs>
          <w:tab w:leader="none" w:pos="7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Employee is party to an Executive Agreement dated [DATE] (the “Executive Agreement”). Employer and Employee hereby acknowledge that Employee’s employment was terminated on [DATE].</w:t>
      </w:r>
    </w:p>
    <w:p>
      <w:pPr>
        <w:spacing w:after="0" w:line="170" w:lineRule="exact"/>
        <w:rPr>
          <w:rFonts w:ascii="Arial" w:cs="Arial" w:eastAsia="Arial" w:hAnsi="Arial"/>
          <w:sz w:val="18"/>
          <w:szCs w:val="18"/>
          <w:color w:val="auto"/>
        </w:rPr>
      </w:pPr>
    </w:p>
    <w:p>
      <w:pPr>
        <w:ind w:right="80" w:firstLine="449"/>
        <w:spacing w:after="0" w:line="277" w:lineRule="auto"/>
        <w:tabs>
          <w:tab w:leader="none" w:pos="7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Following the execution of this Agreement, Employee will be entitled to the post-employment benefits and subject to the post-employment responsibilities set forth in Employee’s Executive Agreement.</w:t>
      </w:r>
    </w:p>
    <w:p>
      <w:pPr>
        <w:spacing w:after="0" w:line="170" w:lineRule="exact"/>
        <w:rPr>
          <w:rFonts w:ascii="Arial" w:cs="Arial" w:eastAsia="Arial" w:hAnsi="Arial"/>
          <w:sz w:val="18"/>
          <w:szCs w:val="18"/>
          <w:color w:val="auto"/>
        </w:rPr>
      </w:pPr>
    </w:p>
    <w:p>
      <w:pPr>
        <w:ind w:right="180" w:firstLine="1000"/>
        <w:spacing w:after="0" w:line="263" w:lineRule="auto"/>
        <w:tabs>
          <w:tab w:leader="none" w:pos="138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Employee accepts any employment with the Employer, or an affiliate or related entity of the Employer, and becomes reemployed during the Severance Period (as defined in the Executive Agreement), Employee acknowledges and agrees that Employee will forfeit all future severance payments from the date on which reemployment commences.</w:t>
      </w:r>
    </w:p>
    <w:p>
      <w:pPr>
        <w:spacing w:after="0" w:line="183" w:lineRule="exact"/>
        <w:rPr>
          <w:rFonts w:ascii="Arial" w:cs="Arial" w:eastAsia="Arial" w:hAnsi="Arial"/>
          <w:sz w:val="18"/>
          <w:szCs w:val="18"/>
          <w:color w:val="auto"/>
        </w:rPr>
      </w:pPr>
    </w:p>
    <w:p>
      <w:pPr>
        <w:ind w:right="20" w:firstLine="449"/>
        <w:spacing w:after="0" w:line="259" w:lineRule="auto"/>
        <w:tabs>
          <w:tab w:leader="none" w:pos="7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When used in this Agreement, the word “Releasees” means the Employer and all or any of its past and present parent, subsidiary and affiliated corporations, members, companies, partnerships, joint ventures and other entities and their groups, divisions, departments and units, and their past and present directors, trustees, officers, managers, partners, supervisors, employees, attorneys, agents and consultants, and their predecessors, successors and assigns.</w:t>
      </w:r>
    </w:p>
    <w:p>
      <w:pPr>
        <w:spacing w:after="0" w:line="186" w:lineRule="exact"/>
        <w:rPr>
          <w:rFonts w:ascii="Arial" w:cs="Arial" w:eastAsia="Arial" w:hAnsi="Arial"/>
          <w:sz w:val="18"/>
          <w:szCs w:val="18"/>
          <w:color w:val="auto"/>
        </w:rPr>
      </w:pPr>
    </w:p>
    <w:p>
      <w:pPr>
        <w:ind w:right="460" w:firstLine="1000"/>
        <w:spacing w:after="0" w:line="263" w:lineRule="auto"/>
        <w:tabs>
          <w:tab w:leader="none" w:pos="137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When used in this Agreement, the word “Claims” means each and every claim, complaint, cause of action, and grievance, whether known or unknown and whether fixed or contingent, and each and every promise, assurance, contract, representation, guarantee, warranty, right and commitment of any kind, whether known or unknown and whether fixed or contingent.</w:t>
      </w:r>
    </w:p>
    <w:p>
      <w:pPr>
        <w:spacing w:after="0" w:line="183" w:lineRule="exact"/>
        <w:rPr>
          <w:rFonts w:ascii="Arial" w:cs="Arial" w:eastAsia="Arial" w:hAnsi="Arial"/>
          <w:sz w:val="18"/>
          <w:szCs w:val="18"/>
          <w:color w:val="auto"/>
        </w:rPr>
      </w:pPr>
    </w:p>
    <w:p>
      <w:pPr>
        <w:ind w:right="240" w:firstLine="449"/>
        <w:spacing w:after="0" w:line="277" w:lineRule="auto"/>
        <w:tabs>
          <w:tab w:leader="none" w:pos="7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consideration of the promises of the Employer set forth in this Agreement and the Executive Agreement, and intending to be legally bound, Employee hereby irrevocably remises, releases and forever</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discharges all Releasees of and from any and all Claims that Employee (on behalf of either Employee or any other person or persons) ever had or now has against any and all of the Releasees, or which Employee (or Employee’s heirs, executors, administrators or assigns or any of them) hereafter can, shall or may have against any and all of the Releasees, for or by reason of any cause, matter, thing, occurrence or event whatsoever through the effective date of this Agreement. Employee acknowledges and agrees that the Claims released in this paragraph include, but are not limited to, (a) any and all Claims based on any law, statute or constitution or based on contract or in tort on common law, and (b) any and all Claims based on or arising under any civil rights laws, such as any [STATE] employment laws, or Title VII of the Civil Rights Act of 1964 (42 U.S.C. § 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or the Federal Age Discrimination in Employment Act (29 U.S.C. §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(hereinafter referred to as the “ADEA’’), and (c) any and all Claims under any grievance or complaint procedure of any kind, and (d) any and all Claims based on or arising out of or related to Employee’s recruitment by, employment with, the termination of Employee’s employment with, Employee’s performance of any services in any capacity for, or any other arrangement or transaction with, each or any of the Releasees. Employee also understands, that by signing this Agreement, Employee is waiving all Claims against any and all of the Releasees released by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as set forth in section 7 (f) (1) (c) of the ADEA, as added by the Older Workers Benefit Protection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of 1990, nothing in this Agreement constitutes or shall (i) be construed to constitute a waiver by Employee of any rights or claims that may arise after this Agreement is executed by Employee, or (ii) impair Employee’s right to file a charge with the U.S. Securities and Exchange Commission (“SEC”), the U.S. Equal Employment Opportunity Commission (“EEOC”), the National Labor Relations Board (“NLRB”) or any state agency or to participate in an investigation or proceeding conducted by the SEC, EEOC, NLRB or any state agency or as otherwise required by law. Notwithstanding the foregoing, Employee agrees to waive Employee’s right to recover individual relief in any charge, complaint, or lawsuit filed by Employee or anyone on Employee’s behalf, except that this does not waive the Employee’s ability to obtain monetary awards from the SEC’s whistleblower program.</w:t>
      </w:r>
    </w:p>
    <w:p>
      <w:pPr>
        <w:spacing w:after="0" w:line="178" w:lineRule="exact"/>
        <w:rPr>
          <w:sz w:val="20"/>
          <w:szCs w:val="20"/>
          <w:color w:val="auto"/>
        </w:rPr>
      </w:pPr>
    </w:p>
    <w:p>
      <w:pPr>
        <w:ind w:right="100" w:firstLine="449"/>
        <w:spacing w:after="0" w:line="277" w:lineRule="auto"/>
        <w:tabs>
          <w:tab w:leader="none" w:pos="8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further certifies that Employee is not aware of any actual or attempted regulatory, SEC, EEOC or other legal violations by Employer and that Employee’s separation is not a result of retaliation based on any legal rights or opposition to an illegal practice.</w:t>
      </w:r>
    </w:p>
    <w:p>
      <w:pPr>
        <w:spacing w:after="0" w:line="170" w:lineRule="exact"/>
        <w:rPr>
          <w:rFonts w:ascii="Arial" w:cs="Arial" w:eastAsia="Arial" w:hAnsi="Arial"/>
          <w:sz w:val="18"/>
          <w:szCs w:val="18"/>
          <w:color w:val="auto"/>
        </w:rPr>
      </w:pPr>
    </w:p>
    <w:p>
      <w:pPr>
        <w:ind w:right="180" w:firstLine="449"/>
        <w:spacing w:after="0" w:line="277" w:lineRule="auto"/>
        <w:tabs>
          <w:tab w:leader="none" w:pos="8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covenants and agrees not to sue the Releasees and each or any of them for any Claims released by this Agreement and to waive any recovery related to any Claims covered by this Agreement.</w:t>
      </w:r>
    </w:p>
    <w:p>
      <w:pPr>
        <w:spacing w:after="0" w:line="170" w:lineRule="exact"/>
        <w:rPr>
          <w:rFonts w:ascii="Arial" w:cs="Arial" w:eastAsia="Arial" w:hAnsi="Arial"/>
          <w:sz w:val="18"/>
          <w:szCs w:val="18"/>
          <w:color w:val="auto"/>
        </w:rPr>
      </w:pPr>
    </w:p>
    <w:p>
      <w:pPr>
        <w:ind w:right="20" w:firstLine="449"/>
        <w:spacing w:after="0" w:line="254" w:lineRule="auto"/>
        <w:tabs>
          <w:tab w:leader="none" w:pos="8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Pursuant to the Defend Trade Secrets Act of 2016, Employee acknowledges that Employee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may use the trade secret information in the court proceeding, if Employee (X) files any document containing the trade secret under seal, and (Y) does not disclose the trade secret, except pursuant to court order.</w:t>
      </w:r>
    </w:p>
    <w:p>
      <w:pPr>
        <w:spacing w:after="0" w:line="194" w:lineRule="exact"/>
        <w:rPr>
          <w:rFonts w:ascii="Arial" w:cs="Arial" w:eastAsia="Arial" w:hAnsi="Arial"/>
          <w:sz w:val="18"/>
          <w:szCs w:val="18"/>
          <w:color w:val="auto"/>
        </w:rPr>
      </w:pPr>
    </w:p>
    <w:p>
      <w:pPr>
        <w:ind w:right="160" w:firstLine="449"/>
        <w:spacing w:after="0" w:line="301" w:lineRule="auto"/>
        <w:tabs>
          <w:tab w:leader="none" w:pos="8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Employee agrees to provide reasonable transition assistance to Employer (including without limitation assistance on regulatory matters, operational matters and in connection with litigation) for a period of one year from the execution of this Agreement at no additional cost; provided, such assistance shall not unreasonably interfere with Employee’s pursuit of gainful employment or result in Employee not having a separation from service (as defined in Section 409A of the Internal Revenue Code of 1986). Any assistance beyond this period will be provided at a mutually agreed cost.</w:t>
      </w:r>
    </w:p>
    <w:p>
      <w:pPr>
        <w:spacing w:after="0" w:line="157" w:lineRule="exact"/>
        <w:rPr>
          <w:rFonts w:ascii="Arial" w:cs="Arial" w:eastAsia="Arial" w:hAnsi="Arial"/>
          <w:sz w:val="16"/>
          <w:szCs w:val="16"/>
          <w:color w:val="auto"/>
        </w:rPr>
      </w:pPr>
    </w:p>
    <w:p>
      <w:pPr>
        <w:ind w:right="60" w:firstLine="449"/>
        <w:spacing w:after="0" w:line="263" w:lineRule="auto"/>
        <w:tabs>
          <w:tab w:leader="none" w:pos="8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Employee agrees that, except as specifically provided in this Agreement, there is no compensation, benefits, or other payments due or owed to Employee by each or any of the Releasees, including, without limitation, the Employer, and there are no payments due or owed to Employee in connection with Employee’s employment by</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or the termination of Employee’s employment with each or any of the Releasees, including without limitation, any interest in unvested options, SARs, restricted stock or other equity issued to, expected by or contemplated by any of the Releasees (which interest is specifically released herein) or any other benefits (including, without limitation, any other severance benefits). For clarity, Employee acknowledges that upon Employee’s separation date, Employee has no further rights under any bonus arrangement or option plan of Employer. Employee further acknowledges that Employee has not experienced or reported any work-related injury or illness.</w:t>
      </w:r>
    </w:p>
    <w:p>
      <w:pPr>
        <w:spacing w:after="0" w:line="188" w:lineRule="exact"/>
        <w:rPr>
          <w:sz w:val="20"/>
          <w:szCs w:val="20"/>
          <w:color w:val="auto"/>
        </w:rPr>
      </w:pPr>
    </w:p>
    <w:p>
      <w:pPr>
        <w:ind w:right="60" w:firstLine="449"/>
        <w:spacing w:after="0" w:line="259" w:lineRule="auto"/>
        <w:tabs>
          <w:tab w:leader="none" w:pos="8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where the Employer has disclosed or is required to disclose the terms of this Agreement pursuant to applicable federal or state law, rule or regulatory practice, Employer and Employee agree that the terms of this Agreement are confidential. Employee will not disclose or publicize the terms of this Agreement and the amounts paid or agreed to be paid pursuant to this Agreement to any person or entity, except to Employee’s spouse, Employee’s attorney, Employee’s accountant, and to a government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agency for the purpose of payment or collection of taxes or application for unemployment compensation benefits. Employee agrees that Employee’s disclosure of the terms of this Agreement to Employee’s spouse, Employee’s attorney and Employee’s accountant shall be conditioned upon Employee obtaining agreement from them, for the benefit of the Employer, not to disclose or publicize to any person or entity the terms of this Agreement and the amounts paid or agreed to be paid under this Agreement. Employee understands that, notwithstanding any provisions of this Agreement, Employee is not prohibited or in any way restricted from reporting possible violations of law to a government agency or entity, and Employee is not required to inform Employer if Employee makes such reports.</w:t>
      </w:r>
    </w:p>
    <w:p>
      <w:pPr>
        <w:spacing w:after="0" w:line="192" w:lineRule="exact"/>
        <w:rPr>
          <w:sz w:val="20"/>
          <w:szCs w:val="20"/>
          <w:color w:val="auto"/>
        </w:rPr>
      </w:pPr>
    </w:p>
    <w:p>
      <w:pPr>
        <w:ind w:right="20" w:firstLine="449"/>
        <w:spacing w:after="0" w:line="275" w:lineRule="auto"/>
        <w:tabs>
          <w:tab w:leader="none" w:pos="83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Employee agrees not to make any false, misleading, defamatory or disparaging statements, including in blogs, posts on Facebook, twitter, other forms of social media or any such similar communications, about Employer (including without limitation Employer’s products, services, partners, investors or personnel) and to refrain from taking any action designed to harm the public perception of the Employer or any of the Releasees. Employee further agrees that Employee has disclosed to Employer all information, if any, in Employee’s possession, custody or control related to any legal, compliance or regulatory obligations of Employer and any failures to meet such obligations.</w:t>
      </w:r>
    </w:p>
    <w:p>
      <w:pPr>
        <w:spacing w:after="0" w:line="176" w:lineRule="exact"/>
        <w:rPr>
          <w:rFonts w:ascii="Arial" w:cs="Arial" w:eastAsia="Arial" w:hAnsi="Arial"/>
          <w:sz w:val="17"/>
          <w:szCs w:val="17"/>
          <w:color w:val="auto"/>
        </w:rPr>
      </w:pPr>
    </w:p>
    <w:p>
      <w:pPr>
        <w:jc w:val="both"/>
        <w:ind w:right="240" w:firstLine="449"/>
        <w:spacing w:after="0" w:line="259" w:lineRule="auto"/>
        <w:tabs>
          <w:tab w:leader="none" w:pos="8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terms of this Agreement are not to be considered as an admission on behalf of either party. Neither this Agreement nor its terms shall be admissible as evidence of any liability or wrongdoing by each or any of the Releasees in any judicial, administrative or other proceeding now pending or hereafter instituted by any person or entity. The Employer is entering into this Agreement solely for the purpose of effectuating a mutually satisfactory separation of Employee’s employment.</w:t>
      </w:r>
    </w:p>
    <w:p>
      <w:pPr>
        <w:spacing w:after="0" w:line="186" w:lineRule="exact"/>
        <w:rPr>
          <w:rFonts w:ascii="Arial" w:cs="Arial" w:eastAsia="Arial" w:hAnsi="Arial"/>
          <w:sz w:val="18"/>
          <w:szCs w:val="18"/>
          <w:color w:val="auto"/>
        </w:rPr>
      </w:pPr>
    </w:p>
    <w:p>
      <w:pPr>
        <w:ind w:left="860" w:hanging="411"/>
        <w:spacing w:after="0"/>
        <w:tabs>
          <w:tab w:leader="none" w:pos="8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Sections 11 and 12 (Governing Law, Jurisdiction) of the Executive Agreement shall also apply to this Agreement.</w:t>
      </w:r>
    </w:p>
    <w:p>
      <w:pPr>
        <w:spacing w:after="0" w:line="225" w:lineRule="exact"/>
        <w:rPr>
          <w:rFonts w:ascii="Arial" w:cs="Arial" w:eastAsia="Arial" w:hAnsi="Arial"/>
          <w:sz w:val="18"/>
          <w:szCs w:val="18"/>
          <w:color w:val="auto"/>
        </w:rPr>
      </w:pPr>
    </w:p>
    <w:p>
      <w:pPr>
        <w:ind w:firstLine="449"/>
        <w:spacing w:after="0" w:line="257" w:lineRule="auto"/>
        <w:tabs>
          <w:tab w:leader="none" w:pos="8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Along with the surviving provisions of the Executive Agreement, including but not limited to Sections 6, 7 and 8, this Agreement constitutes a complete and final agreement between the parties and supersedes and replaces all prior or contemporaneous agreements, offer letters, severance policies and plans, negotiations, or discussions relating to the subject matter of this Agreement and no other agreement shall be binding upon each or any of the Releasees, including, but not limited to, any agreement made hereafter, unless in writing and signed by an officer of the Employer, and only such agreement shall be binding against the Employer.</w:t>
      </w:r>
    </w:p>
    <w:p>
      <w:pPr>
        <w:spacing w:after="0" w:line="187" w:lineRule="exact"/>
        <w:rPr>
          <w:rFonts w:ascii="Arial" w:cs="Arial" w:eastAsia="Arial" w:hAnsi="Arial"/>
          <w:sz w:val="18"/>
          <w:szCs w:val="18"/>
          <w:color w:val="auto"/>
        </w:rPr>
      </w:pPr>
    </w:p>
    <w:p>
      <w:pPr>
        <w:ind w:left="860" w:hanging="411"/>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Employee is advised, and acknowledges that Employee has been advised, to consult with an attorney before signing this Agreement.</w:t>
      </w:r>
    </w:p>
    <w:p>
      <w:pPr>
        <w:spacing w:after="0" w:line="236" w:lineRule="exact"/>
        <w:rPr>
          <w:rFonts w:ascii="Arial" w:cs="Arial" w:eastAsia="Arial" w:hAnsi="Arial"/>
          <w:sz w:val="17"/>
          <w:szCs w:val="17"/>
          <w:color w:val="auto"/>
        </w:rPr>
      </w:pPr>
    </w:p>
    <w:p>
      <w:pPr>
        <w:ind w:left="860" w:hanging="411"/>
        <w:spacing w:after="0"/>
        <w:tabs>
          <w:tab w:leader="none" w:pos="8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Employee acknowledges that Employee is signing this Agreement voluntarily, with full knowledge of the nature and consequences of its terms.</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8" w:lineRule="exact"/>
        <w:rPr>
          <w:sz w:val="20"/>
          <w:szCs w:val="20"/>
          <w:color w:val="auto"/>
        </w:rPr>
      </w:pPr>
    </w:p>
    <w:p>
      <w:pPr>
        <w:ind w:right="700" w:firstLine="449"/>
        <w:spacing w:after="0" w:line="277" w:lineRule="auto"/>
        <w:tabs>
          <w:tab w:leader="none" w:pos="8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executed copies of this Agreement and photocopies thereof shall have the same force and effect and shall be as legally binding and enforceable as the original.</w:t>
      </w:r>
    </w:p>
    <w:p>
      <w:pPr>
        <w:spacing w:after="0" w:line="170" w:lineRule="exact"/>
        <w:rPr>
          <w:rFonts w:ascii="Arial" w:cs="Arial" w:eastAsia="Arial" w:hAnsi="Arial"/>
          <w:sz w:val="18"/>
          <w:szCs w:val="18"/>
          <w:color w:val="auto"/>
        </w:rPr>
      </w:pPr>
    </w:p>
    <w:p>
      <w:pPr>
        <w:ind w:right="160" w:firstLine="449"/>
        <w:spacing w:after="0" w:line="277" w:lineRule="auto"/>
        <w:tabs>
          <w:tab w:leader="none" w:pos="8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Employee acknowledges that Employee has been given up to twenty-one (21) days within which to consider this Agreement before signing it. Subject to paragraph 19 below, this Agreement will become effective on the date of Employee’s signature 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firstLine="449"/>
        <w:spacing w:after="0" w:line="254" w:lineRule="auto"/>
        <w:tabs>
          <w:tab w:leader="none" w:pos="8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 period of seven (7) calendar days following Employee’s signature of this Agreement, Employee may revoke the Agreement, and the Agreement shall not become effective or enforceable until the seven (7) day revocation period has expired. Employee may revoke this Agreement at any time within that seven (7) day period, by sending a written notice of revocation to the Human Resources Department of Employer. Such written notice must be actually received by the Employer within that seven (7) day period in order to be valid. If a valid revocation is received within that seven (7) day period, this Agreement shall be null and void for all purposes and no severance shall be paid. If Employee does not revoke this agreement, payment of the severance pay amount set forth in the Employee’s Executive Agreement will be paid in the manner and at the time(s) described in the Executive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44319</w:t>
      </w:r>
    </w:p>
    <w:p>
      <w:pPr>
        <w:spacing w:after="0" w:line="23" w:lineRule="exact"/>
        <w:rPr>
          <w:sz w:val="20"/>
          <w:szCs w:val="20"/>
          <w:color w:val="auto"/>
        </w:rPr>
      </w:pPr>
    </w:p>
    <w:p>
      <w:pPr>
        <w:ind w:right="480" w:firstLine="441"/>
        <w:spacing w:after="0" w:line="260" w:lineRule="auto"/>
        <w:rPr>
          <w:sz w:val="20"/>
          <w:szCs w:val="20"/>
          <w:color w:val="auto"/>
        </w:rPr>
      </w:pPr>
      <w:r>
        <w:rPr>
          <w:rFonts w:ascii="Arial" w:cs="Arial" w:eastAsia="Arial" w:hAnsi="Arial"/>
          <w:sz w:val="18"/>
          <w:szCs w:val="18"/>
          <w:color w:val="auto"/>
        </w:rPr>
        <w:t>IN WITNESS WHEREOF, the Parties have read, understand and do voluntarily execute this Separation Agreement and General Release which consists of [NUMBER] pages.</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gridSpan w:val="4"/>
          </w:tcPr>
          <w:p>
            <w:pPr>
              <w:spacing w:after="0"/>
              <w:rPr>
                <w:sz w:val="20"/>
                <w:szCs w:val="20"/>
                <w:color w:val="auto"/>
              </w:rPr>
            </w:pPr>
            <w:r>
              <w:rPr>
                <w:rFonts w:ascii="Arial" w:cs="Arial" w:eastAsia="Arial" w:hAnsi="Arial"/>
                <w:sz w:val="18"/>
                <w:szCs w:val="18"/>
                <w:color w:val="auto"/>
              </w:rPr>
              <w:t>EMPLOYER</w:t>
            </w:r>
          </w:p>
        </w:tc>
        <w:tc>
          <w:tcPr>
            <w:tcW w:w="198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EMPLOYEE</w:t>
            </w:r>
          </w:p>
        </w:tc>
      </w:tr>
      <w:tr>
        <w:trPr>
          <w:trHeight w:val="499"/>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gridSpan w:val="3"/>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520"/>
        </w:trPr>
        <w:tc>
          <w:tcPr>
            <w:tcW w:w="3780" w:type="dxa"/>
            <w:vAlign w:val="bottom"/>
            <w:gridSpan w:val="4"/>
          </w:tcPr>
          <w:p>
            <w:pPr>
              <w:spacing w:after="0"/>
              <w:rPr>
                <w:sz w:val="20"/>
                <w:szCs w:val="20"/>
                <w:color w:val="auto"/>
              </w:rPr>
            </w:pPr>
            <w:r>
              <w:rPr>
                <w:rFonts w:ascii="Arial" w:cs="Arial" w:eastAsia="Arial" w:hAnsi="Arial"/>
                <w:sz w:val="18"/>
                <w:szCs w:val="18"/>
                <w:color w:val="auto"/>
              </w:rPr>
              <w:t>Date:</w:t>
            </w:r>
          </w:p>
        </w:tc>
        <w:tc>
          <w:tcPr>
            <w:tcW w:w="1980" w:type="dxa"/>
            <w:vAlign w:val="bottom"/>
          </w:tcPr>
          <w:p>
            <w:pPr>
              <w:spacing w:after="0"/>
              <w:rPr>
                <w:sz w:val="24"/>
                <w:szCs w:val="24"/>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Date:</w:t>
            </w:r>
          </w:p>
        </w:tc>
      </w:tr>
      <w:tr>
        <w:trPr>
          <w:trHeight w:val="615"/>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AGREEMENT</w:t>
      </w:r>
    </w:p>
    <w:p>
      <w:pPr>
        <w:spacing w:after="0" w:line="229" w:lineRule="exact"/>
        <w:rPr>
          <w:sz w:val="20"/>
          <w:szCs w:val="20"/>
          <w:color w:val="auto"/>
        </w:rPr>
      </w:pPr>
    </w:p>
    <w:p>
      <w:pPr>
        <w:ind w:right="120" w:firstLine="441"/>
        <w:spacing w:after="0" w:line="263" w:lineRule="auto"/>
        <w:rPr>
          <w:sz w:val="20"/>
          <w:szCs w:val="20"/>
          <w:color w:val="auto"/>
        </w:rPr>
      </w:pPr>
      <w:r>
        <w:rPr>
          <w:rFonts w:ascii="Arial" w:cs="Arial" w:eastAsia="Arial" w:hAnsi="Arial"/>
          <w:sz w:val="18"/>
          <w:szCs w:val="18"/>
          <w:color w:val="auto"/>
        </w:rPr>
        <w:t>This EXECUTIVE AGREEMENT (this “Agreement”) is entered into on this 17</w:t>
      </w:r>
      <w:r>
        <w:rPr>
          <w:rFonts w:ascii="Arial" w:cs="Arial" w:eastAsia="Arial" w:hAnsi="Arial"/>
          <w:sz w:val="9"/>
          <w:szCs w:val="9"/>
          <w:color w:val="auto"/>
        </w:rPr>
        <w:t>th</w:t>
      </w:r>
      <w:r>
        <w:rPr>
          <w:rFonts w:ascii="Arial" w:cs="Arial" w:eastAsia="Arial" w:hAnsi="Arial"/>
          <w:sz w:val="18"/>
          <w:szCs w:val="18"/>
          <w:color w:val="auto"/>
        </w:rPr>
        <w:t xml:space="preserve"> day of November, 2020 and shall be effective as of December 31, 2020 (the “Effective Date”), by Penn National Gaming, Inc., a Pennsylvania corporation (the “Company”), and the senior executive who has executed this Agreement below (“Executive”).</w:t>
      </w:r>
    </w:p>
    <w:p>
      <w:pPr>
        <w:spacing w:after="0" w:line="184"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WHEREAS, each of the parties wishes to enter into this Agreement, the terms of which are intended to be in compliance with the requirements of Section 409A of the Internal Revenue Code of 1986, as amended (“Section 409A”, see also Section 22 hereof).</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NOW, THEREFORE, the parties, in exchange for the mutual promises described herein and other good and valuable consideration and intending to be legally bound, agree as follows:</w:t>
      </w:r>
    </w:p>
    <w:p>
      <w:pPr>
        <w:spacing w:after="0" w:line="170" w:lineRule="exact"/>
        <w:rPr>
          <w:sz w:val="20"/>
          <w:szCs w:val="20"/>
          <w:color w:val="auto"/>
        </w:rPr>
      </w:pPr>
    </w:p>
    <w:p>
      <w:pPr>
        <w:ind w:right="420" w:firstLine="449"/>
        <w:spacing w:after="0" w:line="257" w:lineRule="auto"/>
        <w:tabs>
          <w:tab w:leader="none" w:pos="756"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Employment and Position</w:t>
      </w:r>
      <w:r>
        <w:rPr>
          <w:rFonts w:ascii="Arial" w:cs="Arial" w:eastAsia="Arial" w:hAnsi="Arial"/>
          <w:sz w:val="18"/>
          <w:szCs w:val="18"/>
          <w:color w:val="auto"/>
        </w:rPr>
        <w:t>. The Company hereby agrees to employ Executive initially as a non-officer employee on December 31, 2020. Beginning on January 1, 2021, the Company hereby agrees to employ Executive and Executive hereby accepts such employment at the position of Executive Vice President, Chief Legal Officer and Secretary, in accordance with the terms, conditions and provisions hereinafter set forth in this Agreement. During the Term of the Agreement, Executive’s compensation shall be as set forth below, which will be reviewed periodically in the same manner as peer executives.</w:t>
      </w:r>
    </w:p>
    <w:p>
      <w:pPr>
        <w:spacing w:after="0" w:line="147" w:lineRule="exact"/>
        <w:rPr>
          <w:rFonts w:ascii="Arial" w:cs="Arial" w:eastAsia="Arial" w:hAnsi="Arial"/>
          <w:sz w:val="18"/>
          <w:szCs w:val="18"/>
          <w:color w:val="auto"/>
        </w:rPr>
      </w:pPr>
    </w:p>
    <w:p>
      <w:pPr>
        <w:ind w:left="1460" w:hanging="449"/>
        <w:spacing w:after="0"/>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Annual salary of $575,000;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460" w:hanging="449"/>
        <w:spacing w:after="0"/>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Eligible for annual incentive targeted at 100% of annual salary beginning in 2021;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460" w:hanging="449"/>
        <w:spacing w:after="0"/>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Eligible for an annual equity grant targeted at 240% of annual salary beginning in 2021;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460" w:hanging="449"/>
        <w:spacing w:after="0"/>
        <w:tabs>
          <w:tab w:leader="none" w:pos="14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Signing bonus, comprised of:</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2440" w:hanging="443"/>
        <w:spacing w:after="0"/>
        <w:tabs>
          <w:tab w:leader="none" w:pos="244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$200,000 to be delivered on or before January 1, 2021;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440" w:right="360" w:hanging="443"/>
        <w:spacing w:after="0" w:line="263" w:lineRule="auto"/>
        <w:tabs>
          <w:tab w:leader="none" w:pos="244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Equity grant of restricted stock units (“RSUs”) equal to $250,000, which RSUs will vest 50% on each of the first and second anniversaries of the grant date (the “Sign On Grant”), which Sign On Grant shall be priced and delivered within thirty (30) days following January 1, 2021.</w:t>
      </w:r>
    </w:p>
    <w:p>
      <w:pPr>
        <w:spacing w:after="0" w:line="305" w:lineRule="exact"/>
        <w:rPr>
          <w:rFonts w:ascii="Arial" w:cs="Arial" w:eastAsia="Arial" w:hAnsi="Arial"/>
          <w:sz w:val="18"/>
          <w:szCs w:val="18"/>
          <w:color w:val="auto"/>
        </w:rPr>
      </w:pPr>
    </w:p>
    <w:p>
      <w:pPr>
        <w:ind w:right="40" w:firstLine="449"/>
        <w:spacing w:after="0" w:line="279" w:lineRule="auto"/>
        <w:tabs>
          <w:tab w:leader="none" w:pos="801"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begin on the Effective Date at Executive’s current compensation, which will be reviewed periodically in the same manner as Executive’s peer executives. This Agreement shall terminate on the earlier of the third anniversary of the Effective Date (“Term”) or the termination of Executive’s employment with the Company; provided, however, notwithstanding anything in this Agreement to the contrary, Sections 9 through 23 shall survive until the expiration of any applicable time periods set forth in Sections 7, 8 and 9.</w:t>
      </w:r>
    </w:p>
    <w:p>
      <w:pPr>
        <w:spacing w:after="0" w:line="171" w:lineRule="exact"/>
        <w:rPr>
          <w:rFonts w:ascii="Arial" w:cs="Arial" w:eastAsia="Arial" w:hAnsi="Arial"/>
          <w:sz w:val="17"/>
          <w:szCs w:val="17"/>
          <w:color w:val="auto"/>
        </w:rPr>
      </w:pPr>
    </w:p>
    <w:p>
      <w:pPr>
        <w:ind w:left="800" w:hanging="351"/>
        <w:spacing w:after="0"/>
        <w:tabs>
          <w:tab w:leader="none" w:pos="8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w:t>
      </w:r>
    </w:p>
    <w:p>
      <w:pPr>
        <w:spacing w:after="0" w:line="225" w:lineRule="exact"/>
        <w:rPr>
          <w:sz w:val="20"/>
          <w:szCs w:val="20"/>
          <w:color w:val="auto"/>
        </w:rPr>
      </w:pPr>
    </w:p>
    <w:p>
      <w:pPr>
        <w:ind w:right="20" w:firstLine="449"/>
        <w:spacing w:after="0" w:line="263" w:lineRule="auto"/>
        <w:tabs>
          <w:tab w:leader="none" w:pos="8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Company may terminate Executive’s employment at any time without Cause (as such term is defined in subsection (c) below), with Cause, or at the end of the Term by non-renewal of this Agreement. Notwithstanding any termination under this subsection (a) or by Executive under Section 4(b), in the event that any</w:t>
      </w:r>
    </w:p>
    <w:p>
      <w:pPr>
        <w:sectPr>
          <w:pgSz w:w="11900" w:h="16838" w:orient="portrait"/>
          <w:cols w:equalWidth="0" w:num="1">
            <w:col w:w="11240"/>
          </w:cols>
          <w:pgMar w:left="320" w:top="1417" w:right="339" w:bottom="1440" w:gutter="0" w:footer="0" w:header="0"/>
        </w:sectPr>
      </w:pPr>
    </w:p>
    <w:bookmarkStart w:id="172" w:name="page173"/>
    <w:bookmarkEnd w:id="17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such termination occurs prior to the 100% vesting of the Sign On Grant, such Sign On Grant shall vest immediately upon termination.</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left="840" w:hanging="391"/>
        <w:spacing w:after="0"/>
        <w:tabs>
          <w:tab w:leader="none" w:pos="840"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Without Cause</w:t>
      </w:r>
      <w:r>
        <w:rPr>
          <w:rFonts w:ascii="Arial" w:cs="Arial" w:eastAsia="Arial" w:hAnsi="Arial"/>
          <w:sz w:val="17"/>
          <w:szCs w:val="17"/>
          <w:color w:val="auto"/>
        </w:rPr>
        <w:t>. The Company may terminate Executive’s employment at any time without Cause (as such term is defined in subsection</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below) effective immediately upon delivery of written notice to Executive, which notice shall set forth the effective date of such termination.</w:t>
      </w:r>
    </w:p>
    <w:p>
      <w:pPr>
        <w:spacing w:after="0" w:line="222" w:lineRule="exact"/>
        <w:rPr>
          <w:rFonts w:ascii="Arial" w:cs="Arial" w:eastAsia="Arial" w:hAnsi="Arial"/>
          <w:sz w:val="17"/>
          <w:szCs w:val="17"/>
          <w:color w:val="auto"/>
        </w:rPr>
      </w:pPr>
    </w:p>
    <w:p>
      <w:pPr>
        <w:ind w:right="60" w:firstLine="449"/>
        <w:spacing w:after="0" w:line="277" w:lineRule="auto"/>
        <w:tabs>
          <w:tab w:leader="none" w:pos="82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With Cause</w:t>
      </w:r>
      <w:r>
        <w:rPr>
          <w:rFonts w:ascii="Arial" w:cs="Arial" w:eastAsia="Arial" w:hAnsi="Arial"/>
          <w:sz w:val="18"/>
          <w:szCs w:val="18"/>
          <w:color w:val="auto"/>
        </w:rPr>
        <w:t>. The Company may terminate Executive’s employment at any time for Cause effective immediately upon delivery of written notice to Executive. As used herein, the term “Cause” shall mean:</w:t>
      </w:r>
    </w:p>
    <w:p>
      <w:pPr>
        <w:spacing w:after="0" w:line="170" w:lineRule="exact"/>
        <w:rPr>
          <w:sz w:val="20"/>
          <w:szCs w:val="20"/>
          <w:color w:val="auto"/>
        </w:rPr>
      </w:pPr>
    </w:p>
    <w:p>
      <w:pPr>
        <w:ind w:right="360" w:firstLine="449"/>
        <w:spacing w:after="0" w:line="277" w:lineRule="auto"/>
        <w:tabs>
          <w:tab w:leader="none" w:pos="79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 shall have been convicted of, or pled guilty or nolo contendere to, a criminal offense involving allegations of fraud, dishonesty or physical harm during the term of this Agreement;</w:t>
      </w:r>
    </w:p>
    <w:p>
      <w:pPr>
        <w:spacing w:after="0" w:line="170" w:lineRule="exact"/>
        <w:rPr>
          <w:rFonts w:ascii="Arial" w:cs="Arial" w:eastAsia="Arial" w:hAnsi="Arial"/>
          <w:sz w:val="18"/>
          <w:szCs w:val="18"/>
          <w:color w:val="auto"/>
        </w:rPr>
      </w:pPr>
    </w:p>
    <w:p>
      <w:pPr>
        <w:ind w:right="120" w:firstLine="449"/>
        <w:spacing w:after="0" w:line="277" w:lineRule="auto"/>
        <w:tabs>
          <w:tab w:leader="none" w:pos="84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 is found (or is reasonably likely to be found) disqualified or not suitable to hold a casino or other gaming license by a governmental gaming authority in any jurisdiction where Executive is required to be found qualified, suitable or licensed;</w:t>
      </w:r>
    </w:p>
    <w:p>
      <w:pPr>
        <w:spacing w:after="0" w:line="170" w:lineRule="exact"/>
        <w:rPr>
          <w:rFonts w:ascii="Arial" w:cs="Arial" w:eastAsia="Arial" w:hAnsi="Arial"/>
          <w:sz w:val="18"/>
          <w:szCs w:val="18"/>
          <w:color w:val="auto"/>
        </w:rPr>
      </w:pPr>
    </w:p>
    <w:p>
      <w:pPr>
        <w:ind w:right="440" w:firstLine="449"/>
        <w:spacing w:after="0" w:line="308" w:lineRule="auto"/>
        <w:tabs>
          <w:tab w:leader="none" w:pos="89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Executive breaches any significant Company policy or term of this Agreement, including, without limitation, Sections 6 through 9 of this Agreement and, in each case, fails to cure such breach within 15 days after receipt of written notice thereof (to the extent curable);</w:t>
      </w:r>
    </w:p>
    <w:p>
      <w:pPr>
        <w:spacing w:after="0" w:line="146" w:lineRule="exact"/>
        <w:rPr>
          <w:rFonts w:ascii="Arial" w:cs="Arial" w:eastAsia="Arial" w:hAnsi="Arial"/>
          <w:sz w:val="17"/>
          <w:szCs w:val="17"/>
          <w:color w:val="auto"/>
        </w:rPr>
      </w:pPr>
    </w:p>
    <w:p>
      <w:pPr>
        <w:ind w:left="880" w:hanging="431"/>
        <w:spacing w:after="0"/>
        <w:tabs>
          <w:tab w:leader="none" w:pos="8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 misappropriates corporate funds or resources as determined in good faith by the Audit Committee of the Board;</w:t>
      </w:r>
    </w:p>
    <w:p>
      <w:pPr>
        <w:spacing w:after="0" w:line="225" w:lineRule="exact"/>
        <w:rPr>
          <w:rFonts w:ascii="Arial" w:cs="Arial" w:eastAsia="Arial" w:hAnsi="Arial"/>
          <w:sz w:val="18"/>
          <w:szCs w:val="18"/>
          <w:color w:val="auto"/>
        </w:rPr>
      </w:pPr>
    </w:p>
    <w:p>
      <w:pPr>
        <w:ind w:firstLine="449"/>
        <w:spacing w:after="0" w:line="308" w:lineRule="auto"/>
        <w:tabs>
          <w:tab w:leader="none" w:pos="83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Company determines in its reasonable discretion that Executive has failed to materially perform Executive’s duties with the Company (other than any such failure resulting from incapacity due to physical disability or mental illness) or in the case of repeated insubordination;</w:t>
      </w:r>
    </w:p>
    <w:p>
      <w:pPr>
        <w:spacing w:after="0" w:line="146" w:lineRule="exact"/>
        <w:rPr>
          <w:rFonts w:ascii="Arial" w:cs="Arial" w:eastAsia="Arial" w:hAnsi="Arial"/>
          <w:sz w:val="17"/>
          <w:szCs w:val="17"/>
          <w:color w:val="auto"/>
        </w:rPr>
      </w:pPr>
    </w:p>
    <w:p>
      <w:pPr>
        <w:ind w:right="760" w:firstLine="449"/>
        <w:spacing w:after="0" w:line="277" w:lineRule="auto"/>
        <w:tabs>
          <w:tab w:leader="none" w:pos="88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Company determines in its reasonable discretion that Executive has engaged in illegal conduct or gross misconduct which is or is reasonably expected to be materially injurious to the Company or one of its affiliates;</w:t>
      </w:r>
    </w:p>
    <w:p>
      <w:pPr>
        <w:spacing w:after="0" w:line="170" w:lineRule="exact"/>
        <w:rPr>
          <w:rFonts w:ascii="Arial" w:cs="Arial" w:eastAsia="Arial" w:hAnsi="Arial"/>
          <w:sz w:val="18"/>
          <w:szCs w:val="18"/>
          <w:color w:val="auto"/>
        </w:rPr>
      </w:pPr>
    </w:p>
    <w:p>
      <w:pPr>
        <w:ind w:left="940" w:hanging="491"/>
        <w:spacing w:after="0"/>
        <w:tabs>
          <w:tab w:leader="none" w:pos="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Executive’s death (this Agreement and Executive’s employment will terminate automatically upon Executive’s death); or</w:t>
      </w:r>
    </w:p>
    <w:p>
      <w:pPr>
        <w:spacing w:after="0" w:line="225" w:lineRule="exact"/>
        <w:rPr>
          <w:rFonts w:ascii="Arial" w:cs="Arial" w:eastAsia="Arial" w:hAnsi="Arial"/>
          <w:sz w:val="18"/>
          <w:szCs w:val="18"/>
          <w:color w:val="auto"/>
        </w:rPr>
      </w:pPr>
    </w:p>
    <w:p>
      <w:pPr>
        <w:ind w:right="720" w:firstLine="449"/>
        <w:spacing w:after="0" w:line="277" w:lineRule="auto"/>
        <w:tabs>
          <w:tab w:leader="none" w:pos="98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Executive’s inability to perform the essential functions of Executive’s job (with or without reasonable accommodation) by reason of disability, where such inability continues for a period of ninety (90) days continuously.</w:t>
      </w:r>
    </w:p>
    <w:p>
      <w:pPr>
        <w:spacing w:after="0" w:line="170" w:lineRule="exact"/>
        <w:rPr>
          <w:rFonts w:ascii="Arial" w:cs="Arial" w:eastAsia="Arial" w:hAnsi="Arial"/>
          <w:sz w:val="18"/>
          <w:szCs w:val="18"/>
          <w:color w:val="auto"/>
        </w:rPr>
      </w:pPr>
    </w:p>
    <w:p>
      <w:pPr>
        <w:ind w:right="680" w:firstLine="8"/>
        <w:spacing w:after="0" w:line="277"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Termination by Executive</w:t>
      </w:r>
      <w:r>
        <w:rPr>
          <w:rFonts w:ascii="Arial" w:cs="Arial" w:eastAsia="Arial" w:hAnsi="Arial"/>
          <w:sz w:val="18"/>
          <w:szCs w:val="18"/>
          <w:color w:val="auto"/>
        </w:rPr>
        <w:t>. Executive may voluntarily terminate employment for any reason effective upon 60 days’ prior written notice to the Company, in which case no severance payments or benefits shall be due.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Severance Pay and Benefits</w:t>
      </w:r>
      <w:r>
        <w:rPr>
          <w:rFonts w:ascii="Arial" w:cs="Arial" w:eastAsia="Arial" w:hAnsi="Arial"/>
          <w:sz w:val="17"/>
          <w:szCs w:val="17"/>
          <w:color w:val="auto"/>
        </w:rPr>
        <w:t>. Subject to the terms and conditions set forth in this Agreement, if Executive’s employment is terminated under</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Section 3(b) or by the Company’s non-renewal of Executive’s employment under this Agreement or substantially-similar terms, then the Company will provide Executive with the following severance pay and benefits (except in the event of a breach of the Release, as defined below); provided, for purposes of Section 409A, each payment of severance pay under this Section 5 shall be considered a separate payment:</w:t>
      </w:r>
    </w:p>
    <w:p>
      <w:pPr>
        <w:spacing w:after="0" w:line="173" w:lineRule="exact"/>
        <w:rPr>
          <w:sz w:val="20"/>
          <w:szCs w:val="20"/>
          <w:color w:val="auto"/>
        </w:rPr>
      </w:pPr>
    </w:p>
    <w:p>
      <w:pPr>
        <w:jc w:val="both"/>
        <w:ind w:right="60" w:firstLine="449"/>
        <w:spacing w:after="0" w:line="311" w:lineRule="auto"/>
        <w:tabs>
          <w:tab w:leader="none" w:pos="86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Amount of Post-Employment Base Salary</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Sections 5(d) and 22, the Company shall pay to Executive an amount equal to 18 months (the “Severance Period”) of base salary at the rate in effect on the date of Executive’s separation from service (the “Termination Date”). Such amount shall be paid in accordance with the Company’s regular payroll procedures for similarly situated executives following the Termination Date.</w:t>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98" w:lineRule="exact"/>
        <w:rPr>
          <w:sz w:val="20"/>
          <w:szCs w:val="20"/>
          <w:color w:val="auto"/>
        </w:rPr>
      </w:pPr>
    </w:p>
    <w:p>
      <w:pPr>
        <w:ind w:left="-8" w:right="180" w:firstLine="449"/>
        <w:spacing w:after="0" w:line="259" w:lineRule="auto"/>
        <w:tabs>
          <w:tab w:leader="none" w:pos="86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Amount of Post-Employment Bonus</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to the Post-Employment Base Salary provided under Section 5(a) above, the Company shall pay to Executive an amount equal to the product of 1.5 times the targeted amount of an annual cash bonus, at the rate in effect on the Termination Date. Such amount paid to Executive under this Section 5(b) shall be paid on the date such next bonus is paid to similarly-situated executives after the Termination Date.</w:t>
      </w:r>
    </w:p>
    <w:p>
      <w:pPr>
        <w:spacing w:after="0" w:line="1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49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jc w:val="both"/>
        <w:ind w:left="-8" w:right="20" w:firstLine="449"/>
        <w:spacing w:after="0" w:line="301" w:lineRule="auto"/>
        <w:tabs>
          <w:tab w:leader="none" w:pos="81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Continued Medical Benefits Coverage</w:t>
      </w:r>
      <w:r>
        <w:rPr>
          <w:rFonts w:ascii="Arial" w:cs="Arial" w:eastAsia="Arial" w:hAnsi="Arial"/>
          <w:sz w:val="16"/>
          <w:szCs w:val="16"/>
          <w:color w:val="auto"/>
        </w:rPr>
        <w:t>. During the Severance Period, Executive and Executive’s dependents will have the opportunity under the provisions of the Consolidated Omnibus Budget Reconciliation Act of 1986, as amended (“COBRA”) to elect COBRA continuation coverage. If Employee so elects and pays for COBRA coverage in a timely manner, the Company shall reimburse Executive for the cost of purchasing COBRA coverage through the end of the Severance Period (or until such earlier date as Executive and Executive’s dependents cease to receive COBRA coverage).</w:t>
      </w:r>
    </w:p>
    <w:p>
      <w:pPr>
        <w:spacing w:after="0" w:line="157" w:lineRule="exact"/>
        <w:rPr>
          <w:rFonts w:ascii="Arial" w:cs="Arial" w:eastAsia="Arial" w:hAnsi="Arial"/>
          <w:sz w:val="16"/>
          <w:szCs w:val="16"/>
          <w:color w:val="auto"/>
        </w:rPr>
      </w:pPr>
    </w:p>
    <w:p>
      <w:pPr>
        <w:ind w:left="-8" w:right="60" w:firstLine="449"/>
        <w:spacing w:after="0" w:line="255" w:lineRule="auto"/>
        <w:tabs>
          <w:tab w:leader="none" w:pos="82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Release Agreement</w:t>
      </w:r>
      <w:r>
        <w:rPr>
          <w:rFonts w:ascii="Arial" w:cs="Arial" w:eastAsia="Arial" w:hAnsi="Arial"/>
          <w:sz w:val="18"/>
          <w:szCs w:val="18"/>
          <w:color w:val="auto"/>
        </w:rPr>
        <w:t>. Executive’s entitlement to any severance pay and benefit entitlements under this Section 5 is conditioned upon Executive’s first entering into a release substantially in the form attached as Exhibit A (“Release”), the Release shall be delivered to Executive within 14 days after the Termination Date. Notwithstanding any other provision hereof, all severance payments to Executive shall be delayed until after the expiration of any applicable revocation period with respect to the release, but in the event the applicable revocation period spans two calendar years, the payments shall commence in the second calendar year. Executive also acknowledges that any severance pay under this Section 5 is subject to the Company’s then-current Executive Incentive Compensation Recoupment Policy.</w:t>
      </w:r>
    </w:p>
    <w:p>
      <w:pPr>
        <w:spacing w:after="0" w:line="192" w:lineRule="exact"/>
        <w:rPr>
          <w:sz w:val="20"/>
          <w:szCs w:val="20"/>
          <w:color w:val="auto"/>
        </w:rPr>
      </w:pPr>
    </w:p>
    <w:p>
      <w:pPr>
        <w:ind w:left="-8" w:firstLine="449"/>
        <w:spacing w:after="0" w:line="272" w:lineRule="auto"/>
        <w:tabs>
          <w:tab w:leader="none" w:pos="793"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No Conflicts of Interest</w:t>
      </w:r>
      <w:r>
        <w:rPr>
          <w:rFonts w:ascii="Arial" w:cs="Arial" w:eastAsia="Arial" w:hAnsi="Arial"/>
          <w:sz w:val="17"/>
          <w:szCs w:val="17"/>
          <w:color w:val="auto"/>
        </w:rPr>
        <w:t>. Executive agrees that throughout the period of Executive’s employment hereunder, Executive will not perform any activities or services, or accept other employment, that would materially interfere with or present a conflict of interest concerning Executive’s employment with the Company. Executive agrees and acknowledges that Executive’s employment is conditioned upon Executive adhering to and complying with the business practices and requirements of ethical conduct set forth in writing from time to time by the Company in its employee manual, code of conduct or similar publication. Executive represents and warrants that no other contract, agreement or understanding to which Executive is a party or may be subject to will be violated by the execution of this Agreement by Executive. Executive further agrees to not accept any position on the board of a for-profit company without the written consent of the Penn National Gaming, Inc. Chief Executive Officer.</w:t>
      </w:r>
    </w:p>
    <w:p>
      <w:pPr>
        <w:spacing w:after="0" w:line="177" w:lineRule="exact"/>
        <w:rPr>
          <w:rFonts w:ascii="Arial" w:cs="Arial" w:eastAsia="Arial" w:hAnsi="Arial"/>
          <w:sz w:val="17"/>
          <w:szCs w:val="17"/>
          <w:color w:val="auto"/>
        </w:rPr>
      </w:pPr>
    </w:p>
    <w:p>
      <w:pPr>
        <w:ind w:left="792" w:hanging="351"/>
        <w:spacing w:after="0"/>
        <w:tabs>
          <w:tab w:leader="none" w:pos="79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8" w:right="180" w:firstLine="449"/>
        <w:spacing w:after="0" w:line="255" w:lineRule="auto"/>
        <w:tabs>
          <w:tab w:leader="none" w:pos="812"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“Confidential Information” means data and information relating to the business of the Company or its affiliates, (i) which the Company or its affiliates have disclosed to Executive, or of which Executive became aware as a consequence of or in the course of Executive’s employment with the Company, (ii) which have value to the Company or its affiliates, and (iii) which are not generally known to its competitors. Confidential Information will not include any data or information that the Company or its affiliates have voluntarily disclosed to the public (except where Executive made or caused that public disclosure without authorization), that others have independently developed and disclosed to the public, or that otherwise enters the public domain through lawful means.</w:t>
      </w:r>
    </w:p>
    <w:p>
      <w:pPr>
        <w:spacing w:after="0" w:line="192" w:lineRule="exact"/>
        <w:rPr>
          <w:rFonts w:ascii="Arial" w:cs="Arial" w:eastAsia="Arial" w:hAnsi="Arial"/>
          <w:sz w:val="18"/>
          <w:szCs w:val="18"/>
          <w:color w:val="auto"/>
        </w:rPr>
      </w:pPr>
    </w:p>
    <w:p>
      <w:pPr>
        <w:ind w:left="-8" w:right="100" w:firstLine="449"/>
        <w:spacing w:after="0" w:line="286" w:lineRule="auto"/>
        <w:tabs>
          <w:tab w:leader="none" w:pos="822"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Executive agrees to treat as confidential and will not, without the prior written approval of the Company in each instance, directly or indirectly use (other than in the performance of Executive’s duties of employment with the Company or its affiliates), publish, disclose, copyright or authorize anyone else to use, publish, disclose or copyright, any Confidential Information obtained during Employee’s employment with the Company or its affiliates, whether or not the Confidential Information is in written or other tangible form. This restriction will continue to apply for a period of two</w:t>
      </w:r>
    </w:p>
    <w:p>
      <w:pPr>
        <w:spacing w:after="0" w:line="1" w:lineRule="exact"/>
        <w:rPr>
          <w:rFonts w:ascii="Arial" w:cs="Arial" w:eastAsia="Arial" w:hAnsi="Arial"/>
          <w:sz w:val="16"/>
          <w:szCs w:val="16"/>
          <w:color w:val="auto"/>
        </w:rPr>
      </w:pPr>
    </w:p>
    <w:p>
      <w:pPr>
        <w:ind w:left="-8" w:right="340" w:firstLine="8"/>
        <w:spacing w:after="0" w:line="255" w:lineRule="auto"/>
        <w:tabs>
          <w:tab w:leader="none" w:pos="2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years after the Termination Date. Executive acknowledges and agrees that the prohibitions against disclosure and use of Confidential Information recited in this section are in addition to, and not in lieu of, any rights or remedies that the Company or its affiliates may have available under applicable laws.</w:t>
      </w:r>
    </w:p>
    <w:p>
      <w:pPr>
        <w:spacing w:after="0" w:line="1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32"/>
          </w:cols>
          <w:pgMar w:left="328" w:top="1440" w:right="339" w:bottom="1440" w:gutter="0" w:footer="0" w:header="0"/>
        </w:sectPr>
      </w:pPr>
    </w:p>
    <w:bookmarkStart w:id="174" w:name="page175"/>
    <w:bookmarkEnd w:id="17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800" w:hanging="351"/>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sz w:val="20"/>
          <w:szCs w:val="20"/>
          <w:color w:val="auto"/>
        </w:rPr>
      </w:pPr>
    </w:p>
    <w:p>
      <w:pPr>
        <w:ind w:right="120" w:firstLine="449"/>
        <w:spacing w:after="0" w:line="311" w:lineRule="auto"/>
        <w:tabs>
          <w:tab w:leader="none" w:pos="81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As used in this Section 8, the term “Restriction Period” shall mean a period equal to: (i) the six-month period immediately following the Termination Date if Executive’s employment terminates under circumstances where Executive is not entitled to payments under Section 5 or 10 or (ii) the Severance Period if Executive’s employment terminates under circumstances where Executive is entitled to payments under Section 5 or 10.</w:t>
      </w:r>
    </w:p>
    <w:p>
      <w:pPr>
        <w:spacing w:after="0" w:line="148" w:lineRule="exact"/>
        <w:rPr>
          <w:rFonts w:ascii="Arial" w:cs="Arial" w:eastAsia="Arial" w:hAnsi="Arial"/>
          <w:sz w:val="16"/>
          <w:szCs w:val="16"/>
          <w:color w:val="auto"/>
        </w:rPr>
      </w:pPr>
    </w:p>
    <w:p>
      <w:pPr>
        <w:ind w:right="20" w:firstLine="449"/>
        <w:spacing w:after="0" w:line="254" w:lineRule="auto"/>
        <w:tabs>
          <w:tab w:leader="none" w:pos="8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the term of this Agreement and for the duration of the Restriction Period thereafter, Executive shall not, except with the prior written consent of the Company, directly or indirectly, own, manage, operate, join, control, finance or participate in the ownership, management, operation, control or financing of, or be connected as an officer, director, employee, partner, principal, agent, representative, consultant or otherwise with, or use or permit Executive’s name to be used in connection with, any Competing Business. A “Competing Business” includes any business enterprise which owns or operates, or is publicly seeking to own or operate, a gaming facility located within 150 miles of any facility in which Company or its affiliates owns or operates or is actively seeking to own or operate a facility at such time (the “Restricted Area”). Executive acknowledges that any business which offers gaming, racing, sports wagering or internet real money / social gaming, and which markets to any customers in the Restricted Area, is a Competing Business.</w:t>
      </w:r>
    </w:p>
    <w:p>
      <w:pPr>
        <w:spacing w:after="0" w:line="191" w:lineRule="exact"/>
        <w:rPr>
          <w:rFonts w:ascii="Arial" w:cs="Arial" w:eastAsia="Arial" w:hAnsi="Arial"/>
          <w:sz w:val="18"/>
          <w:szCs w:val="18"/>
          <w:color w:val="auto"/>
        </w:rPr>
      </w:pPr>
    </w:p>
    <w:p>
      <w:pPr>
        <w:ind w:right="80" w:firstLine="449"/>
        <w:spacing w:after="0" w:line="275" w:lineRule="auto"/>
        <w:tabs>
          <w:tab w:leader="none" w:pos="81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foregoing restrictions shall not be construed to prohibit Executive’s ownership of less than 5% of any class of securities of any corporation which is engaged in any of the foregoing businesses and has a class of securities registered pursuant to the Securities Exchange Act of 1934, provided that such ownership represents a passive investment and that neither Executive nor any group of persons including Executive in any way, either directly or indirectly, manages or exercises control of any such corporation, guarantees any of its financial obligations, otherwise takes any part in its business, other than exercising Executive’s rights as a shareholder, or seeks to do any of the foregoing.</w:t>
      </w:r>
    </w:p>
    <w:p>
      <w:pPr>
        <w:spacing w:after="0" w:line="176" w:lineRule="exact"/>
        <w:rPr>
          <w:rFonts w:ascii="Arial" w:cs="Arial" w:eastAsia="Arial" w:hAnsi="Arial"/>
          <w:sz w:val="17"/>
          <w:szCs w:val="17"/>
          <w:color w:val="auto"/>
        </w:rPr>
      </w:pPr>
    </w:p>
    <w:p>
      <w:pPr>
        <w:ind w:right="260" w:firstLine="449"/>
        <w:spacing w:after="0" w:line="259" w:lineRule="auto"/>
        <w:tabs>
          <w:tab w:leader="none" w:pos="8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Executive acknowledges that the covenants contained in Sections 7 through 9 hereof are reasonable and necessary to protect the legitimate interests of the Company and its affiliates and, in particular, that the duration and geographic scope of such covenants are reasonable given the nature of this Agreement and the position that Executive will hold within the Company. Executive further agrees to disclose the existence and terms of such covenants to any employer that Executive works for during the Restriction Period.</w:t>
      </w:r>
    </w:p>
    <w:p>
      <w:pPr>
        <w:spacing w:after="0" w:line="187" w:lineRule="exact"/>
        <w:rPr>
          <w:sz w:val="20"/>
          <w:szCs w:val="20"/>
          <w:color w:val="auto"/>
        </w:rPr>
      </w:pPr>
    </w:p>
    <w:p>
      <w:pPr>
        <w:jc w:val="both"/>
        <w:ind w:firstLine="449"/>
        <w:spacing w:after="0" w:line="301" w:lineRule="auto"/>
        <w:tabs>
          <w:tab w:leader="none" w:pos="80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Executive will not, except with the prior written consent of the Company, during the term of this Agreement and for a period of 18 months after the Termination Date, directly or indirectly, solicit or hire, or encourage the solicitation or hiring of, any person who is, or was within a six month period prior to such solicitation or hiring, an executive or management (or higher) level employee of the Company or any of its affiliates, for any position as an employee, independent contractor, consultant or otherwise for the benefit of any entity not affiliated with the Company.</w:t>
      </w:r>
    </w:p>
    <w:p>
      <w:pPr>
        <w:spacing w:after="0" w:line="157" w:lineRule="exact"/>
        <w:rPr>
          <w:rFonts w:ascii="Arial" w:cs="Arial" w:eastAsia="Arial" w:hAnsi="Arial"/>
          <w:sz w:val="16"/>
          <w:szCs w:val="16"/>
          <w:color w:val="auto"/>
        </w:rPr>
      </w:pPr>
    </w:p>
    <w:p>
      <w:pPr>
        <w:ind w:left="900" w:hanging="451"/>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right="660" w:firstLine="449"/>
        <w:spacing w:after="0" w:line="277" w:lineRule="auto"/>
        <w:tabs>
          <w:tab w:leader="none" w:pos="8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The term Change of Control (“COC”) shall have the meaning given to such term in the Company’s then current Long Term Incentive Compensation Plan.</w:t>
      </w:r>
    </w:p>
    <w:p>
      <w:pPr>
        <w:spacing w:after="0" w:line="170" w:lineRule="exact"/>
        <w:rPr>
          <w:rFonts w:ascii="Arial" w:cs="Arial" w:eastAsia="Arial" w:hAnsi="Arial"/>
          <w:sz w:val="18"/>
          <w:szCs w:val="18"/>
          <w:color w:val="auto"/>
        </w:rPr>
      </w:pPr>
    </w:p>
    <w:p>
      <w:pPr>
        <w:ind w:right="80" w:firstLine="449"/>
        <w:spacing w:after="0" w:line="291" w:lineRule="auto"/>
        <w:tabs>
          <w:tab w:leader="none" w:pos="83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In the event of a Change of Control, and either (A) Executive’s employment is terminated without Cause within 12 months after the effective date of the Change of Control or (B) Executive resigns from employment for Post-COC Good Reason (as such term is defined in subsection</w:t>
      </w:r>
    </w:p>
    <w:p>
      <w:pPr>
        <w:ind w:left="240" w:hanging="232"/>
        <w:spacing w:after="0"/>
        <w:tabs>
          <w:tab w:leader="none" w:pos="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below) within 12 months after the effective date of the Change of Control (the effective date of such</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termination or resignation, the “Trigger Date”), Executive shall be entitled to receive a cash payment in an amount equal to the product of two times the sum of the Executive’s: (i) base salary and (ii) targeted amount of annual cash bonus, at the rate in effect coincident with the Change of Control or the Trigger Date, whichever is greater. Such</w:t>
      </w:r>
    </w:p>
    <w:p>
      <w:pPr>
        <w:sectPr>
          <w:pgSz w:w="11900" w:h="16838" w:orient="portrait"/>
          <w:cols w:equalWidth="0" w:num="1">
            <w:col w:w="11200"/>
          </w:cols>
          <w:pgMar w:left="320" w:top="1440" w:right="379" w:bottom="1440" w:gutter="0" w:footer="0" w:header="0"/>
        </w:sectPr>
      </w:pPr>
    </w:p>
    <w:bookmarkStart w:id="175" w:name="page176"/>
    <w:bookmarkEnd w:id="175"/>
    <w:p>
      <w:pPr>
        <w:ind w:right="80"/>
        <w:spacing w:after="0" w:line="277" w:lineRule="auto"/>
        <w:rPr>
          <w:sz w:val="20"/>
          <w:szCs w:val="20"/>
          <w:color w:val="auto"/>
        </w:rPr>
      </w:pPr>
      <w:r>
        <w:rPr>
          <w:rFonts w:ascii="Arial" w:cs="Arial" w:eastAsia="Arial" w:hAnsi="Arial"/>
          <w:sz w:val="18"/>
          <w:szCs w:val="18"/>
          <w:color w:val="auto"/>
        </w:rPr>
        <w:t>payment shall be in lieu of any payment to which Executive would be entitled under Section 5, provided that Executive shall also be entitled to receive the benefits set forth in Section 5(c).</w:t>
      </w:r>
    </w:p>
    <w:p>
      <w:pPr>
        <w:spacing w:after="0" w:line="170" w:lineRule="exact"/>
        <w:rPr>
          <w:sz w:val="20"/>
          <w:szCs w:val="20"/>
          <w:color w:val="auto"/>
        </w:rPr>
      </w:pPr>
    </w:p>
    <w:p>
      <w:pPr>
        <w:ind w:right="60" w:firstLine="449"/>
        <w:spacing w:after="0" w:line="308" w:lineRule="auto"/>
        <w:tabs>
          <w:tab w:leader="none" w:pos="82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Restrictive Provisions</w:t>
      </w:r>
      <w:r>
        <w:rPr>
          <w:rFonts w:ascii="Arial" w:cs="Arial" w:eastAsia="Arial" w:hAnsi="Arial"/>
          <w:sz w:val="17"/>
          <w:szCs w:val="17"/>
          <w:color w:val="auto"/>
        </w:rPr>
        <w:t>. As consideration for the payments under Sections 10(b) or 5, Executive agrees not to challenge the enforceability of any of the restrictions contained in Sections 7, 8 or 9 of this Agreement upon or after the occurrence of a Change of Control.</w:t>
      </w:r>
    </w:p>
    <w:p>
      <w:pPr>
        <w:spacing w:after="0" w:line="146" w:lineRule="exact"/>
        <w:rPr>
          <w:rFonts w:ascii="Arial" w:cs="Arial" w:eastAsia="Arial" w:hAnsi="Arial"/>
          <w:sz w:val="17"/>
          <w:szCs w:val="17"/>
          <w:color w:val="auto"/>
        </w:rPr>
      </w:pPr>
    </w:p>
    <w:p>
      <w:pPr>
        <w:ind w:right="480" w:firstLine="449"/>
        <w:spacing w:after="0" w:line="279" w:lineRule="auto"/>
        <w:tabs>
          <w:tab w:leader="none" w:pos="83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Release Agreement and Payment Terms</w:t>
      </w:r>
      <w:r>
        <w:rPr>
          <w:rFonts w:ascii="Arial" w:cs="Arial" w:eastAsia="Arial" w:hAnsi="Arial"/>
          <w:sz w:val="17"/>
          <w:szCs w:val="17"/>
          <w:color w:val="auto"/>
        </w:rPr>
        <w:t>. Executive’s entitlement to any severance pay and benefit entitlements under this Section 10 is conditioned upon Executive’s first entering into a Release as provided by the Company to Executive. Notwithstanding any other provision hereof, all payments to Executive shall be delayed until after the expiration of any applicable revocation period with respect to the Release, but in the event the applicable revocation period spans two calendar years, the payments shall commence in the second calendar year.</w:t>
      </w:r>
    </w:p>
    <w:p>
      <w:pPr>
        <w:spacing w:after="0" w:line="171" w:lineRule="exact"/>
        <w:rPr>
          <w:rFonts w:ascii="Arial" w:cs="Arial" w:eastAsia="Arial" w:hAnsi="Arial"/>
          <w:sz w:val="17"/>
          <w:szCs w:val="17"/>
          <w:color w:val="auto"/>
        </w:rPr>
      </w:pPr>
    </w:p>
    <w:p>
      <w:pPr>
        <w:ind w:right="60" w:firstLine="449"/>
        <w:spacing w:after="0" w:line="275" w:lineRule="auto"/>
        <w:tabs>
          <w:tab w:leader="none" w:pos="820"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Certain Other Terms</w:t>
      </w:r>
      <w:r>
        <w:rPr>
          <w:rFonts w:ascii="Arial" w:cs="Arial" w:eastAsia="Arial" w:hAnsi="Arial"/>
          <w:sz w:val="17"/>
          <w:szCs w:val="17"/>
          <w:color w:val="auto"/>
        </w:rPr>
        <w:t>. In the event that the Company announces that it has signed a definitive agreement with respect to a Change of Control or any potential acquirer has publicly announced its intent to consummate a Change of Control with respect to the Company, the provisions of this Section 10 shall continue to apply to Executive if, during the period after the public announcement and immediately preceding the date such transaction is consummated or terminated, the Company terminates Executive’s employment without Cause; provided, however, that, in such event, any amount payable under this Section 10 shall be reduced by any payments received pursuant to Section 5.</w:t>
      </w:r>
    </w:p>
    <w:p>
      <w:pPr>
        <w:spacing w:after="0" w:line="176" w:lineRule="exact"/>
        <w:rPr>
          <w:rFonts w:ascii="Arial" w:cs="Arial" w:eastAsia="Arial" w:hAnsi="Arial"/>
          <w:sz w:val="17"/>
          <w:szCs w:val="17"/>
          <w:color w:val="auto"/>
        </w:rPr>
      </w:pPr>
    </w:p>
    <w:p>
      <w:pPr>
        <w:ind w:right="140" w:firstLine="449"/>
        <w:spacing w:after="0" w:line="272" w:lineRule="auto"/>
        <w:tabs>
          <w:tab w:leader="none" w:pos="801"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Post-COC Good Reason</w:t>
      </w:r>
      <w:r>
        <w:rPr>
          <w:rFonts w:ascii="Arial" w:cs="Arial" w:eastAsia="Arial" w:hAnsi="Arial"/>
          <w:sz w:val="17"/>
          <w:szCs w:val="17"/>
          <w:color w:val="auto"/>
        </w:rPr>
        <w:t>. As used herein, the term “Post-COC Good Reason” shall mean the occurrence of any of the following events that the Company fails to cure within 10 days after receiving written notice thereof from Executive (which notice must be delivered within 30 days of Executive becoming aware of the applicable event or circumstance): (i) assignment to Executive of any duties inconsistent in any material respect with Executive’s position (including status, titles and reporting requirements), authority, duties or responsibilities or inconsistent with Executive’s legal or fiduciary obligations; (ii) any reduction in Executive’s compensation or substantial reduction in Executive’s benefits taken as a whole; (iii) any travel requirements materially greater than Executive’s travel requirements prior to the Change of Control; (iv) an office relocation of greater than 50 miles from Executive’s then current office or (v) any breach of any material term of this Agreement by the Company.</w:t>
      </w:r>
    </w:p>
    <w:p>
      <w:pPr>
        <w:spacing w:after="0" w:line="177" w:lineRule="exact"/>
        <w:rPr>
          <w:sz w:val="20"/>
          <w:szCs w:val="20"/>
          <w:color w:val="auto"/>
        </w:rPr>
      </w:pPr>
    </w:p>
    <w:p>
      <w:pPr>
        <w:ind w:firstLine="449"/>
        <w:spacing w:after="0" w:line="301" w:lineRule="auto"/>
        <w:tabs>
          <w:tab w:leader="none" w:pos="839"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Property Surrender</w:t>
      </w:r>
      <w:r>
        <w:rPr>
          <w:rFonts w:ascii="Arial" w:cs="Arial" w:eastAsia="Arial" w:hAnsi="Arial"/>
          <w:sz w:val="16"/>
          <w:szCs w:val="16"/>
          <w:color w:val="auto"/>
        </w:rPr>
        <w:t>. Upon termination of Executive’s employment for any reason, Executive shall immediately surrender and deliver to the Company all property that belongs to the Company, including, but not limited to, any keys, equipment, computers, phones, credit cards, disk drives and any documents, correspondence and other information, including all Confidential Information, of any type whatsoever, from the Company or any of its agents, servants, employees, suppliers, and existing or potential customers, that came into Executive’s possession by any means during the course of employment.</w:t>
      </w:r>
    </w:p>
    <w:p>
      <w:pPr>
        <w:spacing w:after="0" w:line="157" w:lineRule="exact"/>
        <w:rPr>
          <w:rFonts w:ascii="Arial" w:cs="Arial" w:eastAsia="Arial" w:hAnsi="Arial"/>
          <w:sz w:val="16"/>
          <w:szCs w:val="16"/>
          <w:color w:val="auto"/>
        </w:rPr>
      </w:pPr>
    </w:p>
    <w:p>
      <w:pPr>
        <w:ind w:right="160" w:firstLine="449"/>
        <w:spacing w:after="0" w:line="277" w:lineRule="auto"/>
        <w:tabs>
          <w:tab w:leader="none" w:pos="84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(and not the law of conflicts) of the Commonwealth of Pennsylvania.</w:t>
      </w:r>
    </w:p>
    <w:p>
      <w:pPr>
        <w:spacing w:after="0" w:line="170" w:lineRule="exact"/>
        <w:rPr>
          <w:rFonts w:ascii="Arial" w:cs="Arial" w:eastAsia="Arial" w:hAnsi="Arial"/>
          <w:sz w:val="18"/>
          <w:szCs w:val="18"/>
          <w:color w:val="auto"/>
        </w:rPr>
      </w:pPr>
    </w:p>
    <w:p>
      <w:pPr>
        <w:ind w:right="20" w:firstLine="449"/>
        <w:spacing w:after="0" w:line="259" w:lineRule="auto"/>
        <w:tabs>
          <w:tab w:leader="none" w:pos="84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parties hereby irrevocably consent to the jurisdiction of the courts of the Commonwealth of Pennsylvania for all purposes in connection with any action or proceeding which arises out of or relates to this Agreement and agree that any action instituted under this Agreement shall be commenced, prosecuted and continued only in the state or federal courts having jurisdiction for matters arising in Wyomissing, Pennsylvania, which shall be the exclusive and only proper forum for adjudicating such a claim.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firstLine="449"/>
        <w:spacing w:after="0" w:line="259" w:lineRule="auto"/>
        <w:tabs>
          <w:tab w:leader="none" w:pos="84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under this Agreement or necessary or convenient in connection herewith shall be in writing and shall be deemed to have been given when hand delivered, delivered by guaranteed next-day delivery or shall be deemed given on the third business day when mailed by registered or certified mail, as follows (provided that notice of change of address shall be deemed given only when received):</w:t>
      </w:r>
    </w:p>
    <w:p>
      <w:pPr>
        <w:sectPr>
          <w:pgSz w:w="11900" w:h="16838" w:orient="portrait"/>
          <w:cols w:equalWidth="0" w:num="1">
            <w:col w:w="11220"/>
          </w:cols>
          <w:pgMar w:left="320" w:top="1421" w:right="359" w:bottom="1440" w:gutter="0" w:footer="0" w:header="0"/>
        </w:sectPr>
      </w:pPr>
    </w:p>
    <w:bookmarkStart w:id="176" w:name="page177"/>
    <w:bookmarkEnd w:id="176"/>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Penn National Gaming,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825 Berkshire Boulevard, Suite 200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Wyomissing, Pennsylvania 19610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Chief Executive Officer (with a copy to the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Executive,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Executive’s then current home address as provided by Executive to the Company.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 to such other names or addresses as the Company or Executive, as the case may be, shall designate by notice to each other person entitled to receive notices in the manner specified in this Section 14.</w:t>
      </w:r>
    </w:p>
    <w:p>
      <w:pPr>
        <w:spacing w:after="0" w:line="170" w:lineRule="exact"/>
        <w:rPr>
          <w:sz w:val="20"/>
          <w:szCs w:val="20"/>
          <w:color w:val="auto"/>
        </w:rPr>
      </w:pPr>
    </w:p>
    <w:p>
      <w:pPr>
        <w:ind w:firstLine="449"/>
        <w:spacing w:after="0" w:line="255" w:lineRule="auto"/>
        <w:tabs>
          <w:tab w:leader="none" w:pos="84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Contents of Agreement; Amendment and Assignment</w:t>
      </w:r>
      <w:r>
        <w:rPr>
          <w:rFonts w:ascii="Arial" w:cs="Arial" w:eastAsia="Arial" w:hAnsi="Arial"/>
          <w:sz w:val="18"/>
          <w:szCs w:val="18"/>
          <w:color w:val="auto"/>
        </w:rPr>
        <w:t>. This Agreement sets forth the entire understanding between the parties hereto with respect to the subject matter hereof and supersedes all prior or contemporaneous agreements or understandings with respect to thereto. This Agreement cannot be changed, modified, extended, waived or terminated except upon a written instrument signed by the party against which it is to be enforced. Executive may not assign any of Executive’s rights or obligations under this Agreement. The Company may assign its rights and obligations under this Agreement to any successor to all or substantially all of its assets or business by means of liquidation, dissolution, merger, consolidation, transfer of assets, stock transfer or otherwise.</w:t>
      </w:r>
    </w:p>
    <w:p>
      <w:pPr>
        <w:spacing w:after="0" w:line="192" w:lineRule="exact"/>
        <w:rPr>
          <w:rFonts w:ascii="Arial" w:cs="Arial" w:eastAsia="Arial" w:hAnsi="Arial"/>
          <w:sz w:val="18"/>
          <w:szCs w:val="18"/>
          <w:color w:val="auto"/>
        </w:rPr>
      </w:pPr>
    </w:p>
    <w:p>
      <w:pPr>
        <w:ind w:right="60" w:firstLine="449"/>
        <w:spacing w:after="0" w:line="254" w:lineRule="auto"/>
        <w:tabs>
          <w:tab w:leader="none" w:pos="84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thereof to anyone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 In addition, if any court determines that any part of Sections 7, 8 or 9 hereof is unenforceable because of its duration, geographical scope or otherwise, such court will have the power to modify such provision and, in its modified form, such provision will then be enforceable.</w:t>
      </w:r>
    </w:p>
    <w:p>
      <w:pPr>
        <w:spacing w:after="0" w:line="194" w:lineRule="exact"/>
        <w:rPr>
          <w:rFonts w:ascii="Arial" w:cs="Arial" w:eastAsia="Arial" w:hAnsi="Arial"/>
          <w:sz w:val="18"/>
          <w:szCs w:val="18"/>
          <w:color w:val="auto"/>
        </w:rPr>
      </w:pPr>
    </w:p>
    <w:p>
      <w:pPr>
        <w:ind w:right="100" w:firstLine="449"/>
        <w:spacing w:after="0" w:line="272" w:lineRule="auto"/>
        <w:tabs>
          <w:tab w:leader="none" w:pos="84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 Executive acknowledges that money damages would not be a sufficient remedy for any breach of this Agreement by Executive and that the Company shall be entitled to specific performance and injunctive relief as remedies for any such breach, in addition to all other remedies available at law or equity to the Company.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ind w:right="60" w:firstLine="449"/>
        <w:spacing w:after="0" w:line="286" w:lineRule="auto"/>
        <w:tabs>
          <w:tab w:leader="none" w:pos="846"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This Agreement is the result of thoughtful negotiations and reflects an arms’ length bargain between two sophisticated parties, each with an opportunity to be represented by counsel. The parties agree that, if this Agreement requires interpretation, neither party should be considered “the drafter” nor be entitled to any presumption that any ambiguities are to be resolved in such party’s favor.</w:t>
      </w:r>
    </w:p>
    <w:p>
      <w:pPr>
        <w:spacing w:after="0" w:line="165" w:lineRule="exact"/>
        <w:rPr>
          <w:rFonts w:ascii="Arial" w:cs="Arial" w:eastAsia="Arial" w:hAnsi="Arial"/>
          <w:sz w:val="17"/>
          <w:szCs w:val="17"/>
          <w:color w:val="auto"/>
        </w:rPr>
      </w:pPr>
    </w:p>
    <w:p>
      <w:pPr>
        <w:ind w:right="40" w:firstLine="449"/>
        <w:spacing w:after="0" w:line="257" w:lineRule="auto"/>
        <w:tabs>
          <w:tab w:leader="none" w:pos="84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Beneficiaries/References</w:t>
      </w:r>
      <w:r>
        <w:rPr>
          <w:rFonts w:ascii="Arial" w:cs="Arial" w:eastAsia="Arial" w:hAnsi="Arial"/>
          <w:sz w:val="18"/>
          <w:szCs w:val="18"/>
          <w:color w:val="auto"/>
        </w:rPr>
        <w:t>. Executive shall be entitled, to the extent permitted under any applicable law, to select and change a beneficiary or beneficiaries to receive any compensation or benefit payable under this Agreement following Executive’s death or incapacity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 Except as provided in this provision or Company affiliates, no third party beneficiaries are intended.</w:t>
      </w:r>
    </w:p>
    <w:p>
      <w:pPr>
        <w:sectPr>
          <w:pgSz w:w="11900" w:h="16838" w:orient="portrait"/>
          <w:cols w:equalWidth="0" w:num="1">
            <w:col w:w="11160"/>
          </w:cols>
          <w:pgMar w:left="320" w:top="1440" w:right="419" w:bottom="1440" w:gutter="0" w:footer="0" w:header="0"/>
        </w:sectPr>
      </w:pPr>
    </w:p>
    <w:bookmarkStart w:id="177" w:name="page178"/>
    <w:bookmarkEnd w:id="177"/>
    <w:p>
      <w:pPr>
        <w:spacing w:after="0" w:line="198" w:lineRule="exact"/>
        <w:rPr>
          <w:sz w:val="20"/>
          <w:szCs w:val="20"/>
          <w:color w:val="auto"/>
        </w:rPr>
      </w:pPr>
    </w:p>
    <w:p>
      <w:pPr>
        <w:ind w:right="180" w:firstLine="449"/>
        <w:spacing w:after="0" w:line="259" w:lineRule="auto"/>
        <w:tabs>
          <w:tab w:leader="none" w:pos="84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w:t>
      </w:r>
    </w:p>
    <w:p>
      <w:pPr>
        <w:spacing w:after="0" w:line="186" w:lineRule="exact"/>
        <w:rPr>
          <w:rFonts w:ascii="Arial" w:cs="Arial" w:eastAsia="Arial" w:hAnsi="Arial"/>
          <w:sz w:val="18"/>
          <w:szCs w:val="18"/>
          <w:color w:val="auto"/>
        </w:rPr>
      </w:pPr>
    </w:p>
    <w:p>
      <w:pPr>
        <w:ind w:firstLine="449"/>
        <w:spacing w:after="0" w:line="342" w:lineRule="auto"/>
        <w:tabs>
          <w:tab w:leader="none" w:pos="84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The terms and provisions hereof shall be conditioned on and subject to compliance with all laws, rules, and regulations of all jurisdictions, or agencies, boards or commissions thereof, having regulatory jurisdiction over the employment or activities of Executive hereunder.</w:t>
      </w:r>
    </w:p>
    <w:p>
      <w:pPr>
        <w:spacing w:after="0" w:line="123" w:lineRule="exact"/>
        <w:rPr>
          <w:rFonts w:ascii="Arial" w:cs="Arial" w:eastAsia="Arial" w:hAnsi="Arial"/>
          <w:sz w:val="16"/>
          <w:szCs w:val="16"/>
          <w:color w:val="auto"/>
        </w:rPr>
      </w:pPr>
    </w:p>
    <w:p>
      <w:pPr>
        <w:ind w:right="100" w:firstLine="449"/>
        <w:spacing w:after="0" w:line="287" w:lineRule="auto"/>
        <w:tabs>
          <w:tab w:leader="none" w:pos="84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payments due under this Agreement are intended to be exempt from Code Section 409A, but to the extent that such payments are not exempt, this Agreement is intended to comply with the requirements of Section 409A and shall be construed accordingly. Any payments or distributions to be made to Executive under this Agreement upon a separation from service (as defined in Section 409A) of amounts classified as “nonqualified deferred compensation” for purposes of Code Section 409A and do not satisfy an exemption from the time and form of payment requirements of Section 409A, shall in no event be made or commence until six months after such separation from service if Executive is a specified employee (as defined in Section 409A). Each payment of nonqualified deferred compensation under this Agreement shall be treated as a separate payment for purposes of Code Section 409A. Any reimbursements made pursuant to this Agreement shall be paid as soon as practicable but no later than 90 days after Executive submits evidence of such expenses to the Company (which payment date shall in no event be later than the last day of the calendar year following the calendar year in which the expense was incurred). The amount of such reimbursements during any calendar year shall not affect the benefits provided in any other calendar year, and the right to any such benefits shall not be subject to liquidation or exchange for another benefit. Notwithstanding anything herein to the contrary, the Company shall not have any liability to the Executive or to any other person if the payments and benefits provided in this Agreement that are intended to be exempt from or compliant with Code Section 409A are not so exempt or compliant.</w:t>
      </w:r>
    </w:p>
    <w:p>
      <w:pPr>
        <w:spacing w:after="0" w:line="167" w:lineRule="exact"/>
        <w:rPr>
          <w:rFonts w:ascii="Arial" w:cs="Arial" w:eastAsia="Arial" w:hAnsi="Arial"/>
          <w:sz w:val="16"/>
          <w:szCs w:val="16"/>
          <w:color w:val="auto"/>
        </w:rPr>
      </w:pPr>
    </w:p>
    <w:p>
      <w:pPr>
        <w:ind w:right="60" w:firstLine="449"/>
        <w:spacing w:after="0" w:line="301" w:lineRule="auto"/>
        <w:tabs>
          <w:tab w:leader="none" w:pos="84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Defend Trade Secrets Act.</w:t>
      </w:r>
      <w:r>
        <w:rPr>
          <w:rFonts w:ascii="Arial" w:cs="Arial" w:eastAsia="Arial" w:hAnsi="Arial"/>
          <w:sz w:val="16"/>
          <w:szCs w:val="16"/>
          <w:color w:val="auto"/>
        </w:rPr>
        <w:t xml:space="preserve"> Pursuant to the Defend Trade Secrets Act of 2016, Executive acknowledges that Executive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Executive files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[Signatures on the Following Page]</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undersigned, intending to be legally bound, have executed this Agreement as of the date first above written.</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PENN NATIONAL GAMING, INC.</w:t>
      </w:r>
    </w:p>
    <w:p>
      <w:pPr>
        <w:spacing w:after="0" w:line="333"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31750</wp:posOffset>
            </wp:positionV>
            <wp:extent cx="2588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Jay A. Snowden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President &amp; Chief Executive Officer</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EXECUTIVE</w:t>
            </w:r>
          </w:p>
        </w:tc>
        <w:tc>
          <w:tcPr>
            <w:tcW w:w="2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54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/s/ Harper H. Ko</w:t>
            </w:r>
          </w:p>
        </w:tc>
        <w:tc>
          <w:tcPr>
            <w:tcW w:w="2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Name: Harper H. Ko</w:t>
            </w:r>
          </w:p>
        </w:tc>
        <w:tc>
          <w:tcPr>
            <w:tcW w:w="2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607"/>
        </w:trPr>
        <w:tc>
          <w:tcPr>
            <w:tcW w:w="1300" w:type="dxa"/>
            <w:vAlign w:val="bottom"/>
            <w:tcBorders>
              <w:bottom w:val="single" w:sz="8" w:color="999999"/>
            </w:tcBorders>
          </w:tcPr>
          <w:p>
            <w:pPr>
              <w:spacing w:after="0"/>
              <w:rPr>
                <w:sz w:val="24"/>
                <w:szCs w:val="24"/>
                <w:color w:val="auto"/>
              </w:rPr>
            </w:pPr>
          </w:p>
        </w:tc>
        <w:tc>
          <w:tcPr>
            <w:tcW w:w="900" w:type="dxa"/>
            <w:vAlign w:val="bottom"/>
            <w:tcBorders>
              <w:bottom w:val="single" w:sz="8" w:color="999999"/>
            </w:tcBorders>
          </w:tcPr>
          <w:p>
            <w:pPr>
              <w:spacing w:after="0"/>
              <w:rPr>
                <w:sz w:val="24"/>
                <w:szCs w:val="24"/>
                <w:color w:val="auto"/>
              </w:rPr>
            </w:pPr>
          </w:p>
        </w:tc>
        <w:tc>
          <w:tcPr>
            <w:tcW w:w="5940" w:type="dxa"/>
            <w:vAlign w:val="bottom"/>
            <w:tcBorders>
              <w:bottom w:val="single" w:sz="8" w:color="999999"/>
            </w:tcBorders>
            <w:gridSpan w:val="2"/>
          </w:tcPr>
          <w:p>
            <w:pPr>
              <w:jc w:val="center"/>
              <w:ind w:left="810"/>
              <w:spacing w:after="0"/>
              <w:rPr>
                <w:sz w:val="20"/>
                <w:szCs w:val="20"/>
                <w:color w:val="auto"/>
              </w:rPr>
            </w:pPr>
            <w:r>
              <w:rPr>
                <w:rFonts w:ascii="Arial" w:cs="Arial" w:eastAsia="Arial" w:hAnsi="Arial"/>
                <w:sz w:val="18"/>
                <w:szCs w:val="18"/>
                <w:color w:val="auto"/>
                <w:w w:val="79"/>
              </w:rPr>
              <w:t>9</w:t>
            </w:r>
          </w:p>
        </w:tc>
        <w:tc>
          <w:tcPr>
            <w:tcW w:w="300" w:type="dxa"/>
            <w:vAlign w:val="bottom"/>
            <w:tcBorders>
              <w:bottom w:val="single" w:sz="8" w:color="999999"/>
            </w:tcBorders>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91"/>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ind w:left="1220"/>
              <w:spacing w:after="0"/>
              <w:rPr>
                <w:sz w:val="20"/>
                <w:szCs w:val="20"/>
                <w:color w:val="auto"/>
              </w:rPr>
            </w:pPr>
            <w:r>
              <w:rPr>
                <w:rFonts w:ascii="Arial" w:cs="Arial" w:eastAsia="Arial" w:hAnsi="Arial"/>
                <w:sz w:val="18"/>
                <w:szCs w:val="18"/>
                <w:color w:val="auto"/>
                <w:w w:val="92"/>
              </w:rPr>
              <w:t>Exhibit 10.10</w:t>
            </w:r>
          </w:p>
        </w:tc>
      </w:tr>
      <w:tr>
        <w:trPr>
          <w:trHeight w:val="432"/>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6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4"/>
              </w:rPr>
              <w:t>Exhibit A</w:t>
            </w: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40" w:type="dxa"/>
            <w:vAlign w:val="bottom"/>
            <w:gridSpan w:val="3"/>
          </w:tcPr>
          <w:p>
            <w:pPr>
              <w:jc w:val="center"/>
              <w:ind w:left="510"/>
              <w:spacing w:after="0"/>
              <w:rPr>
                <w:sz w:val="20"/>
                <w:szCs w:val="20"/>
                <w:color w:val="auto"/>
              </w:rPr>
            </w:pPr>
            <w:r>
              <w:rPr>
                <w:rFonts w:ascii="Arial" w:cs="Arial" w:eastAsia="Arial" w:hAnsi="Arial"/>
                <w:sz w:val="18"/>
                <w:szCs w:val="18"/>
                <w:color w:val="auto"/>
                <w:w w:val="96"/>
              </w:rPr>
              <w:t>SEPARATION AGREEMENT AND GENERAL RELEASE</w:t>
            </w: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2"/>
        </w:trPr>
        <w:tc>
          <w:tcPr>
            <w:tcW w:w="8140" w:type="dxa"/>
            <w:vAlign w:val="bottom"/>
            <w:gridSpan w:val="4"/>
          </w:tcPr>
          <w:p>
            <w:pPr>
              <w:ind w:left="440"/>
              <w:spacing w:after="0"/>
              <w:rPr>
                <w:sz w:val="20"/>
                <w:szCs w:val="20"/>
                <w:color w:val="auto"/>
              </w:rPr>
            </w:pPr>
            <w:r>
              <w:rPr>
                <w:rFonts w:ascii="Arial" w:cs="Arial" w:eastAsia="Arial" w:hAnsi="Arial"/>
                <w:sz w:val="18"/>
                <w:szCs w:val="18"/>
                <w:color w:val="auto"/>
                <w:w w:val="90"/>
              </w:rPr>
              <w:t>This is a Separation Agreement and General Release (hereinafter referred to as the “Agreement”) between</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0" w:type="dxa"/>
            <w:vAlign w:val="bottom"/>
          </w:tcPr>
          <w:p>
            <w:pPr>
              <w:ind w:left="40"/>
              <w:spacing w:after="0"/>
              <w:rPr>
                <w:sz w:val="20"/>
                <w:szCs w:val="20"/>
                <w:color w:val="auto"/>
              </w:rPr>
            </w:pPr>
            <w:r>
              <w:rPr>
                <w:rFonts w:ascii="Arial" w:cs="Arial" w:eastAsia="Arial" w:hAnsi="Arial"/>
                <w:sz w:val="18"/>
                <w:szCs w:val="18"/>
                <w:color w:val="auto"/>
                <w:w w:val="91"/>
              </w:rPr>
              <w:t>(hereinafter referred to as the</w:t>
            </w: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w w:val="96"/>
              </w:rPr>
              <w:t>“Employee”) and</w:t>
            </w:r>
          </w:p>
        </w:tc>
        <w:tc>
          <w:tcPr>
            <w:tcW w:w="900" w:type="dxa"/>
            <w:vAlign w:val="bottom"/>
            <w:tcBorders>
              <w:bottom w:val="single" w:sz="8" w:color="auto"/>
            </w:tcBorders>
          </w:tcPr>
          <w:p>
            <w:pPr>
              <w:spacing w:after="0"/>
              <w:rPr>
                <w:sz w:val="17"/>
                <w:szCs w:val="17"/>
                <w:color w:val="auto"/>
              </w:rPr>
            </w:pPr>
          </w:p>
        </w:tc>
        <w:tc>
          <w:tcPr>
            <w:tcW w:w="9040" w:type="dxa"/>
            <w:vAlign w:val="bottom"/>
            <w:gridSpan w:val="5"/>
          </w:tcPr>
          <w:p>
            <w:pPr>
              <w:ind w:left="60"/>
              <w:spacing w:after="0" w:line="196" w:lineRule="exact"/>
              <w:rPr>
                <w:sz w:val="20"/>
                <w:szCs w:val="20"/>
                <w:color w:val="auto"/>
              </w:rPr>
            </w:pPr>
            <w:r>
              <w:rPr>
                <w:rFonts w:ascii="Arial" w:cs="Arial" w:eastAsia="Arial" w:hAnsi="Arial"/>
                <w:sz w:val="18"/>
                <w:szCs w:val="18"/>
                <w:color w:val="auto"/>
                <w:w w:val="91"/>
              </w:rPr>
              <w:t>and its affiliates (hereinafter referred to as the “Employer”). In consideration of the mutual promises and commitments made</w:t>
            </w: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this Agreement, and intending to be legally bound, Employee, on the one hand, and the Employer on the other hand, agree to the terms set forth in this Agreement.</w:t>
      </w:r>
    </w:p>
    <w:p>
      <w:pPr>
        <w:spacing w:after="0" w:line="170" w:lineRule="exact"/>
        <w:rPr>
          <w:sz w:val="20"/>
          <w:szCs w:val="20"/>
          <w:color w:val="auto"/>
        </w:rPr>
      </w:pPr>
    </w:p>
    <w:p>
      <w:pPr>
        <w:ind w:right="220" w:firstLine="449"/>
        <w:spacing w:after="0" w:line="277" w:lineRule="auto"/>
        <w:tabs>
          <w:tab w:leader="none" w:pos="7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Employee is party to an Executive Agreement dated [DATE] (the “Executive Agreement”). Employer and Employee hereby acknowledge that Employee’s employment was terminated on [DATE].</w:t>
      </w:r>
    </w:p>
    <w:p>
      <w:pPr>
        <w:spacing w:after="0" w:line="170" w:lineRule="exact"/>
        <w:rPr>
          <w:rFonts w:ascii="Arial" w:cs="Arial" w:eastAsia="Arial" w:hAnsi="Arial"/>
          <w:sz w:val="18"/>
          <w:szCs w:val="18"/>
          <w:color w:val="auto"/>
        </w:rPr>
      </w:pPr>
    </w:p>
    <w:p>
      <w:pPr>
        <w:ind w:right="40" w:firstLine="449"/>
        <w:spacing w:after="0" w:line="277" w:lineRule="auto"/>
        <w:tabs>
          <w:tab w:leader="none" w:pos="7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Following the execution of this Agreement, Employee will be entitled to the post-employment benefits and subject to the post-employment responsibilities set forth in Employee’s Executive Agreement.</w:t>
      </w:r>
    </w:p>
    <w:p>
      <w:pPr>
        <w:spacing w:after="0" w:line="170" w:lineRule="exact"/>
        <w:rPr>
          <w:rFonts w:ascii="Arial" w:cs="Arial" w:eastAsia="Arial" w:hAnsi="Arial"/>
          <w:sz w:val="18"/>
          <w:szCs w:val="18"/>
          <w:color w:val="auto"/>
        </w:rPr>
      </w:pPr>
    </w:p>
    <w:p>
      <w:pPr>
        <w:ind w:right="180" w:firstLine="1000"/>
        <w:spacing w:after="0" w:line="263" w:lineRule="auto"/>
        <w:tabs>
          <w:tab w:leader="none" w:pos="1381"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If Employee accepts any employment with the Employer, or an affiliate or related entity of the Employer, and becomes reemployed during the Severance Period (as defined in the Executive Agreement), Employee acknowledges and agrees that Employee will forfeit all future severance payments from the date on which reemployment commences.</w:t>
      </w:r>
    </w:p>
    <w:p>
      <w:pPr>
        <w:spacing w:after="0" w:line="183" w:lineRule="exact"/>
        <w:rPr>
          <w:rFonts w:ascii="Arial" w:cs="Arial" w:eastAsia="Arial" w:hAnsi="Arial"/>
          <w:sz w:val="18"/>
          <w:szCs w:val="18"/>
          <w:color w:val="auto"/>
        </w:rPr>
      </w:pPr>
    </w:p>
    <w:p>
      <w:pPr>
        <w:ind w:right="20" w:firstLine="449"/>
        <w:spacing w:after="0" w:line="259" w:lineRule="auto"/>
        <w:tabs>
          <w:tab w:leader="none" w:pos="7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When used in this Agreement, the word “Releasees” means the Employer and all or any of its past and present parent, subsidiary and affiliated corporations, members, companies, partnerships, joint ventures and other entities and their groups, divisions, departments and units, and their past and present directors, trustees, officers, managers, partners, supervisors, employees, attorneys, agents and consultants, and their predecessors, successors and assigns.</w:t>
      </w:r>
    </w:p>
    <w:p>
      <w:pPr>
        <w:spacing w:after="0" w:line="186" w:lineRule="exact"/>
        <w:rPr>
          <w:rFonts w:ascii="Arial" w:cs="Arial" w:eastAsia="Arial" w:hAnsi="Arial"/>
          <w:sz w:val="18"/>
          <w:szCs w:val="18"/>
          <w:color w:val="auto"/>
        </w:rPr>
      </w:pPr>
    </w:p>
    <w:p>
      <w:pPr>
        <w:ind w:right="460" w:firstLine="1000"/>
        <w:spacing w:after="0" w:line="263" w:lineRule="auto"/>
        <w:tabs>
          <w:tab w:leader="none" w:pos="137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When used in this Agreement, the word “Claims” means each and every claim, complaint, cause of action, and grievance, whether known or unknown and whether fixed or contingent, and each and every promise, assurance, contract, representation, guarantee, warranty, right and commitment of any kind, whether known or unknown and whether fixed or contingent.</w:t>
      </w:r>
    </w:p>
    <w:p>
      <w:pPr>
        <w:spacing w:after="0" w:line="183" w:lineRule="exact"/>
        <w:rPr>
          <w:rFonts w:ascii="Arial" w:cs="Arial" w:eastAsia="Arial" w:hAnsi="Arial"/>
          <w:sz w:val="18"/>
          <w:szCs w:val="18"/>
          <w:color w:val="auto"/>
        </w:rPr>
      </w:pPr>
    </w:p>
    <w:p>
      <w:pPr>
        <w:ind w:right="240" w:firstLine="449"/>
        <w:spacing w:after="0" w:line="263" w:lineRule="auto"/>
        <w:tabs>
          <w:tab w:leader="none" w:pos="75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consideration of the promises of the Employer set forth in this Agreement and the Executive Agreement, and intending to be legally bound, Employee hereby irrevocably remises, releases and forever discharges all Releasees of and from any and all Claims that Employee (on behalf of either Employee or any other</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person or persons) ever had or now has against any and all of the Releasees, or which Employee (or Employee’s heirs, executors, administrators or assigns or any of them) hereafter can, shall or may have against any and all of the Releasees, for or by reason of any cause, matter, thing, occurrence or event whatsoever through the effective date of this Agreement. Employee acknowledges and agrees that the Claims released in this paragraph include, but are not limited to, (a) any and all Claims based on any law, statute or constitution or based on contract or in tort on common law, and (b) any and all Claims based on or arising under any civil rights laws, such as any [STATE] employment laws, or Title VII of the Civil Rights Act of 1964 (42 U.S.C. § 2000e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or the Federal Age Discrimination in Employment Act (29 U.S.C. § 621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(hereinafter referred to as the “ADEA”), and (c) any and all Claims under any grievance or complaint procedure of any kind, and (d) any and all Claims based on or arising out of or related to Employee’s recruitment by, employment with, the termination of Employee’s employment with, Employee’s performance of any services in any capacity for, or any other arrangement or transaction with, each or any of the Releasees. Employee also understands, that by signing this Agreement, Employee is waiving all Claims against any and all of the Releasees released by this Agreement;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as set forth in section 7 (f) (1) (c) of the ADEA, as added by the Older Workers Benefit Protection Act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of 1990, nothing in this Agreement constitutes or shall (i) be construed to constitute a waiver by Employee of any rights or claims that may arise after this Agreement is executed by Employee, or (ii) impair Employee’s right to file a charge with the U.S. Securities and Exchange Commission (“SEC”), the U.S. Equal Employment Opportunity Commission (“EEOC”), the National Labor Relations Board (“NLRB”) or any state agency or to participate in an investigation or proceeding conducted by the SEC, EEOC, NLRB or any state agency or as otherwise required by law. Notwithstanding the foregoing, Employee agrees to waive Employee’s right to recover individual relief in any charge, complaint, or lawsuit filed by Employee or anyone on Employee’s behalf, except that this does not waive the Employee’s ability to obtain monetary awards from the SEC’s whistleblower program.</w:t>
      </w:r>
    </w:p>
    <w:p>
      <w:pPr>
        <w:spacing w:after="0" w:line="178" w:lineRule="exact"/>
        <w:rPr>
          <w:sz w:val="20"/>
          <w:szCs w:val="20"/>
          <w:color w:val="auto"/>
        </w:rPr>
      </w:pPr>
    </w:p>
    <w:p>
      <w:pPr>
        <w:ind w:right="120" w:firstLine="449"/>
        <w:spacing w:after="0" w:line="277" w:lineRule="auto"/>
        <w:tabs>
          <w:tab w:leader="none" w:pos="8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Employee further certifies that Employee is not aware of any actual or attempted regulatory, SEC, EEOC or other legal violations by Employer and that Employee’s separation is not a result of retaliation based on any legal rights or opposition to an illegal practice.</w:t>
      </w:r>
    </w:p>
    <w:p>
      <w:pPr>
        <w:spacing w:after="0" w:line="170" w:lineRule="exact"/>
        <w:rPr>
          <w:rFonts w:ascii="Arial" w:cs="Arial" w:eastAsia="Arial" w:hAnsi="Arial"/>
          <w:sz w:val="18"/>
          <w:szCs w:val="18"/>
          <w:color w:val="auto"/>
        </w:rPr>
      </w:pPr>
    </w:p>
    <w:p>
      <w:pPr>
        <w:ind w:right="240" w:firstLine="449"/>
        <w:spacing w:after="0" w:line="277" w:lineRule="auto"/>
        <w:tabs>
          <w:tab w:leader="none" w:pos="75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Employee covenants and agrees not to sue the Releasees and each or any of them for any Claims released by this Agreement and to waive any recovery related to any Claims covered by this Agreement.</w:t>
      </w:r>
    </w:p>
    <w:p>
      <w:pPr>
        <w:spacing w:after="0" w:line="170" w:lineRule="exact"/>
        <w:rPr>
          <w:rFonts w:ascii="Arial" w:cs="Arial" w:eastAsia="Arial" w:hAnsi="Arial"/>
          <w:sz w:val="18"/>
          <w:szCs w:val="18"/>
          <w:color w:val="auto"/>
        </w:rPr>
      </w:pPr>
    </w:p>
    <w:p>
      <w:pPr>
        <w:ind w:right="40" w:firstLine="449"/>
        <w:spacing w:after="0" w:line="254" w:lineRule="auto"/>
        <w:tabs>
          <w:tab w:leader="none" w:pos="75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Pursuant to the Defend Trade Secrets Act of 2016, Employee acknowledges that Employee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may use the trade secret information in the court proceeding, if Employee (X) files any document containing the trade secret under seal, and (Y) does not disclose the trade secret, except pursuant to court order.</w:t>
      </w:r>
    </w:p>
    <w:p>
      <w:pPr>
        <w:spacing w:after="0" w:line="194" w:lineRule="exact"/>
        <w:rPr>
          <w:rFonts w:ascii="Arial" w:cs="Arial" w:eastAsia="Arial" w:hAnsi="Arial"/>
          <w:sz w:val="18"/>
          <w:szCs w:val="18"/>
          <w:color w:val="auto"/>
        </w:rPr>
      </w:pPr>
    </w:p>
    <w:p>
      <w:pPr>
        <w:ind w:right="180" w:firstLine="449"/>
        <w:spacing w:after="0" w:line="301" w:lineRule="auto"/>
        <w:tabs>
          <w:tab w:leader="none" w:pos="75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Employee agrees to provide reasonable transition assistance to Employer (including without limitation assistance on regulatory matters, operational matters and in connection with litigation) for a period of one year from the execution of this Agreement at no additional cost; provided, such assistance shall not unreasonably interfere with Employee’s pursuit of gainful employment or result in Employee not having a separation from service (as defined in Section 409A of the Internal Revenue Code of 1986). Any assistance beyond this period will be provided at a mutually agreed cost.</w:t>
      </w:r>
    </w:p>
    <w:p>
      <w:pPr>
        <w:spacing w:after="0" w:line="157" w:lineRule="exact"/>
        <w:rPr>
          <w:rFonts w:ascii="Arial" w:cs="Arial" w:eastAsia="Arial" w:hAnsi="Arial"/>
          <w:sz w:val="16"/>
          <w:szCs w:val="16"/>
          <w:color w:val="auto"/>
        </w:rPr>
      </w:pPr>
    </w:p>
    <w:p>
      <w:pPr>
        <w:ind w:right="80" w:firstLine="449"/>
        <w:spacing w:after="0" w:line="311" w:lineRule="auto"/>
        <w:tabs>
          <w:tab w:leader="none" w:pos="75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Employee agrees that, except as specifically provided in this Agreement, there is no compensation, benefits, or other payments due or owed to Employee by each or any of the Releasees, including, without limitation, the Employer, and there are no payments due or owed to Employee in connection with Employee’s employment by or the termination of Employee’s employment with each or any of the Releasees, including without limitation, any</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interest in unvested options, SARs, restricted stock or other equity issued to, expected by or contemplated by any of the Releasees (which interest is specifically released herein) or any other benefits (including, without limitation, any other severance benefits). For clarity, Employee acknowledges that upon Employee’s separation date, Employee has no further rights under any bonus arrangement or option plan of Employer. Employee further acknowledges that Employee has not experienced or reported any work-related injury or illness.</w:t>
      </w:r>
    </w:p>
    <w:p>
      <w:pPr>
        <w:spacing w:after="0" w:line="171" w:lineRule="exact"/>
        <w:rPr>
          <w:sz w:val="20"/>
          <w:szCs w:val="20"/>
          <w:color w:val="auto"/>
        </w:rPr>
      </w:pPr>
    </w:p>
    <w:p>
      <w:pPr>
        <w:ind w:right="100" w:firstLine="449"/>
        <w:spacing w:after="0" w:line="259" w:lineRule="auto"/>
        <w:tabs>
          <w:tab w:leader="none" w:pos="8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Except where the Employer has disclosed or is required to disclose the terms of this Agreement pursuant to applicable federal or state law, rule or regulatory practice, Employer and Employee agree that the terms of this Agreement are confidential. Employee will not disclose or publicize the terms of this Agreement and the amounts paid or agreed to be paid pursuant to this Agreement to any person or entity, except to Employee’s spouse, Employee’s attorney, Employee’s accountant, and to a government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agency for the purpose of payment or collection of taxes or application for unemployment compensation benefits. Employee agrees that Employee’s disclosure of the terms of this Agreement to Employee’s spouse, Employee’s attorney and Employee’s accountant shall be conditioned upon Employee obtaining agreement from them, for the benefit of the Employer, not to disclose or publicize to any person or entity the terms of this Agreement and the amounts paid or agreed to be paid under this Agreement. Employee understands that, notwithstanding any provisions of this Agreement, Employee is not prohibited or in any way restricted from reporting possible violations of law to a government agency or entity, and Employee is not required to inform Employer if Employee makes such reports.</w:t>
      </w:r>
    </w:p>
    <w:p>
      <w:pPr>
        <w:spacing w:after="0" w:line="192" w:lineRule="exact"/>
        <w:rPr>
          <w:sz w:val="20"/>
          <w:szCs w:val="20"/>
          <w:color w:val="auto"/>
        </w:rPr>
      </w:pPr>
    </w:p>
    <w:p>
      <w:pPr>
        <w:ind w:right="20" w:firstLine="449"/>
        <w:spacing w:after="0" w:line="275" w:lineRule="auto"/>
        <w:tabs>
          <w:tab w:leader="none" w:pos="83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Employee agrees not to make any false, misleading, defamatory or disparaging statements, including in blogs, posts on Facebook, twitter, other forms of social media or any such similar communications, about Employer (including without limitation Employer’s products, services, partners, investors or personnel) and to refrain from taking any action designed to harm the public perception of the Employer or any of the Releasees. Employee further agrees that Employee has disclosed to Employer all information, if any, in Employee’s possession, custody or control related to any legal, compliance or regulatory obligations of Employer and any failures to meet such obligations.</w:t>
      </w:r>
    </w:p>
    <w:p>
      <w:pPr>
        <w:spacing w:after="0" w:line="176" w:lineRule="exact"/>
        <w:rPr>
          <w:rFonts w:ascii="Arial" w:cs="Arial" w:eastAsia="Arial" w:hAnsi="Arial"/>
          <w:sz w:val="17"/>
          <w:szCs w:val="17"/>
          <w:color w:val="auto"/>
        </w:rPr>
      </w:pPr>
    </w:p>
    <w:p>
      <w:pPr>
        <w:jc w:val="both"/>
        <w:ind w:right="240" w:firstLine="449"/>
        <w:spacing w:after="0" w:line="259" w:lineRule="auto"/>
        <w:tabs>
          <w:tab w:leader="none" w:pos="84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terms of this Agreement are not to be considered as an admission on behalf of either party. Neither this Agreement nor its terms shall be admissible as evidence of any liability or wrongdoing by each or any of the Releasees in any judicial, administrative or other proceeding now pending or hereafter instituted by any person or entity. The Employer is entering into this Agreement solely for the purpose of effectuating a mutually satisfactory separation of Employee’s employment.</w:t>
      </w:r>
    </w:p>
    <w:p>
      <w:pPr>
        <w:spacing w:after="0" w:line="186" w:lineRule="exact"/>
        <w:rPr>
          <w:rFonts w:ascii="Arial" w:cs="Arial" w:eastAsia="Arial" w:hAnsi="Arial"/>
          <w:sz w:val="18"/>
          <w:szCs w:val="18"/>
          <w:color w:val="auto"/>
        </w:rPr>
      </w:pPr>
    </w:p>
    <w:p>
      <w:pPr>
        <w:ind w:left="860" w:hanging="411"/>
        <w:spacing w:after="0"/>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Sections 12 and 13 (Governing Law, Jurisdiction) of the Executive Agreement shall also apply to this Agreement.</w:t>
      </w:r>
    </w:p>
    <w:p>
      <w:pPr>
        <w:spacing w:after="0" w:line="225" w:lineRule="exact"/>
        <w:rPr>
          <w:rFonts w:ascii="Arial" w:cs="Arial" w:eastAsia="Arial" w:hAnsi="Arial"/>
          <w:sz w:val="18"/>
          <w:szCs w:val="18"/>
          <w:color w:val="auto"/>
        </w:rPr>
      </w:pPr>
    </w:p>
    <w:p>
      <w:pPr>
        <w:ind w:firstLine="449"/>
        <w:spacing w:after="0" w:line="257" w:lineRule="auto"/>
        <w:tabs>
          <w:tab w:leader="none" w:pos="8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Along with the surviving provisions of the Executive Agreement, including but not limited to Sections 7, 8 and 9, this Agreement constitutes a complete and final agreement between the parties and supersedes and replaces all prior or contemporaneous agreements, offer letters, severance policies and plans, negotiations, or discussions relating to the subject matter of this Agreement and no other agreement shall be binding upon each or any of the Releasees, including, but not limited to, any agreement made hereafter, unless in writing and signed by an officer of the Employer, and only such agreement shall be binding against the Employer.</w:t>
      </w:r>
    </w:p>
    <w:p>
      <w:pPr>
        <w:spacing w:after="0" w:line="187" w:lineRule="exact"/>
        <w:rPr>
          <w:rFonts w:ascii="Arial" w:cs="Arial" w:eastAsia="Arial" w:hAnsi="Arial"/>
          <w:sz w:val="18"/>
          <w:szCs w:val="18"/>
          <w:color w:val="auto"/>
        </w:rPr>
      </w:pPr>
    </w:p>
    <w:p>
      <w:pPr>
        <w:ind w:left="860" w:hanging="411"/>
        <w:spacing w:after="0"/>
        <w:tabs>
          <w:tab w:leader="none" w:pos="8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Employee is advised, and acknowledges that Employee has been advised, to consult with an attorney before signing this Agreement.</w:t>
      </w:r>
    </w:p>
    <w:p>
      <w:pPr>
        <w:spacing w:after="0" w:line="236" w:lineRule="exact"/>
        <w:rPr>
          <w:rFonts w:ascii="Arial" w:cs="Arial" w:eastAsia="Arial" w:hAnsi="Arial"/>
          <w:sz w:val="17"/>
          <w:szCs w:val="17"/>
          <w:color w:val="auto"/>
        </w:rPr>
      </w:pPr>
    </w:p>
    <w:p>
      <w:pPr>
        <w:ind w:left="860" w:hanging="411"/>
        <w:spacing w:after="0"/>
        <w:tabs>
          <w:tab w:leader="none" w:pos="8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Employee acknowledges that Employee is signing this Agreement voluntarily, with full knowledge of the nature and consequences of its terms.</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98" w:lineRule="exact"/>
        <w:rPr>
          <w:sz w:val="20"/>
          <w:szCs w:val="20"/>
          <w:color w:val="auto"/>
        </w:rPr>
      </w:pPr>
    </w:p>
    <w:p>
      <w:pPr>
        <w:ind w:right="700" w:firstLine="449"/>
        <w:spacing w:after="0" w:line="277" w:lineRule="auto"/>
        <w:tabs>
          <w:tab w:leader="none" w:pos="8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executed copies of this Agreement and photocopies thereof shall have the same force and effect and shall be as legally binding and enforceable as the original.</w:t>
      </w:r>
    </w:p>
    <w:p>
      <w:pPr>
        <w:spacing w:after="0" w:line="170" w:lineRule="exact"/>
        <w:rPr>
          <w:rFonts w:ascii="Arial" w:cs="Arial" w:eastAsia="Arial" w:hAnsi="Arial"/>
          <w:sz w:val="18"/>
          <w:szCs w:val="18"/>
          <w:color w:val="auto"/>
        </w:rPr>
      </w:pPr>
    </w:p>
    <w:p>
      <w:pPr>
        <w:ind w:right="160" w:firstLine="449"/>
        <w:spacing w:after="0" w:line="277" w:lineRule="auto"/>
        <w:tabs>
          <w:tab w:leader="none" w:pos="8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Employee acknowledges that Employee has been given up to twenty-one (21) days within which to consider this Agreement before signing it. Subject to paragraph 19 below, this Agreement will become effective on the date of Employee’s signature 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492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firstLine="449"/>
        <w:spacing w:after="0" w:line="254" w:lineRule="auto"/>
        <w:tabs>
          <w:tab w:leader="none" w:pos="8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a period of seven (7) calendar days following Employee’s signature of this Agreement, Employee may revoke the Agreement, and the Agreement shall not become effective or enforceable until the seven (7) day revocation period has expired. Employee may revoke this Agreement at any time within that seven (7) day period, by sending a written notice of revocation to the Human Resources Department of Employer. Such written notice must be actually received by the Employer within that seven (7) day period in order to be valid. If a valid revocation is received within that seven (7) day period, this Agreement shall be null and void for all purposes and no severance shall be paid. If Employee does not revoke this agreement, payment of the severance pay amount set forth in the Employee’s Executive Agreement will be paid in the manner and at the time(s) described in the Executive Agreement.</w:t>
      </w:r>
    </w:p>
    <w:p>
      <w:pPr>
        <w:spacing w:after="0" w:line="19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IN WITNESS WHEREOF, the Parties have read, understand and do voluntarily execute this Separation Agreement and General Release which consists of [NUMBER] pages.</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EMPLOYER</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EMPLOYEE</w:t>
            </w:r>
          </w:p>
        </w:tc>
      </w:tr>
      <w:tr>
        <w:trPr>
          <w:trHeight w:val="499"/>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520"/>
        </w:trPr>
        <w:tc>
          <w:tcPr>
            <w:tcW w:w="440" w:type="dxa"/>
            <w:vAlign w:val="bottom"/>
            <w:gridSpan w:val="2"/>
          </w:tcPr>
          <w:p>
            <w:pPr>
              <w:spacing w:after="0"/>
              <w:rPr>
                <w:sz w:val="20"/>
                <w:szCs w:val="20"/>
                <w:color w:val="auto"/>
              </w:rPr>
            </w:pPr>
            <w:r>
              <w:rPr>
                <w:rFonts w:ascii="Arial" w:cs="Arial" w:eastAsia="Arial" w:hAnsi="Arial"/>
                <w:sz w:val="18"/>
                <w:szCs w:val="18"/>
                <w:color w:val="auto"/>
                <w:w w:val="97"/>
              </w:rPr>
              <w:t>Date:</w:t>
            </w:r>
          </w:p>
        </w:tc>
        <w:tc>
          <w:tcPr>
            <w:tcW w:w="2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2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Penn National Gaming, Inc. (a Pennsylvania corporation)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State or Other</w:t>
            </w:r>
          </w:p>
        </w:tc>
        <w:tc>
          <w:tcPr>
            <w:tcW w:w="0" w:type="dxa"/>
            <w:vAlign w:val="bottom"/>
          </w:tcPr>
          <w:p>
            <w:pPr>
              <w:spacing w:after="0"/>
              <w:rPr>
                <w:sz w:val="1"/>
                <w:szCs w:val="1"/>
                <w:color w:val="auto"/>
              </w:rPr>
            </w:pPr>
          </w:p>
        </w:tc>
      </w:tr>
      <w:tr>
        <w:trPr>
          <w:trHeight w:val="162"/>
        </w:trPr>
        <w:tc>
          <w:tcPr>
            <w:tcW w:w="9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Subsidiary</w:t>
            </w:r>
          </w:p>
        </w:tc>
        <w:tc>
          <w:tcPr>
            <w:tcW w:w="120" w:type="dxa"/>
            <w:vAlign w:val="bottom"/>
            <w:vMerge w:val="restart"/>
          </w:tcPr>
          <w:p>
            <w:pPr>
              <w:spacing w:after="0"/>
              <w:rPr>
                <w:sz w:val="14"/>
                <w:szCs w:val="14"/>
                <w:color w:val="auto"/>
              </w:rPr>
            </w:pPr>
          </w:p>
        </w:tc>
        <w:tc>
          <w:tcPr>
            <w:tcW w:w="1420" w:type="dxa"/>
            <w:vAlign w:val="bottom"/>
          </w:tcPr>
          <w:p>
            <w:pPr>
              <w:ind w:left="200"/>
              <w:spacing w:after="0" w:line="162" w:lineRule="exact"/>
              <w:rPr>
                <w:sz w:val="20"/>
                <w:szCs w:val="20"/>
                <w:color w:val="auto"/>
              </w:rPr>
            </w:pPr>
            <w:r>
              <w:rPr>
                <w:rFonts w:ascii="Arial" w:cs="Arial" w:eastAsia="Arial" w:hAnsi="Arial"/>
                <w:sz w:val="16"/>
                <w:szCs w:val="16"/>
                <w:b w:val="1"/>
                <w:bCs w:val="1"/>
                <w:color w:val="auto"/>
              </w:rPr>
              <w:t>Jurisdiction of</w:t>
            </w:r>
          </w:p>
        </w:tc>
        <w:tc>
          <w:tcPr>
            <w:tcW w:w="0" w:type="dxa"/>
            <w:vAlign w:val="bottom"/>
          </w:tcPr>
          <w:p>
            <w:pPr>
              <w:spacing w:after="0"/>
              <w:rPr>
                <w:sz w:val="1"/>
                <w:szCs w:val="1"/>
                <w:color w:val="auto"/>
              </w:rPr>
            </w:pPr>
          </w:p>
        </w:tc>
      </w:tr>
      <w:tr>
        <w:trPr>
          <w:trHeight w:val="213"/>
        </w:trPr>
        <w:tc>
          <w:tcPr>
            <w:tcW w:w="9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Incorporation</w:t>
            </w:r>
          </w:p>
        </w:tc>
        <w:tc>
          <w:tcPr>
            <w:tcW w:w="0" w:type="dxa"/>
            <w:vAlign w:val="bottom"/>
          </w:tcPr>
          <w:p>
            <w:pPr>
              <w:spacing w:after="0"/>
              <w:rPr>
                <w:sz w:val="1"/>
                <w:szCs w:val="1"/>
                <w:color w:val="auto"/>
              </w:rPr>
            </w:pPr>
          </w:p>
        </w:tc>
      </w:tr>
      <w:tr>
        <w:trPr>
          <w:trHeight w:val="212"/>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Abradoodle,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Absolute Games,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Alton Casino, LLC (d/b/a Argosy Casino Alton)</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Ameristar Casino Black Hawk, LLC (d/b/a Ameristar Black Hawk)</w:t>
            </w:r>
          </w:p>
        </w:tc>
        <w:tc>
          <w:tcPr>
            <w:tcW w:w="1420" w:type="dxa"/>
            <w:vAlign w:val="bottom"/>
          </w:tcPr>
          <w:p>
            <w:pPr>
              <w:ind w:left="2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Ameristar Casino Council Bluffs, LLC (d/b/a Ameristar Council Bluffs)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Iowa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Ameristar Casino East Chicago, LLC (d/b/a Ameristar East Chicago)</w:t>
            </w:r>
          </w:p>
        </w:tc>
        <w:tc>
          <w:tcPr>
            <w:tcW w:w="1420" w:type="dxa"/>
            <w:vAlign w:val="bottom"/>
          </w:tcPr>
          <w:p>
            <w:pPr>
              <w:ind w:left="20"/>
              <w:spacing w:after="0"/>
              <w:rPr>
                <w:sz w:val="20"/>
                <w:szCs w:val="20"/>
                <w:color w:val="auto"/>
              </w:rPr>
            </w:pPr>
            <w:r>
              <w:rPr>
                <w:rFonts w:ascii="Arial" w:cs="Arial" w:eastAsia="Arial" w:hAnsi="Arial"/>
                <w:sz w:val="16"/>
                <w:szCs w:val="16"/>
                <w:color w:val="auto"/>
              </w:rPr>
              <w:t>Indiana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Ameristar East Chicago Holdings,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Indiana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Ameristar Interactive,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Ameristar Lake Charles Holdings,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Argosy Development,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BCV (Intermediate),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Boomtown Biloxi Interactive,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Boomtown,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Bossier Casino Venture, LLC</w:t>
            </w:r>
          </w:p>
        </w:tc>
        <w:tc>
          <w:tcPr>
            <w:tcW w:w="1420" w:type="dxa"/>
            <w:vAlign w:val="bottom"/>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BSLO, LLC (d/b/a Hollywood Casino Gulf Coast)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Mississippi</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BTN, LLC (d/b/a Boomtown Biloxi)</w:t>
            </w:r>
          </w:p>
        </w:tc>
        <w:tc>
          <w:tcPr>
            <w:tcW w:w="14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Cactus Pete’s, LLC (d/b/a Cactus Petes and Horseshu)</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Casino Magic, LLC</w:t>
            </w:r>
          </w:p>
        </w:tc>
        <w:tc>
          <w:tcPr>
            <w:tcW w:w="1420" w:type="dxa"/>
            <w:vAlign w:val="bottom"/>
          </w:tcPr>
          <w:p>
            <w:pPr>
              <w:ind w:left="20"/>
              <w:spacing w:after="0"/>
              <w:rPr>
                <w:sz w:val="20"/>
                <w:szCs w:val="20"/>
                <w:color w:val="auto"/>
              </w:rPr>
            </w:pPr>
            <w:r>
              <w:rPr>
                <w:rFonts w:ascii="Arial" w:cs="Arial" w:eastAsia="Arial" w:hAnsi="Arial"/>
                <w:sz w:val="16"/>
                <w:szCs w:val="16"/>
                <w:color w:val="auto"/>
              </w:rPr>
              <w:t>Minnesota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CCR Pennsylvania Food Services, Inc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CCR Racing Management</w:t>
            </w:r>
          </w:p>
        </w:tc>
        <w:tc>
          <w:tcPr>
            <w:tcW w:w="14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Central Ohio Gaming Ventures, LLC (d/b/a Hollywood Casino Columbus)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CHC Casinos Canada Limited</w:t>
            </w:r>
          </w:p>
        </w:tc>
        <w:tc>
          <w:tcPr>
            <w:tcW w:w="1420" w:type="dxa"/>
            <w:vAlign w:val="bottom"/>
          </w:tcPr>
          <w:p>
            <w:pPr>
              <w:ind w:left="20"/>
              <w:spacing w:after="0"/>
              <w:rPr>
                <w:sz w:val="20"/>
                <w:szCs w:val="20"/>
                <w:color w:val="auto"/>
              </w:rPr>
            </w:pPr>
            <w:r>
              <w:rPr>
                <w:rFonts w:ascii="Arial" w:cs="Arial" w:eastAsia="Arial" w:hAnsi="Arial"/>
                <w:sz w:val="16"/>
                <w:szCs w:val="16"/>
                <w:color w:val="auto"/>
              </w:rPr>
              <w:t>Nova Scotia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CHC Casinos Corp.</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CRC Holdings, Inc.</w:t>
            </w:r>
          </w:p>
        </w:tc>
        <w:tc>
          <w:tcPr>
            <w:tcW w:w="1420" w:type="dxa"/>
            <w:vAlign w:val="bottom"/>
          </w:tcPr>
          <w:p>
            <w:pPr>
              <w:ind w:left="20"/>
              <w:spacing w:after="0"/>
              <w:rPr>
                <w:sz w:val="20"/>
                <w:szCs w:val="20"/>
                <w:color w:val="auto"/>
              </w:rPr>
            </w:pPr>
            <w:r>
              <w:rPr>
                <w:rFonts w:ascii="Arial" w:cs="Arial" w:eastAsia="Arial" w:hAnsi="Arial"/>
                <w:sz w:val="16"/>
                <w:szCs w:val="16"/>
                <w:color w:val="auto"/>
              </w:rPr>
              <w:t>Florida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Danville Development,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Dayton Real Estate Ventures, LLC (d/b/a Hollywood Gaming at Dayton Raceway)</w:t>
            </w:r>
          </w:p>
        </w:tc>
        <w:tc>
          <w:tcPr>
            <w:tcW w:w="1420" w:type="dxa"/>
            <w:vAlign w:val="bottom"/>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Delvest,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Development Ventures,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Double Bogey,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eBetUSA.com, Inc.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Jackpot Interactive,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Gaming Jet Services,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Greektown Casino,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Greektown Holdings, L.L.C.</w:t>
            </w:r>
          </w:p>
        </w:tc>
        <w:tc>
          <w:tcPr>
            <w:tcW w:w="1420" w:type="dxa"/>
            <w:vAlign w:val="bottom"/>
          </w:tcPr>
          <w:p>
            <w:pPr>
              <w:ind w:left="2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HC Aurora, LLC (d/b/a Hollywood Casino Aurora)</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HC Bangor, LLC (d/b/a Hollywood Casino Hotel &amp; Raceway Bangor)</w:t>
            </w:r>
          </w:p>
        </w:tc>
        <w:tc>
          <w:tcPr>
            <w:tcW w:w="1420" w:type="dxa"/>
            <w:vAlign w:val="bottom"/>
          </w:tcPr>
          <w:p>
            <w:pPr>
              <w:ind w:left="20"/>
              <w:spacing w:after="0"/>
              <w:rPr>
                <w:sz w:val="20"/>
                <w:szCs w:val="20"/>
                <w:color w:val="auto"/>
              </w:rPr>
            </w:pPr>
            <w:r>
              <w:rPr>
                <w:rFonts w:ascii="Arial" w:cs="Arial" w:eastAsia="Arial" w:hAnsi="Arial"/>
                <w:sz w:val="16"/>
                <w:szCs w:val="16"/>
                <w:color w:val="auto"/>
              </w:rPr>
              <w:t>Maine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HC Joliet, LLC (d/b/a Hollywood Casino Joliet)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Hollywood Casinos,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Hostile Grape Development,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Houston Gaming Ventures, Inc.</w:t>
            </w:r>
          </w:p>
        </w:tc>
        <w:tc>
          <w:tcPr>
            <w:tcW w:w="1420" w:type="dxa"/>
            <w:vAlign w:val="bottom"/>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Houston Operating Ventures,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HWCC-Tunica, LLC (d/b/a Hollywood Casino Tunica)</w:t>
            </w:r>
          </w:p>
        </w:tc>
        <w:tc>
          <w:tcPr>
            <w:tcW w:w="1420" w:type="dxa"/>
            <w:vAlign w:val="bottom"/>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Illinois Gaming Investors LLC (d/b/a Prairie State Gaming)</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Indiana Gaming Company, LLC (d/b/a Hollywood Casino Lawrenceburg)</w:t>
            </w:r>
          </w:p>
        </w:tc>
        <w:tc>
          <w:tcPr>
            <w:tcW w:w="1420" w:type="dxa"/>
            <w:vAlign w:val="bottom"/>
          </w:tcPr>
          <w:p>
            <w:pPr>
              <w:ind w:left="20"/>
              <w:spacing w:after="0"/>
              <w:rPr>
                <w:sz w:val="20"/>
                <w:szCs w:val="20"/>
                <w:color w:val="auto"/>
              </w:rPr>
            </w:pPr>
            <w:r>
              <w:rPr>
                <w:rFonts w:ascii="Arial" w:cs="Arial" w:eastAsia="Arial" w:hAnsi="Arial"/>
                <w:sz w:val="16"/>
                <w:szCs w:val="16"/>
                <w:color w:val="auto"/>
              </w:rPr>
              <w:t>Indiana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Kansas Entertainment, LLC (d/b/a Hollywood Casino at Kansas Speedway)</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1"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Subsidiaries of Penn National Gaming, Inc. (a Pennsylvania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State or Other</w:t>
            </w:r>
          </w:p>
        </w:tc>
        <w:tc>
          <w:tcPr>
            <w:tcW w:w="0" w:type="dxa"/>
            <w:vAlign w:val="bottom"/>
          </w:tcPr>
          <w:p>
            <w:pPr>
              <w:spacing w:after="0"/>
              <w:rPr>
                <w:sz w:val="1"/>
                <w:szCs w:val="1"/>
                <w:color w:val="auto"/>
              </w:rPr>
            </w:pPr>
          </w:p>
        </w:tc>
      </w:tr>
      <w:tr>
        <w:trPr>
          <w:trHeight w:val="162"/>
        </w:trPr>
        <w:tc>
          <w:tcPr>
            <w:tcW w:w="9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Subsidiary</w:t>
            </w:r>
          </w:p>
        </w:tc>
        <w:tc>
          <w:tcPr>
            <w:tcW w:w="120" w:type="dxa"/>
            <w:vAlign w:val="bottom"/>
            <w:vMerge w:val="restart"/>
          </w:tcPr>
          <w:p>
            <w:pPr>
              <w:spacing w:after="0"/>
              <w:rPr>
                <w:sz w:val="14"/>
                <w:szCs w:val="14"/>
                <w:color w:val="auto"/>
              </w:rPr>
            </w:pPr>
          </w:p>
        </w:tc>
        <w:tc>
          <w:tcPr>
            <w:tcW w:w="1420" w:type="dxa"/>
            <w:vAlign w:val="bottom"/>
          </w:tcPr>
          <w:p>
            <w:pPr>
              <w:ind w:left="200"/>
              <w:spacing w:after="0" w:line="162" w:lineRule="exact"/>
              <w:rPr>
                <w:sz w:val="20"/>
                <w:szCs w:val="20"/>
                <w:color w:val="auto"/>
              </w:rPr>
            </w:pPr>
            <w:r>
              <w:rPr>
                <w:rFonts w:ascii="Arial" w:cs="Arial" w:eastAsia="Arial" w:hAnsi="Arial"/>
                <w:sz w:val="16"/>
                <w:szCs w:val="16"/>
                <w:b w:val="1"/>
                <w:bCs w:val="1"/>
                <w:color w:val="auto"/>
              </w:rPr>
              <w:t>Jurisdiction of</w:t>
            </w:r>
          </w:p>
        </w:tc>
        <w:tc>
          <w:tcPr>
            <w:tcW w:w="0" w:type="dxa"/>
            <w:vAlign w:val="bottom"/>
          </w:tcPr>
          <w:p>
            <w:pPr>
              <w:spacing w:after="0"/>
              <w:rPr>
                <w:sz w:val="1"/>
                <w:szCs w:val="1"/>
                <w:color w:val="auto"/>
              </w:rPr>
            </w:pPr>
          </w:p>
        </w:tc>
      </w:tr>
      <w:tr>
        <w:trPr>
          <w:trHeight w:val="213"/>
        </w:trPr>
        <w:tc>
          <w:tcPr>
            <w:tcW w:w="96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Incorporation</w:t>
            </w:r>
          </w:p>
        </w:tc>
        <w:tc>
          <w:tcPr>
            <w:tcW w:w="0" w:type="dxa"/>
            <w:vAlign w:val="bottom"/>
          </w:tcPr>
          <w:p>
            <w:pPr>
              <w:spacing w:after="0"/>
              <w:rPr>
                <w:sz w:val="1"/>
                <w:szCs w:val="1"/>
                <w:color w:val="auto"/>
              </w:rPr>
            </w:pPr>
          </w:p>
        </w:tc>
      </w:tr>
      <w:tr>
        <w:trPr>
          <w:trHeight w:val="209"/>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L’Auberge Interactive,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Louisiana-I Gaming, a Louisiana Partnership in Commendam (d/b/a Boomtown New Orleans)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LVGV, LLC (d/b/a M Resort Spa Casino)</w:t>
            </w:r>
          </w:p>
        </w:tc>
        <w:tc>
          <w:tcPr>
            <w:tcW w:w="1420" w:type="dxa"/>
            <w:vAlign w:val="bottom"/>
          </w:tcPr>
          <w:p>
            <w:pPr>
              <w:ind w:left="2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Magnum Pinnacle Interactive,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Marquee by Penn,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Maryland Gaming Ventures, Inc.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Massachusetts Gaming Ventures,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Mountain Laurel Racing, Inc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Mountainview Thoroughbred Racing Association, LLC (d/b/a Hollywood Casino at Penn National Race Course)</w:t>
            </w:r>
          </w:p>
        </w:tc>
        <w:tc>
          <w:tcPr>
            <w:tcW w:w="14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ADW,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Hollywood Kansas, Inc.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Interactive Ventures,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National GSFR,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National Holdings,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National Turf Club, LLC (d/b/a Hollywood Casino at Penn National Race Course)</w:t>
            </w:r>
          </w:p>
        </w:tc>
        <w:tc>
          <w:tcPr>
            <w:tcW w:w="14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NJ OTW,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Online Entertainment,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Sanford, LLC (d/b/a Sanford-Orlando Kennel Club)</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Sports Interactive,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Tenant II,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 Tenant III,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Penn Tenant,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Pennwood Racing, Inc.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PHK Staffing,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Pinnacle Entertainment, Inc.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Pinnacle MLS,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Pinnacle Retama Partners, LLC (d/b/a Retama Park Racetrack)</w:t>
            </w:r>
          </w:p>
        </w:tc>
        <w:tc>
          <w:tcPr>
            <w:tcW w:w="1420" w:type="dxa"/>
            <w:vAlign w:val="bottom"/>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PIV West,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Plainville Gaming and Redevelopment, LLC (d/b/a Plainridge Park Casino)</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PM Texas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PNGI Charles Town Gaming, LLC (d/b/a Hollywood Casino at Charles Town Races)</w:t>
            </w:r>
          </w:p>
        </w:tc>
        <w:tc>
          <w:tcPr>
            <w:tcW w:w="1420" w:type="dxa"/>
            <w:vAlign w:val="bottom"/>
          </w:tcPr>
          <w:p>
            <w:pPr>
              <w:ind w:left="20"/>
              <w:spacing w:after="0"/>
              <w:rPr>
                <w:sz w:val="20"/>
                <w:szCs w:val="20"/>
                <w:color w:val="auto"/>
              </w:rPr>
            </w:pPr>
            <w:r>
              <w:rPr>
                <w:rFonts w:ascii="Arial" w:cs="Arial" w:eastAsia="Arial" w:hAnsi="Arial"/>
                <w:sz w:val="16"/>
                <w:szCs w:val="16"/>
                <w:color w:val="auto"/>
              </w:rPr>
              <w:t>West Virginia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(Baton Rouge) Partnership (d/b/a L’Auberge Baton Rouge)</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(BOSSIER CITY), L.L.C. (d/b/a Boomtown Bossier City)</w:t>
            </w:r>
          </w:p>
        </w:tc>
        <w:tc>
          <w:tcPr>
            <w:tcW w:w="1420" w:type="dxa"/>
            <w:vAlign w:val="bottom"/>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(LAKE CHARLES), L.L.C. (d/b/a L’Auberge Lake Charles)</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(River City), LLC (d/b/a River City Casino)</w:t>
            </w:r>
          </w:p>
        </w:tc>
        <w:tc>
          <w:tcPr>
            <w:tcW w:w="1420" w:type="dxa"/>
            <w:vAlign w:val="bottom"/>
          </w:tcPr>
          <w:p>
            <w:pPr>
              <w:ind w:left="20"/>
              <w:spacing w:after="0"/>
              <w:rPr>
                <w:sz w:val="20"/>
                <w:szCs w:val="20"/>
                <w:color w:val="auto"/>
              </w:rPr>
            </w:pPr>
            <w:r>
              <w:rPr>
                <w:rFonts w:ascii="Arial" w:cs="Arial" w:eastAsia="Arial" w:hAnsi="Arial"/>
                <w:sz w:val="16"/>
                <w:szCs w:val="16"/>
                <w:color w:val="auto"/>
              </w:rPr>
              <w:t>Missouri</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(SA),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(SAM), LLC</w:t>
            </w:r>
          </w:p>
        </w:tc>
        <w:tc>
          <w:tcPr>
            <w:tcW w:w="1420" w:type="dxa"/>
            <w:vAlign w:val="bottom"/>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(SAZ),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Development 33,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Development 7, LLC (d/b/a Heartland Poker Tour)</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Development 8,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PNK Development 9,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PNK Vicksburg, LLC (d/b/a Ameristar Vicksburg)</w:t>
            </w:r>
          </w:p>
        </w:tc>
        <w:tc>
          <w:tcPr>
            <w:tcW w:w="14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RIH Acquisitions MS I,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Mississippi</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RIH Acquisitions MS II, LLC (d/b/a 1st Jackpot Casino Tunica)</w:t>
            </w:r>
          </w:p>
        </w:tc>
        <w:tc>
          <w:tcPr>
            <w:tcW w:w="14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Rocket Speed, Inc.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San Diego Gaming Ventures,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40" w:top="121" w:right="35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gridSpan w:val="2"/>
          </w:tcPr>
          <w:p>
            <w:pPr>
              <w:ind w:left="2800"/>
              <w:spacing w:after="0"/>
              <w:rPr>
                <w:sz w:val="20"/>
                <w:szCs w:val="20"/>
                <w:color w:val="auto"/>
              </w:rPr>
            </w:pPr>
            <w:r>
              <w:rPr>
                <w:rFonts w:ascii="Arial" w:cs="Arial" w:eastAsia="Arial" w:hAnsi="Arial"/>
                <w:sz w:val="18"/>
                <w:szCs w:val="18"/>
                <w:b w:val="1"/>
                <w:bCs w:val="1"/>
                <w:color w:val="auto"/>
              </w:rPr>
              <w:t>Subsidiaries of Penn National Gaming, Inc. (a Pennsylvania corporation)</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80" w:type="dxa"/>
            <w:vAlign w:val="bottom"/>
            <w:gridSpan w:val="2"/>
          </w:tcPr>
          <w:p>
            <w:pPr>
              <w:ind w:left="5140"/>
              <w:spacing w:after="0"/>
              <w:rPr>
                <w:sz w:val="20"/>
                <w:szCs w:val="20"/>
                <w:color w:val="auto"/>
              </w:rPr>
            </w:pPr>
            <w:r>
              <w:rPr>
                <w:rFonts w:ascii="Arial" w:cs="Arial" w:eastAsia="Arial" w:hAnsi="Arial"/>
                <w:sz w:val="18"/>
                <w:szCs w:val="18"/>
                <w:b w:val="1"/>
                <w:bCs w:val="1"/>
                <w:color w:val="auto"/>
              </w:rPr>
              <w:t>(Continued)</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State or Other</w:t>
            </w:r>
          </w:p>
        </w:tc>
        <w:tc>
          <w:tcPr>
            <w:tcW w:w="0" w:type="dxa"/>
            <w:vAlign w:val="bottom"/>
          </w:tcPr>
          <w:p>
            <w:pPr>
              <w:spacing w:after="0"/>
              <w:rPr>
                <w:sz w:val="1"/>
                <w:szCs w:val="1"/>
                <w:color w:val="auto"/>
              </w:rPr>
            </w:pPr>
          </w:p>
        </w:tc>
      </w:tr>
      <w:tr>
        <w:trPr>
          <w:trHeight w:val="162"/>
        </w:trPr>
        <w:tc>
          <w:tcPr>
            <w:tcW w:w="9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Subsidiary</w:t>
            </w:r>
          </w:p>
        </w:tc>
        <w:tc>
          <w:tcPr>
            <w:tcW w:w="120" w:type="dxa"/>
            <w:vAlign w:val="bottom"/>
            <w:vMerge w:val="restart"/>
          </w:tcPr>
          <w:p>
            <w:pPr>
              <w:spacing w:after="0"/>
              <w:rPr>
                <w:sz w:val="14"/>
                <w:szCs w:val="14"/>
                <w:color w:val="auto"/>
              </w:rPr>
            </w:pPr>
          </w:p>
        </w:tc>
        <w:tc>
          <w:tcPr>
            <w:tcW w:w="1420" w:type="dxa"/>
            <w:vAlign w:val="bottom"/>
          </w:tcPr>
          <w:p>
            <w:pPr>
              <w:ind w:left="200"/>
              <w:spacing w:after="0" w:line="162" w:lineRule="exact"/>
              <w:rPr>
                <w:sz w:val="20"/>
                <w:szCs w:val="20"/>
                <w:color w:val="auto"/>
              </w:rPr>
            </w:pPr>
            <w:r>
              <w:rPr>
                <w:rFonts w:ascii="Arial" w:cs="Arial" w:eastAsia="Arial" w:hAnsi="Arial"/>
                <w:sz w:val="16"/>
                <w:szCs w:val="16"/>
                <w:b w:val="1"/>
                <w:bCs w:val="1"/>
                <w:color w:val="auto"/>
              </w:rPr>
              <w:t>Jurisdiction of</w:t>
            </w:r>
          </w:p>
        </w:tc>
        <w:tc>
          <w:tcPr>
            <w:tcW w:w="0" w:type="dxa"/>
            <w:vAlign w:val="bottom"/>
          </w:tcPr>
          <w:p>
            <w:pPr>
              <w:spacing w:after="0"/>
              <w:rPr>
                <w:sz w:val="1"/>
                <w:szCs w:val="1"/>
                <w:color w:val="auto"/>
              </w:rPr>
            </w:pPr>
          </w:p>
        </w:tc>
      </w:tr>
      <w:tr>
        <w:trPr>
          <w:trHeight w:val="213"/>
        </w:trPr>
        <w:tc>
          <w:tcPr>
            <w:tcW w:w="9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Incorporation</w:t>
            </w:r>
          </w:p>
        </w:tc>
        <w:tc>
          <w:tcPr>
            <w:tcW w:w="0" w:type="dxa"/>
            <w:vAlign w:val="bottom"/>
          </w:tcPr>
          <w:p>
            <w:pPr>
              <w:spacing w:after="0"/>
              <w:rPr>
                <w:sz w:val="1"/>
                <w:szCs w:val="1"/>
                <w:color w:val="auto"/>
              </w:rPr>
            </w:pPr>
          </w:p>
        </w:tc>
      </w:tr>
      <w:tr>
        <w:trPr>
          <w:trHeight w:val="212"/>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SDGV Staffing,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Silver Screen Gaming,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SOKC, LLC (d/b/a Sanford-Orlando Kennel Club)</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St. Louis Gaming Ventures, LLC (d/b/a Hollywood Casino St. Louis)</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Missouri Gaming Company, LLC (d/b/a Argosy Casino Riverside)</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The Shops at Tropicana Las Vegas, LLC</w:t>
            </w:r>
          </w:p>
        </w:tc>
        <w:tc>
          <w:tcPr>
            <w:tcW w:w="1420" w:type="dxa"/>
            <w:vAlign w:val="bottom"/>
          </w:tcPr>
          <w:p>
            <w:pPr>
              <w:ind w:left="2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Toledo Gaming Ventures, LLC (d/b/a Hollywood Casino Toledo)</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Tropicana Las Vegas Hotel and Casino, Inc. (d/b/a Tropicana Las Vegas)</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Tropicana Las Vegas Intermediate Holdings Inc.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Tropicana Las Vegas, Inc.</w:t>
            </w:r>
          </w:p>
        </w:tc>
        <w:tc>
          <w:tcPr>
            <w:tcW w:w="1420" w:type="dxa"/>
            <w:vAlign w:val="bottom"/>
          </w:tcPr>
          <w:p>
            <w:pPr>
              <w:ind w:left="2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Villaggio Development, LLC</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Viva Slots Free Classic Slot Machine Games,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Washington Trotting Association, LLC (d/b/a Meadows Racetrack and Casino)</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Yankton Investments, LLC</w:t>
            </w:r>
          </w:p>
        </w:tc>
        <w:tc>
          <w:tcPr>
            <w:tcW w:w="1420" w:type="dxa"/>
            <w:vAlign w:val="bottom"/>
          </w:tcPr>
          <w:p>
            <w:pPr>
              <w:ind w:left="20"/>
              <w:spacing w:after="0"/>
              <w:rPr>
                <w:sz w:val="20"/>
                <w:szCs w:val="20"/>
                <w:color w:val="auto"/>
              </w:rPr>
            </w:pPr>
            <w:r>
              <w:rPr>
                <w:rFonts w:ascii="Arial" w:cs="Arial" w:eastAsia="Arial" w:hAnsi="Arial"/>
                <w:sz w:val="16"/>
                <w:szCs w:val="16"/>
                <w:color w:val="auto"/>
              </w:rPr>
              <w:t>Nevada</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Youngstown Real Estate Ventures, LLC (d/b/a Hollywood Gaming at Mahoning Valley Race Course)</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0" w:type="dxa"/>
            <w:vAlign w:val="bottom"/>
          </w:tcPr>
          <w:p>
            <w:pPr>
              <w:spacing w:after="0"/>
              <w:rPr>
                <w:sz w:val="1"/>
                <w:szCs w:val="1"/>
                <w:color w:val="auto"/>
              </w:rPr>
            </w:pPr>
          </w:p>
        </w:tc>
      </w:tr>
      <w:tr>
        <w:trPr>
          <w:trHeight w:val="213"/>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Zia Park Interactive, LLC</w:t>
            </w:r>
          </w:p>
        </w:tc>
        <w:tc>
          <w:tcPr>
            <w:tcW w:w="1420" w:type="dxa"/>
            <w:vAlign w:val="bottom"/>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Zia Park LLC (d/b/a Zia Park Casino, Hotel and Racetrack)</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40" w:top="121" w:right="3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w:t>
      </w:r>
    </w:p>
    <w:p>
      <w:pPr>
        <w:spacing w:after="0" w:line="252" w:lineRule="exact"/>
        <w:rPr>
          <w:sz w:val="20"/>
          <w:szCs w:val="20"/>
          <w:color w:val="auto"/>
        </w:rPr>
      </w:pPr>
    </w:p>
    <w:p>
      <w:pPr>
        <w:ind w:left="740" w:hanging="408"/>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Registration Statement (Form S-3 No. 333-238149) pertaining to a shelf registration statement,</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Registration Statement (Form S-8 No. 333-226661) pertaining to the 2018 Long Term Incentive Compensation Plan,</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Registration Statement (Form S-8 No. 333-198135) pertaining to the 2008 Long Term Incentive Compensation Plan,</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Registration Statement (Form S-8 No. 333-176723) pertaining to the 2008 Long Term Incentive Compensation Plan, and</w:t>
      </w:r>
    </w:p>
    <w:p>
      <w:pPr>
        <w:spacing w:after="0" w:line="252" w:lineRule="exact"/>
        <w:rPr>
          <w:rFonts w:ascii="Arial" w:cs="Arial" w:eastAsia="Arial" w:hAnsi="Arial"/>
          <w:sz w:val="18"/>
          <w:szCs w:val="18"/>
          <w:color w:val="auto"/>
        </w:rPr>
      </w:pPr>
    </w:p>
    <w:p>
      <w:pPr>
        <w:ind w:left="740" w:hanging="408"/>
        <w:spacing w:after="0"/>
        <w:tabs>
          <w:tab w:leader="none" w:pos="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Registration Statement (Form S-8 No. 333-157669) pertaining to the 2008 Long Term Incentive Compensation Plan;</w:t>
      </w:r>
    </w:p>
    <w:p>
      <w:pPr>
        <w:spacing w:after="0" w:line="2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of our reports dated February 26, 2021, relating to the consolidated financial statements of Penn National Gaming, Inc. and Subsidiaries and the effectiveness of Penn National Gaming, Inc.'s internal control over financial reporting, appearing in this Annual Report on Form 10-K for the year ended December 31, 2020.</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Jay A. Snowden, certify that:</w:t>
      </w:r>
    </w:p>
    <w:p>
      <w:pPr>
        <w:spacing w:after="0" w:line="225"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 National Gaming,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0" w:hanging="328"/>
        <w:spacing w:after="0" w:line="263" w:lineRule="auto"/>
        <w:tabs>
          <w:tab w:leader="none" w:pos="65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71"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Jay A. Snowden</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Christine LaBombard, certify that:</w:t>
      </w:r>
    </w:p>
    <w:p>
      <w:pPr>
        <w:spacing w:after="0" w:line="225" w:lineRule="exact"/>
        <w:rPr>
          <w:sz w:val="20"/>
          <w:szCs w:val="20"/>
          <w:color w:val="auto"/>
        </w:rPr>
      </w:pP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Penn National Gaming,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40" w:hanging="328"/>
        <w:spacing w:after="0" w:line="263" w:lineRule="auto"/>
        <w:tabs>
          <w:tab w:leader="none" w:pos="65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8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Christine LaBombard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Christine LaBombard</w:t>
      </w:r>
    </w:p>
    <w:p>
      <w:pPr>
        <w:spacing w:after="0" w:line="5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Senior Vice President and Chief Accounting Officer</w:t>
      </w:r>
    </w:p>
    <w:p>
      <w:pPr>
        <w:spacing w:after="0" w:line="5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connection with the Annual Report of Penn National Gaming, Inc. (the “Company”) on Form 10-K for the fiscal year ended December 31, 2020 as filed with the U.S. Securities and Exchange Commission on the date hereof (the “Report”), I, Jay A. Snowden, President and Chief Executive Officer of the Company, certify, pursuant to Section 906 of the Sarbanes-Oxley Act of 2002, 18 U.S.C. Section 1350 that, to my knowledge:</w:t>
      </w:r>
    </w:p>
    <w:p>
      <w:pPr>
        <w:spacing w:after="0" w:line="192" w:lineRule="exact"/>
        <w:rPr>
          <w:sz w:val="20"/>
          <w:szCs w:val="20"/>
          <w:color w:val="auto"/>
        </w:rPr>
      </w:pPr>
    </w:p>
    <w:p>
      <w:pPr>
        <w:ind w:left="640" w:hanging="308"/>
        <w:spacing w:after="0"/>
        <w:tabs>
          <w:tab w:leader="none" w:pos="6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71"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Jay A. Snowden</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connection with the Annual Report of Penn National Gaming, Inc. (the “Company”) on Form 10-K for the fiscal year ended December 31, 2020 as filed with the U.S. Securities and Exchange Commission on the date hereof (the “Report”), I, Christine LaBombard, Senior Vice President and Chief Accounting Officer of the Company, certify, pursuant to Section 906 of the Sarbanes-Oxley Act of 2002, 18 U.S.C. Section 1350 that, to my knowledge:</w:t>
      </w:r>
    </w:p>
    <w:p>
      <w:pPr>
        <w:spacing w:after="0" w:line="176" w:lineRule="exact"/>
        <w:rPr>
          <w:sz w:val="20"/>
          <w:szCs w:val="20"/>
          <w:color w:val="auto"/>
        </w:rPr>
      </w:pPr>
    </w:p>
    <w:p>
      <w:pPr>
        <w:ind w:left="640" w:hanging="308"/>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7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Christine LaBombard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Christine LaBombard</w:t>
      </w:r>
    </w:p>
    <w:p>
      <w:pPr>
        <w:spacing w:after="0" w:line="3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 Chief Accounting Officer</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Regulations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3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ownership, operation, and management of our gaming and racing facilities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stringent procedures to ensure that participants in the gaming industry meet certain standards of character and fitness. In addition, gaming laws require gaming industry participants to:</w:t>
      </w:r>
    </w:p>
    <w:p>
      <w:pPr>
        <w:spacing w:after="0" w:line="1"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or association with gaming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9" w:lineRule="exact"/>
        <w:rPr>
          <w:rFonts w:ascii="Arial" w:cs="Arial" w:eastAsia="Arial" w:hAnsi="Arial"/>
          <w:sz w:val="18"/>
          <w:szCs w:val="18"/>
          <w:color w:val="auto"/>
        </w:rPr>
      </w:pPr>
    </w:p>
    <w:p>
      <w:pPr>
        <w:ind w:left="660" w:right="960" w:hanging="328"/>
        <w:spacing w:after="0" w:line="250"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establishing minimum procedures for internal fiscal affairs and the safeguarding of assets and revenues;</w:t>
      </w: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200" w:lineRule="exact"/>
        <w:rPr>
          <w:sz w:val="20"/>
          <w:szCs w:val="20"/>
          <w:color w:val="auto"/>
        </w:rPr>
      </w:pPr>
    </w:p>
    <w:p>
      <w:pPr>
        <w:spacing w:after="0" w:line="22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3"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adopt rules and regulations under the implementing statutes;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interpret and enforce gaming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impose disciplinary sanctions for violations, including fines and penalties;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review the character and fitness of participants in gaming operations and make determinations regarding their suitability or qualification for licensure;</w:t>
      </w: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grant licenses for participation in gaming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collect and review reports and information submitted by participants in gaming operations;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review and approve transactions, such as acquisitions or change-of-control transactions of gaming industry participants, securities offerings and debt transactions engaged in by such participants; and</w:t>
      </w: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establish and collect fees and taxes.</w:t>
      </w:r>
    </w:p>
    <w:p>
      <w:pPr>
        <w:spacing w:after="0" w:line="200" w:lineRule="exact"/>
        <w:rPr>
          <w:sz w:val="20"/>
          <w:szCs w:val="20"/>
          <w:color w:val="auto"/>
        </w:rPr>
      </w:pPr>
    </w:p>
    <w:p>
      <w:pPr>
        <w:spacing w:after="0" w:line="213" w:lineRule="exact"/>
        <w:rPr>
          <w:sz w:val="20"/>
          <w:szCs w:val="20"/>
          <w:color w:val="auto"/>
        </w:rPr>
      </w:pPr>
    </w:p>
    <w:p>
      <w:pPr>
        <w:ind w:left="60" w:right="1840" w:firstLine="279"/>
        <w:spacing w:after="0" w:line="461" w:lineRule="auto"/>
        <w:rPr>
          <w:sz w:val="20"/>
          <w:szCs w:val="20"/>
          <w:color w:val="auto"/>
        </w:rPr>
      </w:pPr>
      <w:r>
        <w:rPr>
          <w:rFonts w:ascii="Arial" w:cs="Arial" w:eastAsia="Arial" w:hAnsi="Arial"/>
          <w:sz w:val="18"/>
          <w:szCs w:val="18"/>
          <w:color w:val="auto"/>
        </w:rPr>
        <w:t xml:space="preserve">Any change in the laws or regulations of a gaming jurisdiction could have a material adverse effect on our gaming operations. </w:t>
      </w:r>
      <w:r>
        <w:rPr>
          <w:rFonts w:ascii="Arial" w:cs="Arial" w:eastAsia="Arial" w:hAnsi="Arial"/>
          <w:sz w:val="18"/>
          <w:szCs w:val="18"/>
          <w:i w:val="1"/>
          <w:iCs w:val="1"/>
          <w:color w:val="auto"/>
        </w:rPr>
        <w:t>Licensing and Suitability Determinations</w:t>
      </w:r>
    </w:p>
    <w:p>
      <w:pPr>
        <w:spacing w:after="0" w:line="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spacing w:after="0" w:line="3"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good character, honesty and integrity of the applicant;</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financial stability, integrity and responsibility of the applicant, including whether the operation is adequately capitalized in the state and exhibits the ability to maintain adequate insurance levels;</w:t>
      </w: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quality of the applicant’s casino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amount of revenue to be derived by the applicable state from the operation of the applicant’s casino;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applicant’s practices with respect to minority hiring, training and procurement;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effect on competition and general impact on the community.</w:t>
      </w:r>
    </w:p>
    <w:p>
      <w:pPr>
        <w:spacing w:after="0" w:line="200" w:lineRule="exact"/>
        <w:rPr>
          <w:sz w:val="20"/>
          <w:szCs w:val="20"/>
          <w:color w:val="auto"/>
        </w:rPr>
      </w:pPr>
    </w:p>
    <w:p>
      <w:pPr>
        <w:spacing w:after="0" w:line="21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evaluating individual applicants, gaming authorities consider the individual’s business experience and reputation for good character, the individual’s financial activities, the individual’s criminal history and the character of those with whom the individual associates.</w:t>
      </w:r>
    </w:p>
    <w:p>
      <w:pPr>
        <w:sectPr>
          <w:pgSz w:w="11900" w:h="16838" w:orient="portrait"/>
          <w:cols w:equalWidth="0" w:num="1">
            <w:col w:w="11240"/>
          </w:cols>
          <w:pgMar w:left="320" w:top="121" w:right="339" w:bottom="1440" w:gutter="0" w:footer="0" w:header="0"/>
        </w:sectPr>
      </w:pPr>
    </w:p>
    <w:bookmarkStart w:id="191" w:name="page192"/>
    <w:bookmarkEnd w:id="191"/>
    <w:p>
      <w:pPr>
        <w:ind w:right="260" w:firstLine="324"/>
        <w:spacing w:after="0" w:line="301" w:lineRule="auto"/>
        <w:rPr>
          <w:sz w:val="20"/>
          <w:szCs w:val="20"/>
          <w:color w:val="auto"/>
        </w:rPr>
      </w:pPr>
      <w:r>
        <w:rPr>
          <w:rFonts w:ascii="Arial" w:cs="Arial" w:eastAsia="Arial" w:hAnsi="Arial"/>
          <w:sz w:val="16"/>
          <w:szCs w:val="16"/>
          <w:color w:val="auto"/>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spacing w:after="0" w:line="18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addition, the legislation permitting riverboat gaming in Iowa authorizes the granting of licenses to “qualified sponsoring organizations, which is defined as a nonprofit corporation organized under the laws of the State of Iowa. The not-for-profit corporation is permitted to enter into operating agreements with persons qualified to conduct riverboat gaming operations. Such operators must be approved and licensed by the Iowa Racing and Gaming Commission. On January 27, 1995, the Iowa Racing and Gaming Commission authorized the issuance of a license to conduct gambling games on an excursion gambling boat to Iowa West Racing Association (the “Association”), a not-for-profit corporation organized for the purpose of facilitating riverboat gaming in Council Bluffs. The Association has entered into a sponsorship agreement with Ameristar Casino Council Bluffs, Inc. (“ACCB”) (the “Operator’s Contract”) authorizing ACCB to operate riverboat gaming operations in Council Bluffs under the Association’s gaming license, and the Iowa Racing and Gaming Commission has approved this contract. The initial term of the Operator’s Contract ran until March 31, 2015, and ACCB exercised an option to extend the term for an additional three-year period through March 31, 2018. In May 2017, the Association and ACCB extended the term of the Operator’s Contract through March 31, 2023.</w:t>
      </w:r>
    </w:p>
    <w:p>
      <w:pPr>
        <w:spacing w:after="0" w:line="2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us and our direct and indirect subsidiaries engaged in gaming operations, gaming authorities have broad authority to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21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2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 Most gaming authorities, however, allow an “institutional investor” to apply for a waiver or similar authorization. An “institutional investor” waiver is generally limited to certain non-individual investors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In some jurisdictions, eligibility to file a statement of Beneficial Ownership on Schedule 13G is a requirement to be considered for, and to maintain, an institutional investor waiver. Even if a waiver is granted, an institutional investor generally may not take any action inconsistent with its status when the waiver was granted without prior notice and once again becoming subject to the foregoing reporting and application obligations.</w:t>
      </w:r>
    </w:p>
    <w:p>
      <w:pPr>
        <w:spacing w:after="0" w:line="19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ectPr>
          <w:pgSz w:w="11900" w:h="16838" w:orient="portrait"/>
          <w:cols w:equalWidth="0" w:num="1">
            <w:col w:w="11220"/>
          </w:cols>
          <w:pgMar w:left="320" w:top="895" w:right="359" w:bottom="1440" w:gutter="0" w:footer="0" w:header="0"/>
        </w:sectPr>
      </w:pPr>
    </w:p>
    <w:bookmarkStart w:id="192" w:name="page193"/>
    <w:bookmarkEnd w:id="192"/>
    <w:p>
      <w:pPr>
        <w:ind w:right="80" w:firstLine="324"/>
        <w:spacing w:after="0" w:line="277" w:lineRule="auto"/>
        <w:rPr>
          <w:sz w:val="20"/>
          <w:szCs w:val="20"/>
          <w:color w:val="auto"/>
        </w:rPr>
      </w:pPr>
      <w:r>
        <w:rPr>
          <w:rFonts w:ascii="Arial" w:cs="Arial" w:eastAsia="Arial" w:hAnsi="Arial"/>
          <w:sz w:val="18"/>
          <w:szCs w:val="18"/>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Violations of Gaming Laws</w:t>
      </w:r>
    </w:p>
    <w:p>
      <w:pPr>
        <w:spacing w:after="0" w:line="18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spacing w:after="0" w:line="21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and Record-keeping Requirements</w:t>
      </w:r>
    </w:p>
    <w:p>
      <w:pPr>
        <w:spacing w:after="0" w:line="19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certain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0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Because of regulatory restrictions, our ability to grant a security interest in any of our gaming assets is limited and subject to receipt of prior approval by certain gaming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 and Gaming Taxes</w:t>
      </w:r>
    </w:p>
    <w:p>
      <w:pPr>
        <w:spacing w:after="0" w:line="185" w:lineRule="exact"/>
        <w:rPr>
          <w:sz w:val="20"/>
          <w:szCs w:val="20"/>
          <w:color w:val="auto"/>
        </w:rPr>
      </w:pPr>
    </w:p>
    <w:p>
      <w:pPr>
        <w:ind w:right="280" w:firstLine="324"/>
        <w:spacing w:after="0" w:line="287" w:lineRule="auto"/>
        <w:rPr>
          <w:sz w:val="20"/>
          <w:szCs w:val="20"/>
          <w:color w:val="auto"/>
        </w:rPr>
      </w:pPr>
      <w:r>
        <w:rPr>
          <w:rFonts w:ascii="Arial" w:cs="Arial" w:eastAsia="Arial" w:hAnsi="Arial"/>
          <w:sz w:val="16"/>
          <w:szCs w:val="16"/>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2"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percentage of the gross gaming revenues received;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number of gaming devices and table games operated;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admission fees for customers boarding our riverboat casinos;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one time fees payable upon the initial receipt of license and fees in connection with the renewal of license.</w:t>
      </w:r>
    </w:p>
    <w:p>
      <w:pPr>
        <w:spacing w:after="0" w:line="23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taxes specifically unique to gaming, we are required to pay all other applicable taxes.</w:t>
      </w:r>
    </w:p>
    <w:p>
      <w:pPr>
        <w:sectPr>
          <w:pgSz w:w="11900" w:h="16838" w:orient="portrait"/>
          <w:cols w:equalWidth="0" w:num="1">
            <w:col w:w="11180"/>
          </w:cols>
          <w:pgMar w:left="320" w:top="895" w:right="3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i w:val="1"/>
          <w:iCs w:val="1"/>
          <w:color w:val="auto"/>
        </w:rPr>
        <w:t>Operational Requirements</w:t>
      </w:r>
    </w:p>
    <w:p>
      <w:pPr>
        <w:spacing w:after="0" w:line="1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most jurisdictions, we are subject to certain requirements and restrictions on how we must conduct our gaming operations. In many states, we are required to promote and/or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21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w:t>
      </w:r>
    </w:p>
    <w:p>
      <w:pPr>
        <w:spacing w:after="0" w:line="211"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21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Mississippi, for example, we are required to include a 500 car parking facility in close proximity to each casino complex and infrastructure facilities that will amount to at least twenty five percent of the casino cost. This requirement was subsequently increased for any new casinos in Mississippi.</w:t>
      </w:r>
    </w:p>
    <w:p>
      <w:pPr>
        <w:spacing w:after="0" w:line="151"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Our operating properties are also subject to various rules and regulations related to the prevention of financial crimes and combating terrorism, including the U.S. Patriot Act of 2001. These rules and regulations require us to, among other things, implement policies and procedures related to anti-money laundering, suspicious activities, currency transaction reporting and due diligence on customers. Although we have policies and procedures designed to comply with these rules and regulations, to the extent they are not fully effective or do not meet heightened regulatory standards or expectations, we may be subject to fines, penalties, restrictions on certain activities, reputational harm, or other adverse consequences.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Riverboat Casinos</w:t>
      </w:r>
    </w:p>
    <w:p>
      <w:pPr>
        <w:spacing w:after="0" w:line="19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operations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Racetracks</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horse racing operations at our thoroughbred racetracks in Charles Town, West Virginia; Grantville, Pennsylvania; Hobbs, New Mexico; Austintown, Ohio; and at our harness racetracks in Bangor, Maine; Dayton, Ohio; Washington, Pennsylvania; and Plainville, Massachusetts. Through a joint venture agreement we have an ownership interest in a harness racetrack in Freehold, New Jersey, along with two off-track wagering facilities and a minority interest in an account wagering operations. In Texas, we have a joint venture agreement for the operation of a thoroughbred track in Houston and a greyhound racing facility in Harlingen, and another joint venture agreement for the operation of a quarter horse and thoroughbred track in San Antonio. In Pennsylvania, we have two off-track wagering facilities. We also conduct telephonic and electronic account wagering operations pursuant to pari-mutuel licensees or approvals issued to us or one of our subsidiaries in Pennsylvania, Oregon and Massachusetts. We currently operate video lottery terminals and table games at the Charles Town, West Virginia racetrack, and operate video lottery terminals at our racetracks in Austintown, Ohio and Dayton, Ohio. We operate slot machines and table games at our Grantville, Pennsylvania and Washington, Pennsylvania racetracks, operate slot machines and table games in Bangor, Maine at a facility located near the racetrack, operate slot machines and video poker at our Hobbs, New Mexico racetrack, and operate slot machines and electronic table games at our Plainville, Massachusetts racetrack. Generally, our slot and table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20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Regulations governing our horse and harness racing operations are, in most jurisdictions, administered separately from the regulations governing gaming operations, with separate licenses and license fee structures. The racing authorities responsible</w:t>
      </w:r>
    </w:p>
    <w:p>
      <w:pPr>
        <w:sectPr>
          <w:pgSz w:w="11900" w:h="16838" w:orient="portrait"/>
          <w:cols w:equalWidth="0" w:num="1">
            <w:col w:w="11240"/>
          </w:cols>
          <w:pgMar w:left="320" w:top="895" w:right="339" w:bottom="1440" w:gutter="0" w:footer="0" w:header="0"/>
        </w:sectPr>
      </w:pPr>
    </w:p>
    <w:bookmarkStart w:id="194" w:name="page195"/>
    <w:bookmarkEnd w:id="194"/>
    <w:p>
      <w:pPr>
        <w:ind w:right="100"/>
        <w:spacing w:after="0" w:line="259" w:lineRule="auto"/>
        <w:rPr>
          <w:sz w:val="20"/>
          <w:szCs w:val="20"/>
          <w:color w:val="auto"/>
        </w:rPr>
      </w:pPr>
      <w:r>
        <w:rPr>
          <w:rFonts w:ascii="Arial" w:cs="Arial" w:eastAsia="Arial" w:hAnsi="Arial"/>
          <w:sz w:val="18"/>
          <w:szCs w:val="18"/>
          <w:color w:val="auto"/>
        </w:rPr>
        <w:t>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Gaming Operations</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subsidiary Illinois Gaming Investors LLC d/b/a Prairie State Gaming is licensed in Illinois as a Video Gaming Terminal (“VGT”) Operator to install and operate gaming devices in certain non-casino licensed establishments (such as restaurants, bars, taverns). In addition, our subsidiary Marquee by Penn, LLC is conditionally licensed in Pennsylvania as a VGT Operator to own, service and/or maintain gaming devices for placement and operation on the premises of licensed truck stop establishments and expected to commence operations in 2019 pursuant to regulations adopted by the Pennsylvania Gaming Control Board. A VGT Operator may not have any ownership or control with respect to an establishment, and the regulations pertaining to VGT Operators are similar to those generally applicable to the gaming industry.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Sports Betting</w:t>
      </w:r>
    </w:p>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accordance with state gaming regulatory approvals, we currently offer retail sports wagering at our casinos in Colorado, Illinois, Nevada, Michigan, Mississippi, Indiana, Iowa, West Virginia and Pennsylvania. Certain of these state gaming regulatory approvals also authorize future online sports wagering within the given jurisdiction subject to testing and further approvals. In addition, apart from Nevada, which we expect to be converted in 2022, an affiliate of the Company to manage all of Penn National’s retail sportsbooks by the end of the first quarter of 2020. We anticipate adding additional retail sports wagering offerings in the future as additional jurisdictions authorize the implementation of sports betting. In addition, the Company launched online, intrastate sports wagering, in certain of its jurisdictions where online, intrastate sports wagering is authorized, including in Pennsylvania and Michigan and plans to launch in additional jurisdictions upon receipt of necessary approvals.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Interactive Business</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204"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Some of our social gaming products and features are based upon traditional casino games, such as slots and table games. Although we do not believe these products and features, including those available at HollywoodCasino.com, constitute gambling, it is possible that additional laws or regulations may be passed in the future that would restrict or impose additional requirements on our social gaming products and features.</w:t>
      </w:r>
    </w:p>
    <w:p>
      <w:pPr>
        <w:spacing w:after="0" w:line="192" w:lineRule="exact"/>
        <w:rPr>
          <w:sz w:val="20"/>
          <w:szCs w:val="20"/>
          <w:color w:val="auto"/>
        </w:rPr>
      </w:pPr>
    </w:p>
    <w:p>
      <w:pPr>
        <w:jc w:val="both"/>
        <w:ind w:right="120" w:firstLine="324"/>
        <w:spacing w:after="0" w:line="308" w:lineRule="auto"/>
        <w:rPr>
          <w:sz w:val="20"/>
          <w:szCs w:val="20"/>
          <w:color w:val="auto"/>
        </w:rPr>
      </w:pPr>
      <w:r>
        <w:rPr>
          <w:rFonts w:ascii="Arial" w:cs="Arial" w:eastAsia="Arial" w:hAnsi="Arial"/>
          <w:sz w:val="17"/>
          <w:szCs w:val="17"/>
          <w:color w:val="auto"/>
        </w:rPr>
        <w:t>In addition, an affiliate of the Company began offering lawful real money online internet gaming in Pennsylvania in 2019 and in Michigan in the first quarter of 2021, including slots, table games and poker, pursuant to regulations adopted by the applicable regulatory authorities.</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1)"/>
      <w:numFmt w:val="decimal"/>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1)"/>
      <w:numFmt w:val="upperLetter"/>
      <w:start w:val="4"/>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1)"/>
      <w:numFmt w:val="decimal"/>
      <w:start w:val="2"/>
    </w:lvl>
  </w:abstractNum>
  <w:abstractNum w:abstractNumId="15">
    <w:nsid w:val="4A2AC315"/>
    <w:multiLevelType w:val="hybridMultilevel"/>
    <w:lvl w:ilvl="0">
      <w:lvlJc w:val="left"/>
      <w:lvlText w:val="(%1)"/>
      <w:numFmt w:val="lowerLetter"/>
      <w:start w:val="1"/>
    </w:lvl>
  </w:abstractNum>
  <w:abstractNum w:abstractNumId="16">
    <w:nsid w:val="39EE015C"/>
    <w:multiLevelType w:val="hybridMultilevel"/>
    <w:lvl w:ilvl="0">
      <w:lvlJc w:val="left"/>
      <w:lvlText w:val="(%1)"/>
      <w:numFmt w:val="decimal"/>
      <w:start w:val="1"/>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decimal"/>
      <w:start w:val="1"/>
    </w:lvl>
  </w:abstractNum>
  <w:abstractNum w:abstractNumId="19">
    <w:nsid w:val="43F18422"/>
    <w:multiLevelType w:val="hybridMultilevel"/>
    <w:lvl w:ilvl="0">
      <w:lvlJc w:val="left"/>
      <w:lvlText w:val="(%1)"/>
      <w:numFmt w:val="lowerRoman"/>
      <w:start w:val="1"/>
    </w:lvl>
  </w:abstractNum>
  <w:abstractNum w:abstractNumId="20">
    <w:nsid w:val="60EF0119"/>
    <w:multiLevelType w:val="hybridMultilevel"/>
    <w:lvl w:ilvl="0">
      <w:lvlJc w:val="left"/>
      <w:lvlText w:val="(%1)"/>
      <w:numFmt w:val="decimal"/>
      <w:start w:val="1"/>
    </w:lvl>
  </w:abstractNum>
  <w:abstractNum w:abstractNumId="21">
    <w:nsid w:val="26F324BA"/>
    <w:multiLevelType w:val="hybridMultilevel"/>
    <w:lvl w:ilvl="0">
      <w:lvlJc w:val="left"/>
      <w:lvlText w:val="(%1)"/>
      <w:numFmt w:val="decimal"/>
      <w:start w:val="1"/>
    </w:lvl>
  </w:abstractNum>
  <w:abstractNum w:abstractNumId="22">
    <w:nsid w:val="7F01579B"/>
    <w:multiLevelType w:val="hybridMultilevel"/>
    <w:lvl w:ilvl="0">
      <w:lvlJc w:val="left"/>
      <w:lvlText w:val="(%1)"/>
      <w:numFmt w:val="lowerRoman"/>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1)"/>
      <w:numFmt w:val="decimal"/>
      <w:start w:val="1"/>
    </w:lvl>
  </w:abstractNum>
  <w:abstractNum w:abstractNumId="26">
    <w:nsid w:val="50801EE1"/>
    <w:multiLevelType w:val="hybridMultilevel"/>
    <w:lvl w:ilvl="0">
      <w:lvlJc w:val="left"/>
      <w:lvlText w:val="•"/>
      <w:numFmt w:val="bullet"/>
      <w:start w:val="1"/>
    </w:lvl>
    <w:lvl w:ilvl="1">
      <w:lvlJc w:val="left"/>
      <w:lvlText w:val="◦"/>
      <w:numFmt w:val="bullet"/>
      <w:start w:val="1"/>
    </w:lvl>
  </w:abstractNum>
  <w:abstractNum w:abstractNumId="27">
    <w:nsid w:val="488AC1A"/>
    <w:multiLevelType w:val="hybridMultilevel"/>
    <w:lvl w:ilvl="0">
      <w:lvlJc w:val="left"/>
      <w:lvlText w:val="(%1)"/>
      <w:numFmt w:val="lowerLetter"/>
      <w:start w:val="1"/>
    </w:lvl>
  </w:abstractNum>
  <w:abstractNum w:abstractNumId="28">
    <w:nsid w:val="5FB8011C"/>
    <w:multiLevelType w:val="hybridMultilevel"/>
    <w:lvl w:ilvl="0">
      <w:lvlJc w:val="left"/>
      <w:lvlText w:val="(%1)"/>
      <w:numFmt w:val="decimal"/>
      <w:start w:val="1"/>
    </w:lvl>
  </w:abstractNum>
  <w:abstractNum w:abstractNumId="29">
    <w:nsid w:val="6AA78F7F"/>
    <w:multiLevelType w:val="hybridMultilevel"/>
    <w:lvl w:ilvl="0">
      <w:lvlJc w:val="left"/>
      <w:lvlText w:val="(%1)"/>
      <w:numFmt w:val="decimal"/>
      <w:start w:val="1"/>
    </w:lvl>
  </w:abstractNum>
  <w:abstractNum w:abstractNumId="30">
    <w:nsid w:val="7672BD23"/>
    <w:multiLevelType w:val="hybridMultilevel"/>
    <w:lvl w:ilvl="0">
      <w:lvlJc w:val="left"/>
      <w:lvlText w:val="(%1)"/>
      <w:numFmt w:val="decimal"/>
      <w:start w:val="1"/>
    </w:lvl>
  </w:abstractNum>
  <w:abstractNum w:abstractNumId="31">
    <w:nsid w:val="6FC75AF8"/>
    <w:multiLevelType w:val="hybridMultilevel"/>
    <w:lvl w:ilvl="0">
      <w:lvlJc w:val="left"/>
      <w:lvlText w:val="(%1)"/>
      <w:numFmt w:val="decimal"/>
      <w:start w:val="1"/>
    </w:lvl>
  </w:abstractNum>
  <w:abstractNum w:abstractNumId="32">
    <w:nsid w:val="6A5F7029"/>
    <w:multiLevelType w:val="hybridMultilevel"/>
    <w:lvl w:ilvl="0">
      <w:lvlJc w:val="left"/>
      <w:lvlText w:val="(%1)"/>
      <w:numFmt w:val="decimal"/>
      <w:start w:val="1"/>
    </w:lvl>
  </w:abstractNum>
  <w:abstractNum w:abstractNumId="33">
    <w:nsid w:val="7D5E18F8"/>
    <w:multiLevelType w:val="hybridMultilevel"/>
    <w:lvl w:ilvl="0">
      <w:lvlJc w:val="left"/>
      <w:lvlText w:val="(%1)"/>
      <w:numFmt w:val="decimal"/>
      <w:start w:val="1"/>
    </w:lvl>
  </w:abstractNum>
  <w:abstractNum w:abstractNumId="34">
    <w:nsid w:val="5F3534A4"/>
    <w:multiLevelType w:val="hybridMultilevel"/>
    <w:lvl w:ilvl="0">
      <w:lvlJc w:val="left"/>
      <w:lvlText w:val="(%1)"/>
      <w:numFmt w:val="decimal"/>
      <w:start w:val="1"/>
    </w:lvl>
  </w:abstractNum>
  <w:abstractNum w:abstractNumId="35">
    <w:nsid w:val="73A1821B"/>
    <w:multiLevelType w:val="hybridMultilevel"/>
    <w:lvl w:ilvl="0">
      <w:lvlJc w:val="left"/>
      <w:lvlText w:val="(%1)"/>
      <w:numFmt w:val="decimal"/>
      <w:start w:val="1"/>
    </w:lvl>
  </w:abstractNum>
  <w:abstractNum w:abstractNumId="36">
    <w:nsid w:val="7DE67713"/>
    <w:multiLevelType w:val="hybridMultilevel"/>
    <w:lvl w:ilvl="0">
      <w:lvlJc w:val="left"/>
      <w:lvlText w:val="(%1)"/>
      <w:numFmt w:val="decimal"/>
      <w:start w:val="1"/>
    </w:lvl>
  </w:abstractNum>
  <w:abstractNum w:abstractNumId="37">
    <w:nsid w:val="555C55B5"/>
    <w:multiLevelType w:val="hybridMultilevel"/>
    <w:lvl w:ilvl="0">
      <w:lvlJc w:val="left"/>
      <w:lvlText w:val="(%1)"/>
      <w:numFmt w:val="decimal"/>
      <w:start w:val="1"/>
    </w:lvl>
  </w:abstractNum>
  <w:abstractNum w:abstractNumId="38">
    <w:nsid w:val="3FA62ACA"/>
    <w:multiLevelType w:val="hybridMultilevel"/>
    <w:lvl w:ilvl="0">
      <w:lvlJc w:val="left"/>
      <w:lvlText w:val="(%1)"/>
      <w:numFmt w:val="decimal"/>
      <w:start w:val="1"/>
    </w:lvl>
  </w:abstractNum>
  <w:abstractNum w:abstractNumId="39">
    <w:nsid w:val="14FCE74E"/>
    <w:multiLevelType w:val="hybridMultilevel"/>
    <w:lvl w:ilvl="0">
      <w:lvlJc w:val="left"/>
      <w:lvlText w:val="(%1)"/>
      <w:numFmt w:val="decimal"/>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1)"/>
      <w:numFmt w:val="decimal"/>
      <w:start w:val="2"/>
    </w:lvl>
  </w:abstractNum>
  <w:abstractNum w:abstractNumId="42">
    <w:nsid w:val="9DAF632"/>
    <w:multiLevelType w:val="hybridMultilevel"/>
    <w:lvl w:ilvl="0">
      <w:lvlJc w:val="left"/>
      <w:lvlText w:val="(%1)"/>
      <w:numFmt w:val="decimal"/>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decimal"/>
      <w:start w:val="1"/>
    </w:lvl>
  </w:abstractNum>
  <w:abstractNum w:abstractNumId="47">
    <w:nsid w:val="59ADEA3D"/>
    <w:multiLevelType w:val="hybridMultilevel"/>
    <w:lvl w:ilvl="0">
      <w:lvlJc w:val="left"/>
      <w:lvlText w:val="(%1)"/>
      <w:numFmt w:val="decimal"/>
      <w:start w:val="2"/>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1)"/>
      <w:numFmt w:val="lowerLetter"/>
      <w:start w:val="1"/>
    </w:lvl>
  </w:abstractNum>
  <w:abstractNum w:abstractNumId="54">
    <w:nsid w:val="53584BCB"/>
    <w:multiLevelType w:val="hybridMultilevel"/>
    <w:lvl w:ilvl="0">
      <w:lvlJc w:val="left"/>
      <w:lvlText w:val="(%1)"/>
      <w:numFmt w:val="lowerLetter"/>
      <w:start w:val="4"/>
    </w:lvl>
  </w:abstractNum>
  <w:abstractNum w:abstractNumId="55">
    <w:nsid w:val="415E286C"/>
    <w:multiLevelType w:val="hybridMultilevel"/>
    <w:lvl w:ilvl="0">
      <w:lvlJc w:val="left"/>
      <w:lvlText w:val="(%1)"/>
      <w:numFmt w:val="lowerLetter"/>
      <w:start w:val="1"/>
    </w:lvl>
  </w:abstractNum>
  <w:abstractNum w:abstractNumId="56">
    <w:nsid w:val="7C58FD05"/>
    <w:multiLevelType w:val="hybridMultilevel"/>
    <w:lvl w:ilvl="0">
      <w:lvlJc w:val="left"/>
      <w:lvlText w:val="(%1)"/>
      <w:numFmt w:val="lowerLetter"/>
      <w:start w:val="1"/>
    </w:lvl>
  </w:abstractNum>
  <w:abstractNum w:abstractNumId="57">
    <w:nsid w:val="23D86AAC"/>
    <w:multiLevelType w:val="hybridMultilevel"/>
    <w:lvl w:ilvl="0">
      <w:lvlJc w:val="left"/>
      <w:lvlText w:val="(%1)"/>
      <w:numFmt w:val="lowerLetter"/>
      <w:start w:val="2"/>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3"/>
    </w:lvl>
  </w:abstractNum>
  <w:abstractNum w:abstractNumId="60">
    <w:nsid w:val="E7FFA2B"/>
    <w:multiLevelType w:val="hybridMultilevel"/>
    <w:lvl w:ilvl="0">
      <w:lvlJc w:val="left"/>
      <w:lvlText w:val="(%1)"/>
      <w:numFmt w:val="lowerLetter"/>
      <w:start w:val="5"/>
    </w:lvl>
  </w:abstractNum>
  <w:abstractNum w:abstractNumId="61">
    <w:nsid w:val="3C5991AA"/>
    <w:multiLevelType w:val="hybridMultilevel"/>
    <w:lvl w:ilvl="0">
      <w:lvlJc w:val="left"/>
      <w:lvlText w:val="(%1)"/>
      <w:numFmt w:val="lowerLetter"/>
      <w:start w:val="1"/>
    </w:lvl>
  </w:abstractNum>
  <w:abstractNum w:abstractNumId="62">
    <w:nsid w:val="4BD8591A"/>
    <w:multiLevelType w:val="hybridMultilevel"/>
    <w:lvl w:ilvl="0">
      <w:lvlJc w:val="left"/>
      <w:lvlText w:val="(%1)"/>
      <w:numFmt w:val="lowerLetter"/>
      <w:start w:val="2"/>
    </w:lvl>
  </w:abstractNum>
  <w:abstractNum w:abstractNumId="63">
    <w:nsid w:val="78DF6A55"/>
    <w:multiLevelType w:val="hybridMultilevel"/>
    <w:lvl w:ilvl="0">
      <w:lvlJc w:val="left"/>
      <w:lvlText w:val="(%1)"/>
      <w:numFmt w:val="lowerLetter"/>
      <w:start w:val="3"/>
    </w:lvl>
  </w:abstractNum>
  <w:abstractNum w:abstractNumId="64">
    <w:nsid w:val="39B7AAA2"/>
    <w:multiLevelType w:val="hybridMultilevel"/>
    <w:lvl w:ilvl="0">
      <w:lvlJc w:val="left"/>
      <w:lvlText w:val="(%1)"/>
      <w:numFmt w:val="lowerLetter"/>
      <w:start w:val="1"/>
    </w:lvl>
  </w:abstractNum>
  <w:abstractNum w:abstractNumId="65">
    <w:nsid w:val="2B0D8DBE"/>
    <w:multiLevelType w:val="hybridMultilevel"/>
    <w:lvl w:ilvl="0">
      <w:lvlJc w:val="left"/>
      <w:lvlText w:val="(%1)"/>
      <w:numFmt w:val="lowerLetter"/>
      <w:start w:val="2"/>
    </w:lvl>
  </w:abstractNum>
  <w:abstractNum w:abstractNumId="66">
    <w:nsid w:val="6C80EC70"/>
    <w:multiLevelType w:val="hybridMultilevel"/>
    <w:lvl w:ilvl="0">
      <w:lvlJc w:val="left"/>
      <w:lvlText w:val="(%1)"/>
      <w:numFmt w:val="lowerLetter"/>
      <w:start w:val="1"/>
    </w:lvl>
  </w:abstractNum>
  <w:abstractNum w:abstractNumId="67">
    <w:nsid w:val="379E21B5"/>
    <w:multiLevelType w:val="hybridMultilevel"/>
    <w:lvl w:ilvl="0">
      <w:lvlJc w:val="left"/>
      <w:lvlText w:val="(%1)"/>
      <w:numFmt w:val="lowerLetter"/>
      <w:start w:val="1"/>
    </w:lvl>
  </w:abstractNum>
  <w:abstractNum w:abstractNumId="68">
    <w:nsid w:val="69E373"/>
    <w:multiLevelType w:val="hybridMultilevel"/>
    <w:lvl w:ilvl="0">
      <w:lvlJc w:val="left"/>
      <w:lvlText w:val="(%1)"/>
      <w:numFmt w:val="lowerLetter"/>
      <w:start w:val="2"/>
    </w:lvl>
    <w:lvl w:ilvl="1">
      <w:lvlJc w:val="left"/>
      <w:lvlText w:val="(%2)"/>
      <w:numFmt w:val="lowerLetter"/>
      <w:start w:val="9"/>
    </w:lvl>
  </w:abstractNum>
  <w:abstractNum w:abstractNumId="69">
    <w:nsid w:val="2C27173B"/>
    <w:multiLevelType w:val="hybridMultilevel"/>
    <w:lvl w:ilvl="0">
      <w:lvlJc w:val="left"/>
      <w:lvlText w:val="(%1)"/>
      <w:numFmt w:val="lowerRoman"/>
      <w:start w:val="2"/>
    </w:lvl>
  </w:abstractNum>
  <w:abstractNum w:abstractNumId="70">
    <w:nsid w:val="4C9B0904"/>
    <w:multiLevelType w:val="hybridMultilevel"/>
    <w:lvl w:ilvl="0">
      <w:lvlJc w:val="left"/>
      <w:lvlText w:val="(%1)"/>
      <w:numFmt w:val="lowerRoman"/>
      <w:start w:val="1"/>
    </w:lvl>
  </w:abstractNum>
  <w:abstractNum w:abstractNumId="71">
    <w:nsid w:val="6AA7B75C"/>
    <w:multiLevelType w:val="hybridMultilevel"/>
    <w:lvl w:ilvl="0">
      <w:lvlJc w:val="left"/>
      <w:lvlText w:val="(%1)"/>
      <w:numFmt w:val="lowerLetter"/>
      <w:start w:val="1"/>
    </w:lvl>
  </w:abstractNum>
  <w:abstractNum w:abstractNumId="72">
    <w:nsid w:val="1DF029D3"/>
    <w:multiLevelType w:val="hybridMultilevel"/>
    <w:lvl w:ilvl="0">
      <w:lvlJc w:val="left"/>
      <w:lvlText w:val="(%1)"/>
      <w:numFmt w:val="lowerLetter"/>
      <w:start w:val="2"/>
    </w:lvl>
  </w:abstractNum>
  <w:abstractNum w:abstractNumId="73">
    <w:nsid w:val="5675FF36"/>
    <w:multiLevelType w:val="hybridMultilevel"/>
    <w:lvl w:ilvl="0">
      <w:lvlJc w:val="left"/>
      <w:lvlText w:val="(%1)"/>
      <w:numFmt w:val="lowerLetter"/>
      <w:start w:val="1"/>
    </w:lvl>
  </w:abstractNum>
  <w:abstractNum w:abstractNumId="74">
    <w:nsid w:val="3DD15094"/>
    <w:multiLevelType w:val="hybridMultilevel"/>
    <w:lvl w:ilvl="0">
      <w:lvlJc w:val="left"/>
      <w:lvlText w:val="(%1)"/>
      <w:numFmt w:val="lowerLetter"/>
      <w:start w:val="4"/>
    </w:lvl>
  </w:abstractNum>
  <w:abstractNum w:abstractNumId="75">
    <w:nsid w:val="3DB012B3"/>
    <w:multiLevelType w:val="hybridMultilevel"/>
    <w:lvl w:ilvl="0">
      <w:lvlJc w:val="left"/>
      <w:lvlText w:val="(%1)"/>
      <w:numFmt w:val="lowerLetter"/>
      <w:start w:val="5"/>
    </w:lvl>
  </w:abstractNum>
  <w:abstractNum w:abstractNumId="76">
    <w:nsid w:val="2708C9AF"/>
    <w:multiLevelType w:val="hybridMultilevel"/>
    <w:lvl w:ilvl="0">
      <w:lvlJc w:val="left"/>
      <w:lvlText w:val="(%1)"/>
      <w:numFmt w:val="lowerLetter"/>
      <w:start w:val="1"/>
    </w:lvl>
  </w:abstractNum>
  <w:abstractNum w:abstractNumId="77">
    <w:nsid w:val="5B25ACE2"/>
    <w:multiLevelType w:val="hybridMultilevel"/>
    <w:lvl w:ilvl="0">
      <w:lvlJc w:val="left"/>
      <w:lvlText w:val="(%1)"/>
      <w:numFmt w:val="lowerLetter"/>
      <w:start w:val="2"/>
    </w:lvl>
  </w:abstractNum>
  <w:abstractNum w:abstractNumId="78">
    <w:nsid w:val="175DFCF0"/>
    <w:multiLevelType w:val="hybridMultilevel"/>
    <w:lvl w:ilvl="0">
      <w:lvlJc w:val="left"/>
      <w:lvlText w:val="(%1)"/>
      <w:numFmt w:val="lowerLetter"/>
      <w:start w:val="1"/>
    </w:lvl>
  </w:abstractNum>
  <w:abstractNum w:abstractNumId="79">
    <w:nsid w:val="4F97E3E4"/>
    <w:multiLevelType w:val="hybridMultilevel"/>
    <w:lvl w:ilvl="0">
      <w:lvlJc w:val="left"/>
      <w:lvlText w:val="(%1)"/>
      <w:numFmt w:val="decimal"/>
      <w:start w:val="1"/>
    </w:lvl>
  </w:abstractNum>
  <w:abstractNum w:abstractNumId="80">
    <w:nsid w:val="53B0A9E"/>
    <w:multiLevelType w:val="hybridMultilevel"/>
    <w:lvl w:ilvl="0">
      <w:lvlJc w:val="left"/>
      <w:lvlText w:val="(%1)"/>
      <w:numFmt w:val="lowerLetter"/>
      <w:start w:val="1"/>
    </w:lvl>
  </w:abstractNum>
  <w:abstractNum w:abstractNumId="81">
    <w:nsid w:val="34FD6B4F"/>
    <w:multiLevelType w:val="hybridMultilevel"/>
    <w:lvl w:ilvl="0">
      <w:lvlJc w:val="left"/>
      <w:lvlText w:val="(%1)"/>
      <w:numFmt w:val="lowerLetter"/>
      <w:start w:val="1"/>
    </w:lvl>
  </w:abstractNum>
  <w:abstractNum w:abstractNumId="82">
    <w:nsid w:val="5915FF32"/>
    <w:multiLevelType w:val="hybridMultilevel"/>
    <w:lvl w:ilvl="0">
      <w:lvlJc w:val="left"/>
      <w:lvlText w:val="(%1)"/>
      <w:numFmt w:val="lowerLetter"/>
      <w:start w:val="2"/>
    </w:lvl>
  </w:abstractNum>
  <w:abstractNum w:abstractNumId="83">
    <w:nsid w:val="56438D15"/>
    <w:multiLevelType w:val="hybridMultilevel"/>
    <w:lvl w:ilvl="0">
      <w:lvlJc w:val="left"/>
      <w:lvlText w:val="(%1)"/>
      <w:numFmt w:val="lowerLetter"/>
      <w:start w:val="1"/>
    </w:lvl>
    <w:lvl w:ilvl="1">
      <w:lvlJc w:val="left"/>
      <w:lvlText w:val="(%2)"/>
      <w:numFmt w:val="lowerRoman"/>
      <w:start w:val="1"/>
    </w:lvl>
  </w:abstractNum>
  <w:abstractNum w:abstractNumId="84">
    <w:nsid w:val="519E3149"/>
    <w:multiLevelType w:val="hybridMultilevel"/>
    <w:lvl w:ilvl="0">
      <w:lvlJc w:val="left"/>
      <w:lvlText w:val="%1."/>
      <w:numFmt w:val="decimal"/>
      <w:start w:val="1"/>
    </w:lvl>
  </w:abstractNum>
  <w:abstractNum w:abstractNumId="85">
    <w:nsid w:val="2C6E4AFD"/>
    <w:multiLevelType w:val="hybridMultilevel"/>
    <w:lvl w:ilvl="0">
      <w:lvlJc w:val="left"/>
      <w:lvlText w:val="%1."/>
      <w:numFmt w:val="decimal"/>
      <w:start w:val="2"/>
    </w:lvl>
  </w:abstractNum>
  <w:abstractNum w:abstractNumId="86">
    <w:nsid w:val="17A1B582"/>
    <w:multiLevelType w:val="hybridMultilevel"/>
    <w:lvl w:ilvl="0">
      <w:lvlJc w:val="left"/>
      <w:lvlText w:val="%1."/>
      <w:numFmt w:val="decimal"/>
      <w:start w:val="1"/>
    </w:lvl>
  </w:abstractNum>
  <w:abstractNum w:abstractNumId="87">
    <w:nsid w:val="4DF72E4E"/>
    <w:multiLevelType w:val="hybridMultilevel"/>
    <w:lvl w:ilvl="0">
      <w:lvlJc w:val="left"/>
      <w:lvlText w:val="%1."/>
      <w:numFmt w:val="decimal"/>
      <w:start w:val="5"/>
    </w:lvl>
    <w:lvl w:ilvl="1">
      <w:lvlJc w:val="left"/>
      <w:lvlText w:val="(%2)"/>
      <w:numFmt w:val="lowerRoman"/>
      <w:start w:val="1"/>
    </w:lvl>
  </w:abstractNum>
  <w:abstractNum w:abstractNumId="88">
    <w:nsid w:val="5046B5A9"/>
    <w:multiLevelType w:val="hybridMultilevel"/>
    <w:lvl w:ilvl="0">
      <w:lvlJc w:val="left"/>
      <w:lvlText w:val="(%1)"/>
      <w:numFmt w:val="lowerRoman"/>
      <w:start w:val="3"/>
    </w:lvl>
  </w:abstractNum>
  <w:abstractNum w:abstractNumId="89">
    <w:nsid w:val="5D888A08"/>
    <w:multiLevelType w:val="hybridMultilevel"/>
    <w:lvl w:ilvl="0">
      <w:lvlJc w:val="left"/>
      <w:lvlText w:val="%1."/>
      <w:numFmt w:val="decimal"/>
      <w:start w:val="6"/>
    </w:lvl>
  </w:abstractNum>
  <w:abstractNum w:abstractNumId="90">
    <w:nsid w:val="2A082C70"/>
    <w:multiLevelType w:val="hybridMultilevel"/>
    <w:lvl w:ilvl="0">
      <w:lvlJc w:val="left"/>
      <w:lvlText w:val="%1."/>
      <w:numFmt w:val="decimal"/>
      <w:start w:val="1"/>
    </w:lvl>
  </w:abstractNum>
  <w:abstractNum w:abstractNumId="91">
    <w:nsid w:val="5EC6AFD4"/>
    <w:multiLevelType w:val="hybridMultilevel"/>
    <w:lvl w:ilvl="0">
      <w:lvlJc w:val="left"/>
      <w:lvlText w:val="%1."/>
      <w:numFmt w:val="decimal"/>
      <w:start w:val="1"/>
    </w:lvl>
  </w:abstractNum>
  <w:abstractNum w:abstractNumId="92">
    <w:nsid w:val="19E21BB2"/>
    <w:multiLevelType w:val="hybridMultilevel"/>
    <w:lvl w:ilvl="0">
      <w:lvlJc w:val="left"/>
      <w:lvlText w:val="%1."/>
      <w:numFmt w:val="decimal"/>
      <w:start w:val="2"/>
    </w:lvl>
  </w:abstractNum>
  <w:abstractNum w:abstractNumId="93">
    <w:nsid w:val="75E0858A"/>
    <w:multiLevelType w:val="hybridMultilevel"/>
    <w:lvl w:ilvl="0">
      <w:lvlJc w:val="left"/>
      <w:lvlText w:val="%1."/>
      <w:numFmt w:val="decimal"/>
      <w:start w:val="1"/>
    </w:lvl>
  </w:abstractNum>
  <w:abstractNum w:abstractNumId="94">
    <w:nsid w:val="57A61A29"/>
    <w:multiLevelType w:val="hybridMultilevel"/>
    <w:lvl w:ilvl="0">
      <w:lvlJc w:val="left"/>
      <w:lvlText w:val="(%1)"/>
      <w:numFmt w:val="lowerLetter"/>
      <w:start w:val="1"/>
    </w:lvl>
  </w:abstractNum>
  <w:abstractNum w:abstractNumId="95">
    <w:nsid w:val="5399C654"/>
    <w:multiLevelType w:val="hybridMultilevel"/>
    <w:lvl w:ilvl="0">
      <w:lvlJc w:val="left"/>
      <w:lvlText w:val="%1."/>
      <w:numFmt w:val="decimal"/>
      <w:start w:val="2"/>
    </w:lvl>
  </w:abstractNum>
  <w:abstractNum w:abstractNumId="96">
    <w:nsid w:val="20EE1348"/>
    <w:multiLevelType w:val="hybridMultilevel"/>
    <w:lvl w:ilvl="0">
      <w:lvlJc w:val="left"/>
      <w:lvlText w:val="%1"/>
      <w:numFmt w:val="lowerLetter"/>
      <w:start w:val="1"/>
    </w:lvl>
    <w:lvl w:ilvl="1">
      <w:lvlJc w:val="left"/>
      <w:lvlText w:val="(%2)"/>
      <w:numFmt w:val="lowerLetter"/>
      <w:start w:val="1"/>
    </w:lvl>
  </w:abstractNum>
  <w:abstractNum w:abstractNumId="97">
    <w:nsid w:val="4427069A"/>
    <w:multiLevelType w:val="hybridMultilevel"/>
    <w:lvl w:ilvl="0">
      <w:lvlJc w:val="left"/>
      <w:lvlText w:val="(%1)"/>
      <w:numFmt w:val="lowerLetter"/>
      <w:start w:val="3"/>
    </w:lvl>
    <w:lvl w:ilvl="1">
      <w:lvlJc w:val="left"/>
      <w:lvlText w:val="(%2)"/>
      <w:numFmt w:val="lowerLetter"/>
      <w:start w:val="2"/>
    </w:lvl>
  </w:abstractNum>
  <w:abstractNum w:abstractNumId="98">
    <w:nsid w:val="B37E80A"/>
    <w:multiLevelType w:val="hybridMultilevel"/>
    <w:lvl w:ilvl="0">
      <w:lvlJc w:val="left"/>
      <w:lvlText w:val="(%1)"/>
      <w:numFmt w:val="lowerLetter"/>
      <w:start w:val="3"/>
    </w:lvl>
    <w:lvl w:ilvl="1">
      <w:lvlJc w:val="left"/>
      <w:lvlText w:val="%2"/>
      <w:numFmt w:val="lowerLetter"/>
      <w:start w:val="1"/>
    </w:lvl>
  </w:abstractNum>
  <w:abstractNum w:abstractNumId="99">
    <w:nsid w:val="2157F6BC"/>
    <w:multiLevelType w:val="hybridMultilevel"/>
    <w:lvl w:ilvl="0">
      <w:lvlJc w:val="left"/>
      <w:lvlText w:val="(%1)"/>
      <w:numFmt w:val="lowerLetter"/>
      <w:start w:val="3"/>
    </w:lvl>
  </w:abstractNum>
  <w:abstractNum w:abstractNumId="100">
    <w:nsid w:val="704E1DD5"/>
    <w:multiLevelType w:val="hybridMultilevel"/>
    <w:lvl w:ilvl="0">
      <w:lvlJc w:val="left"/>
      <w:lvlText w:val="(%1)"/>
      <w:numFmt w:val="lowerRoman"/>
      <w:start w:val="1"/>
    </w:lvl>
  </w:abstractNum>
  <w:abstractNum w:abstractNumId="101">
    <w:nsid w:val="57D2F10E"/>
    <w:multiLevelType w:val="hybridMultilevel"/>
    <w:lvl w:ilvl="0">
      <w:lvlJc w:val="left"/>
      <w:lvlText w:val="(%1)"/>
      <w:numFmt w:val="lowerRoman"/>
      <w:start w:val="2"/>
    </w:lvl>
  </w:abstractNum>
  <w:abstractNum w:abstractNumId="102">
    <w:nsid w:val="BFFAE18"/>
    <w:multiLevelType w:val="hybridMultilevel"/>
    <w:lvl w:ilvl="0">
      <w:lvlJc w:val="left"/>
      <w:lvlText w:val="%1."/>
      <w:numFmt w:val="decimal"/>
      <w:start w:val="3"/>
    </w:lvl>
  </w:abstractNum>
  <w:abstractNum w:abstractNumId="103">
    <w:nsid w:val="E3E47A8"/>
    <w:multiLevelType w:val="hybridMultilevel"/>
    <w:lvl w:ilvl="0">
      <w:lvlJc w:val="left"/>
      <w:lvlText w:val="(%1)"/>
      <w:numFmt w:val="lowerLetter"/>
      <w:start w:val="1"/>
    </w:lvl>
  </w:abstractNum>
  <w:abstractNum w:abstractNumId="104">
    <w:nsid w:val="2E48F044"/>
    <w:multiLevelType w:val="hybridMultilevel"/>
    <w:lvl w:ilvl="0">
      <w:lvlJc w:val="left"/>
      <w:lvlText w:val="(%1)"/>
      <w:numFmt w:val="lowerLetter"/>
      <w:start w:val="2"/>
    </w:lvl>
  </w:abstractNum>
  <w:abstractNum w:abstractNumId="105">
    <w:nsid w:val="49D0FEAC"/>
    <w:multiLevelType w:val="hybridMultilevel"/>
    <w:lvl w:ilvl="0">
      <w:lvlJc w:val="left"/>
      <w:lvlText w:val="(%1)"/>
      <w:numFmt w:val="lowerLetter"/>
      <w:start w:val="4"/>
    </w:lvl>
  </w:abstractNum>
  <w:abstractNum w:abstractNumId="106">
    <w:nsid w:val="4BEE5A5B"/>
    <w:multiLevelType w:val="hybridMultilevel"/>
    <w:lvl w:ilvl="0">
      <w:lvlJc w:val="left"/>
      <w:lvlText w:val="%1."/>
      <w:numFmt w:val="decimal"/>
      <w:start w:val="5"/>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decimal"/>
      <w:start w:val="1"/>
    </w:lvl>
    <w:lvl w:ilvl="1">
      <w:lvlJc w:val="left"/>
      <w:lvlText w:val="(%2)"/>
      <w:numFmt w:val="lowerLetter"/>
      <w:start w:val="2"/>
    </w:lvl>
  </w:abstractNum>
  <w:abstractNum w:abstractNumId="109">
    <w:nsid w:val="634C574C"/>
    <w:multiLevelType w:val="hybridMultilevel"/>
    <w:lvl w:ilvl="0">
      <w:lvlJc w:val="left"/>
      <w:lvlText w:val="(%1)"/>
      <w:numFmt w:val="decimal"/>
      <w:start w:val="2"/>
    </w:lvl>
    <w:lvl w:ilvl="1">
      <w:lvlJc w:val="left"/>
      <w:lvlText w:val="%2"/>
      <w:numFmt w:val="lowerLetter"/>
      <w:start w:val="1"/>
    </w:lvl>
  </w:abstractNum>
  <w:abstractNum w:abstractNumId="110">
    <w:nsid w:val="24E99DD7"/>
    <w:multiLevelType w:val="hybridMultilevel"/>
    <w:lvl w:ilvl="0">
      <w:lvlJc w:val="left"/>
      <w:lvlText w:val="(%1)"/>
      <w:numFmt w:val="lowerLetter"/>
      <w:start w:val="3"/>
    </w:lvl>
  </w:abstractNum>
  <w:abstractNum w:abstractNumId="111">
    <w:nsid w:val="2A31B62D"/>
    <w:multiLevelType w:val="hybridMultilevel"/>
    <w:lvl w:ilvl="0">
      <w:lvlJc w:val="left"/>
      <w:lvlText w:val="%1."/>
      <w:numFmt w:val="decimal"/>
      <w:start w:val="7"/>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decimal"/>
      <w:start w:val="8"/>
    </w:lvl>
  </w:abstractNum>
  <w:abstractNum w:abstractNumId="114">
    <w:nsid w:val="754342"/>
    <w:multiLevelType w:val="hybridMultilevel"/>
    <w:lvl w:ilvl="0">
      <w:lvlJc w:val="left"/>
      <w:lvlText w:val="%1"/>
      <w:numFmt w:val="lowerLetter"/>
      <w:start w:val="1"/>
    </w:lvl>
    <w:lvl w:ilvl="1">
      <w:lvlJc w:val="left"/>
      <w:lvlText w:val="(%2)"/>
      <w:numFmt w:val="lowerLetter"/>
      <w:start w:val="1"/>
    </w:lvl>
  </w:abstractNum>
  <w:abstractNum w:abstractNumId="115">
    <w:nsid w:val="69E7F3E5"/>
    <w:multiLevelType w:val="hybridMultilevel"/>
    <w:lvl w:ilvl="0">
      <w:lvlJc w:val="left"/>
      <w:lvlText w:val="(%1)"/>
      <w:numFmt w:val="lowerLetter"/>
      <w:start w:val="6"/>
    </w:lvl>
    <w:lvl w:ilvl="1">
      <w:lvlJc w:val="left"/>
      <w:lvlText w:val="%2"/>
      <w:numFmt w:val="lowerLetter"/>
      <w:start w:val="1"/>
    </w:lvl>
  </w:abstractNum>
  <w:abstractNum w:abstractNumId="116">
    <w:nsid w:val="2A6DE806"/>
    <w:multiLevelType w:val="hybridMultilevel"/>
    <w:lvl w:ilvl="0">
      <w:lvlJc w:val="left"/>
      <w:lvlText w:val="(%1)"/>
      <w:numFmt w:val="lowerLetter"/>
      <w:start w:val="3"/>
    </w:lvl>
  </w:abstractNum>
  <w:abstractNum w:abstractNumId="117">
    <w:nsid w:val="1816F8C4"/>
    <w:multiLevelType w:val="hybridMultilevel"/>
    <w:lvl w:ilvl="0">
      <w:lvlJc w:val="left"/>
      <w:lvlText w:val="%1."/>
      <w:numFmt w:val="decimal"/>
      <w:start w:val="10"/>
    </w:lvl>
  </w:abstractNum>
  <w:abstractNum w:abstractNumId="118">
    <w:nsid w:val="37DF2233"/>
    <w:multiLevelType w:val="hybridMultilevel"/>
    <w:lvl w:ilvl="0">
      <w:lvlJc w:val="left"/>
      <w:lvlText w:val="%1."/>
      <w:numFmt w:val="decimal"/>
      <w:start w:val="13"/>
    </w:lvl>
  </w:abstractNum>
  <w:abstractNum w:abstractNumId="119">
    <w:nsid w:val="7AB49DAF"/>
    <w:multiLevelType w:val="hybridMultilevel"/>
    <w:lvl w:ilvl="0">
      <w:lvlJc w:val="left"/>
      <w:lvlText w:val="%1."/>
      <w:numFmt w:val="decimal"/>
      <w:start w:val="14"/>
    </w:lvl>
  </w:abstractNum>
  <w:abstractNum w:abstractNumId="120">
    <w:nsid w:val="759F82CD"/>
    <w:multiLevelType w:val="hybridMultilevel"/>
    <w:lvl w:ilvl="0">
      <w:lvlJc w:val="left"/>
      <w:lvlText w:val="%1."/>
      <w:numFmt w:val="decimal"/>
      <w:start w:val="15"/>
    </w:lvl>
  </w:abstractNum>
  <w:abstractNum w:abstractNumId="121">
    <w:nsid w:val="61E74EA3"/>
    <w:multiLevelType w:val="hybridMultilevel"/>
    <w:lvl w:ilvl="0">
      <w:lvlJc w:val="left"/>
      <w:lvlText w:val="%1."/>
      <w:numFmt w:val="decimal"/>
      <w:start w:val="18"/>
    </w:lvl>
  </w:abstractNum>
  <w:abstractNum w:abstractNumId="122">
    <w:nsid w:val="597B4D84"/>
    <w:multiLevelType w:val="hybridMultilevel"/>
    <w:lvl w:ilvl="0">
      <w:lvlJc w:val="left"/>
      <w:lvlText w:val="%1."/>
      <w:numFmt w:val="decimal"/>
      <w:start w:val="22"/>
    </w:lvl>
  </w:abstractNum>
  <w:abstractNum w:abstractNumId="123">
    <w:nsid w:val="F819E7F"/>
    <w:multiLevelType w:val="hybridMultilevel"/>
    <w:lvl w:ilvl="0">
      <w:lvlJc w:val="left"/>
      <w:lvlText w:val="%1."/>
      <w:numFmt w:val="decimal"/>
      <w:start w:val="1"/>
    </w:lvl>
    <w:lvl w:ilvl="1">
      <w:lvlJc w:val="left"/>
      <w:lvlText w:val="(%2)"/>
      <w:numFmt w:val="lowerLetter"/>
      <w:start w:val="2"/>
    </w:lvl>
  </w:abstractNum>
  <w:abstractNum w:abstractNumId="124">
    <w:nsid w:val="57C7D42D"/>
    <w:multiLevelType w:val="hybridMultilevel"/>
    <w:lvl w:ilvl="0">
      <w:lvlJc w:val="left"/>
      <w:lvlText w:val="%1."/>
      <w:numFmt w:val="decimal"/>
      <w:start w:val="5"/>
    </w:lvl>
  </w:abstractNum>
  <w:abstractNum w:abstractNumId="125">
    <w:nsid w:val="312167AD"/>
    <w:multiLevelType w:val="hybridMultilevel"/>
    <w:lvl w:ilvl="0">
      <w:lvlJc w:val="left"/>
      <w:lvlText w:val="%1."/>
      <w:numFmt w:val="decimal"/>
      <w:start w:val="10"/>
    </w:lvl>
  </w:abstractNum>
  <w:abstractNum w:abstractNumId="126">
    <w:nsid w:val="631B64D4"/>
    <w:multiLevelType w:val="hybridMultilevel"/>
    <w:lvl w:ilvl="0">
      <w:lvlJc w:val="left"/>
      <w:lvlText w:val="%1."/>
      <w:numFmt w:val="decimal"/>
      <w:start w:val="11"/>
    </w:lvl>
  </w:abstractNum>
  <w:abstractNum w:abstractNumId="127">
    <w:nsid w:val="78B5E776"/>
    <w:multiLevelType w:val="hybridMultilevel"/>
    <w:lvl w:ilvl="0">
      <w:lvlJc w:val="left"/>
      <w:lvlText w:val="%1."/>
      <w:numFmt w:val="decimal"/>
      <w:start w:val="17"/>
    </w:lvl>
  </w:abstractNum>
  <w:abstractNum w:abstractNumId="128">
    <w:nsid w:val="75486E47"/>
    <w:multiLevelType w:val="hybridMultilevel"/>
    <w:lvl w:ilvl="0">
      <w:lvlJc w:val="left"/>
      <w:lvlText w:val="%1."/>
      <w:numFmt w:val="decimal"/>
      <w:start w:val="19"/>
    </w:lvl>
  </w:abstractNum>
  <w:abstractNum w:abstractNumId="129">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0">
    <w:nsid w:val="1A0DDE32"/>
    <w:multiLevelType w:val="hybridMultilevel"/>
    <w:lvl w:ilvl="0">
      <w:lvlJc w:val="left"/>
      <w:lvlText w:val="(%1)"/>
      <w:numFmt w:val="lowerLetter"/>
      <w:start w:val="1"/>
    </w:lvl>
  </w:abstractNum>
  <w:abstractNum w:abstractNumId="131">
    <w:nsid w:val="65968C1C"/>
    <w:multiLevelType w:val="hybridMultilevel"/>
    <w:lvl w:ilvl="0">
      <w:lvlJc w:val="left"/>
      <w:lvlText w:val="%1"/>
      <w:numFmt w:val="lowerLetter"/>
      <w:start w:val="1"/>
    </w:lvl>
    <w:lvl w:ilvl="1">
      <w:lvlJc w:val="left"/>
      <w:lvlText w:val="(%2)"/>
      <w:numFmt w:val="lowerLetter"/>
      <w:start w:val="2"/>
    </w:lvl>
  </w:abstractNum>
  <w:abstractNum w:abstractNumId="132">
    <w:nsid w:val="46263DEC"/>
    <w:multiLevelType w:val="hybridMultilevel"/>
    <w:lvl w:ilvl="0">
      <w:lvlJc w:val="left"/>
      <w:lvlText w:val="(%1)"/>
      <w:numFmt w:val="lowerLetter"/>
      <w:start w:val="3"/>
    </w:lvl>
    <w:lvl w:ilvl="1">
      <w:lvlJc w:val="left"/>
      <w:lvlText w:val="(%2)"/>
      <w:numFmt w:val="lowerLetter"/>
      <w:start w:val="3"/>
    </w:lvl>
  </w:abstractNum>
  <w:abstractNum w:abstractNumId="133">
    <w:nsid w:val="260D8C4A"/>
    <w:multiLevelType w:val="hybridMultilevel"/>
    <w:lvl w:ilvl="0">
      <w:lvlJc w:val="left"/>
      <w:lvlText w:val="%1"/>
      <w:numFmt w:val="decimal"/>
      <w:start w:val="1"/>
    </w:lvl>
    <w:lvl w:ilvl="1">
      <w:lvlJc w:val="left"/>
      <w:lvlText w:val="(%2)"/>
      <w:numFmt w:val="lowerRoman"/>
      <w:start w:val="1"/>
    </w:lvl>
  </w:abstractNum>
  <w:abstractNum w:abstractNumId="134">
    <w:nsid w:val="73D4D3C4"/>
    <w:multiLevelType w:val="hybridMultilevel"/>
    <w:lvl w:ilvl="0">
      <w:lvlJc w:val="left"/>
      <w:lvlText w:val="%1."/>
      <w:numFmt w:val="decimal"/>
      <w:start w:val="4"/>
    </w:lvl>
    <w:lvl w:ilvl="1">
      <w:lvlJc w:val="left"/>
      <w:lvlText w:val="%2"/>
      <w:numFmt w:val="lowerRoman"/>
      <w:start w:val="1"/>
    </w:lvl>
  </w:abstractNum>
  <w:abstractNum w:abstractNumId="135">
    <w:nsid w:val="746F2E30"/>
    <w:multiLevelType w:val="hybridMultilevel"/>
    <w:lvl w:ilvl="0">
      <w:lvlJc w:val="left"/>
      <w:lvlText w:val="(%1)"/>
      <w:numFmt w:val="lowerLetter"/>
      <w:start w:val="1"/>
    </w:lvl>
  </w:abstractNum>
  <w:abstractNum w:abstractNumId="136">
    <w:nsid w:val="6FDE8AF6"/>
    <w:multiLevelType w:val="hybridMultilevel"/>
    <w:lvl w:ilvl="0">
      <w:lvlJc w:val="left"/>
      <w:lvlText w:val="(%1)"/>
      <w:numFmt w:val="lowerLetter"/>
      <w:start w:val="2"/>
    </w:lvl>
  </w:abstractNum>
  <w:abstractNum w:abstractNumId="137">
    <w:nsid w:val="3FC32E20"/>
    <w:multiLevelType w:val="hybridMultilevel"/>
    <w:lvl w:ilvl="0">
      <w:lvlJc w:val="left"/>
      <w:lvlText w:val="(%1)"/>
      <w:numFmt w:val="lowerLetter"/>
      <w:start w:val="3"/>
    </w:lvl>
  </w:abstractNum>
  <w:abstractNum w:abstractNumId="138">
    <w:nsid w:val="49C0E823"/>
    <w:multiLevelType w:val="hybridMultilevel"/>
    <w:lvl w:ilvl="0">
      <w:lvlJc w:val="left"/>
      <w:lvlText w:val="%1."/>
      <w:numFmt w:val="decimal"/>
      <w:start w:val="6"/>
    </w:lvl>
  </w:abstractNum>
  <w:abstractNum w:abstractNumId="139">
    <w:nsid w:val="14D53685"/>
    <w:multiLevelType w:val="hybridMultilevel"/>
    <w:lvl w:ilvl="0">
      <w:lvlJc w:val="left"/>
      <w:lvlText w:val="%1"/>
      <w:numFmt w:val="decimal"/>
      <w:start w:val="1"/>
    </w:lvl>
    <w:lvl w:ilvl="1">
      <w:lvlJc w:val="left"/>
      <w:lvlText w:val="(%2)"/>
      <w:numFmt w:val="lowerLetter"/>
      <w:start w:val="1"/>
    </w:lvl>
  </w:abstractNum>
  <w:abstractNum w:abstractNumId="140">
    <w:nsid w:val="230F856C"/>
    <w:multiLevelType w:val="hybridMultilevel"/>
    <w:lvl w:ilvl="0">
      <w:lvlJc w:val="left"/>
      <w:lvlText w:val="(%1)"/>
      <w:numFmt w:val="decimal"/>
      <w:start w:val="2"/>
    </w:lvl>
    <w:lvl w:ilvl="1">
      <w:lvlJc w:val="left"/>
      <w:lvlText w:val="%2"/>
      <w:numFmt w:val="lowerLetter"/>
      <w:start w:val="1"/>
    </w:lvl>
  </w:abstractNum>
  <w:abstractNum w:abstractNumId="141">
    <w:nsid w:val="6EAA85FB"/>
    <w:multiLevelType w:val="hybridMultilevel"/>
    <w:lvl w:ilvl="0">
      <w:lvlJc w:val="left"/>
      <w:lvlText w:val="%1."/>
      <w:numFmt w:val="decimal"/>
      <w:start w:val="8"/>
    </w:lvl>
  </w:abstractNum>
  <w:abstractNum w:abstractNumId="142">
    <w:nsid w:val="3F06ECB2"/>
    <w:multiLevelType w:val="hybridMultilevel"/>
    <w:lvl w:ilvl="0">
      <w:lvlJc w:val="left"/>
      <w:lvlText w:val="(%1)"/>
      <w:numFmt w:val="lowerLetter"/>
      <w:start w:val="1"/>
    </w:lvl>
  </w:abstractNum>
  <w:abstractNum w:abstractNumId="143">
    <w:nsid w:val="3B594807"/>
    <w:multiLevelType w:val="hybridMultilevel"/>
    <w:lvl w:ilvl="0">
      <w:lvlJc w:val="left"/>
      <w:lvlText w:val="%1."/>
      <w:numFmt w:val="decimal"/>
      <w:start w:val="9"/>
    </w:lvl>
  </w:abstractNum>
  <w:abstractNum w:abstractNumId="144">
    <w:nsid w:val="6CAA2304"/>
    <w:multiLevelType w:val="hybridMultilevel"/>
    <w:lvl w:ilvl="0">
      <w:lvlJc w:val="left"/>
      <w:lvlText w:val="%1"/>
      <w:numFmt w:val="lowerLetter"/>
      <w:start w:val="1"/>
    </w:lvl>
    <w:lvl w:ilvl="1">
      <w:lvlJc w:val="left"/>
      <w:lvlText w:val="(%2)"/>
      <w:numFmt w:val="lowerLetter"/>
      <w:start w:val="1"/>
    </w:lvl>
  </w:abstractNum>
  <w:abstractNum w:abstractNumId="145">
    <w:nsid w:val="3F7C2FF4"/>
    <w:multiLevelType w:val="hybridMultilevel"/>
    <w:lvl w:ilvl="0">
      <w:lvlJc w:val="left"/>
      <w:lvlText w:val="(%1)"/>
      <w:numFmt w:val="lowerLetter"/>
      <w:start w:val="6"/>
    </w:lvl>
    <w:lvl w:ilvl="1">
      <w:lvlJc w:val="left"/>
      <w:lvlText w:val="%2"/>
      <w:numFmt w:val="lowerLetter"/>
      <w:start w:val="1"/>
    </w:lvl>
  </w:abstractNum>
  <w:abstractNum w:abstractNumId="146">
    <w:nsid w:val="25413BEC"/>
    <w:multiLevelType w:val="hybridMultilevel"/>
    <w:lvl w:ilvl="0">
      <w:lvlJc w:val="left"/>
      <w:lvlText w:val="(%1)"/>
      <w:numFmt w:val="lowerLetter"/>
      <w:start w:val="3"/>
    </w:lvl>
  </w:abstractNum>
  <w:abstractNum w:abstractNumId="147">
    <w:nsid w:val="17180B0B"/>
    <w:multiLevelType w:val="hybridMultilevel"/>
    <w:lvl w:ilvl="0">
      <w:lvlJc w:val="left"/>
      <w:lvlText w:val="%1."/>
      <w:numFmt w:val="decimal"/>
      <w:start w:val="11"/>
    </w:lvl>
  </w:abstractNum>
  <w:abstractNum w:abstractNumId="148">
    <w:nsid w:val="579328B9"/>
    <w:multiLevelType w:val="hybridMultilevel"/>
    <w:lvl w:ilvl="0">
      <w:lvlJc w:val="left"/>
      <w:lvlText w:val="%1."/>
      <w:numFmt w:val="decimal"/>
      <w:start w:val="14"/>
    </w:lvl>
  </w:abstractNum>
  <w:abstractNum w:abstractNumId="149">
    <w:nsid w:val="5D205E20"/>
    <w:multiLevelType w:val="hybridMultilevel"/>
    <w:lvl w:ilvl="0">
      <w:lvlJc w:val="left"/>
      <w:lvlText w:val="%1."/>
      <w:numFmt w:val="decimal"/>
      <w:start w:val="15"/>
    </w:lvl>
  </w:abstractNum>
  <w:abstractNum w:abstractNumId="150">
    <w:nsid w:val="11CCA8BA"/>
    <w:multiLevelType w:val="hybridMultilevel"/>
    <w:lvl w:ilvl="0">
      <w:lvlJc w:val="left"/>
      <w:lvlText w:val="%1."/>
      <w:numFmt w:val="decimal"/>
      <w:start w:val="18"/>
    </w:lvl>
  </w:abstractNum>
  <w:abstractNum w:abstractNumId="151">
    <w:nsid w:val="4D32AB86"/>
    <w:multiLevelType w:val="hybridMultilevel"/>
    <w:lvl w:ilvl="0">
      <w:lvlJc w:val="left"/>
      <w:lvlText w:val="%1."/>
      <w:numFmt w:val="decimal"/>
      <w:start w:val="20"/>
    </w:lvl>
  </w:abstractNum>
  <w:abstractNum w:abstractNumId="152">
    <w:nsid w:val="3F07ACC3"/>
    <w:multiLevelType w:val="hybridMultilevel"/>
    <w:lvl w:ilvl="0">
      <w:lvlJc w:val="left"/>
      <w:lvlText w:val="%1."/>
      <w:numFmt w:val="decimal"/>
      <w:start w:val="1"/>
    </w:lvl>
    <w:lvl w:ilvl="1">
      <w:lvlJc w:val="left"/>
      <w:lvlText w:val="(%2)"/>
      <w:numFmt w:val="lowerLetter"/>
      <w:start w:val="2"/>
    </w:lvl>
  </w:abstractNum>
  <w:abstractNum w:abstractNumId="153">
    <w:nsid w:val="6B47F63E"/>
    <w:multiLevelType w:val="hybridMultilevel"/>
    <w:lvl w:ilvl="0">
      <w:lvlJc w:val="left"/>
      <w:lvlText w:val="%1."/>
      <w:numFmt w:val="decimal"/>
      <w:start w:val="5"/>
    </w:lvl>
  </w:abstractNum>
  <w:abstractNum w:abstractNumId="154">
    <w:nsid w:val="5CB44A05"/>
    <w:multiLevelType w:val="hybridMultilevel"/>
    <w:lvl w:ilvl="0">
      <w:lvlJc w:val="left"/>
      <w:lvlText w:val="%1."/>
      <w:numFmt w:val="decimal"/>
      <w:start w:val="10"/>
    </w:lvl>
  </w:abstractNum>
  <w:abstractNum w:abstractNumId="155">
    <w:nsid w:val="16CF80F1"/>
    <w:multiLevelType w:val="hybridMultilevel"/>
    <w:lvl w:ilvl="0">
      <w:lvlJc w:val="left"/>
      <w:lvlText w:val="%1."/>
      <w:numFmt w:val="decimal"/>
      <w:start w:val="11"/>
    </w:lvl>
  </w:abstractNum>
  <w:abstractNum w:abstractNumId="156">
    <w:nsid w:val="1C695DEC"/>
    <w:multiLevelType w:val="hybridMultilevel"/>
    <w:lvl w:ilvl="0">
      <w:lvlJc w:val="left"/>
      <w:lvlText w:val="%1."/>
      <w:numFmt w:val="decimal"/>
      <w:start w:val="17"/>
    </w:lvl>
  </w:abstractNum>
  <w:abstractNum w:abstractNumId="157">
    <w:nsid w:val="3FCFAED9"/>
    <w:multiLevelType w:val="hybridMultilevel"/>
    <w:lvl w:ilvl="0">
      <w:lvlJc w:val="left"/>
      <w:lvlText w:val="%1."/>
      <w:numFmt w:val="decimal"/>
      <w:start w:val="19"/>
    </w:lvl>
  </w:abstractNum>
  <w:abstractNum w:abstractNumId="158">
    <w:nsid w:val="F856867"/>
    <w:multiLevelType w:val="hybridMultilevel"/>
    <w:lvl w:ilvl="0">
      <w:lvlJc w:val="left"/>
      <w:lvlText w:val="%1."/>
      <w:numFmt w:val="decimal"/>
      <w:start w:val="1"/>
    </w:lvl>
  </w:abstractNum>
  <w:abstractNum w:abstractNumId="159">
    <w:nsid w:val="11B1CC33"/>
    <w:multiLevelType w:val="hybridMultilevel"/>
    <w:lvl w:ilvl="0">
      <w:lvlJc w:val="left"/>
      <w:lvlText w:val="%1."/>
      <w:numFmt w:val="decimal"/>
      <w:start w:val="1"/>
    </w:lvl>
    <w:lvl w:ilvl="1">
      <w:lvlJc w:val="left"/>
      <w:lvlText w:val="(%2)"/>
      <w:numFmt w:val="lowerLetter"/>
      <w:start w:val="1"/>
    </w:lvl>
  </w:abstractNum>
  <w:abstractNum w:abstractNumId="160">
    <w:nsid w:val="2E22FBB7"/>
    <w:multiLevelType w:val="hybridMultilevel"/>
    <w:lvl w:ilvl="0">
      <w:lvlJc w:val="left"/>
      <w:lvlText w:val="%1."/>
      <w:numFmt w:val="decimal"/>
      <w:start w:val="1"/>
    </w:lvl>
    <w:lvl w:ilvl="1">
      <w:lvlJc w:val="left"/>
      <w:lvlText w:val="(%2)"/>
      <w:numFmt w:val="lowerLetter"/>
      <w:start w:val="1"/>
    </w:lvl>
  </w:abstractNum>
  <w:abstractNum w:abstractNumId="161">
    <w:nsid w:val="29934699"/>
    <w:multiLevelType w:val="hybridMultilevel"/>
    <w:lvl w:ilvl="0">
      <w:lvlJc w:val="left"/>
      <w:lvlText w:val="%1."/>
      <w:numFmt w:val="decimal"/>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
      <w:numFmt w:val="bullet"/>
      <w:start w:val="1"/>
    </w:lvl>
  </w:abstractNum>
  <w:abstractNum w:abstractNumId="164">
    <w:nsid w:val="4FA0D2E3"/>
    <w:multiLevelType w:val="hybridMultilevel"/>
    <w:lvl w:ilvl="0">
      <w:lvlJc w:val="left"/>
      <w:lvlText w:val="•"/>
      <w:numFmt w:val="bullet"/>
      <w:start w:val="1"/>
    </w:lvl>
  </w:abstractNum>
  <w:abstractNum w:abstractNumId="165">
    <w:nsid w:val="6B1D2C14"/>
    <w:multiLevelType w:val="hybridMultilevel"/>
    <w:lvl w:ilvl="0">
      <w:lvlJc w:val="left"/>
      <w:lvlText w:val="•"/>
      <w:numFmt w:val="bullet"/>
      <w:start w:val="1"/>
    </w:lvl>
  </w:abstractNum>
  <w:abstractNum w:abstractNumId="166">
    <w:nsid w:val="68B867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7"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82" Type="http://schemas.openxmlformats.org/officeDocument/2006/relationships/image" Target="media/image124.png"/><Relationship Id="rId195" Type="http://schemas.openxmlformats.org/officeDocument/2006/relationships/image" Target="media/image125.png"/><Relationship Id="rId211" Type="http://schemas.openxmlformats.org/officeDocument/2006/relationships/image" Target="media/image126.png"/><Relationship Id="rId212" Type="http://schemas.openxmlformats.org/officeDocument/2006/relationships/image" Target="media/image127.png"/><Relationship Id="rId224" Type="http://schemas.openxmlformats.org/officeDocument/2006/relationships/image" Target="media/image128.png"/><Relationship Id="rId225" Type="http://schemas.openxmlformats.org/officeDocument/2006/relationships/image" Target="media/image129.png"/><Relationship Id="rId226" Type="http://schemas.openxmlformats.org/officeDocument/2006/relationships/image" Target="media/image130.png"/><Relationship Id="rId227" Type="http://schemas.openxmlformats.org/officeDocument/2006/relationships/image" Target="media/image131.png"/><Relationship Id="rId228" Type="http://schemas.openxmlformats.org/officeDocument/2006/relationships/image" Target="media/image132.png"/><Relationship Id="rId229" Type="http://schemas.openxmlformats.org/officeDocument/2006/relationships/image" Target="media/image133.png"/><Relationship Id="rId230" Type="http://schemas.openxmlformats.org/officeDocument/2006/relationships/image" Target="media/image134.png"/><Relationship Id="rId231" Type="http://schemas.openxmlformats.org/officeDocument/2006/relationships/image" Target="media/image135.png"/><Relationship Id="rId232" Type="http://schemas.openxmlformats.org/officeDocument/2006/relationships/image" Target="media/image136.png"/><Relationship Id="rId233" Type="http://schemas.openxmlformats.org/officeDocument/2006/relationships/image" Target="media/image137.png"/><Relationship Id="rId234" Type="http://schemas.openxmlformats.org/officeDocument/2006/relationships/image" Target="media/image138.png"/><Relationship Id="rId235" Type="http://schemas.openxmlformats.org/officeDocument/2006/relationships/image" Target="media/image139.png"/><Relationship Id="rId236" Type="http://schemas.openxmlformats.org/officeDocument/2006/relationships/image" Target="media/image140.png"/><Relationship Id="rId237" Type="http://schemas.openxmlformats.org/officeDocument/2006/relationships/image" Target="media/image141.png"/><Relationship Id="rId238" Type="http://schemas.openxmlformats.org/officeDocument/2006/relationships/image" Target="media/image142.png"/><Relationship Id="rId239" Type="http://schemas.openxmlformats.org/officeDocument/2006/relationships/image" Target="media/image143.png"/><Relationship Id="rId240" Type="http://schemas.openxmlformats.org/officeDocument/2006/relationships/image" Target="media/image144.png"/><Relationship Id="rId241" Type="http://schemas.openxmlformats.org/officeDocument/2006/relationships/image" Target="media/image145.png"/><Relationship Id="rId242" Type="http://schemas.openxmlformats.org/officeDocument/2006/relationships/image" Target="media/image146.png"/><Relationship Id="rId243" Type="http://schemas.openxmlformats.org/officeDocument/2006/relationships/image" Target="media/image147.png"/><Relationship Id="rId244" Type="http://schemas.openxmlformats.org/officeDocument/2006/relationships/image" Target="media/image148.png"/><Relationship Id="rId245" Type="http://schemas.openxmlformats.org/officeDocument/2006/relationships/image" Target="media/image149.png"/><Relationship Id="rId246" Type="http://schemas.openxmlformats.org/officeDocument/2006/relationships/image" Target="media/image150.png"/><Relationship Id="rId247" Type="http://schemas.openxmlformats.org/officeDocument/2006/relationships/image" Target="media/image151.png"/><Relationship Id="rId248" Type="http://schemas.openxmlformats.org/officeDocument/2006/relationships/image" Target="media/image152.png"/><Relationship Id="rId249" Type="http://schemas.openxmlformats.org/officeDocument/2006/relationships/image" Target="media/image153.png"/><Relationship Id="rId250" Type="http://schemas.openxmlformats.org/officeDocument/2006/relationships/image" Target="media/image154.png"/><Relationship Id="rId251" Type="http://schemas.openxmlformats.org/officeDocument/2006/relationships/image" Target="media/image155.png"/><Relationship Id="rId252" Type="http://schemas.openxmlformats.org/officeDocument/2006/relationships/image" Target="media/image156.png"/><Relationship Id="rId253" Type="http://schemas.openxmlformats.org/officeDocument/2006/relationships/image" Target="media/image157.png"/><Relationship Id="rId254" Type="http://schemas.openxmlformats.org/officeDocument/2006/relationships/image" Target="media/image158.png"/><Relationship Id="rId255" Type="http://schemas.openxmlformats.org/officeDocument/2006/relationships/image" Target="media/image159.png"/><Relationship Id="rId256" Type="http://schemas.openxmlformats.org/officeDocument/2006/relationships/image" Target="media/image160.png"/><Relationship Id="rId257" Type="http://schemas.openxmlformats.org/officeDocument/2006/relationships/image" Target="media/image161.png"/><Relationship Id="rId258" Type="http://schemas.openxmlformats.org/officeDocument/2006/relationships/image" Target="media/image162.png"/><Relationship Id="rId259" Type="http://schemas.openxmlformats.org/officeDocument/2006/relationships/image" Target="media/image163.png"/><Relationship Id="rId260" Type="http://schemas.openxmlformats.org/officeDocument/2006/relationships/image" Target="media/image164.png"/><Relationship Id="rId261" Type="http://schemas.openxmlformats.org/officeDocument/2006/relationships/image" Target="media/image165.png"/><Relationship Id="rId262" Type="http://schemas.openxmlformats.org/officeDocument/2006/relationships/image" Target="media/image166.png"/><Relationship Id="rId263" Type="http://schemas.openxmlformats.org/officeDocument/2006/relationships/image" Target="media/image167.png"/><Relationship Id="rId264" Type="http://schemas.openxmlformats.org/officeDocument/2006/relationships/image" Target="media/image168.png"/><Relationship Id="rId265" Type="http://schemas.openxmlformats.org/officeDocument/2006/relationships/image" Target="media/image169.png"/><Relationship Id="rId266" Type="http://schemas.openxmlformats.org/officeDocument/2006/relationships/image" Target="media/image170.png"/><Relationship Id="rId267" Type="http://schemas.openxmlformats.org/officeDocument/2006/relationships/image" Target="media/image171.png"/><Relationship Id="rId268" Type="http://schemas.openxmlformats.org/officeDocument/2006/relationships/image" Target="media/image172.png"/><Relationship Id="rId269" Type="http://schemas.openxmlformats.org/officeDocument/2006/relationships/image" Target="media/image173.png"/><Relationship Id="rId270" Type="http://schemas.openxmlformats.org/officeDocument/2006/relationships/image" Target="media/image174.png"/><Relationship Id="rId271" Type="http://schemas.openxmlformats.org/officeDocument/2006/relationships/image" Target="media/image175.png"/><Relationship Id="rId272" Type="http://schemas.openxmlformats.org/officeDocument/2006/relationships/image" Target="media/image176.png"/><Relationship Id="rId273" Type="http://schemas.openxmlformats.org/officeDocument/2006/relationships/image" Target="media/image177.png"/><Relationship Id="rId274" Type="http://schemas.openxmlformats.org/officeDocument/2006/relationships/image" Target="media/image178.png"/><Relationship Id="rId275" Type="http://schemas.openxmlformats.org/officeDocument/2006/relationships/image" Target="media/image179.png"/><Relationship Id="rId276" Type="http://schemas.openxmlformats.org/officeDocument/2006/relationships/image" Target="media/image180.png"/><Relationship Id="rId277" Type="http://schemas.openxmlformats.org/officeDocument/2006/relationships/image" Target="media/image181.png"/><Relationship Id="rId278" Type="http://schemas.openxmlformats.org/officeDocument/2006/relationships/image" Target="media/image182.png"/><Relationship Id="rId279" Type="http://schemas.openxmlformats.org/officeDocument/2006/relationships/image" Target="media/image183.png"/><Relationship Id="rId280" Type="http://schemas.openxmlformats.org/officeDocument/2006/relationships/image" Target="media/image184.png"/><Relationship Id="rId281" Type="http://schemas.openxmlformats.org/officeDocument/2006/relationships/image" Target="media/image185.png"/><Relationship Id="rId282" Type="http://schemas.openxmlformats.org/officeDocument/2006/relationships/image" Target="media/image186.png"/><Relationship Id="rId283" Type="http://schemas.openxmlformats.org/officeDocument/2006/relationships/image" Target="media/image187.png"/><Relationship Id="rId284" Type="http://schemas.openxmlformats.org/officeDocument/2006/relationships/image" Target="media/image188.png"/><Relationship Id="rId285" Type="http://schemas.openxmlformats.org/officeDocument/2006/relationships/image" Target="media/image189.png"/><Relationship Id="rId286" Type="http://schemas.openxmlformats.org/officeDocument/2006/relationships/image" Target="media/image190.png"/><Relationship Id="rId287" Type="http://schemas.openxmlformats.org/officeDocument/2006/relationships/image" Target="media/image191.png"/><Relationship Id="rId288" Type="http://schemas.openxmlformats.org/officeDocument/2006/relationships/image" Target="media/image192.png"/><Relationship Id="rId289" Type="http://schemas.openxmlformats.org/officeDocument/2006/relationships/image" Target="media/image193.png"/><Relationship Id="rId290" Type="http://schemas.openxmlformats.org/officeDocument/2006/relationships/image" Target="media/image194.png"/><Relationship Id="rId291" Type="http://schemas.openxmlformats.org/officeDocument/2006/relationships/image" Target="media/image195.png"/><Relationship Id="rId292" Type="http://schemas.openxmlformats.org/officeDocument/2006/relationships/image" Target="media/image196.png"/><Relationship Id="rId293" Type="http://schemas.openxmlformats.org/officeDocument/2006/relationships/image" Target="media/image197.png"/><Relationship Id="rId294" Type="http://schemas.openxmlformats.org/officeDocument/2006/relationships/image" Target="media/image198.png"/><Relationship Id="rId295" Type="http://schemas.openxmlformats.org/officeDocument/2006/relationships/image" Target="media/image199.png"/><Relationship Id="rId296" Type="http://schemas.openxmlformats.org/officeDocument/2006/relationships/image" Target="media/image200.png"/><Relationship Id="rId297" Type="http://schemas.openxmlformats.org/officeDocument/2006/relationships/image" Target="media/image201.png"/><Relationship Id="rId298" Type="http://schemas.openxmlformats.org/officeDocument/2006/relationships/image" Target="media/image202.png"/><Relationship Id="rId299" Type="http://schemas.openxmlformats.org/officeDocument/2006/relationships/image" Target="media/image203.png"/><Relationship Id="rId300" Type="http://schemas.openxmlformats.org/officeDocument/2006/relationships/image" Target="media/image204.png"/><Relationship Id="rId126" Type="http://schemas.openxmlformats.org/officeDocument/2006/relationships/hyperlink" Target="http://www.sec.gov/Archives/edgar/data/921738/000110465917074362/a17-28592_4ex2d1.htm" TargetMode="External"/><Relationship Id="rId127" Type="http://schemas.openxmlformats.org/officeDocument/2006/relationships/hyperlink" Target="http://www.sec.gov/Archives/edgar/data/921738/000110465917074362/a17-28592_4ex2d2.htm" TargetMode="External"/><Relationship Id="rId128" Type="http://schemas.openxmlformats.org/officeDocument/2006/relationships/hyperlink" Target="http://www.sec.gov/Archives/edgar/data/921738/000110465918041074/a18-15622_1ex2d1.htm" TargetMode="External"/><Relationship Id="rId129" Type="http://schemas.openxmlformats.org/officeDocument/2006/relationships/hyperlink" Target="http://www.sec.gov/Archives/edgar/data/921738/000110465918068451/a18-40202_1ex2d1.htm" TargetMode="External"/><Relationship Id="rId130" Type="http://schemas.openxmlformats.org/officeDocument/2006/relationships/hyperlink" Target="http://www.sec.gov/Archives/edgar/data/921738/000110465920007843/tm205508d2_ex2-1.htm" TargetMode="External"/><Relationship Id="rId131" Type="http://schemas.openxmlformats.org/officeDocument/2006/relationships/hyperlink" Target="http://www.sec.gov/Archives/edgar/data/921738/000110465920048389/tm2016085d1_ex2-1.htm" TargetMode="External"/><Relationship Id="rId132" Type="http://schemas.openxmlformats.org/officeDocument/2006/relationships/hyperlink" Target="http://www.sec.gov/Archives/edgar/data/921738/000110465920039804/tm2013358d2_ex2-1.htm" TargetMode="External"/><Relationship Id="rId133" Type="http://schemas.openxmlformats.org/officeDocument/2006/relationships/hyperlink" Target="http://www.sec.gov/Archives/edgar/data/921738/000092173820000018/pennex31033120.htm" TargetMode="External"/><Relationship Id="rId134" Type="http://schemas.openxmlformats.org/officeDocument/2006/relationships/hyperlink" Target="http://www.sec.gov/Archives/edgar/data/921738/000110465919032963/a19-10732_1ex3d1.htm#Exhibit3_1_050508" TargetMode="External"/><Relationship Id="rId135" Type="http://schemas.openxmlformats.org/officeDocument/2006/relationships/hyperlink" Target="http://www.sec.gov/Archives/edgar/data/921738/000110465920023447/tm209344d1_ex3-1.htm" TargetMode="External"/><Relationship Id="rId136" Type="http://schemas.openxmlformats.org/officeDocument/2006/relationships/hyperlink" Target="http://www.sec.gov/Archives/edgar/data/921738/000110465903018221/a03-1087_1ex3d6.htm" TargetMode="External"/><Relationship Id="rId138" Type="http://schemas.openxmlformats.org/officeDocument/2006/relationships/hyperlink" Target="http://www.sec.gov/Archives/edgar/data/921738/000110465917003356/a17-2755_1ex4d1.htm" TargetMode="External"/><Relationship Id="rId139" Type="http://schemas.openxmlformats.org/officeDocument/2006/relationships/hyperlink" Target="http://www.sec.gov/Archives/edgar/data/921738/000110465920061586/tm2019206d9_ex4-1.htm" TargetMode="External"/><Relationship Id="rId140" Type="http://schemas.openxmlformats.org/officeDocument/2006/relationships/hyperlink" Target="http://www.sec.gov/Archives/edgar/data/921738/000110465920061586/tm2019206d9_ex4-2.htm" TargetMode="External"/><Relationship Id="rId141" Type="http://schemas.openxmlformats.org/officeDocument/2006/relationships/hyperlink" Target="https://www.sec.gov/Archives/edgar/data/921738/000110465920061586/tm2019206d9_ex4-2.htm" TargetMode="External"/><Relationship Id="rId142" Type="http://schemas.openxmlformats.org/officeDocument/2006/relationships/hyperlink" Target="http://www.sec.gov/Archives/edgar/data/921738/000092173820000009/pennex44123119.htm" TargetMode="External"/><Relationship Id="rId143" Type="http://schemas.openxmlformats.org/officeDocument/2006/relationships/hyperlink" Target="http://www.sec.gov/Archives/edgar/data/921738/000155837017003399/penn-20170331ex1010948c7.htm" TargetMode="External"/><Relationship Id="rId144" Type="http://schemas.openxmlformats.org/officeDocument/2006/relationships/hyperlink" Target="http://www.sec.gov/Archives/edgar/data/921738/000104746909002104/a2190897zex-10_33.htm" TargetMode="External"/><Relationship Id="rId145" Type="http://schemas.openxmlformats.org/officeDocument/2006/relationships/hyperlink" Target="http://www.sec.gov/Archives/edgar/data/921738/000104746910001487/a2196661zex-10_32.htm" TargetMode="External"/><Relationship Id="rId146" Type="http://schemas.openxmlformats.org/officeDocument/2006/relationships/hyperlink" Target="http://www.sec.gov/Archives/edgar/data/921738/000104746911001383/a2202202zex-10_32.htm" TargetMode="External"/><Relationship Id="rId147" Type="http://schemas.openxmlformats.org/officeDocument/2006/relationships/hyperlink" Target="http://www.sec.gov/Archives/edgar/data/921738/000110465914033291/a14-9599_1ex10d1.htm" TargetMode="External"/><Relationship Id="rId148" Type="http://schemas.openxmlformats.org/officeDocument/2006/relationships/hyperlink" Target="http://www.sec.gov/Archives/edgar/data/921738/000110465916095985/a16-4179_1ex10d1.htm" TargetMode="External"/><Relationship Id="rId149" Type="http://schemas.openxmlformats.org/officeDocument/2006/relationships/hyperlink" Target="http://www.sec.gov/Archives/edgar/data/921738/000155837017003399/penn-20170331ex102a557bc.htm" TargetMode="External"/><Relationship Id="rId152" Type="http://schemas.openxmlformats.org/officeDocument/2006/relationships/hyperlink" Target="http://www.sec.gov/Archives/edgar/data/921738/000110465918039884/a18-15333_1ex10d1.htm" TargetMode="External"/><Relationship Id="rId153" Type="http://schemas.openxmlformats.org/officeDocument/2006/relationships/hyperlink" Target="http://www.sec.gov/Archives/edgar/data/921738/000092173820000009/pennex103a123119.htm" TargetMode="External"/><Relationship Id="rId154" Type="http://schemas.openxmlformats.org/officeDocument/2006/relationships/hyperlink" Target="http://www.sec.gov/Archives/edgar/data/921738/000110465918050216/a18-18423_1ex10d4.htm" TargetMode="External"/><Relationship Id="rId155" Type="http://schemas.openxmlformats.org/officeDocument/2006/relationships/hyperlink" Target="http://www.sec.gov/Archives/edgar/data/921738/000110465918050216/a18-18423_1ex10d2.htm" TargetMode="External"/><Relationship Id="rId156" Type="http://schemas.openxmlformats.org/officeDocument/2006/relationships/hyperlink" Target="http://www.sec.gov/Archives/edgar/data/921738/000110465918050216/a18-18423_1ex10d3.htm" TargetMode="External"/><Relationship Id="rId157" Type="http://schemas.openxmlformats.org/officeDocument/2006/relationships/hyperlink" Target="http://www.sec.gov/Archives/edgar/data/921738/000110465918050216/a18-18423_1ex10d5.htm" TargetMode="External"/><Relationship Id="rId158" Type="http://schemas.openxmlformats.org/officeDocument/2006/relationships/hyperlink" Target="http://www.sec.gov/Archives/edgar/data/921738/000110465918050216/a18-18423_1ex10d6.htm" TargetMode="External"/><Relationship Id="rId159" Type="http://schemas.openxmlformats.org/officeDocument/2006/relationships/hyperlink" Target="http://www.sec.gov/Archives/edgar/data/921738/000110465918050216/a18-18423_1ex10d8.htm" TargetMode="External"/><Relationship Id="rId160" Type="http://schemas.openxmlformats.org/officeDocument/2006/relationships/hyperlink" Target="http://www.sec.gov/Archives/edgar/data/921738/000110465918050216/a18-18423_1ex10d7.htm" TargetMode="External"/><Relationship Id="rId161" Type="http://schemas.openxmlformats.org/officeDocument/2006/relationships/hyperlink" Target="http://www.sec.gov/Archives/edgar/data/921738/000110465919009865/a19-5109_1ex10d1.htm" TargetMode="External"/><Relationship Id="rId162" Type="http://schemas.openxmlformats.org/officeDocument/2006/relationships/hyperlink" Target="http://www.sec.gov/Archives/edgar/data/921738/000110465919009865/a19-5109_1ex10d2.htm" TargetMode="External"/><Relationship Id="rId163" Type="http://schemas.openxmlformats.org/officeDocument/2006/relationships/hyperlink" Target="http://www.sec.gov/Archives/edgar/data/921738/000092173820000018/pennex1010033120.htm" TargetMode="External"/><Relationship Id="rId164" Type="http://schemas.openxmlformats.org/officeDocument/2006/relationships/hyperlink" Target="http://www.sec.gov/Archives/edgar/data/921738/000092173820000009/pennex103h123119.htm" TargetMode="External"/><Relationship Id="rId165" Type="http://schemas.openxmlformats.org/officeDocument/2006/relationships/hyperlink" Target="http://www.sec.gov/Archives/edgar/data/921738/000092173820000009/pennex103i123119.htm" TargetMode="External"/><Relationship Id="rId168" Type="http://schemas.openxmlformats.org/officeDocument/2006/relationships/hyperlink" Target="http://www.sec.gov/Archives/edgar/data/921738/000092173820000009/pennex103j123119.htm" TargetMode="External"/><Relationship Id="rId169" Type="http://schemas.openxmlformats.org/officeDocument/2006/relationships/hyperlink" Target="http://www.sec.gov/Archives/edgar/data/921738/000092173820000009/pennex103k123119.htm" TargetMode="External"/><Relationship Id="rId170" Type="http://schemas.openxmlformats.org/officeDocument/2006/relationships/hyperlink" Target="http://www.sec.gov/Archives/edgar/data/921738/000092173820000009/pennex103l123119.htm" TargetMode="External"/><Relationship Id="rId171" Type="http://schemas.openxmlformats.org/officeDocument/2006/relationships/hyperlink" Target="http://www.sec.gov/Archives/edgar/data/921738/000092173820000009/pennex103m123119.htm" TargetMode="External"/><Relationship Id="rId172" Type="http://schemas.openxmlformats.org/officeDocument/2006/relationships/hyperlink" Target="http://www.sec.gov/Archives/edgar/data/921738/000110465919043174/a19-16413_1ex10d1.htm#Exhibit10_1_102229" TargetMode="External"/><Relationship Id="rId173" Type="http://schemas.openxmlformats.org/officeDocument/2006/relationships/hyperlink" Target="http://www.sec.gov/Archives/edgar/data/921738/000110465920039804/tm2013358d2_ex10-1.htm" TargetMode="External"/><Relationship Id="rId174" Type="http://schemas.openxmlformats.org/officeDocument/2006/relationships/hyperlink" Target="http://www.sec.gov/Archives/edgar/data/921738/000110465920111741/tm2032290d1_ex10-1.htm" TargetMode="External"/><Relationship Id="rId175" Type="http://schemas.openxmlformats.org/officeDocument/2006/relationships/hyperlink" Target="http://www.sec.gov/Archives/edgar/data/921738/000110465918054175/a18-24007_1ex10d1.htm" TargetMode="External"/><Relationship Id="rId176" Type="http://schemas.openxmlformats.org/officeDocument/2006/relationships/hyperlink" Target="http://www.sec.gov/Archives/edgar/data/921738/000110465920027159/tm209344d2_ex10-1.htm" TargetMode="External"/><Relationship Id="rId177" Type="http://schemas.openxmlformats.org/officeDocument/2006/relationships/hyperlink" Target="http://www.sec.gov/Archives/edgar/data/921738/000110465921000097/tm2039617d1_ex10-2.htm" TargetMode="External"/><Relationship Id="rId178" Type="http://schemas.openxmlformats.org/officeDocument/2006/relationships/hyperlink" Target="http://www.sec.gov/Archives/edgar/data/921738/000110465920006729/tm205508d1_ex10-1.htm" TargetMode="External"/><Relationship Id="rId179" Type="http://schemas.openxmlformats.org/officeDocument/2006/relationships/hyperlink" Target="http://www.sec.gov/Archives/edgar/data/921738/000110465920039804/tm2013358d2_ex10-2.htm" TargetMode="External"/><Relationship Id="rId180" Type="http://schemas.openxmlformats.org/officeDocument/2006/relationships/hyperlink" Target="http://www.sec.gov/Archives/edgar/data/921738/000110465920111741/tm2032290d1_ex10-2.htm" TargetMode="External"/><Relationship Id="rId181" Type="http://schemas.openxmlformats.org/officeDocument/2006/relationships/hyperlink" Target="http://www.sec.gov/Archives/edgar/data/921738/000110465921000097/tm2039617d1_ex10-1.htm" TargetMode="External"/><Relationship Id="rId183" Type="http://schemas.openxmlformats.org/officeDocument/2006/relationships/hyperlink" Target="http://www.sec.gov/Archives/edgar/data/921738/000141057819001439/tv529976_ex10-1.htm" TargetMode="External"/><Relationship Id="rId184" Type="http://schemas.openxmlformats.org/officeDocument/2006/relationships/hyperlink" Target="http://www.sec.gov/Archives/edgar/data/921738/000110465920006729/tm205508d1_ex10-2.htm" TargetMode="External"/><Relationship Id="rId185" Type="http://schemas.openxmlformats.org/officeDocument/2006/relationships/hyperlink" Target="http://www.sec.gov/Archives/edgar/data/921738/000092173820000018/pennex107033120.htm" TargetMode="External"/><Relationship Id="rId186" Type="http://schemas.openxmlformats.org/officeDocument/2006/relationships/hyperlink" Target="http://www.sec.gov/Archives/edgar/data/921738/000110465918072469/a18-41372_1ex10d1.htm" TargetMode="External"/><Relationship Id="rId187" Type="http://schemas.openxmlformats.org/officeDocument/2006/relationships/hyperlink" Target="http://www.sec.gov/Archives/edgar/data/921738/000110465920039804/tm2013358d2_ex10-3.htm" TargetMode="External"/><Relationship Id="rId188" Type="http://schemas.openxmlformats.org/officeDocument/2006/relationships/hyperlink" Target="http://www.sec.gov/Archives/edgar/data/921738/000110465920111741/tm2032290d1_ex10-3.htm" TargetMode="External"/><Relationship Id="rId189" Type="http://schemas.openxmlformats.org/officeDocument/2006/relationships/hyperlink" Target="http://www.sec.gov/Archives/edgar/data/921738/000110465920127596/tm2036334d1_ex10-1.htm" TargetMode="External"/><Relationship Id="rId190" Type="http://schemas.openxmlformats.org/officeDocument/2006/relationships/hyperlink" Target="http://www.sec.gov/Archives/edgar/data/921738/000110465919004793/a19-3819_1ex10d1.htm" TargetMode="External"/><Relationship Id="rId191" Type="http://schemas.openxmlformats.org/officeDocument/2006/relationships/hyperlink" Target="http://www.sec.gov/Archives/edgar/data/921738/000092173820000009/pngex1010.htm" TargetMode="External"/><Relationship Id="rId192" Type="http://schemas.openxmlformats.org/officeDocument/2006/relationships/hyperlink" Target="http://www.sec.gov/Archives/edgar/data/921738/000092173820000009/pngex1011.htm" TargetMode="External"/><Relationship Id="rId193" Type="http://schemas.openxmlformats.org/officeDocument/2006/relationships/hyperlink" Target="http://www.sec.gov/Archives/edgar/data/921738/000092173820000009/pngex1012.htm" TargetMode="External"/><Relationship Id="rId194" Type="http://schemas.openxmlformats.org/officeDocument/2006/relationships/hyperlink" Target="http://www.sec.gov/Archives/edgar/data/921738/000110465913082394/a13-23793_2ex10d1.htm" TargetMode="External"/><Relationship Id="rId196" Type="http://schemas.openxmlformats.org/officeDocument/2006/relationships/hyperlink" Target="http://www.sec.gov/Archives/edgar/data/921738/000110465914033291/a14-9599_1ex10d2.htm" TargetMode="External"/><Relationship Id="rId197" Type="http://schemas.openxmlformats.org/officeDocument/2006/relationships/hyperlink" Target="http://www.sec.gov/Archives/edgar/data/921738/000110465914055966/a14-14045_1ex10d4.htm" TargetMode="External"/><Relationship Id="rId198" Type="http://schemas.openxmlformats.org/officeDocument/2006/relationships/hyperlink" Target="http://www.sec.gov/Archives/edgar/data/921738/000155837016009319/penn-20160930ex1040e3836.htm" TargetMode="External"/><Relationship Id="rId199" Type="http://schemas.openxmlformats.org/officeDocument/2006/relationships/hyperlink" Target="http://www.sec.gov/Archives/edgar/data/921738/000155837017003399/penn-20170331ex106805417.htm" TargetMode="External"/><Relationship Id="rId200" Type="http://schemas.openxmlformats.org/officeDocument/2006/relationships/hyperlink" Target="http://www.sec.gov/Archives/edgar/data/921738/000155837018006106/penn-20180630ex1038685ff.htm" TargetMode="External"/><Relationship Id="rId201" Type="http://schemas.openxmlformats.org/officeDocument/2006/relationships/hyperlink" Target="http://www.sec.gov/Archives/edgar/data/921738/000155837018008932/penn-20180930ex101647d65.htm" TargetMode="External"/><Relationship Id="rId202" Type="http://schemas.openxmlformats.org/officeDocument/2006/relationships/hyperlink" Target="http://www.sec.gov/Archives/edgar/data/921738/000155837018008932/penn-20180930ex101752c76.htm" TargetMode="External"/><Relationship Id="rId203" Type="http://schemas.openxmlformats.org/officeDocument/2006/relationships/hyperlink" Target="http://www.sec.gov/Archives/edgar/data/921738/000092173819000011/pennex1028h123118.htm" TargetMode="External"/><Relationship Id="rId204" Type="http://schemas.openxmlformats.org/officeDocument/2006/relationships/hyperlink" Target="http://www.sec.gov/Archives/edgar/data/1656239/000119312516563660/d188073dex22.htm" TargetMode="External"/><Relationship Id="rId205" Type="http://schemas.openxmlformats.org/officeDocument/2006/relationships/hyperlink" Target="http://www.sec.gov/Archives/edgar/data/1656239/000165623916000034/exhibit23093016.htm" TargetMode="External"/><Relationship Id="rId206" Type="http://schemas.openxmlformats.org/officeDocument/2006/relationships/hyperlink" Target="http://www.sec.gov/Archives/edgar/data/1656239/000165623916000034/exhibit24093016.htm" TargetMode="External"/><Relationship Id="rId207" Type="http://schemas.openxmlformats.org/officeDocument/2006/relationships/hyperlink" Target="http://www.sec.gov/Archives/edgar/data/1656239/000165623917000033/d363017dex101.htm" TargetMode="External"/><Relationship Id="rId208" Type="http://schemas.openxmlformats.org/officeDocument/2006/relationships/hyperlink" Target="http://www.sec.gov/Archives/edgar/data/921738/000110465918061976/a18-36729_1ex10d6.htm" TargetMode="External"/><Relationship Id="rId209" Type="http://schemas.openxmlformats.org/officeDocument/2006/relationships/hyperlink" Target="http://www.sec.gov/Archives/edgar/data/921738/000110465918061976/a18-36729_1ex10d7.htm" TargetMode="External"/><Relationship Id="rId210" Type="http://schemas.openxmlformats.org/officeDocument/2006/relationships/hyperlink" Target="http://www.sec.gov/Archives/edgar/data/921738/000110465920048389/tm2016085d1_ex2-2.htm" TargetMode="External"/><Relationship Id="rId213" Type="http://schemas.openxmlformats.org/officeDocument/2006/relationships/hyperlink" Target="http://www.sec.gov/Archives/edgar/data/921738/000110465917003356/a17-2755_1ex10d2.htm" TargetMode="External"/><Relationship Id="rId214" Type="http://schemas.openxmlformats.org/officeDocument/2006/relationships/hyperlink" Target="http://www.sec.gov/Archives/edgar/data/921738/000110465917003356/a17-2755_1ex10d3.htm" TargetMode="External"/><Relationship Id="rId215" Type="http://schemas.openxmlformats.org/officeDocument/2006/relationships/hyperlink" Target="http://www.sec.gov/Archives/edgar/data/921738/000110465918013125/a18-7036_1ex10d1.htm" TargetMode="External"/><Relationship Id="rId216" Type="http://schemas.openxmlformats.org/officeDocument/2006/relationships/hyperlink" Target="http://www.sec.gov/Archives/edgar/data/921738/000110465920048389/tm2016085d1_ex10-1.htm" TargetMode="External"/><Relationship Id="rId217" Type="http://schemas.openxmlformats.org/officeDocument/2006/relationships/hyperlink" Target="http://www.sec.gov/Archives/edgar/data/921738/000110465918061976/a18-36729_1ex10d1.htm" TargetMode="External"/><Relationship Id="rId218" Type="http://schemas.openxmlformats.org/officeDocument/2006/relationships/hyperlink" Target="http://www.sec.gov/Archives/edgar/data/921738/000110465910008189/a10-4165_1ex99d1.htm" TargetMode="External"/><Relationship Id="rId219" Type="http://schemas.openxmlformats.org/officeDocument/2006/relationships/hyperlink" Target="http://www.sec.gov/Archives/edgar/data/1656239/000119312516508728/d108984dex1023.htm" TargetMode="External"/><Relationship Id="rId220" Type="http://schemas.openxmlformats.org/officeDocument/2006/relationships/hyperlink" Target="http://www.sec.gov/Archives/edgar/data/1656239/000119312516508728/d108984dex1025.htm" TargetMode="External"/><Relationship Id="rId221" Type="http://schemas.openxmlformats.org/officeDocument/2006/relationships/hyperlink" Target="http://www.sec.gov/Archives/edgar/data/1656239/000119312516508728/d108984dex1026.htm" TargetMode="External"/><Relationship Id="rId222" Type="http://schemas.openxmlformats.org/officeDocument/2006/relationships/hyperlink" Target="http://www.sec.gov/Archives/edgar/data/1656239/000165623918000022/pnkex1033123117.htm" TargetMode="External"/><Relationship Id="rId223" Type="http://schemas.openxmlformats.org/officeDocument/2006/relationships/hyperlink" Target="http://www.sec.gov/Archives/edgar/data/921738/000110465918041074/a18-1562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2021-02-26T17:26:04Z</dcterms:created>
  <dcterms:modified xsi:type="dcterms:W3CDTF">2021-02-26T17:26:04Z</dcterms:modified>
</cp:coreProperties>
</file>