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202565</wp:posOffset>
            </wp:positionH>
            <wp:positionV relativeFrom="page">
              <wp:posOffset>215265</wp:posOffset>
            </wp:positionV>
            <wp:extent cx="7143115" cy="23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115" cy="23495"/>
                    </a:xfrm>
                    <a:prstGeom prst="rect">
                      <a:avLst/>
                    </a:prstGeom>
                    <a:noFill/>
                  </pic:spPr>
                </pic:pic>
              </a:graphicData>
            </a:graphic>
          </wp:anchor>
        </w:drawing>
        <w:drawing>
          <wp:anchor simplePos="0" relativeHeight="251657728" behindDoc="1" locked="0" layoutInCell="0" allowOverlap="1">
            <wp:simplePos x="0" y="0"/>
            <wp:positionH relativeFrom="page">
              <wp:posOffset>202565</wp:posOffset>
            </wp:positionH>
            <wp:positionV relativeFrom="page">
              <wp:posOffset>246380</wp:posOffset>
            </wp:positionV>
            <wp:extent cx="71431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115" cy="7620"/>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127000</wp:posOffset>
            </wp:positionV>
            <wp:extent cx="714311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65"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14311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THE SECURITIES EXCHANGE ACT OF 1934</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Date of Earliest Event Reported: March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714311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PENN NATIONAL GAMING,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127000</wp:posOffset>
            </wp:positionV>
            <wp:extent cx="714311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tbl>
      <w:tblPr>
        <w:tblLayout w:type="fixed"/>
        <w:tblInd w:w="1561" w:type="dxa"/>
        <w:tblCellMar>
          <w:top w:w="0" w:type="dxa"/>
          <w:left w:w="0" w:type="dxa"/>
          <w:bottom w:w="0" w:type="dxa"/>
          <w:right w:w="0" w:type="dxa"/>
        </w:tblCellMar>
      </w:tblPr>
      <w:tr>
        <w:trPr>
          <w:trHeight w:val="199"/>
        </w:trPr>
        <w:tc>
          <w:tcPr>
            <w:tcW w:w="2920" w:type="dxa"/>
            <w:vAlign w:val="bottom"/>
          </w:tcPr>
          <w:p>
            <w:pPr>
              <w:jc w:val="center"/>
              <w:ind w:right="817"/>
              <w:spacing w:after="0"/>
              <w:rPr>
                <w:sz w:val="20"/>
                <w:szCs w:val="20"/>
                <w:color w:val="auto"/>
              </w:rPr>
            </w:pPr>
            <w:r>
              <w:rPr>
                <w:rFonts w:ascii="Arial" w:cs="Arial" w:eastAsia="Arial" w:hAnsi="Arial"/>
                <w:sz w:val="17"/>
                <w:szCs w:val="17"/>
                <w:b w:val="1"/>
                <w:bCs w:val="1"/>
                <w:color w:val="auto"/>
                <w:w w:val="86"/>
              </w:rPr>
              <w:t>Pennsylvania</w:t>
            </w:r>
          </w:p>
        </w:tc>
        <w:tc>
          <w:tcPr>
            <w:tcW w:w="2880" w:type="dxa"/>
            <w:vAlign w:val="bottom"/>
          </w:tcPr>
          <w:p>
            <w:pPr>
              <w:jc w:val="center"/>
              <w:spacing w:after="0"/>
              <w:rPr>
                <w:sz w:val="20"/>
                <w:szCs w:val="20"/>
                <w:color w:val="auto"/>
              </w:rPr>
            </w:pPr>
            <w:r>
              <w:rPr>
                <w:rFonts w:ascii="Arial" w:cs="Arial" w:eastAsia="Arial" w:hAnsi="Arial"/>
                <w:sz w:val="17"/>
                <w:szCs w:val="17"/>
                <w:b w:val="1"/>
                <w:bCs w:val="1"/>
                <w:color w:val="auto"/>
                <w:w w:val="89"/>
              </w:rPr>
              <w:t>0-24206</w:t>
            </w:r>
          </w:p>
        </w:tc>
        <w:tc>
          <w:tcPr>
            <w:tcW w:w="2260" w:type="dxa"/>
            <w:vAlign w:val="bottom"/>
          </w:tcPr>
          <w:p>
            <w:pPr>
              <w:jc w:val="center"/>
              <w:ind w:left="897"/>
              <w:spacing w:after="0"/>
              <w:rPr>
                <w:sz w:val="20"/>
                <w:szCs w:val="20"/>
                <w:color w:val="auto"/>
              </w:rPr>
            </w:pPr>
            <w:r>
              <w:rPr>
                <w:rFonts w:ascii="Arial" w:cs="Arial" w:eastAsia="Arial" w:hAnsi="Arial"/>
                <w:sz w:val="17"/>
                <w:szCs w:val="17"/>
                <w:b w:val="1"/>
                <w:bCs w:val="1"/>
                <w:color w:val="auto"/>
                <w:w w:val="88"/>
              </w:rPr>
              <w:t>23-2234473</w:t>
            </w:r>
          </w:p>
        </w:tc>
      </w:tr>
      <w:tr>
        <w:trPr>
          <w:trHeight w:val="199"/>
        </w:trPr>
        <w:tc>
          <w:tcPr>
            <w:tcW w:w="2920" w:type="dxa"/>
            <w:vAlign w:val="bottom"/>
          </w:tcPr>
          <w:p>
            <w:pPr>
              <w:jc w:val="center"/>
              <w:ind w:right="877"/>
              <w:spacing w:after="0"/>
              <w:rPr>
                <w:sz w:val="20"/>
                <w:szCs w:val="20"/>
                <w:color w:val="auto"/>
              </w:rPr>
            </w:pPr>
            <w:r>
              <w:rPr>
                <w:rFonts w:ascii="Arial" w:cs="Arial" w:eastAsia="Arial" w:hAnsi="Arial"/>
                <w:sz w:val="17"/>
                <w:szCs w:val="17"/>
                <w:b w:val="1"/>
                <w:bCs w:val="1"/>
                <w:color w:val="auto"/>
                <w:w w:val="89"/>
              </w:rPr>
              <w:t>(State or Other Jurisdiction</w:t>
            </w:r>
          </w:p>
        </w:tc>
        <w:tc>
          <w:tcPr>
            <w:tcW w:w="2880" w:type="dxa"/>
            <w:vAlign w:val="bottom"/>
          </w:tcPr>
          <w:p>
            <w:pPr>
              <w:jc w:val="center"/>
              <w:spacing w:after="0"/>
              <w:rPr>
                <w:sz w:val="20"/>
                <w:szCs w:val="20"/>
                <w:color w:val="auto"/>
              </w:rPr>
            </w:pPr>
            <w:r>
              <w:rPr>
                <w:rFonts w:ascii="Arial" w:cs="Arial" w:eastAsia="Arial" w:hAnsi="Arial"/>
                <w:sz w:val="17"/>
                <w:szCs w:val="17"/>
                <w:b w:val="1"/>
                <w:bCs w:val="1"/>
                <w:color w:val="auto"/>
                <w:w w:val="85"/>
              </w:rPr>
              <w:t>(Commission</w:t>
            </w:r>
          </w:p>
        </w:tc>
        <w:tc>
          <w:tcPr>
            <w:tcW w:w="2260" w:type="dxa"/>
            <w:vAlign w:val="bottom"/>
          </w:tcPr>
          <w:p>
            <w:pPr>
              <w:jc w:val="center"/>
              <w:ind w:left="837"/>
              <w:spacing w:after="0"/>
              <w:rPr>
                <w:sz w:val="20"/>
                <w:szCs w:val="20"/>
                <w:color w:val="auto"/>
              </w:rPr>
            </w:pPr>
            <w:r>
              <w:rPr>
                <w:rFonts w:ascii="Arial" w:cs="Arial" w:eastAsia="Arial" w:hAnsi="Arial"/>
                <w:sz w:val="17"/>
                <w:szCs w:val="17"/>
                <w:b w:val="1"/>
                <w:bCs w:val="1"/>
                <w:color w:val="auto"/>
                <w:w w:val="91"/>
              </w:rPr>
              <w:t>(IRS Employer</w:t>
            </w:r>
          </w:p>
        </w:tc>
      </w:tr>
      <w:tr>
        <w:trPr>
          <w:trHeight w:val="213"/>
        </w:trPr>
        <w:tc>
          <w:tcPr>
            <w:tcW w:w="2920" w:type="dxa"/>
            <w:vAlign w:val="bottom"/>
          </w:tcPr>
          <w:p>
            <w:pPr>
              <w:jc w:val="center"/>
              <w:ind w:right="837"/>
              <w:spacing w:after="0"/>
              <w:rPr>
                <w:sz w:val="20"/>
                <w:szCs w:val="20"/>
                <w:color w:val="auto"/>
              </w:rPr>
            </w:pPr>
            <w:r>
              <w:rPr>
                <w:rFonts w:ascii="Arial" w:cs="Arial" w:eastAsia="Arial" w:hAnsi="Arial"/>
                <w:sz w:val="17"/>
                <w:szCs w:val="17"/>
                <w:b w:val="1"/>
                <w:bCs w:val="1"/>
                <w:color w:val="auto"/>
                <w:w w:val="91"/>
              </w:rPr>
              <w:t>of Incorporation)</w:t>
            </w:r>
          </w:p>
        </w:tc>
        <w:tc>
          <w:tcPr>
            <w:tcW w:w="2880" w:type="dxa"/>
            <w:vAlign w:val="bottom"/>
          </w:tcPr>
          <w:p>
            <w:pPr>
              <w:jc w:val="center"/>
              <w:spacing w:after="0"/>
              <w:rPr>
                <w:sz w:val="20"/>
                <w:szCs w:val="20"/>
                <w:color w:val="auto"/>
              </w:rPr>
            </w:pPr>
            <w:r>
              <w:rPr>
                <w:rFonts w:ascii="Arial" w:cs="Arial" w:eastAsia="Arial" w:hAnsi="Arial"/>
                <w:sz w:val="17"/>
                <w:szCs w:val="17"/>
                <w:b w:val="1"/>
                <w:bCs w:val="1"/>
                <w:color w:val="auto"/>
                <w:w w:val="92"/>
              </w:rPr>
              <w:t>File Number)</w:t>
            </w:r>
          </w:p>
        </w:tc>
        <w:tc>
          <w:tcPr>
            <w:tcW w:w="2260" w:type="dxa"/>
            <w:vAlign w:val="bottom"/>
          </w:tcPr>
          <w:p>
            <w:pPr>
              <w:jc w:val="center"/>
              <w:ind w:left="877"/>
              <w:spacing w:after="0"/>
              <w:rPr>
                <w:sz w:val="20"/>
                <w:szCs w:val="20"/>
                <w:color w:val="auto"/>
              </w:rPr>
            </w:pPr>
            <w:r>
              <w:rPr>
                <w:rFonts w:ascii="Arial" w:cs="Arial" w:eastAsia="Arial" w:hAnsi="Arial"/>
                <w:sz w:val="17"/>
                <w:szCs w:val="17"/>
                <w:b w:val="1"/>
                <w:bCs w:val="1"/>
                <w:color w:val="auto"/>
                <w:w w:val="90"/>
              </w:rPr>
              <w:t>Identification No.)</w:t>
            </w:r>
          </w:p>
        </w:tc>
      </w:tr>
    </w:tbl>
    <w:p>
      <w:pPr>
        <w:spacing w:after="0" w:line="20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825 Berkshire Blvd., Suite 200</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Wyomissing, PA 19610</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(Address of principal executive offices including Zip Code)</w:t>
      </w:r>
    </w:p>
    <w:p>
      <w:pPr>
        <w:spacing w:after="0" w:line="18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610-373-2400</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714311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left="1"/>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87" w:lineRule="exact"/>
        <w:rPr>
          <w:sz w:val="24"/>
          <w:szCs w:val="24"/>
          <w:color w:val="auto"/>
        </w:rPr>
      </w:pPr>
    </w:p>
    <w:p>
      <w:pPr>
        <w:ind w:left="401" w:hanging="401"/>
        <w:spacing w:after="0"/>
        <w:tabs>
          <w:tab w:leader="none" w:pos="401"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52" w:lineRule="exact"/>
        <w:rPr>
          <w:rFonts w:ascii="MS PGothic" w:cs="MS PGothic" w:eastAsia="MS PGothic" w:hAnsi="MS PGothic"/>
          <w:sz w:val="17"/>
          <w:szCs w:val="17"/>
          <w:color w:val="auto"/>
        </w:rPr>
      </w:pPr>
    </w:p>
    <w:p>
      <w:pPr>
        <w:ind w:left="401" w:hanging="401"/>
        <w:spacing w:after="0"/>
        <w:tabs>
          <w:tab w:leader="none" w:pos="401"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52" w:lineRule="exact"/>
        <w:rPr>
          <w:rFonts w:ascii="MS PGothic" w:cs="MS PGothic" w:eastAsia="MS PGothic" w:hAnsi="MS PGothic"/>
          <w:sz w:val="17"/>
          <w:szCs w:val="17"/>
          <w:color w:val="auto"/>
        </w:rPr>
      </w:pPr>
    </w:p>
    <w:p>
      <w:pPr>
        <w:ind w:left="401" w:hanging="401"/>
        <w:spacing w:after="0"/>
        <w:tabs>
          <w:tab w:leader="none" w:pos="401"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52" w:lineRule="exact"/>
        <w:rPr>
          <w:rFonts w:ascii="MS PGothic" w:cs="MS PGothic" w:eastAsia="MS PGothic" w:hAnsi="MS PGothic"/>
          <w:sz w:val="17"/>
          <w:szCs w:val="17"/>
          <w:color w:val="auto"/>
        </w:rPr>
      </w:pPr>
    </w:p>
    <w:p>
      <w:pPr>
        <w:ind w:left="401" w:hanging="401"/>
        <w:spacing w:after="0"/>
        <w:tabs>
          <w:tab w:leader="none" w:pos="401"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351" w:lineRule="exact"/>
        <w:rPr>
          <w:sz w:val="24"/>
          <w:szCs w:val="24"/>
          <w:color w:val="auto"/>
        </w:rPr>
      </w:pPr>
    </w:p>
    <w:p>
      <w:pPr>
        <w:ind w:left="1" w:right="260"/>
        <w:spacing w:after="0" w:line="261"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1" w:lineRule="exact"/>
        <w:rPr>
          <w:sz w:val="24"/>
          <w:szCs w:val="24"/>
          <w:color w:val="auto"/>
        </w:rPr>
      </w:pPr>
    </w:p>
    <w:p>
      <w:pPr>
        <w:ind w:left="1"/>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32" w:lineRule="exact"/>
        <w:rPr>
          <w:sz w:val="24"/>
          <w:szCs w:val="24"/>
          <w:color w:val="auto"/>
        </w:rPr>
      </w:pPr>
    </w:p>
    <w:p>
      <w:pPr>
        <w:ind w:left="1" w:right="360"/>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9" w:lineRule="exact"/>
        <w:rPr>
          <w:sz w:val="24"/>
          <w:szCs w:val="24"/>
          <w:color w:val="auto"/>
        </w:rPr>
      </w:pPr>
    </w:p>
    <w:tbl>
      <w:tblPr>
        <w:tblLayout w:type="fixed"/>
        <w:tblInd w:w="1" w:type="dxa"/>
        <w:tblCellMar>
          <w:top w:w="0" w:type="dxa"/>
          <w:left w:w="0" w:type="dxa"/>
          <w:bottom w:w="0" w:type="dxa"/>
          <w:right w:w="0" w:type="dxa"/>
        </w:tblCellMar>
      </w:tblPr>
      <w:tr>
        <w:trPr>
          <w:trHeight w:val="209"/>
        </w:trPr>
        <w:tc>
          <w:tcPr>
            <w:tcW w:w="3840" w:type="dxa"/>
            <w:vAlign w:val="bottom"/>
            <w:gridSpan w:val="2"/>
          </w:tcPr>
          <w:p>
            <w:pPr>
              <w:jc w:val="center"/>
              <w:ind w:right="200"/>
              <w:spacing w:after="0"/>
              <w:rPr>
                <w:sz w:val="20"/>
                <w:szCs w:val="20"/>
                <w:color w:val="auto"/>
              </w:rPr>
            </w:pPr>
            <w:r>
              <w:rPr>
                <w:rFonts w:ascii="Arial" w:cs="Arial" w:eastAsia="Arial" w:hAnsi="Arial"/>
                <w:sz w:val="17"/>
                <w:szCs w:val="17"/>
                <w:color w:val="auto"/>
                <w:w w:val="88"/>
              </w:rPr>
              <w:t>Securities registered pursuant Section 12(b) of the Act:</w:t>
            </w: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383"/>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2"/>
              </w:rPr>
              <w:t>Trading</w:t>
            </w:r>
          </w:p>
        </w:tc>
        <w:tc>
          <w:tcPr>
            <w:tcW w:w="3580" w:type="dxa"/>
            <w:vAlign w:val="bottom"/>
          </w:tcPr>
          <w:p>
            <w:pPr>
              <w:jc w:val="center"/>
              <w:spacing w:after="0"/>
              <w:rPr>
                <w:sz w:val="20"/>
                <w:szCs w:val="20"/>
                <w:color w:val="auto"/>
              </w:rPr>
            </w:pPr>
            <w:r>
              <w:rPr>
                <w:rFonts w:ascii="Arial" w:cs="Arial" w:eastAsia="Arial" w:hAnsi="Arial"/>
                <w:sz w:val="17"/>
                <w:szCs w:val="17"/>
                <w:b w:val="1"/>
                <w:bCs w:val="1"/>
                <w:color w:val="auto"/>
                <w:w w:val="85"/>
              </w:rPr>
              <w:t>Name of each exchange</w:t>
            </w:r>
          </w:p>
        </w:tc>
      </w:tr>
      <w:tr>
        <w:trPr>
          <w:trHeight w:val="213"/>
        </w:trPr>
        <w:tc>
          <w:tcPr>
            <w:tcW w:w="38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4"/>
              </w:rPr>
              <w:t>Title of each class</w:t>
            </w:r>
          </w:p>
        </w:tc>
        <w:tc>
          <w:tcPr>
            <w:tcW w:w="38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3"/>
              </w:rPr>
              <w:t>symbol</w:t>
            </w:r>
          </w:p>
        </w:tc>
        <w:tc>
          <w:tcPr>
            <w:tcW w:w="3580" w:type="dxa"/>
            <w:vAlign w:val="bottom"/>
          </w:tcPr>
          <w:p>
            <w:pPr>
              <w:jc w:val="center"/>
              <w:spacing w:after="0"/>
              <w:rPr>
                <w:sz w:val="20"/>
                <w:szCs w:val="20"/>
                <w:color w:val="auto"/>
              </w:rPr>
            </w:pPr>
            <w:r>
              <w:rPr>
                <w:rFonts w:ascii="Arial" w:cs="Arial" w:eastAsia="Arial" w:hAnsi="Arial"/>
                <w:sz w:val="17"/>
                <w:szCs w:val="17"/>
                <w:b w:val="1"/>
                <w:bCs w:val="1"/>
                <w:color w:val="auto"/>
                <w:w w:val="85"/>
              </w:rPr>
              <w:t>on which registered</w:t>
            </w:r>
          </w:p>
        </w:tc>
      </w:tr>
      <w:tr>
        <w:trPr>
          <w:trHeight w:val="208"/>
        </w:trPr>
        <w:tc>
          <w:tcPr>
            <w:tcW w:w="36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Common Stock, $0.01 par value per share</w:t>
            </w:r>
          </w:p>
        </w:tc>
        <w:tc>
          <w:tcPr>
            <w:tcW w:w="240" w:type="dxa"/>
            <w:vAlign w:val="bottom"/>
          </w:tcPr>
          <w:p>
            <w:pPr>
              <w:spacing w:after="0"/>
              <w:rPr>
                <w:sz w:val="18"/>
                <w:szCs w:val="18"/>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PENN</w:t>
            </w:r>
          </w:p>
        </w:tc>
        <w:tc>
          <w:tcPr>
            <w:tcW w:w="220" w:type="dxa"/>
            <w:vAlign w:val="bottom"/>
          </w:tcPr>
          <w:p>
            <w:pPr>
              <w:spacing w:after="0"/>
              <w:rPr>
                <w:sz w:val="18"/>
                <w:szCs w:val="18"/>
                <w:color w:val="auto"/>
              </w:rPr>
            </w:pPr>
          </w:p>
        </w:tc>
        <w:tc>
          <w:tcPr>
            <w:tcW w:w="358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The Nasdaq Stock Market LLC</w:t>
            </w:r>
          </w:p>
        </w:tc>
      </w:tr>
      <w:tr>
        <w:trPr>
          <w:trHeight w:val="184"/>
        </w:trPr>
        <w:tc>
          <w:tcPr>
            <w:tcW w:w="36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tcPr>
          <w:p>
            <w:pPr>
              <w:spacing w:after="0"/>
              <w:rPr>
                <w:sz w:val="15"/>
                <w:szCs w:val="15"/>
                <w:color w:val="auto"/>
              </w:rPr>
            </w:pPr>
          </w:p>
        </w:tc>
      </w:tr>
      <w:tr>
        <w:trPr>
          <w:trHeight w:val="22"/>
        </w:trPr>
        <w:tc>
          <w:tcPr>
            <w:tcW w:w="3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r>
      <w:tr>
        <w:trPr>
          <w:trHeight w:val="621"/>
        </w:trPr>
        <w:tc>
          <w:tcPr>
            <w:tcW w:w="3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1"/>
          </w:cols>
          <w:pgMar w:left="319" w:top="610" w:right="339" w:bottom="1440" w:gutter="0" w:footer="0" w:header="0"/>
        </w:sectPr>
      </w:pPr>
    </w:p>
    <w:bookmarkStart w:id="1" w:name="page2"/>
    <w:bookmarkEnd w:id="1"/>
    <w:p>
      <w:pPr>
        <w:ind w:left="1"/>
        <w:spacing w:after="0"/>
        <w:tabs>
          <w:tab w:leader="none" w:pos="940" w:val="left"/>
        </w:tabs>
        <w:rPr>
          <w:sz w:val="20"/>
          <w:szCs w:val="20"/>
          <w:color w:val="auto"/>
        </w:rPr>
      </w:pPr>
      <w:r>
        <w:rPr>
          <w:rFonts w:ascii="Arial" w:cs="Arial" w:eastAsia="Arial" w:hAnsi="Arial"/>
          <w:sz w:val="17"/>
          <w:szCs w:val="17"/>
          <w:b w:val="1"/>
          <w:bCs w:val="1"/>
          <w:color w:val="auto"/>
        </w:rPr>
        <w:t>Item 8.01.</w:t>
      </w:r>
      <w:r>
        <w:rPr>
          <w:sz w:val="20"/>
          <w:szCs w:val="20"/>
          <w:color w:val="auto"/>
        </w:rPr>
        <w:tab/>
      </w:r>
      <w:r>
        <w:rPr>
          <w:rFonts w:ascii="Arial" w:cs="Arial" w:eastAsia="Arial" w:hAnsi="Arial"/>
          <w:sz w:val="14"/>
          <w:szCs w:val="14"/>
          <w:b w:val="1"/>
          <w:bCs w:val="1"/>
          <w:color w:val="auto"/>
        </w:rPr>
        <w:t>Other Events.</w:t>
      </w:r>
    </w:p>
    <w:p>
      <w:pPr>
        <w:spacing w:after="0" w:line="206" w:lineRule="exact"/>
        <w:rPr>
          <w:sz w:val="20"/>
          <w:szCs w:val="20"/>
          <w:color w:val="auto"/>
        </w:rPr>
      </w:pPr>
    </w:p>
    <w:p>
      <w:pPr>
        <w:ind w:left="1" w:right="80" w:firstLine="596"/>
        <w:spacing w:after="0" w:line="252" w:lineRule="auto"/>
        <w:rPr>
          <w:sz w:val="20"/>
          <w:szCs w:val="20"/>
          <w:color w:val="auto"/>
        </w:rPr>
      </w:pPr>
      <w:r>
        <w:rPr>
          <w:rFonts w:ascii="Arial" w:cs="Arial" w:eastAsia="Arial" w:hAnsi="Arial"/>
          <w:sz w:val="17"/>
          <w:szCs w:val="17"/>
          <w:color w:val="auto"/>
        </w:rPr>
        <w:t>In connection with Penn National Gaming, Inc.’s (“Penn National” or the “Company”) response to COVID-19, and subsequent to the Company’s Current Report on Form 8-K filed on March 16, 2020, Penn National issued the additional press releases attached hereto as Exhibits 99.1 – 99.11 of this Current Report on Form 8-K, which are incorporated herein by reference.</w:t>
      </w:r>
    </w:p>
    <w:p>
      <w:pPr>
        <w:spacing w:after="0" w:line="175" w:lineRule="exact"/>
        <w:rPr>
          <w:sz w:val="20"/>
          <w:szCs w:val="20"/>
          <w:color w:val="auto"/>
        </w:rPr>
      </w:pPr>
    </w:p>
    <w:p>
      <w:pPr>
        <w:ind w:left="1"/>
        <w:spacing w:after="0"/>
        <w:tabs>
          <w:tab w:leader="none" w:pos="94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206" w:lineRule="exact"/>
        <w:rPr>
          <w:sz w:val="20"/>
          <w:szCs w:val="20"/>
          <w:color w:val="auto"/>
        </w:rPr>
      </w:pPr>
    </w:p>
    <w:tbl>
      <w:tblPr>
        <w:tblLayout w:type="fixed"/>
        <w:tblInd w:w="1" w:type="dxa"/>
        <w:tblCellMar>
          <w:top w:w="0" w:type="dxa"/>
          <w:left w:w="0" w:type="dxa"/>
          <w:bottom w:w="0" w:type="dxa"/>
          <w:right w:w="0" w:type="dxa"/>
        </w:tblCellMar>
      </w:tblPr>
      <w:tr>
        <w:trPr>
          <w:trHeight w:val="209"/>
        </w:trPr>
        <w:tc>
          <w:tcPr>
            <w:tcW w:w="1360" w:type="dxa"/>
            <w:vAlign w:val="bottom"/>
            <w:gridSpan w:val="4"/>
          </w:tcPr>
          <w:p>
            <w:pPr>
              <w:spacing w:after="0"/>
              <w:rPr>
                <w:sz w:val="20"/>
                <w:szCs w:val="20"/>
                <w:color w:val="auto"/>
              </w:rPr>
            </w:pPr>
            <w:r>
              <w:rPr>
                <w:rFonts w:ascii="Arial" w:cs="Arial" w:eastAsia="Arial" w:hAnsi="Arial"/>
                <w:sz w:val="17"/>
                <w:szCs w:val="17"/>
                <w:color w:val="auto"/>
              </w:rPr>
              <w:t>(d) Exhibits.</w:t>
            </w:r>
          </w:p>
        </w:tc>
        <w:tc>
          <w:tcPr>
            <w:tcW w:w="4460" w:type="dxa"/>
            <w:vAlign w:val="bottom"/>
          </w:tcPr>
          <w:p>
            <w:pPr>
              <w:spacing w:after="0"/>
              <w:rPr>
                <w:sz w:val="18"/>
                <w:szCs w:val="18"/>
                <w:color w:val="auto"/>
              </w:rPr>
            </w:pPr>
          </w:p>
        </w:tc>
        <w:tc>
          <w:tcPr>
            <w:tcW w:w="5420" w:type="dxa"/>
            <w:vAlign w:val="bottom"/>
          </w:tcPr>
          <w:p>
            <w:pPr>
              <w:spacing w:after="0"/>
              <w:rPr>
                <w:sz w:val="18"/>
                <w:szCs w:val="18"/>
                <w:color w:val="auto"/>
              </w:rPr>
            </w:pPr>
          </w:p>
        </w:tc>
      </w:tr>
      <w:tr>
        <w:trPr>
          <w:trHeight w:val="411"/>
        </w:trPr>
        <w:tc>
          <w:tcPr>
            <w:tcW w:w="1360" w:type="dxa"/>
            <w:vAlign w:val="bottom"/>
            <w:gridSpan w:val="4"/>
          </w:tcPr>
          <w:p>
            <w:pPr>
              <w:spacing w:after="0"/>
              <w:rPr>
                <w:sz w:val="20"/>
                <w:szCs w:val="20"/>
                <w:color w:val="auto"/>
              </w:rPr>
            </w:pPr>
            <w:r>
              <w:rPr>
                <w:rFonts w:ascii="Arial" w:cs="Arial" w:eastAsia="Arial" w:hAnsi="Arial"/>
                <w:sz w:val="17"/>
                <w:szCs w:val="17"/>
                <w:b w:val="1"/>
                <w:bCs w:val="1"/>
                <w:color w:val="auto"/>
              </w:rPr>
              <w:t>Exhibit No.</w:t>
            </w:r>
          </w:p>
        </w:tc>
        <w:tc>
          <w:tcPr>
            <w:tcW w:w="9880" w:type="dxa"/>
            <w:vAlign w:val="bottom"/>
            <w:gridSpan w:val="2"/>
          </w:tcPr>
          <w:p>
            <w:pPr>
              <w:spacing w:after="0"/>
              <w:rPr>
                <w:sz w:val="20"/>
                <w:szCs w:val="20"/>
                <w:color w:val="auto"/>
              </w:rPr>
            </w:pPr>
            <w:r>
              <w:rPr>
                <w:rFonts w:ascii="Arial" w:cs="Arial" w:eastAsia="Arial" w:hAnsi="Arial"/>
                <w:sz w:val="17"/>
                <w:szCs w:val="17"/>
                <w:b w:val="1"/>
                <w:bCs w:val="1"/>
                <w:color w:val="auto"/>
              </w:rPr>
              <w:t>Description of Exhibit</w:t>
            </w:r>
          </w:p>
        </w:tc>
      </w:tr>
      <w:tr>
        <w:trPr>
          <w:trHeight w:val="353"/>
        </w:trPr>
        <w:tc>
          <w:tcPr>
            <w:tcW w:w="280" w:type="dxa"/>
            <w:vAlign w:val="bottom"/>
            <w:tcBorders>
              <w:top w:val="single" w:sz="8" w:color="auto"/>
            </w:tcBorders>
          </w:tcPr>
          <w:p>
            <w:pPr>
              <w:spacing w:after="0"/>
              <w:rPr>
                <w:rFonts w:ascii="Arial" w:cs="Arial" w:eastAsia="Arial" w:hAnsi="Arial"/>
                <w:sz w:val="17"/>
                <w:szCs w:val="17"/>
                <w:color w:val="0000EE"/>
                <w:w w:val="78"/>
              </w:rPr>
            </w:pPr>
            <w:hyperlink w:anchor="page3">
              <w:r>
                <w:rPr>
                  <w:rFonts w:ascii="Arial" w:cs="Arial" w:eastAsia="Arial" w:hAnsi="Arial"/>
                  <w:sz w:val="17"/>
                  <w:szCs w:val="17"/>
                  <w:color w:val="0000EE"/>
                  <w:w w:val="78"/>
                </w:rPr>
                <w:t>99.</w:t>
              </w:r>
              <w:r>
                <w:rPr>
                  <w:rFonts w:ascii="Arial" w:cs="Arial" w:eastAsia="Arial" w:hAnsi="Arial"/>
                  <w:sz w:val="17"/>
                  <w:szCs w:val="17"/>
                  <w:u w:val="single" w:color="auto"/>
                  <w:color w:val="0000EE"/>
                  <w:w w:val="78"/>
                </w:rPr>
                <w:t>1</w:t>
              </w:r>
            </w:hyperlink>
          </w:p>
        </w:tc>
        <w:tc>
          <w:tcPr>
            <w:tcW w:w="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880" w:type="dxa"/>
            <w:vAlign w:val="bottom"/>
            <w:tcBorders>
              <w:top w:val="single" w:sz="8" w:color="auto"/>
            </w:tcBorders>
            <w:gridSpan w:val="2"/>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Press Release dated March 16, 2020 of Penn National Gaming, Inc.</w:t>
              </w:r>
            </w:hyperlink>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60" w:type="dxa"/>
            <w:vAlign w:val="bottom"/>
            <w:shd w:val="clear" w:color="auto" w:fill="0000EE"/>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179"/>
        </w:trPr>
        <w:tc>
          <w:tcPr>
            <w:tcW w:w="280" w:type="dxa"/>
            <w:vAlign w:val="bottom"/>
          </w:tcPr>
          <w:p>
            <w:pPr>
              <w:spacing w:after="0" w:line="179" w:lineRule="exact"/>
              <w:rPr>
                <w:rFonts w:ascii="Arial" w:cs="Arial" w:eastAsia="Arial" w:hAnsi="Arial"/>
                <w:sz w:val="17"/>
                <w:szCs w:val="17"/>
                <w:color w:val="0000EE"/>
                <w:w w:val="78"/>
              </w:rPr>
            </w:pPr>
            <w:hyperlink w:anchor="page4">
              <w:r>
                <w:rPr>
                  <w:rFonts w:ascii="Arial" w:cs="Arial" w:eastAsia="Arial" w:hAnsi="Arial"/>
                  <w:sz w:val="17"/>
                  <w:szCs w:val="17"/>
                  <w:color w:val="0000EE"/>
                  <w:w w:val="78"/>
                </w:rPr>
                <w:t>99.</w:t>
              </w:r>
              <w:r>
                <w:rPr>
                  <w:rFonts w:ascii="Arial" w:cs="Arial" w:eastAsia="Arial" w:hAnsi="Arial"/>
                  <w:sz w:val="17"/>
                  <w:szCs w:val="17"/>
                  <w:u w:val="single" w:color="auto"/>
                  <w:color w:val="0000EE"/>
                  <w:w w:val="78"/>
                </w:rPr>
                <w:t>2</w:t>
              </w:r>
            </w:hyperlink>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80" w:type="dxa"/>
            <w:vAlign w:val="bottom"/>
            <w:gridSpan w:val="2"/>
          </w:tcPr>
          <w:p>
            <w:pPr>
              <w:spacing w:after="0" w:line="179" w:lineRule="exact"/>
              <w:rPr>
                <w:rFonts w:ascii="Arial" w:cs="Arial" w:eastAsia="Arial" w:hAnsi="Arial"/>
                <w:sz w:val="17"/>
                <w:szCs w:val="17"/>
                <w:color w:val="0000EE"/>
              </w:rPr>
            </w:pPr>
            <w:hyperlink w:anchor="page4">
              <w:r>
                <w:rPr>
                  <w:rFonts w:ascii="Arial" w:cs="Arial" w:eastAsia="Arial" w:hAnsi="Arial"/>
                  <w:sz w:val="17"/>
                  <w:szCs w:val="17"/>
                  <w:color w:val="0000EE"/>
                </w:rPr>
                <w:t>Press Release dated March 16, 2020 of Penn National Gaming, Inc.</w:t>
              </w:r>
            </w:hyperlink>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60" w:type="dxa"/>
            <w:vAlign w:val="bottom"/>
            <w:shd w:val="clear" w:color="auto" w:fill="0000EE"/>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179"/>
        </w:trPr>
        <w:tc>
          <w:tcPr>
            <w:tcW w:w="280" w:type="dxa"/>
            <w:vAlign w:val="bottom"/>
          </w:tcPr>
          <w:p>
            <w:pPr>
              <w:spacing w:after="0" w:line="179" w:lineRule="exact"/>
              <w:rPr>
                <w:rFonts w:ascii="Arial" w:cs="Arial" w:eastAsia="Arial" w:hAnsi="Arial"/>
                <w:sz w:val="17"/>
                <w:szCs w:val="17"/>
                <w:color w:val="0000EE"/>
                <w:w w:val="78"/>
              </w:rPr>
            </w:pPr>
            <w:hyperlink w:anchor="page5">
              <w:r>
                <w:rPr>
                  <w:rFonts w:ascii="Arial" w:cs="Arial" w:eastAsia="Arial" w:hAnsi="Arial"/>
                  <w:sz w:val="17"/>
                  <w:szCs w:val="17"/>
                  <w:color w:val="0000EE"/>
                  <w:w w:val="78"/>
                </w:rPr>
                <w:t>99.</w:t>
              </w:r>
              <w:r>
                <w:rPr>
                  <w:rFonts w:ascii="Arial" w:cs="Arial" w:eastAsia="Arial" w:hAnsi="Arial"/>
                  <w:sz w:val="17"/>
                  <w:szCs w:val="17"/>
                  <w:u w:val="single" w:color="auto"/>
                  <w:color w:val="0000EE"/>
                  <w:w w:val="78"/>
                </w:rPr>
                <w:t>3</w:t>
              </w:r>
            </w:hyperlink>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80" w:type="dxa"/>
            <w:vAlign w:val="bottom"/>
            <w:gridSpan w:val="2"/>
          </w:tcPr>
          <w:p>
            <w:pPr>
              <w:spacing w:after="0" w:line="179" w:lineRule="exact"/>
              <w:rPr>
                <w:rFonts w:ascii="Arial" w:cs="Arial" w:eastAsia="Arial" w:hAnsi="Arial"/>
                <w:sz w:val="17"/>
                <w:szCs w:val="17"/>
                <w:color w:val="0000EE"/>
              </w:rPr>
            </w:pPr>
            <w:hyperlink w:anchor="page5">
              <w:r>
                <w:rPr>
                  <w:rFonts w:ascii="Arial" w:cs="Arial" w:eastAsia="Arial" w:hAnsi="Arial"/>
                  <w:sz w:val="17"/>
                  <w:szCs w:val="17"/>
                  <w:color w:val="0000EE"/>
                </w:rPr>
                <w:t>Press Release dated March 16, 2020 of Penn National Gaming, Inc.</w:t>
              </w:r>
            </w:hyperlink>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60" w:type="dxa"/>
            <w:vAlign w:val="bottom"/>
            <w:shd w:val="clear" w:color="auto" w:fill="0000EE"/>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179"/>
        </w:trPr>
        <w:tc>
          <w:tcPr>
            <w:tcW w:w="280" w:type="dxa"/>
            <w:vAlign w:val="bottom"/>
          </w:tcPr>
          <w:p>
            <w:pPr>
              <w:spacing w:after="0" w:line="179" w:lineRule="exact"/>
              <w:rPr>
                <w:rFonts w:ascii="Arial" w:cs="Arial" w:eastAsia="Arial" w:hAnsi="Arial"/>
                <w:sz w:val="17"/>
                <w:szCs w:val="17"/>
                <w:color w:val="0000EE"/>
                <w:w w:val="78"/>
              </w:rPr>
            </w:pPr>
            <w:hyperlink w:anchor="page6">
              <w:r>
                <w:rPr>
                  <w:rFonts w:ascii="Arial" w:cs="Arial" w:eastAsia="Arial" w:hAnsi="Arial"/>
                  <w:sz w:val="17"/>
                  <w:szCs w:val="17"/>
                  <w:color w:val="0000EE"/>
                  <w:w w:val="78"/>
                </w:rPr>
                <w:t>99.</w:t>
              </w:r>
              <w:r>
                <w:rPr>
                  <w:rFonts w:ascii="Arial" w:cs="Arial" w:eastAsia="Arial" w:hAnsi="Arial"/>
                  <w:sz w:val="17"/>
                  <w:szCs w:val="17"/>
                  <w:u w:val="single" w:color="auto"/>
                  <w:color w:val="0000EE"/>
                  <w:w w:val="78"/>
                </w:rPr>
                <w:t>4</w:t>
              </w:r>
            </w:hyperlink>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80" w:type="dxa"/>
            <w:vAlign w:val="bottom"/>
            <w:gridSpan w:val="2"/>
          </w:tcPr>
          <w:p>
            <w:pPr>
              <w:spacing w:after="0" w:line="179" w:lineRule="exact"/>
              <w:rPr>
                <w:rFonts w:ascii="Arial" w:cs="Arial" w:eastAsia="Arial" w:hAnsi="Arial"/>
                <w:sz w:val="17"/>
                <w:szCs w:val="17"/>
                <w:color w:val="0000EE"/>
              </w:rPr>
            </w:pPr>
            <w:hyperlink w:anchor="page6">
              <w:r>
                <w:rPr>
                  <w:rFonts w:ascii="Arial" w:cs="Arial" w:eastAsia="Arial" w:hAnsi="Arial"/>
                  <w:sz w:val="17"/>
                  <w:szCs w:val="17"/>
                  <w:color w:val="0000EE"/>
                </w:rPr>
                <w:t>Press Release dated March 16, 2020 of Penn National Gaming, Inc.</w:t>
              </w:r>
            </w:hyperlink>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60" w:type="dxa"/>
            <w:vAlign w:val="bottom"/>
            <w:shd w:val="clear" w:color="auto" w:fill="0000EE"/>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179"/>
        </w:trPr>
        <w:tc>
          <w:tcPr>
            <w:tcW w:w="280" w:type="dxa"/>
            <w:vAlign w:val="bottom"/>
          </w:tcPr>
          <w:p>
            <w:pPr>
              <w:spacing w:after="0" w:line="179" w:lineRule="exact"/>
              <w:rPr>
                <w:rFonts w:ascii="Arial" w:cs="Arial" w:eastAsia="Arial" w:hAnsi="Arial"/>
                <w:sz w:val="17"/>
                <w:szCs w:val="17"/>
                <w:color w:val="0000EE"/>
                <w:w w:val="78"/>
              </w:rPr>
            </w:pPr>
            <w:hyperlink w:anchor="page7">
              <w:r>
                <w:rPr>
                  <w:rFonts w:ascii="Arial" w:cs="Arial" w:eastAsia="Arial" w:hAnsi="Arial"/>
                  <w:sz w:val="17"/>
                  <w:szCs w:val="17"/>
                  <w:color w:val="0000EE"/>
                  <w:w w:val="78"/>
                </w:rPr>
                <w:t>99.</w:t>
              </w:r>
              <w:r>
                <w:rPr>
                  <w:rFonts w:ascii="Arial" w:cs="Arial" w:eastAsia="Arial" w:hAnsi="Arial"/>
                  <w:sz w:val="17"/>
                  <w:szCs w:val="17"/>
                  <w:u w:val="single" w:color="auto"/>
                  <w:color w:val="0000EE"/>
                  <w:w w:val="78"/>
                </w:rPr>
                <w:t>5</w:t>
              </w:r>
            </w:hyperlink>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80" w:type="dxa"/>
            <w:vAlign w:val="bottom"/>
            <w:gridSpan w:val="2"/>
          </w:tcPr>
          <w:p>
            <w:pPr>
              <w:spacing w:after="0" w:line="179" w:lineRule="exact"/>
              <w:rPr>
                <w:rFonts w:ascii="Arial" w:cs="Arial" w:eastAsia="Arial" w:hAnsi="Arial"/>
                <w:sz w:val="17"/>
                <w:szCs w:val="17"/>
                <w:color w:val="0000EE"/>
              </w:rPr>
            </w:pPr>
            <w:hyperlink w:anchor="page7">
              <w:r>
                <w:rPr>
                  <w:rFonts w:ascii="Arial" w:cs="Arial" w:eastAsia="Arial" w:hAnsi="Arial"/>
                  <w:sz w:val="17"/>
                  <w:szCs w:val="17"/>
                  <w:color w:val="0000EE"/>
                </w:rPr>
                <w:t>Press Release dated March 17, 2020 of Penn National Gaming, Inc.</w:t>
              </w:r>
            </w:hyperlink>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60" w:type="dxa"/>
            <w:vAlign w:val="bottom"/>
            <w:shd w:val="clear" w:color="auto" w:fill="0000EE"/>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179"/>
        </w:trPr>
        <w:tc>
          <w:tcPr>
            <w:tcW w:w="280" w:type="dxa"/>
            <w:vAlign w:val="bottom"/>
          </w:tcPr>
          <w:p>
            <w:pPr>
              <w:spacing w:after="0" w:line="179" w:lineRule="exact"/>
              <w:rPr>
                <w:rFonts w:ascii="Arial" w:cs="Arial" w:eastAsia="Arial" w:hAnsi="Arial"/>
                <w:sz w:val="17"/>
                <w:szCs w:val="17"/>
                <w:color w:val="0000EE"/>
                <w:w w:val="78"/>
              </w:rPr>
            </w:pPr>
            <w:hyperlink w:anchor="page8">
              <w:r>
                <w:rPr>
                  <w:rFonts w:ascii="Arial" w:cs="Arial" w:eastAsia="Arial" w:hAnsi="Arial"/>
                  <w:sz w:val="17"/>
                  <w:szCs w:val="17"/>
                  <w:color w:val="0000EE"/>
                  <w:w w:val="78"/>
                </w:rPr>
                <w:t>99.</w:t>
              </w:r>
              <w:r>
                <w:rPr>
                  <w:rFonts w:ascii="Arial" w:cs="Arial" w:eastAsia="Arial" w:hAnsi="Arial"/>
                  <w:sz w:val="17"/>
                  <w:szCs w:val="17"/>
                  <w:u w:val="single" w:color="auto"/>
                  <w:color w:val="0000EE"/>
                  <w:w w:val="78"/>
                </w:rPr>
                <w:t>6</w:t>
              </w:r>
            </w:hyperlink>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80" w:type="dxa"/>
            <w:vAlign w:val="bottom"/>
            <w:gridSpan w:val="2"/>
          </w:tcPr>
          <w:p>
            <w:pPr>
              <w:spacing w:after="0" w:line="179" w:lineRule="exact"/>
              <w:rPr>
                <w:rFonts w:ascii="Arial" w:cs="Arial" w:eastAsia="Arial" w:hAnsi="Arial"/>
                <w:sz w:val="17"/>
                <w:szCs w:val="17"/>
                <w:color w:val="0000EE"/>
              </w:rPr>
            </w:pPr>
            <w:hyperlink w:anchor="page8">
              <w:r>
                <w:rPr>
                  <w:rFonts w:ascii="Arial" w:cs="Arial" w:eastAsia="Arial" w:hAnsi="Arial"/>
                  <w:sz w:val="17"/>
                  <w:szCs w:val="17"/>
                  <w:color w:val="0000EE"/>
                </w:rPr>
                <w:t>Press Release dated March 17, 2020 of Penn National Gaming, Inc.</w:t>
              </w:r>
            </w:hyperlink>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60" w:type="dxa"/>
            <w:vAlign w:val="bottom"/>
            <w:shd w:val="clear" w:color="auto" w:fill="0000EE"/>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179"/>
        </w:trPr>
        <w:tc>
          <w:tcPr>
            <w:tcW w:w="280" w:type="dxa"/>
            <w:vAlign w:val="bottom"/>
          </w:tcPr>
          <w:p>
            <w:pPr>
              <w:spacing w:after="0" w:line="179" w:lineRule="exact"/>
              <w:rPr>
                <w:rFonts w:ascii="Arial" w:cs="Arial" w:eastAsia="Arial" w:hAnsi="Arial"/>
                <w:sz w:val="17"/>
                <w:szCs w:val="17"/>
                <w:color w:val="0000EE"/>
                <w:w w:val="78"/>
              </w:rPr>
            </w:pPr>
            <w:hyperlink w:anchor="page9">
              <w:r>
                <w:rPr>
                  <w:rFonts w:ascii="Arial" w:cs="Arial" w:eastAsia="Arial" w:hAnsi="Arial"/>
                  <w:sz w:val="17"/>
                  <w:szCs w:val="17"/>
                  <w:color w:val="0000EE"/>
                  <w:w w:val="78"/>
                </w:rPr>
                <w:t>99.</w:t>
              </w:r>
              <w:r>
                <w:rPr>
                  <w:rFonts w:ascii="Arial" w:cs="Arial" w:eastAsia="Arial" w:hAnsi="Arial"/>
                  <w:sz w:val="17"/>
                  <w:szCs w:val="17"/>
                  <w:u w:val="single" w:color="auto"/>
                  <w:color w:val="0000EE"/>
                  <w:w w:val="78"/>
                </w:rPr>
                <w:t>7</w:t>
              </w:r>
            </w:hyperlink>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80" w:type="dxa"/>
            <w:vAlign w:val="bottom"/>
            <w:gridSpan w:val="2"/>
          </w:tcPr>
          <w:p>
            <w:pPr>
              <w:spacing w:after="0" w:line="179" w:lineRule="exact"/>
              <w:rPr>
                <w:rFonts w:ascii="Arial" w:cs="Arial" w:eastAsia="Arial" w:hAnsi="Arial"/>
                <w:sz w:val="17"/>
                <w:szCs w:val="17"/>
                <w:color w:val="0000EE"/>
              </w:rPr>
            </w:pPr>
            <w:hyperlink w:anchor="page9">
              <w:r>
                <w:rPr>
                  <w:rFonts w:ascii="Arial" w:cs="Arial" w:eastAsia="Arial" w:hAnsi="Arial"/>
                  <w:sz w:val="17"/>
                  <w:szCs w:val="17"/>
                  <w:color w:val="0000EE"/>
                </w:rPr>
                <w:t>Press Release dated March 17, 2020 of Penn National Gaming, Inc.</w:t>
              </w:r>
            </w:hyperlink>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60" w:type="dxa"/>
            <w:vAlign w:val="bottom"/>
            <w:shd w:val="clear" w:color="auto" w:fill="0000EE"/>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179"/>
        </w:trPr>
        <w:tc>
          <w:tcPr>
            <w:tcW w:w="280" w:type="dxa"/>
            <w:vAlign w:val="bottom"/>
          </w:tcPr>
          <w:p>
            <w:pPr>
              <w:spacing w:after="0" w:line="179" w:lineRule="exact"/>
              <w:rPr>
                <w:rFonts w:ascii="Arial" w:cs="Arial" w:eastAsia="Arial" w:hAnsi="Arial"/>
                <w:sz w:val="17"/>
                <w:szCs w:val="17"/>
                <w:color w:val="0000EE"/>
                <w:w w:val="78"/>
              </w:rPr>
            </w:pPr>
            <w:hyperlink w:anchor="page10">
              <w:r>
                <w:rPr>
                  <w:rFonts w:ascii="Arial" w:cs="Arial" w:eastAsia="Arial" w:hAnsi="Arial"/>
                  <w:sz w:val="17"/>
                  <w:szCs w:val="17"/>
                  <w:color w:val="0000EE"/>
                  <w:w w:val="78"/>
                </w:rPr>
                <w:t>99.</w:t>
              </w:r>
              <w:r>
                <w:rPr>
                  <w:rFonts w:ascii="Arial" w:cs="Arial" w:eastAsia="Arial" w:hAnsi="Arial"/>
                  <w:sz w:val="17"/>
                  <w:szCs w:val="17"/>
                  <w:u w:val="single" w:color="auto"/>
                  <w:color w:val="0000EE"/>
                  <w:w w:val="78"/>
                </w:rPr>
                <w:t>8</w:t>
              </w:r>
            </w:hyperlink>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80" w:type="dxa"/>
            <w:vAlign w:val="bottom"/>
            <w:gridSpan w:val="2"/>
          </w:tcPr>
          <w:p>
            <w:pPr>
              <w:spacing w:after="0" w:line="179" w:lineRule="exact"/>
              <w:rPr>
                <w:rFonts w:ascii="Arial" w:cs="Arial" w:eastAsia="Arial" w:hAnsi="Arial"/>
                <w:sz w:val="17"/>
                <w:szCs w:val="17"/>
                <w:color w:val="0000EE"/>
              </w:rPr>
            </w:pPr>
            <w:hyperlink w:anchor="page10">
              <w:r>
                <w:rPr>
                  <w:rFonts w:ascii="Arial" w:cs="Arial" w:eastAsia="Arial" w:hAnsi="Arial"/>
                  <w:sz w:val="17"/>
                  <w:szCs w:val="17"/>
                  <w:color w:val="0000EE"/>
                </w:rPr>
                <w:t>Press Release dated March 17, 2020 of Penn National Gaming, Inc.</w:t>
              </w:r>
            </w:hyperlink>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60" w:type="dxa"/>
            <w:vAlign w:val="bottom"/>
            <w:shd w:val="clear" w:color="auto" w:fill="0000EE"/>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179"/>
        </w:trPr>
        <w:tc>
          <w:tcPr>
            <w:tcW w:w="280" w:type="dxa"/>
            <w:vAlign w:val="bottom"/>
          </w:tcPr>
          <w:p>
            <w:pPr>
              <w:spacing w:after="0" w:line="179" w:lineRule="exact"/>
              <w:rPr>
                <w:rFonts w:ascii="Arial" w:cs="Arial" w:eastAsia="Arial" w:hAnsi="Arial"/>
                <w:sz w:val="17"/>
                <w:szCs w:val="17"/>
                <w:color w:val="0000EE"/>
                <w:w w:val="78"/>
              </w:rPr>
            </w:pPr>
            <w:hyperlink w:anchor="page11">
              <w:r>
                <w:rPr>
                  <w:rFonts w:ascii="Arial" w:cs="Arial" w:eastAsia="Arial" w:hAnsi="Arial"/>
                  <w:sz w:val="17"/>
                  <w:szCs w:val="17"/>
                  <w:color w:val="0000EE"/>
                  <w:w w:val="78"/>
                </w:rPr>
                <w:t>99.</w:t>
              </w:r>
              <w:r>
                <w:rPr>
                  <w:rFonts w:ascii="Arial" w:cs="Arial" w:eastAsia="Arial" w:hAnsi="Arial"/>
                  <w:sz w:val="17"/>
                  <w:szCs w:val="17"/>
                  <w:u w:val="single" w:color="auto"/>
                  <w:color w:val="0000EE"/>
                  <w:w w:val="78"/>
                </w:rPr>
                <w:t>9</w:t>
              </w:r>
            </w:hyperlink>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80" w:type="dxa"/>
            <w:vAlign w:val="bottom"/>
            <w:gridSpan w:val="2"/>
          </w:tcPr>
          <w:p>
            <w:pPr>
              <w:spacing w:after="0" w:line="179" w:lineRule="exact"/>
              <w:rPr>
                <w:rFonts w:ascii="Arial" w:cs="Arial" w:eastAsia="Arial" w:hAnsi="Arial"/>
                <w:sz w:val="17"/>
                <w:szCs w:val="17"/>
                <w:color w:val="0000EE"/>
              </w:rPr>
            </w:pPr>
            <w:hyperlink w:anchor="page11">
              <w:r>
                <w:rPr>
                  <w:rFonts w:ascii="Arial" w:cs="Arial" w:eastAsia="Arial" w:hAnsi="Arial"/>
                  <w:sz w:val="17"/>
                  <w:szCs w:val="17"/>
                  <w:color w:val="0000EE"/>
                </w:rPr>
                <w:t>Press Release dated March 17, 2020 of Penn National Gaming, Inc.</w:t>
              </w:r>
            </w:hyperlink>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60" w:type="dxa"/>
            <w:vAlign w:val="bottom"/>
            <w:shd w:val="clear" w:color="auto" w:fill="0000EE"/>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179"/>
        </w:trPr>
        <w:tc>
          <w:tcPr>
            <w:tcW w:w="360" w:type="dxa"/>
            <w:vAlign w:val="bottom"/>
            <w:gridSpan w:val="2"/>
          </w:tcPr>
          <w:p>
            <w:pPr>
              <w:spacing w:after="0" w:line="179" w:lineRule="exact"/>
              <w:rPr>
                <w:rFonts w:ascii="Arial" w:cs="Arial" w:eastAsia="Arial" w:hAnsi="Arial"/>
                <w:sz w:val="17"/>
                <w:szCs w:val="17"/>
                <w:color w:val="0000EE"/>
                <w:w w:val="75"/>
              </w:rPr>
            </w:pPr>
            <w:hyperlink w:anchor="page12">
              <w:r>
                <w:rPr>
                  <w:rFonts w:ascii="Arial" w:cs="Arial" w:eastAsia="Arial" w:hAnsi="Arial"/>
                  <w:sz w:val="17"/>
                  <w:szCs w:val="17"/>
                  <w:color w:val="0000EE"/>
                  <w:w w:val="75"/>
                </w:rPr>
                <w:t>99.</w:t>
              </w:r>
              <w:r>
                <w:rPr>
                  <w:rFonts w:ascii="Arial" w:cs="Arial" w:eastAsia="Arial" w:hAnsi="Arial"/>
                  <w:sz w:val="17"/>
                  <w:szCs w:val="17"/>
                  <w:u w:val="single" w:color="auto"/>
                  <w:color w:val="0000EE"/>
                  <w:w w:val="75"/>
                </w:rPr>
                <w:t>10</w:t>
              </w:r>
            </w:hyperlink>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80" w:type="dxa"/>
            <w:vAlign w:val="bottom"/>
            <w:gridSpan w:val="2"/>
          </w:tcPr>
          <w:p>
            <w:pPr>
              <w:spacing w:after="0" w:line="179" w:lineRule="exact"/>
              <w:rPr>
                <w:rFonts w:ascii="Arial" w:cs="Arial" w:eastAsia="Arial" w:hAnsi="Arial"/>
                <w:sz w:val="17"/>
                <w:szCs w:val="17"/>
                <w:color w:val="0000EE"/>
              </w:rPr>
            </w:pPr>
            <w:hyperlink w:anchor="page12">
              <w:r>
                <w:rPr>
                  <w:rFonts w:ascii="Arial" w:cs="Arial" w:eastAsia="Arial" w:hAnsi="Arial"/>
                  <w:sz w:val="17"/>
                  <w:szCs w:val="17"/>
                  <w:color w:val="0000EE"/>
                </w:rPr>
                <w:t>Press Release dated March 18, 2020 of Penn National Gaming, Inc.</w:t>
              </w:r>
            </w:hyperlink>
          </w:p>
        </w:tc>
      </w:tr>
      <w:tr>
        <w:trPr>
          <w:trHeight w:val="20"/>
        </w:trPr>
        <w:tc>
          <w:tcPr>
            <w:tcW w:w="360" w:type="dxa"/>
            <w:vAlign w:val="bottom"/>
            <w:gridSpan w:val="2"/>
            <w:shd w:val="clear" w:color="auto" w:fill="0000EE"/>
          </w:tcPr>
          <w:p>
            <w:pPr>
              <w:spacing w:after="0" w:line="20" w:lineRule="exact"/>
              <w:rPr>
                <w:sz w:val="1"/>
                <w:szCs w:val="1"/>
                <w:color w:val="auto"/>
              </w:rPr>
            </w:pPr>
          </w:p>
        </w:tc>
        <w:tc>
          <w:tcPr>
            <w:tcW w:w="76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60" w:type="dxa"/>
            <w:vAlign w:val="bottom"/>
            <w:shd w:val="clear" w:color="auto" w:fill="0000EE"/>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179"/>
        </w:trPr>
        <w:tc>
          <w:tcPr>
            <w:tcW w:w="360" w:type="dxa"/>
            <w:vAlign w:val="bottom"/>
            <w:gridSpan w:val="2"/>
          </w:tcPr>
          <w:p>
            <w:pPr>
              <w:spacing w:after="0" w:line="179" w:lineRule="exact"/>
              <w:rPr>
                <w:rFonts w:ascii="Arial" w:cs="Arial" w:eastAsia="Arial" w:hAnsi="Arial"/>
                <w:sz w:val="17"/>
                <w:szCs w:val="17"/>
                <w:color w:val="0000EE"/>
                <w:w w:val="75"/>
              </w:rPr>
            </w:pPr>
            <w:hyperlink w:anchor="page13">
              <w:r>
                <w:rPr>
                  <w:rFonts w:ascii="Arial" w:cs="Arial" w:eastAsia="Arial" w:hAnsi="Arial"/>
                  <w:sz w:val="17"/>
                  <w:szCs w:val="17"/>
                  <w:color w:val="0000EE"/>
                  <w:w w:val="75"/>
                </w:rPr>
                <w:t>99.</w:t>
              </w:r>
              <w:r>
                <w:rPr>
                  <w:rFonts w:ascii="Arial" w:cs="Arial" w:eastAsia="Arial" w:hAnsi="Arial"/>
                  <w:sz w:val="17"/>
                  <w:szCs w:val="17"/>
                  <w:u w:val="single" w:color="auto"/>
                  <w:color w:val="0000EE"/>
                  <w:w w:val="75"/>
                </w:rPr>
                <w:t>11</w:t>
              </w:r>
            </w:hyperlink>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80" w:type="dxa"/>
            <w:vAlign w:val="bottom"/>
            <w:gridSpan w:val="2"/>
          </w:tcPr>
          <w:p>
            <w:pPr>
              <w:spacing w:after="0" w:line="179" w:lineRule="exact"/>
              <w:rPr>
                <w:rFonts w:ascii="Arial" w:cs="Arial" w:eastAsia="Arial" w:hAnsi="Arial"/>
                <w:sz w:val="17"/>
                <w:szCs w:val="17"/>
                <w:color w:val="0000EE"/>
              </w:rPr>
            </w:pPr>
            <w:hyperlink w:anchor="page13">
              <w:r>
                <w:rPr>
                  <w:rFonts w:ascii="Arial" w:cs="Arial" w:eastAsia="Arial" w:hAnsi="Arial"/>
                  <w:sz w:val="17"/>
                  <w:szCs w:val="17"/>
                  <w:color w:val="0000EE"/>
                </w:rPr>
                <w:t>Press Release dated March 18, 2020 of Penn National Gaming, Inc.</w:t>
              </w:r>
            </w:hyperlink>
          </w:p>
        </w:tc>
      </w:tr>
      <w:tr>
        <w:trPr>
          <w:trHeight w:val="20"/>
        </w:trPr>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60" w:type="dxa"/>
            <w:vAlign w:val="bottom"/>
            <w:shd w:val="clear" w:color="auto" w:fill="0000EE"/>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bl>
    <w:p>
      <w:pPr>
        <w:spacing w:after="0" w:line="12" w:lineRule="exact"/>
        <w:rPr>
          <w:sz w:val="20"/>
          <w:szCs w:val="20"/>
          <w:color w:val="auto"/>
        </w:rPr>
      </w:pPr>
    </w:p>
    <w:p>
      <w:pPr>
        <w:ind w:left="1361" w:hanging="1361"/>
        <w:spacing w:after="0"/>
        <w:tabs>
          <w:tab w:leader="none" w:pos="1361" w:val="left"/>
        </w:tabs>
        <w:numPr>
          <w:ilvl w:val="0"/>
          <w:numId w:val="2"/>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document).</w:t>
      </w:r>
    </w:p>
    <w:p>
      <w:pPr>
        <w:spacing w:after="0" w:line="197" w:lineRule="exact"/>
        <w:rPr>
          <w:rFonts w:ascii="Arial" w:cs="Arial" w:eastAsia="Arial" w:hAnsi="Arial"/>
          <w:sz w:val="17"/>
          <w:szCs w:val="17"/>
          <w:color w:val="auto"/>
        </w:rPr>
      </w:pPr>
    </w:p>
    <w:p>
      <w:pPr>
        <w:ind w:left="5101"/>
        <w:spacing w:after="0"/>
        <w:rPr>
          <w:rFonts w:ascii="Arial" w:cs="Arial" w:eastAsia="Arial" w:hAnsi="Arial"/>
          <w:sz w:val="17"/>
          <w:szCs w:val="17"/>
          <w:color w:val="auto"/>
        </w:rPr>
      </w:pPr>
      <w:r>
        <w:rPr>
          <w:rFonts w:ascii="Arial" w:cs="Arial" w:eastAsia="Arial" w:hAnsi="Arial"/>
          <w:sz w:val="17"/>
          <w:szCs w:val="17"/>
          <w:b w:val="1"/>
          <w:bCs w:val="1"/>
          <w:color w:val="auto"/>
        </w:rPr>
        <w:t>SIGNATURES</w:t>
      </w:r>
    </w:p>
    <w:p>
      <w:pPr>
        <w:spacing w:after="0" w:line="206" w:lineRule="exact"/>
        <w:rPr>
          <w:sz w:val="20"/>
          <w:szCs w:val="20"/>
          <w:color w:val="auto"/>
        </w:rPr>
      </w:pPr>
    </w:p>
    <w:p>
      <w:pPr>
        <w:ind w:left="1" w:right="540" w:firstLine="405"/>
        <w:spacing w:after="0" w:line="261"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401"/>
        <w:spacing w:after="0"/>
        <w:rPr>
          <w:sz w:val="20"/>
          <w:szCs w:val="20"/>
          <w:color w:val="auto"/>
        </w:rPr>
      </w:pPr>
      <w:r>
        <w:rPr>
          <w:rFonts w:ascii="Arial" w:cs="Arial" w:eastAsia="Arial" w:hAnsi="Arial"/>
          <w:sz w:val="17"/>
          <w:szCs w:val="17"/>
          <w:color w:val="auto"/>
        </w:rPr>
        <w:t>Dated: March 20, 2020</w:t>
      </w:r>
    </w:p>
    <w:p>
      <w:pPr>
        <w:spacing w:after="0" w:line="198" w:lineRule="exact"/>
        <w:rPr>
          <w:sz w:val="20"/>
          <w:szCs w:val="20"/>
          <w:color w:val="auto"/>
        </w:rPr>
      </w:pPr>
    </w:p>
    <w:p>
      <w:pPr>
        <w:ind w:left="5741"/>
        <w:spacing w:after="0"/>
        <w:rPr>
          <w:sz w:val="20"/>
          <w:szCs w:val="20"/>
          <w:color w:val="auto"/>
        </w:rPr>
      </w:pPr>
      <w:r>
        <w:rPr>
          <w:rFonts w:ascii="Arial" w:cs="Arial" w:eastAsia="Arial" w:hAnsi="Arial"/>
          <w:sz w:val="17"/>
          <w:szCs w:val="17"/>
          <w:b w:val="1"/>
          <w:bCs w:val="1"/>
          <w:color w:val="auto"/>
        </w:rPr>
        <w:t>PENN NATIONAL GAMING, INC.</w:t>
      </w:r>
    </w:p>
    <w:p>
      <w:pPr>
        <w:spacing w:after="0" w:line="206" w:lineRule="exact"/>
        <w:rPr>
          <w:sz w:val="20"/>
          <w:szCs w:val="20"/>
          <w:color w:val="auto"/>
        </w:rPr>
      </w:pPr>
    </w:p>
    <w:p>
      <w:pPr>
        <w:ind w:left="5741"/>
        <w:spacing w:after="0"/>
        <w:rPr>
          <w:sz w:val="20"/>
          <w:szCs w:val="20"/>
          <w:color w:val="auto"/>
        </w:rPr>
      </w:pPr>
      <w:r>
        <w:rPr>
          <w:rFonts w:ascii="Arial" w:cs="Arial" w:eastAsia="Arial" w:hAnsi="Arial"/>
          <w:sz w:val="17"/>
          <w:szCs w:val="17"/>
          <w:color w:val="auto"/>
        </w:rPr>
        <w:t>By: /s/ Carl Sottosanti</w:t>
      </w:r>
    </w:p>
    <w:p>
      <w:pPr>
        <w:spacing w:after="0" w:line="28" w:lineRule="exact"/>
        <w:rPr>
          <w:sz w:val="20"/>
          <w:szCs w:val="20"/>
          <w:color w:val="auto"/>
        </w:rPr>
      </w:pPr>
    </w:p>
    <w:p>
      <w:pPr>
        <w:ind w:left="6081"/>
        <w:spacing w:after="0"/>
        <w:rPr>
          <w:sz w:val="20"/>
          <w:szCs w:val="20"/>
          <w:color w:val="auto"/>
        </w:rPr>
      </w:pPr>
      <w:r>
        <w:rPr>
          <w:rFonts w:ascii="Arial" w:cs="Arial" w:eastAsia="Arial" w:hAnsi="Arial"/>
          <w:sz w:val="17"/>
          <w:szCs w:val="17"/>
          <w:color w:val="auto"/>
        </w:rPr>
        <w:t>Carl Sottosanti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3863340</wp:posOffset>
            </wp:positionH>
            <wp:positionV relativeFrom="paragraph">
              <wp:posOffset>-123190</wp:posOffset>
            </wp:positionV>
            <wp:extent cx="327977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9775" cy="7620"/>
                    </a:xfrm>
                    <a:prstGeom prst="rect">
                      <a:avLst/>
                    </a:prstGeom>
                    <a:noFill/>
                  </pic:spPr>
                </pic:pic>
              </a:graphicData>
            </a:graphic>
          </wp:anchor>
        </w:drawing>
      </w:r>
    </w:p>
    <w:p>
      <w:pPr>
        <w:ind w:left="6081"/>
        <w:spacing w:after="0"/>
        <w:rPr>
          <w:sz w:val="20"/>
          <w:szCs w:val="20"/>
          <w:color w:val="auto"/>
        </w:rPr>
      </w:pPr>
      <w:r>
        <w:rPr>
          <w:rFonts w:ascii="Arial" w:cs="Arial" w:eastAsia="Arial" w:hAnsi="Arial"/>
          <w:sz w:val="17"/>
          <w:szCs w:val="17"/>
          <w:color w:val="auto"/>
        </w:rPr>
        <w:t>Executive Vice President, General Counsel and Secretary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311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1"/>
          </w:cols>
          <w:pgMar w:left="319" w:top="843" w:right="339" w:bottom="1440" w:gutter="0" w:footer="0" w:header="0"/>
        </w:sectPr>
      </w:pPr>
    </w:p>
    <w:bookmarkStart w:id="2" w:name="page3"/>
    <w:bookmarkEnd w:id="2"/>
    <w:p>
      <w:pPr>
        <w:ind w:left="910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152400</wp:posOffset>
            </wp:positionV>
            <wp:extent cx="7143115" cy="90830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3115" cy="9083040"/>
                    </a:xfrm>
                    <a:prstGeom prst="rect">
                      <a:avLst/>
                    </a:prstGeom>
                    <a:noFill/>
                  </pic:spPr>
                </pic:pic>
              </a:graphicData>
            </a:graphic>
          </wp:anchor>
        </w:drawing>
      </w:r>
    </w:p>
    <w:p>
      <w:pPr>
        <w:sectPr>
          <w:pgSz w:w="11900" w:h="16838" w:orient="portrait"/>
          <w:cols w:equalWidth="0" w:num="1">
            <w:col w:w="10120"/>
          </w:cols>
          <w:pgMar w:left="1440" w:top="338" w:right="339" w:bottom="1440" w:gutter="0" w:footer="0" w:header="0"/>
        </w:sectPr>
      </w:pPr>
    </w:p>
    <w:bookmarkStart w:id="3" w:name="page4"/>
    <w:bookmarkEnd w:id="3"/>
    <w:p>
      <w:pPr>
        <w:ind w:left="9100"/>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152400</wp:posOffset>
            </wp:positionV>
            <wp:extent cx="7143115" cy="9067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3115" cy="9067165"/>
                    </a:xfrm>
                    <a:prstGeom prst="rect">
                      <a:avLst/>
                    </a:prstGeom>
                    <a:noFill/>
                  </pic:spPr>
                </pic:pic>
              </a:graphicData>
            </a:graphic>
          </wp:anchor>
        </w:drawing>
      </w:r>
    </w:p>
    <w:p>
      <w:pPr>
        <w:sectPr>
          <w:pgSz w:w="11900" w:h="16838" w:orient="portrait"/>
          <w:cols w:equalWidth="0" w:num="1">
            <w:col w:w="10120"/>
          </w:cols>
          <w:pgMar w:left="1440" w:top="338" w:right="339" w:bottom="1440" w:gutter="0" w:footer="0" w:header="0"/>
        </w:sectPr>
      </w:pPr>
    </w:p>
    <w:bookmarkStart w:id="4" w:name="page5"/>
    <w:bookmarkEnd w:id="4"/>
    <w:p>
      <w:pPr>
        <w:ind w:left="9100"/>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152400</wp:posOffset>
            </wp:positionV>
            <wp:extent cx="7143115" cy="90830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3115" cy="9083040"/>
                    </a:xfrm>
                    <a:prstGeom prst="rect">
                      <a:avLst/>
                    </a:prstGeom>
                    <a:noFill/>
                  </pic:spPr>
                </pic:pic>
              </a:graphicData>
            </a:graphic>
          </wp:anchor>
        </w:drawing>
      </w:r>
    </w:p>
    <w:p>
      <w:pPr>
        <w:sectPr>
          <w:pgSz w:w="11900" w:h="16838" w:orient="portrait"/>
          <w:cols w:equalWidth="0" w:num="1">
            <w:col w:w="10120"/>
          </w:cols>
          <w:pgMar w:left="1440" w:top="338" w:right="339" w:bottom="1440" w:gutter="0" w:footer="0" w:header="0"/>
        </w:sectPr>
      </w:pPr>
    </w:p>
    <w:bookmarkStart w:id="5" w:name="page6"/>
    <w:bookmarkEnd w:id="5"/>
    <w:p>
      <w:pPr>
        <w:ind w:left="9100"/>
        <w:spacing w:after="0"/>
        <w:rPr>
          <w:sz w:val="20"/>
          <w:szCs w:val="20"/>
          <w:color w:val="auto"/>
        </w:rPr>
      </w:pPr>
      <w:r>
        <w:rPr>
          <w:rFonts w:ascii="Arial" w:cs="Arial" w:eastAsia="Arial" w:hAnsi="Arial"/>
          <w:sz w:val="18"/>
          <w:szCs w:val="18"/>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152400</wp:posOffset>
            </wp:positionV>
            <wp:extent cx="7143115" cy="90671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3115" cy="9067165"/>
                    </a:xfrm>
                    <a:prstGeom prst="rect">
                      <a:avLst/>
                    </a:prstGeom>
                    <a:noFill/>
                  </pic:spPr>
                </pic:pic>
              </a:graphicData>
            </a:graphic>
          </wp:anchor>
        </w:drawing>
      </w:r>
    </w:p>
    <w:p>
      <w:pPr>
        <w:sectPr>
          <w:pgSz w:w="11900" w:h="16838" w:orient="portrait"/>
          <w:cols w:equalWidth="0" w:num="1">
            <w:col w:w="10120"/>
          </w:cols>
          <w:pgMar w:left="1440" w:top="338" w:right="339" w:bottom="1440" w:gutter="0" w:footer="0" w:header="0"/>
        </w:sectPr>
      </w:pPr>
    </w:p>
    <w:bookmarkStart w:id="6" w:name="page7"/>
    <w:bookmarkEnd w:id="6"/>
    <w:p>
      <w:pPr>
        <w:ind w:left="9100"/>
        <w:spacing w:after="0"/>
        <w:rPr>
          <w:sz w:val="20"/>
          <w:szCs w:val="20"/>
          <w:color w:val="auto"/>
        </w:rPr>
      </w:pPr>
      <w:r>
        <w:rPr>
          <w:rFonts w:ascii="Arial" w:cs="Arial" w:eastAsia="Arial" w:hAnsi="Arial"/>
          <w:sz w:val="18"/>
          <w:szCs w:val="18"/>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152400</wp:posOffset>
            </wp:positionV>
            <wp:extent cx="7143115" cy="9208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3115" cy="9208770"/>
                    </a:xfrm>
                    <a:prstGeom prst="rect">
                      <a:avLst/>
                    </a:prstGeom>
                    <a:noFill/>
                  </pic:spPr>
                </pic:pic>
              </a:graphicData>
            </a:graphic>
          </wp:anchor>
        </w:drawing>
      </w:r>
    </w:p>
    <w:p>
      <w:pPr>
        <w:sectPr>
          <w:pgSz w:w="11900" w:h="16838" w:orient="portrait"/>
          <w:cols w:equalWidth="0" w:num="1">
            <w:col w:w="10120"/>
          </w:cols>
          <w:pgMar w:left="1440" w:top="338" w:right="339" w:bottom="1440" w:gutter="0" w:footer="0" w:header="0"/>
        </w:sectPr>
      </w:pPr>
    </w:p>
    <w:bookmarkStart w:id="7" w:name="page8"/>
    <w:bookmarkEnd w:id="7"/>
    <w:p>
      <w:pPr>
        <w:ind w:left="9100"/>
        <w:spacing w:after="0"/>
        <w:rPr>
          <w:sz w:val="20"/>
          <w:szCs w:val="20"/>
          <w:color w:val="auto"/>
        </w:rPr>
      </w:pPr>
      <w:r>
        <w:rPr>
          <w:rFonts w:ascii="Arial" w:cs="Arial" w:eastAsia="Arial" w:hAnsi="Arial"/>
          <w:sz w:val="18"/>
          <w:szCs w:val="18"/>
          <w:b w:val="1"/>
          <w:bCs w:val="1"/>
          <w:color w:val="auto"/>
        </w:rPr>
        <w:t>Exhibit 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168275</wp:posOffset>
            </wp:positionV>
            <wp:extent cx="7143115" cy="9067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3115" cy="9067165"/>
                    </a:xfrm>
                    <a:prstGeom prst="rect">
                      <a:avLst/>
                    </a:prstGeom>
                    <a:noFill/>
                  </pic:spPr>
                </pic:pic>
              </a:graphicData>
            </a:graphic>
          </wp:anchor>
        </w:drawing>
      </w:r>
    </w:p>
    <w:p>
      <w:pPr>
        <w:sectPr>
          <w:pgSz w:w="11900" w:h="16838" w:orient="portrait"/>
          <w:cols w:equalWidth="0" w:num="1">
            <w:col w:w="10120"/>
          </w:cols>
          <w:pgMar w:left="1440" w:top="338" w:right="339" w:bottom="1440" w:gutter="0" w:footer="0" w:header="0"/>
        </w:sectPr>
      </w:pPr>
    </w:p>
    <w:bookmarkStart w:id="8" w:name="page9"/>
    <w:bookmarkEnd w:id="8"/>
    <w:p>
      <w:pPr>
        <w:ind w:left="9100"/>
        <w:spacing w:after="0"/>
        <w:rPr>
          <w:sz w:val="20"/>
          <w:szCs w:val="20"/>
          <w:color w:val="auto"/>
        </w:rPr>
      </w:pPr>
      <w:r>
        <w:rPr>
          <w:rFonts w:ascii="Arial" w:cs="Arial" w:eastAsia="Arial" w:hAnsi="Arial"/>
          <w:sz w:val="18"/>
          <w:szCs w:val="18"/>
          <w:b w:val="1"/>
          <w:bCs w:val="1"/>
          <w:color w:val="auto"/>
        </w:rPr>
        <w:t>Exhibit 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168275</wp:posOffset>
            </wp:positionV>
            <wp:extent cx="7143115" cy="9067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3115" cy="9067165"/>
                    </a:xfrm>
                    <a:prstGeom prst="rect">
                      <a:avLst/>
                    </a:prstGeom>
                    <a:noFill/>
                  </pic:spPr>
                </pic:pic>
              </a:graphicData>
            </a:graphic>
          </wp:anchor>
        </w:drawing>
      </w:r>
    </w:p>
    <w:p>
      <w:pPr>
        <w:sectPr>
          <w:pgSz w:w="11900" w:h="16838" w:orient="portrait"/>
          <w:cols w:equalWidth="0" w:num="1">
            <w:col w:w="10120"/>
          </w:cols>
          <w:pgMar w:left="1440" w:top="338" w:right="339" w:bottom="1440" w:gutter="0" w:footer="0" w:header="0"/>
        </w:sectPr>
      </w:pPr>
    </w:p>
    <w:bookmarkStart w:id="9" w:name="page10"/>
    <w:bookmarkEnd w:id="9"/>
    <w:p>
      <w:pPr>
        <w:ind w:left="9100"/>
        <w:spacing w:after="0"/>
        <w:rPr>
          <w:sz w:val="20"/>
          <w:szCs w:val="20"/>
          <w:color w:val="auto"/>
        </w:rPr>
      </w:pPr>
      <w:r>
        <w:rPr>
          <w:rFonts w:ascii="Arial" w:cs="Arial" w:eastAsia="Arial" w:hAnsi="Arial"/>
          <w:sz w:val="18"/>
          <w:szCs w:val="18"/>
          <w:b w:val="1"/>
          <w:bCs w:val="1"/>
          <w:color w:val="auto"/>
        </w:rPr>
        <w:t>Exhibit 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168275</wp:posOffset>
            </wp:positionV>
            <wp:extent cx="7143115" cy="9067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3115" cy="9067165"/>
                    </a:xfrm>
                    <a:prstGeom prst="rect">
                      <a:avLst/>
                    </a:prstGeom>
                    <a:noFill/>
                  </pic:spPr>
                </pic:pic>
              </a:graphicData>
            </a:graphic>
          </wp:anchor>
        </w:drawing>
      </w:r>
    </w:p>
    <w:p>
      <w:pPr>
        <w:sectPr>
          <w:pgSz w:w="11900" w:h="16838" w:orient="portrait"/>
          <w:cols w:equalWidth="0" w:num="1">
            <w:col w:w="10120"/>
          </w:cols>
          <w:pgMar w:left="1440" w:top="338" w:right="339" w:bottom="1440" w:gutter="0" w:footer="0" w:header="0"/>
        </w:sectPr>
      </w:pPr>
    </w:p>
    <w:bookmarkStart w:id="10" w:name="page11"/>
    <w:bookmarkEnd w:id="10"/>
    <w:p>
      <w:pPr>
        <w:ind w:left="9100"/>
        <w:spacing w:after="0"/>
        <w:rPr>
          <w:sz w:val="20"/>
          <w:szCs w:val="20"/>
          <w:color w:val="auto"/>
        </w:rPr>
      </w:pPr>
      <w:r>
        <w:rPr>
          <w:rFonts w:ascii="Arial" w:cs="Arial" w:eastAsia="Arial" w:hAnsi="Arial"/>
          <w:sz w:val="18"/>
          <w:szCs w:val="18"/>
          <w:b w:val="1"/>
          <w:bCs w:val="1"/>
          <w:color w:val="auto"/>
        </w:rPr>
        <w:t>Exhibit 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152400</wp:posOffset>
            </wp:positionV>
            <wp:extent cx="7143115" cy="90671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3115" cy="9067165"/>
                    </a:xfrm>
                    <a:prstGeom prst="rect">
                      <a:avLst/>
                    </a:prstGeom>
                    <a:noFill/>
                  </pic:spPr>
                </pic:pic>
              </a:graphicData>
            </a:graphic>
          </wp:anchor>
        </w:drawing>
      </w:r>
    </w:p>
    <w:p>
      <w:pPr>
        <w:sectPr>
          <w:pgSz w:w="11900" w:h="16838" w:orient="portrait"/>
          <w:cols w:equalWidth="0" w:num="1">
            <w:col w:w="10120"/>
          </w:cols>
          <w:pgMar w:left="1440" w:top="338" w:right="339" w:bottom="1440" w:gutter="0" w:footer="0" w:header="0"/>
        </w:sectPr>
      </w:pPr>
    </w:p>
    <w:bookmarkStart w:id="11" w:name="page12"/>
    <w:bookmarkEnd w:id="11"/>
    <w:p>
      <w:pPr>
        <w:ind w:left="9200"/>
        <w:spacing w:after="0"/>
        <w:rPr>
          <w:sz w:val="20"/>
          <w:szCs w:val="20"/>
          <w:color w:val="auto"/>
        </w:rPr>
      </w:pPr>
      <w:r>
        <w:rPr>
          <w:rFonts w:ascii="Arial" w:cs="Arial" w:eastAsia="Arial" w:hAnsi="Arial"/>
          <w:sz w:val="14"/>
          <w:szCs w:val="14"/>
          <w:b w:val="1"/>
          <w:bCs w:val="1"/>
          <w:color w:val="auto"/>
        </w:rPr>
        <w:t>Exhibit 99.10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160655</wp:posOffset>
            </wp:positionV>
            <wp:extent cx="7143115" cy="9208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3115" cy="9208770"/>
                    </a:xfrm>
                    <a:prstGeom prst="rect">
                      <a:avLst/>
                    </a:prstGeom>
                    <a:noFill/>
                  </pic:spPr>
                </pic:pic>
              </a:graphicData>
            </a:graphic>
          </wp:anchor>
        </w:drawing>
      </w:r>
    </w:p>
    <w:p>
      <w:pPr>
        <w:sectPr>
          <w:pgSz w:w="11900" w:h="16838" w:orient="portrait"/>
          <w:cols w:equalWidth="0" w:num="1">
            <w:col w:w="10120"/>
          </w:cols>
          <w:pgMar w:left="1440" w:top="322" w:right="339" w:bottom="1440" w:gutter="0" w:footer="0" w:header="0"/>
        </w:sectPr>
      </w:pPr>
    </w:p>
    <w:bookmarkStart w:id="12" w:name="page13"/>
    <w:bookmarkEnd w:id="12"/>
    <w:p>
      <w:pPr>
        <w:ind w:left="9200"/>
        <w:spacing w:after="0"/>
        <w:rPr>
          <w:sz w:val="20"/>
          <w:szCs w:val="20"/>
          <w:color w:val="auto"/>
        </w:rPr>
      </w:pPr>
      <w:r>
        <w:rPr>
          <w:rFonts w:ascii="Arial" w:cs="Arial" w:eastAsia="Arial" w:hAnsi="Arial"/>
          <w:sz w:val="14"/>
          <w:szCs w:val="14"/>
          <w:b w:val="1"/>
          <w:bCs w:val="1"/>
          <w:color w:val="auto"/>
        </w:rPr>
        <w:t>Exhibit 99.11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160655</wp:posOffset>
            </wp:positionV>
            <wp:extent cx="7143115" cy="90671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3115" cy="9067165"/>
                    </a:xfrm>
                    <a:prstGeom prst="rect">
                      <a:avLst/>
                    </a:prstGeom>
                    <a:noFill/>
                  </pic:spPr>
                </pic:pic>
              </a:graphicData>
            </a:graphic>
          </wp:anchor>
        </w:drawing>
      </w:r>
    </w:p>
    <w:sectPr>
      <w:pgSz w:w="11900" w:h="16838" w:orient="portrait"/>
      <w:cols w:equalWidth="0" w:num="1">
        <w:col w:w="10120"/>
      </w:cols>
      <w:pgMar w:left="144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2020-03-20T16:24:38Z</dcterms:created>
  <dcterms:modified xsi:type="dcterms:W3CDTF">2020-03-20T16:24:38Z</dcterms:modified>
</cp:coreProperties>
</file>