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Ruisanchez Carlos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825 BERKSHIRE BLVD., SUITE 200</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WYOMISSING</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19610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06/17/2025</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PENN Entertainment, Inc.</w:t>
              </w:r>
            </w:hyperlink>
            <w:r>
              <w:rPr/>
              <w:t xml:space="preserve"> [ </w:t>
            </w:r>
            <w:r>
              <w:rPr>
                <w:rFonts w:ascii="Times;serif" w:hAnsi="Times;serif"/>
                <w:color w:val="0000FF"/>
                <w:sz w:val="24"/>
                <w:shd w:fill="FFFFFF" w:val="clear"/>
              </w:rPr>
              <w:t>PENN</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Sidsworth, Attorney-in-Fact for Carlos Ruisanchez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06/24/2025</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left"/>
        <w:rPr/>
      </w:pPr>
      <w:r>
        <w:rPr/>
      </w:r>
      <w:bookmarkStart w:id="2" w:name="penn-ex24.htm"/>
      <w:bookmarkStart w:id="3" w:name="kspennex24"/>
      <w:bookmarkStart w:id="4" w:name="penn-ex24.htm"/>
      <w:bookmarkStart w:id="5" w:name="kspennex24"/>
      <w:bookmarkEnd w:id="4"/>
      <w:bookmarkEnd w:id="5"/>
      <w:r>
        <w:br w:type="page"/>
      </w:r>
    </w:p>
    <w:p>
      <w:pPr>
        <w:pStyle w:val="TextBody"/>
        <w:bidi w:val="0"/>
        <w:spacing w:before="0" w:after="0"/>
        <w:jc w:val="left"/>
        <w:rPr/>
      </w:pPr>
      <w:r>
        <w:rPr/>
      </w:r>
    </w:p>
    <w:p>
      <w:pPr>
        <w:pStyle w:val="TextBody"/>
        <w:bidi w:val="0"/>
        <w:spacing w:before="79" w:after="283"/>
        <w:jc w:val="center"/>
        <w:rPr>
          <w:rFonts w:ascii="Times New Roman" w:hAnsi="Times New Roman"/>
          <w:color w:val="000000"/>
          <w:sz w:val="24"/>
        </w:rPr>
      </w:pPr>
      <w:r>
        <w:rPr>
          <w:rFonts w:ascii="Times New Roman" w:hAnsi="Times New Roman"/>
          <w:color w:val="000000"/>
          <w:sz w:val="24"/>
        </w:rPr>
        <w:t xml:space="preserve">POWER OF ATTORNEY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2"/>
        </w:rPr>
      </w:pPr>
      <w:r>
        <w:rPr>
          <w:rFonts w:ascii="Times New Roman" w:hAnsi="Times New Roman"/>
          <w:color w:val="000000"/>
          <w:sz w:val="22"/>
        </w:rPr>
        <w:t xml:space="preserve">Know all by these presents, that the undersigned hereby constitutes and appoints each of Felicia Hendrix, Christopher Rogers and Joshua Sidsworth, signing singly, the undersigned's true and lawful attorney-in-fact to: </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 w:hAnsi="Times New Roman"/>
          <w:color w:val="000000"/>
          <w:sz w:val="24"/>
        </w:rPr>
        <w:t>(1)</w:t>
      </w:r>
      <w:r>
        <w:rPr>
          <w:rFonts w:ascii="Times New Roman;Times;serif" w:hAnsi="Times New Roman;Times;serif"/>
          <w:color w:val="000000"/>
          <w:sz w:val="20"/>
        </w:rPr>
        <w:t>          </w:t>
      </w:r>
      <w:r>
        <w:rPr>
          <w:rFonts w:ascii="Times New Roman" w:hAnsi="Times New Roman"/>
          <w:color w:val="000000"/>
          <w:sz w:val="24"/>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the Securities Exchange Act of 1934 (including, but not limited to, Section 16(a) and the rules thereunder), the Securities Act of 1933 (including, but not limited to, Rule 144 thereunder) or any rule or regulation of the SEC;</w:t>
      </w:r>
      <w:r>
        <w:rPr>
          <w:rFonts w:ascii="Times New Roman;Times;serif" w:hAnsi="Times New Roman;Times;serif"/>
          <w:color w:val="000000"/>
          <w:sz w:val="20"/>
        </w:rPr>
        <w:t xml:space="preserve"> </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 w:hAnsi="Times New Roman"/>
          <w:color w:val="000000"/>
          <w:sz w:val="24"/>
        </w:rPr>
        <w:t>(2)</w:t>
      </w:r>
      <w:r>
        <w:rPr>
          <w:rFonts w:ascii="Times New Roman;Times;serif" w:hAnsi="Times New Roman;Times;serif"/>
          <w:color w:val="000000"/>
          <w:sz w:val="20"/>
        </w:rPr>
        <w:t>          </w:t>
      </w:r>
      <w:r>
        <w:rPr>
          <w:rFonts w:ascii="Times New Roman" w:hAnsi="Times New Roman"/>
          <w:color w:val="000000"/>
          <w:sz w:val="24"/>
        </w:rPr>
        <w:t xml:space="preserve">act as an account administrator for the undersigned’s </w:t>
      </w:r>
      <w:r>
        <w:rPr>
          <w:rFonts w:ascii="Times New Roman" w:hAnsi="Times New Roman"/>
          <w:color w:val="000000"/>
          <w:sz w:val="22"/>
        </w:rPr>
        <w:t>Electronic Data Gathering and Retrieval system (“</w:t>
      </w:r>
      <w:r>
        <w:rPr>
          <w:rFonts w:ascii="Times New Roman" w:hAnsi="Times New Roman"/>
          <w:color w:val="000000"/>
          <w:sz w:val="24"/>
        </w:rPr>
        <w:t>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r>
        <w:rPr>
          <w:rFonts w:ascii="Times New Roman;Times;serif" w:hAnsi="Times New Roman;Times;serif"/>
          <w:color w:val="000000"/>
          <w:sz w:val="20"/>
        </w:rPr>
        <w:t xml:space="preserve"> </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 w:hAnsi="Times New Roman"/>
          <w:color w:val="000000"/>
          <w:sz w:val="24"/>
        </w:rPr>
        <w:t>(3)</w:t>
      </w:r>
      <w:r>
        <w:rPr>
          <w:rFonts w:ascii="Times New Roman;Times;serif" w:hAnsi="Times New Roman;Times;serif"/>
          <w:color w:val="000000"/>
          <w:sz w:val="20"/>
        </w:rPr>
        <w:t>          </w:t>
      </w:r>
      <w:r>
        <w:rPr>
          <w:rFonts w:ascii="Times New Roman" w:hAnsi="Times New Roman"/>
          <w:color w:val="000000"/>
          <w:sz w:val="24"/>
        </w:rPr>
        <w:t>execute for and on behalf of the undersigned, in the undersigned's capacity as an officer and/or director of PENN Entertainment, Inc., a Pennsylvania corporation (the "Company"), Forms 3, 4, and 5 in accordance with Section 16(a) of the Securities Exchange Act of 1934 and the rules thereunder, Form 144 in accordance with Rule 144 of the Securities Act of 1933 and any other forms or reports (including amendments thereto) the undersigned may be required to file in connection with the undersigned's ownership, acquisition, or disposition of securities of the Company;</w:t>
      </w:r>
      <w:r>
        <w:rPr>
          <w:rFonts w:ascii="Times New Roman;Times;serif" w:hAnsi="Times New Roman;Times;serif"/>
          <w:color w:val="000000"/>
          <w:sz w:val="20"/>
        </w:rPr>
        <w:t xml:space="preserve"> </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 w:hAnsi="Times New Roman"/>
          <w:color w:val="000000"/>
          <w:sz w:val="24"/>
        </w:rPr>
        <w:t>(4)</w:t>
      </w:r>
      <w:r>
        <w:rPr>
          <w:rFonts w:ascii="Times New Roman;Times;serif" w:hAnsi="Times New Roman;Times;serif"/>
          <w:color w:val="000000"/>
          <w:sz w:val="20"/>
        </w:rPr>
        <w:t>          </w:t>
      </w:r>
      <w:r>
        <w:rPr>
          <w:rFonts w:ascii="Times New Roman" w:hAnsi="Times New Roman"/>
          <w:color w:val="000000"/>
          <w:sz w:val="24"/>
        </w:rPr>
        <w:t>do and perform any and all acts for and on behalf of the undersigned which may be necessary or desirable to complete and execute any such Form 3, 4, or 5, Form 144 or other form or report (including amendments thereto), and timely file such form, schedule or report with the SEC and any stock exchange or similar authority; and</w:t>
      </w:r>
      <w:r>
        <w:rPr>
          <w:rFonts w:ascii="Times New Roman;Times;serif" w:hAnsi="Times New Roman;Times;serif"/>
          <w:color w:val="000000"/>
          <w:sz w:val="20"/>
        </w:rPr>
        <w:t xml:space="preserve"> </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 w:hAnsi="Times New Roman"/>
          <w:color w:val="000000"/>
          <w:sz w:val="24"/>
        </w:rPr>
        <w:t>(5)</w:t>
      </w:r>
      <w:r>
        <w:rPr>
          <w:rFonts w:ascii="Times New Roman;Times;serif" w:hAnsi="Times New Roman;Times;serif"/>
          <w:color w:val="000000"/>
          <w:sz w:val="20"/>
        </w:rPr>
        <w:t>          </w:t>
      </w:r>
      <w:r>
        <w:rPr>
          <w:rFonts w:ascii="Times New Roman" w:hAnsi="Times New Roman"/>
          <w:color w:val="000000"/>
          <w:sz w:val="24"/>
        </w:rPr>
        <w:t>take any other action of any type whatsoever in connection with the foregoing which, in the opinion of such attorney-in-fact, may be of benefit to, 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attorney-in-fact may approve in such attorney-in- fact's discretion.</w:t>
      </w:r>
      <w:r>
        <w:rPr>
          <w:rFonts w:ascii="Times New Roman;Times;serif" w:hAnsi="Times New Roman;Times;serif"/>
          <w:color w:val="000000"/>
          <w:sz w:val="20"/>
        </w:rPr>
        <w:t xml:space="preserve"> </w:t>
      </w:r>
    </w:p>
    <w:p>
      <w:pPr>
        <w:pStyle w:val="TextBody"/>
        <w:bidi w:val="0"/>
        <w:spacing w:before="0" w:after="0"/>
        <w:jc w:val="left"/>
        <w:rPr/>
      </w:pPr>
      <w:r>
        <w:rPr/>
      </w:r>
    </w:p>
    <w:p>
      <w:pPr>
        <w:pStyle w:val="TextBody"/>
        <w:bidi w:val="0"/>
        <w:spacing w:before="1" w:after="283"/>
        <w:ind w:left="0" w:right="0" w:firstLine="720"/>
        <w:jc w:val="both"/>
        <w:rPr>
          <w:rFonts w:ascii="Times New Roman" w:hAnsi="Times New Roman"/>
          <w:color w:val="000000"/>
          <w:sz w:val="24"/>
        </w:rPr>
      </w:pPr>
      <w:r>
        <w:rPr>
          <w:rFonts w:ascii="Times New Roman" w:hAnsi="Times New Roman"/>
          <w:color w:val="000000"/>
          <w:sz w:val="24"/>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and rules thereunder, Rule 144 of the Securities Act of 1933. </w:t>
      </w:r>
    </w:p>
    <w:p>
      <w:pPr>
        <w:pStyle w:val="HorizontalLine"/>
        <w:pBdr>
          <w:bottom w:val="single" w:sz="12" w:space="0" w:color="808080"/>
        </w:pBdr>
        <w:bidi w:val="0"/>
        <w:spacing w:before="200" w:after="200"/>
        <w:jc w:val="left"/>
        <w:rPr/>
      </w:pPr>
      <w:r>
        <w:rPr/>
      </w:r>
    </w:p>
    <w:p>
      <w:pPr>
        <w:pStyle w:val="TextBody"/>
        <w:bidi w:val="0"/>
        <w:spacing w:before="1" w:after="283"/>
        <w:jc w:val="left"/>
        <w:rPr/>
      </w:pPr>
      <w:r>
        <w:rPr/>
      </w:r>
    </w:p>
    <w:p>
      <w:pPr>
        <w:pStyle w:val="TextBody"/>
        <w:bidi w:val="0"/>
        <w:spacing w:before="1" w:after="283"/>
        <w:jc w:val="left"/>
        <w:rPr/>
      </w:pPr>
      <w:r>
        <w:rPr/>
      </w:r>
    </w:p>
    <w:p>
      <w:pPr>
        <w:pStyle w:val="TextBody"/>
        <w:bidi w:val="0"/>
        <w:spacing w:before="79" w:after="283"/>
        <w:ind w:left="0" w:right="0" w:firstLine="720"/>
        <w:jc w:val="both"/>
        <w:rPr>
          <w:rFonts w:ascii="Times New Roman" w:hAnsi="Times New Roman"/>
          <w:color w:val="000000"/>
          <w:sz w:val="24"/>
        </w:rPr>
      </w:pPr>
      <w:r>
        <w:rPr>
          <w:rFonts w:ascii="Times New Roman" w:hAnsi="Times New Roman"/>
          <w:color w:val="000000"/>
          <w:sz w:val="24"/>
        </w:rPr>
        <w:t xml:space="preserve">This Power of Attorney shall remain in full force and effect until the undersigned is no longer required to file Forms 3, 4, and 5, and Form 144 (including amendments thereto) with respect to the undersigned's holdings of and transactions in securities issued by the Company, unless earlier revoked by the undersigned in a signed writing delivered to the foregoing attorneys- in-fact. This Power of Attorney revokes all previous powers of attorney with respect to the subject matter of this Power of Attorney.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4"/>
        </w:rPr>
        <w:t xml:space="preserve">IN WITNESS WHEREOF, the undersigned has caused this Power of Attorney to be executed as of June 23, 2025. </w:t>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6989db04e5d54376a02d07cd14668dba"/>
      <w:bookmarkStart w:id="7" w:name="z6989db04e5d54376a02d07cd14668dba"/>
      <w:bookmarkEnd w:id="7"/>
    </w:p>
    <w:tbl>
      <w:tblPr>
        <w:tblW w:w="2210" w:type="dxa"/>
        <w:jc w:val="left"/>
        <w:tblInd w:w="0" w:type="dxa"/>
        <w:tblLayout w:type="fixed"/>
        <w:tblCellMar>
          <w:top w:w="0" w:type="dxa"/>
          <w:left w:w="0" w:type="dxa"/>
          <w:bottom w:w="0" w:type="dxa"/>
          <w:right w:w="0" w:type="dxa"/>
        </w:tblCellMar>
      </w:tblPr>
      <w:tblGrid>
        <w:gridCol w:w="75"/>
        <w:gridCol w:w="2135"/>
      </w:tblGrid>
      <w:tr>
        <w:trPr/>
        <w:tc>
          <w:tcPr>
            <w:tcW w:w="75"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u w:val="single"/>
              </w:rPr>
              <w:t>/s/ Carlos Ruisanchez</w:t>
            </w:r>
            <w:r>
              <w:rPr>
                <w:rFonts w:ascii="Times New Roman" w:hAnsi="Times New Roman"/>
                <w:sz w:val="24"/>
              </w:rPr>
              <w:t xml:space="preserve"> </w:t>
            </w:r>
          </w:p>
        </w:tc>
      </w:tr>
      <w:tr>
        <w:trPr/>
        <w:tc>
          <w:tcPr>
            <w:tcW w:w="75"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0"/>
              <w:jc w:val="left"/>
              <w:rPr>
                <w:rFonts w:ascii="Times New Roman" w:hAnsi="Times New Roman"/>
                <w:sz w:val="24"/>
              </w:rPr>
            </w:pPr>
            <w:r>
              <w:rPr>
                <w:rFonts w:ascii="Times New Roman" w:hAnsi="Times New Roman"/>
                <w:sz w:val="24"/>
              </w:rPr>
              <w:t xml:space="preserve">Carlos Ruisanchez </w:t>
            </w:r>
          </w:p>
        </w:tc>
      </w:tr>
    </w:tbl>
    <w:p>
      <w:pPr>
        <w:pStyle w:val="TextBody"/>
        <w:bidi w:val="0"/>
        <w:spacing w:before="13"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42051" TargetMode="External"/><Relationship Id="rId3" Type="http://schemas.openxmlformats.org/officeDocument/2006/relationships/hyperlink" Target="http://www.sec.gov/cgi-bin/browse-edgar?action=getcompany&amp;CIK=000092173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1095</Words>
  <Characters>5943</Characters>
  <CharactersWithSpaces>7040</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