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4e771b9a5bf400c8d8aabcb60865b4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number: 0-24206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PENN Entertainment,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9165" w:type="dxa"/>
        <w:jc w:val="center"/>
        <w:tblInd w:w="0" w:type="dxa"/>
        <w:tblLayout w:type="fixed"/>
        <w:tblCellMar>
          <w:top w:w="28" w:type="dxa"/>
          <w:left w:w="28" w:type="dxa"/>
          <w:bottom w:w="28" w:type="dxa"/>
          <w:right w:w="28" w:type="dxa"/>
        </w:tblCellMar>
      </w:tblPr>
      <w:tblGrid>
        <w:gridCol w:w="1564"/>
        <w:gridCol w:w="1374"/>
        <w:gridCol w:w="1382"/>
        <w:gridCol w:w="364"/>
        <w:gridCol w:w="364"/>
        <w:gridCol w:w="366"/>
        <w:gridCol w:w="375"/>
        <w:gridCol w:w="375"/>
        <w:gridCol w:w="376"/>
        <w:gridCol w:w="766"/>
        <w:gridCol w:w="766"/>
        <w:gridCol w:w="1093"/>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23-2234473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825 Berkshire Blvd., Suite 200</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Wyomissing,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19610</w:t>
            </w:r>
          </w:p>
        </w:tc>
      </w:tr>
      <w:tr>
        <w:trPr/>
        <w:tc>
          <w:tcPr>
            <w:tcW w:w="6540" w:type="dxa"/>
            <w:gridSpan w:val="9"/>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(610) 373-2400</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28" w:type="dxa"/>
        <w:jc w:val="center"/>
        <w:tblInd w:w="0" w:type="dxa"/>
        <w:tblLayout w:type="fixed"/>
        <w:tblCellMar>
          <w:top w:w="28" w:type="dxa"/>
          <w:left w:w="28" w:type="dxa"/>
          <w:bottom w:w="28" w:type="dxa"/>
          <w:right w:w="28" w:type="dxa"/>
        </w:tblCellMar>
      </w:tblPr>
      <w:tblGrid>
        <w:gridCol w:w="1119"/>
        <w:gridCol w:w="986"/>
        <w:gridCol w:w="1000"/>
        <w:gridCol w:w="484"/>
        <w:gridCol w:w="484"/>
        <w:gridCol w:w="486"/>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PENN</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April 22, 2026, the number of shares of the registrant’s common stock outstanding was 133,843,371 (including 98,920 shares of a subsidiary of registrant which are exchangeable into registrant’s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44"/>
        <w:gridCol w:w="2587"/>
        <w:gridCol w:w="2557"/>
        <w:gridCol w:w="616"/>
        <w:gridCol w:w="616"/>
        <w:gridCol w:w="626"/>
        <w:gridCol w:w="159"/>
      </w:tblGrid>
      <w:tr>
        <w:trPr/>
        <w:tc>
          <w:tcPr>
            <w:tcW w:w="3044"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4e771b9a5bf400c8d8aabcb60865b46_10">
              <w:r>
                <w:rPr>
                  <w:rStyle w:val="InternetLink"/>
                  <w:rFonts w:ascii="Times New Roman;serif" w:hAnsi="Times New Roman;serif"/>
                  <w:b/>
                  <w:color w:val="0000FF"/>
                  <w:sz w:val="20"/>
                  <w:u w:val="single"/>
                </w:rPr>
                <w:t>PART I. FINANCIAL INFORMATION</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3">
              <w:r>
                <w:rPr>
                  <w:rStyle w:val="InternetLink"/>
                  <w:rFonts w:ascii="Times New Roman;serif" w:hAnsi="Times New Roman;serif"/>
                  <w:b w:val="false"/>
                  <w:color w:val="0000FF"/>
                  <w:sz w:val="20"/>
                  <w:u w:val="single"/>
                </w:rPr>
                <w:t>Item 1. Financial Statements (Unaudited)</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3">
              <w:r>
                <w:rPr>
                  <w:rStyle w:val="InternetLink"/>
                  <w:rFonts w:ascii="Times New Roman;serif" w:hAnsi="Times New Roman;serif"/>
                  <w:b w:val="false"/>
                  <w:color w:val="0000FF"/>
                  <w:sz w:val="20"/>
                  <w:u w:val="single"/>
                </w:rPr>
                <w:t>1</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f4e771b9a5bf400c8d8aabcb60865b46_16">
              <w:r>
                <w:rPr>
                  <w:rStyle w:val="InternetLink"/>
                  <w:rFonts w:ascii="Times New Roman;serif" w:hAnsi="Times New Roman;serif"/>
                  <w:b w:val="false"/>
                  <w:color w:val="0000FF"/>
                  <w:sz w:val="20"/>
                  <w:u w:val="single"/>
                </w:rPr>
                <w:t>Consolidated Balance Sheets - March 31, 2026 and December 31, 2025</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6">
              <w:r>
                <w:rPr>
                  <w:rStyle w:val="InternetLink"/>
                  <w:rFonts w:ascii="Times New Roman;serif" w:hAnsi="Times New Roman;serif"/>
                  <w:b w:val="false"/>
                  <w:color w:val="0000FF"/>
                  <w:sz w:val="20"/>
                  <w:u w:val="single"/>
                </w:rPr>
                <w:t>2</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9">
              <w:r>
                <w:rPr>
                  <w:rStyle w:val="InternetLink"/>
                  <w:rFonts w:ascii="Times New Roman;serif" w:hAnsi="Times New Roman;serif"/>
                  <w:b w:val="false"/>
                  <w:color w:val="0000FF"/>
                  <w:sz w:val="20"/>
                  <w:u w:val="single"/>
                </w:rPr>
                <w:t>Consolidated Statements of Operations - for the Three Months Ended March 31, 2026 and 2025</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9">
              <w:r>
                <w:rPr>
                  <w:rStyle w:val="InternetLink"/>
                  <w:rFonts w:ascii="Times New Roman;serif" w:hAnsi="Times New Roman;serif"/>
                  <w:b w:val="false"/>
                  <w:color w:val="0000FF"/>
                  <w:sz w:val="20"/>
                  <w:u w:val="single"/>
                </w:rPr>
                <w:t>3</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22">
              <w:r>
                <w:rPr>
                  <w:rStyle w:val="InternetLink"/>
                  <w:rFonts w:ascii="Times New Roman;serif" w:hAnsi="Times New Roman;serif"/>
                  <w:b w:val="false"/>
                  <w:color w:val="0000FF"/>
                  <w:sz w:val="20"/>
                  <w:u w:val="single"/>
                </w:rPr>
                <w:t>Consolidated Statements of Comprehensive Income (Loss) - for the Three Months Ended March 31, 2026 and 2025</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22">
              <w:r>
                <w:rPr>
                  <w:rStyle w:val="InternetLink"/>
                  <w:rFonts w:ascii="Times New Roman;serif" w:hAnsi="Times New Roman;serif"/>
                  <w:b w:val="false"/>
                  <w:color w:val="0000FF"/>
                  <w:sz w:val="20"/>
                  <w:u w:val="single"/>
                </w:rPr>
                <w:t>4</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25">
              <w:r>
                <w:rPr>
                  <w:rStyle w:val="InternetLink"/>
                  <w:rFonts w:ascii="Times New Roman;serif" w:hAnsi="Times New Roman;serif"/>
                  <w:b w:val="false"/>
                  <w:color w:val="0000FF"/>
                  <w:sz w:val="20"/>
                  <w:u w:val="single"/>
                </w:rPr>
                <w:t>Consolidated Statements of Changes in Stockholders’ Equity - for the Three Months Ended March 31, 2026 and 2025</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25">
              <w:r>
                <w:rPr>
                  <w:rStyle w:val="InternetLink"/>
                  <w:rFonts w:ascii="Times New Roman;serif" w:hAnsi="Times New Roman;serif"/>
                  <w:b w:val="false"/>
                  <w:color w:val="0000FF"/>
                  <w:sz w:val="20"/>
                  <w:u w:val="single"/>
                </w:rPr>
                <w:t>5</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28">
              <w:r>
                <w:rPr>
                  <w:rStyle w:val="InternetLink"/>
                  <w:rFonts w:ascii="Times New Roman;serif" w:hAnsi="Times New Roman;serif"/>
                  <w:b w:val="false"/>
                  <w:color w:val="0000FF"/>
                  <w:sz w:val="20"/>
                  <w:u w:val="single"/>
                </w:rPr>
                <w:t>Consolidated Statements of Cash Flows - for the Three Months Ended March 31, 2026 and 2025</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28">
              <w:r>
                <w:rPr>
                  <w:rStyle w:val="InternetLink"/>
                  <w:rFonts w:ascii="Times New Roman;serif" w:hAnsi="Times New Roman;serif"/>
                  <w:b w:val="false"/>
                  <w:color w:val="0000FF"/>
                  <w:sz w:val="20"/>
                  <w:u w:val="single"/>
                </w:rPr>
                <w:t>6</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31">
              <w:r>
                <w:rPr>
                  <w:rStyle w:val="InternetLink"/>
                  <w:rFonts w:ascii="Times New Roman;serif" w:hAnsi="Times New Roman;serif"/>
                  <w:b w:val="false"/>
                  <w:color w:val="0000FF"/>
                  <w:sz w:val="20"/>
                  <w:u w:val="single"/>
                </w:rPr>
                <w:t>Notes to the Consolidated Financial Statements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31">
              <w:r>
                <w:rPr>
                  <w:rStyle w:val="InternetLink"/>
                  <w:rFonts w:ascii="Times New Roman;serif" w:hAnsi="Times New Roman;serif"/>
                  <w:b w:val="false"/>
                  <w:color w:val="0000FF"/>
                  <w:sz w:val="20"/>
                  <w:u w:val="single"/>
                </w:rPr>
                <w:t>8</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97">
              <w:r>
                <w:rPr>
                  <w:rStyle w:val="InternetLink"/>
                  <w:rFonts w:ascii="Times New Roman;serif" w:hAnsi="Times New Roman;serif"/>
                  <w:b w:val="false"/>
                  <w:color w:val="0000FF"/>
                  <w:sz w:val="20"/>
                  <w:u w:val="single"/>
                </w:rPr>
                <w:t>31</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30">
              <w:r>
                <w:rPr>
                  <w:rStyle w:val="InternetLink"/>
                  <w:rFonts w:ascii="Times New Roman;serif" w:hAnsi="Times New Roman;serif"/>
                  <w:b w:val="false"/>
                  <w:color w:val="0000FF"/>
                  <w:sz w:val="20"/>
                  <w:u w:val="single"/>
                </w:rPr>
                <w:t>Item 3. Quantitative and Qualitative Disclosure About Market Risk</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30">
              <w:r>
                <w:rPr>
                  <w:rStyle w:val="InternetLink"/>
                  <w:rFonts w:ascii="Times New Roman;serif" w:hAnsi="Times New Roman;serif"/>
                  <w:b w:val="false"/>
                  <w:color w:val="0000FF"/>
                  <w:sz w:val="20"/>
                  <w:u w:val="single"/>
                </w:rPr>
                <w:t>48</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33">
              <w:r>
                <w:rPr>
                  <w:rStyle w:val="InternetLink"/>
                  <w:rFonts w:ascii="Times New Roman;serif" w:hAnsi="Times New Roman;serif"/>
                  <w:b w:val="false"/>
                  <w:color w:val="0000FF"/>
                  <w:sz w:val="20"/>
                  <w:u w:val="single"/>
                </w:rPr>
                <w:t>Item 4. Controls and Procedures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33">
              <w:r>
                <w:rPr>
                  <w:rStyle w:val="InternetLink"/>
                  <w:rFonts w:ascii="Times New Roman;serif" w:hAnsi="Times New Roman;serif"/>
                  <w:b w:val="false"/>
                  <w:color w:val="0000FF"/>
                  <w:sz w:val="20"/>
                  <w:u w:val="single"/>
                </w:rPr>
                <w:t>48</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4e771b9a5bf400c8d8aabcb60865b46_136">
              <w:r>
                <w:rPr>
                  <w:rStyle w:val="InternetLink"/>
                  <w:rFonts w:ascii="Times New Roman;serif" w:hAnsi="Times New Roman;serif"/>
                  <w:b/>
                  <w:color w:val="0000FF"/>
                  <w:sz w:val="20"/>
                  <w:u w:val="single"/>
                </w:rPr>
                <w:t>PART II. OTHER INFORMATION</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39">
              <w:r>
                <w:rPr>
                  <w:rStyle w:val="InternetLink"/>
                  <w:rFonts w:ascii="Times New Roman;serif" w:hAnsi="Times New Roman;serif"/>
                  <w:b w:val="false"/>
                  <w:color w:val="0000FF"/>
                  <w:sz w:val="20"/>
                  <w:u w:val="single"/>
                </w:rPr>
                <w:t>Item 1. Legal Proceedings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39">
              <w:r>
                <w:rPr>
                  <w:rStyle w:val="InternetLink"/>
                  <w:rFonts w:ascii="Times New Roman;serif" w:hAnsi="Times New Roman;serif"/>
                  <w:b w:val="false"/>
                  <w:color w:val="0000FF"/>
                  <w:sz w:val="20"/>
                  <w:u w:val="single"/>
                </w:rPr>
                <w:t>49</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42">
              <w:r>
                <w:rPr>
                  <w:rStyle w:val="InternetLink"/>
                  <w:rFonts w:ascii="Times New Roman;serif" w:hAnsi="Times New Roman;serif"/>
                  <w:b w:val="false"/>
                  <w:color w:val="0000FF"/>
                  <w:sz w:val="20"/>
                  <w:u w:val="single"/>
                </w:rPr>
                <w:t>Item 1A. Risk Factors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42">
              <w:r>
                <w:rPr>
                  <w:rStyle w:val="InternetLink"/>
                  <w:rFonts w:ascii="Times New Roman;serif" w:hAnsi="Times New Roman;serif"/>
                  <w:b w:val="false"/>
                  <w:color w:val="0000FF"/>
                  <w:sz w:val="20"/>
                  <w:u w:val="single"/>
                </w:rPr>
                <w:t>49</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45">
              <w:r>
                <w:rPr>
                  <w:rStyle w:val="InternetLink"/>
                  <w:rFonts w:ascii="Times New Roman;serif" w:hAnsi="Times New Roman;serif"/>
                  <w:b w:val="false"/>
                  <w:color w:val="0000FF"/>
                  <w:sz w:val="20"/>
                  <w:u w:val="single"/>
                </w:rPr>
                <w:t>Item 2. Unregistered Sales of Equity Securities and Use of Proceeds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45">
              <w:r>
                <w:rPr>
                  <w:rStyle w:val="InternetLink"/>
                  <w:rFonts w:ascii="Times New Roman;serif" w:hAnsi="Times New Roman;serif"/>
                  <w:b w:val="false"/>
                  <w:color w:val="0000FF"/>
                  <w:sz w:val="20"/>
                  <w:u w:val="single"/>
                </w:rPr>
                <w:t>49</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48">
              <w:r>
                <w:rPr>
                  <w:rStyle w:val="InternetLink"/>
                  <w:rFonts w:ascii="Times New Roman;serif" w:hAnsi="Times New Roman;serif"/>
                  <w:b w:val="false"/>
                  <w:color w:val="0000FF"/>
                  <w:sz w:val="20"/>
                  <w:u w:val="single"/>
                </w:rPr>
                <w:t>Item 5. Other Information</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48">
              <w:r>
                <w:rPr>
                  <w:rStyle w:val="InternetLink"/>
                  <w:rFonts w:ascii="Times New Roman;serif" w:hAnsi="Times New Roman;serif"/>
                  <w:b w:val="false"/>
                  <w:color w:val="0000FF"/>
                  <w:sz w:val="20"/>
                  <w:u w:val="single"/>
                </w:rPr>
                <w:t>49</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51">
              <w:r>
                <w:rPr>
                  <w:rStyle w:val="InternetLink"/>
                  <w:rFonts w:ascii="Times New Roman;serif" w:hAnsi="Times New Roman;serif"/>
                  <w:b w:val="false"/>
                  <w:color w:val="0000FF"/>
                  <w:sz w:val="20"/>
                  <w:u w:val="single"/>
                </w:rPr>
                <w:t>Item 6. Exhibits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51">
              <w:r>
                <w:rPr>
                  <w:rStyle w:val="InternetLink"/>
                  <w:rFonts w:ascii="Times New Roman;serif" w:hAnsi="Times New Roman;serif"/>
                  <w:b w:val="false"/>
                  <w:color w:val="0000FF"/>
                  <w:sz w:val="20"/>
                  <w:u w:val="single"/>
                </w:rPr>
                <w:t>50</w:t>
              </w:r>
            </w:hyperlink>
          </w:p>
        </w:tc>
        <w:tc>
          <w:tcPr>
            <w:tcW w:w="159"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154">
              <w:r>
                <w:rPr>
                  <w:rStyle w:val="InternetLink"/>
                  <w:rFonts w:ascii="Times New Roman;serif" w:hAnsi="Times New Roman;serif"/>
                  <w:b w:val="false"/>
                  <w:color w:val="0000FF"/>
                  <w:sz w:val="20"/>
                  <w:u w:val="single"/>
                </w:rPr>
                <w:t>Signatures</w:t>
              </w:r>
            </w:hyperlink>
          </w:p>
        </w:tc>
        <w:tc>
          <w:tcPr>
            <w:tcW w:w="18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e771b9a5bf400c8d8aabcb60865b46_154">
              <w:r>
                <w:rPr>
                  <w:rStyle w:val="InternetLink"/>
                  <w:rFonts w:ascii="Times New Roman;serif" w:hAnsi="Times New Roman;serif"/>
                  <w:b w:val="false"/>
                  <w:color w:val="0000FF"/>
                  <w:sz w:val="20"/>
                  <w:u w:val="single"/>
                </w:rPr>
                <w:t>51</w:t>
              </w:r>
            </w:hyperlink>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89"/>
        <w:gridCol w:w="2255"/>
        <w:gridCol w:w="2275"/>
        <w:gridCol w:w="214"/>
        <w:gridCol w:w="853"/>
        <w:gridCol w:w="118"/>
        <w:gridCol w:w="109"/>
        <w:gridCol w:w="109"/>
        <w:gridCol w:w="109"/>
        <w:gridCol w:w="237"/>
        <w:gridCol w:w="947"/>
        <w:gridCol w:w="190"/>
      </w:tblGrid>
      <w:tr>
        <w:trPr/>
        <w:tc>
          <w:tcPr>
            <w:tcW w:w="278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 and per share data)</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and advances to unconsolidated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14,268.5 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maturities, debt discounts, and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financing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4e771b9a5bf400c8d8aabcb60865b46_61">
              <w:r>
                <w:rPr>
                  <w:rStyle w:val="InternetLink"/>
                  <w:rFonts w:ascii="Times New Roman;serif" w:hAnsi="Times New Roman;serif"/>
                  <w:b w:val="false"/>
                  <w:color w:val="0000FF"/>
                  <w:sz w:val="16"/>
                  <w:u w:val="single"/>
                </w:rPr>
                <w:t>Commitments and contingencies (Note 9)</w:t>
              </w:r>
            </w:hyperlink>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B Preferred stock ($0.01 par value, 1,000,000 shares authorized, no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C Preferred stock ($0.01 par value, 18,500 shares authorized, no shares issued and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Preferred stock ($0.01 par value, 5,000 shares authorized, no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400,000,000 shares authorized, 178,959,656 and 177,841,991 shares issued, and 133,701,923 and 132,584,258 shares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Exchangeable shares ($0.01 par value, 768,441 shares authorized and issued in both periods, 98,920 and 379,821 shares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(45,257,733 shares in both periods)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PENN Entertainment, Inc.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14,118.0 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14,268.5 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045" w:type="dxa"/>
        <w:jc w:val="center"/>
        <w:tblInd w:w="0" w:type="dxa"/>
        <w:tblLayout w:type="fixed"/>
        <w:tblCellMar>
          <w:top w:w="28" w:type="dxa"/>
          <w:left w:w="28" w:type="dxa"/>
          <w:bottom w:w="28" w:type="dxa"/>
          <w:right w:w="28" w:type="dxa"/>
        </w:tblCellMar>
      </w:tblPr>
      <w:tblGrid>
        <w:gridCol w:w="1830"/>
        <w:gridCol w:w="1604"/>
        <w:gridCol w:w="1621"/>
        <w:gridCol w:w="109"/>
        <w:gridCol w:w="109"/>
        <w:gridCol w:w="277"/>
        <w:gridCol w:w="277"/>
        <w:gridCol w:w="536"/>
        <w:gridCol w:w="1947"/>
        <w:gridCol w:w="277"/>
        <w:gridCol w:w="109"/>
        <w:gridCol w:w="109"/>
        <w:gridCol w:w="109"/>
        <w:gridCol w:w="211"/>
        <w:gridCol w:w="76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PENN Entertainment,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44"/>
        <w:gridCol w:w="1787"/>
        <w:gridCol w:w="1770"/>
        <w:gridCol w:w="109"/>
        <w:gridCol w:w="109"/>
        <w:gridCol w:w="298"/>
        <w:gridCol w:w="298"/>
        <w:gridCol w:w="578"/>
        <w:gridCol w:w="1601"/>
        <w:gridCol w:w="298"/>
        <w:gridCol w:w="109"/>
        <w:gridCol w:w="109"/>
        <w:gridCol w:w="109"/>
        <w:gridCol w:w="211"/>
        <w:gridCol w:w="616"/>
        <w:gridCol w:w="159"/>
      </w:tblGrid>
      <w:tr>
        <w:trPr/>
        <w:tc>
          <w:tcPr>
            <w:tcW w:w="2044"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13" w:type="dxa"/>
            <w:gridSpan w:val="6"/>
            <w:tcBorders/>
          </w:tcPr>
          <w:p>
            <w:pPr>
              <w:pStyle w:val="TableContents"/>
              <w:bidi w:val="0"/>
              <w:spacing w:before="0" w:after="283"/>
              <w:jc w:val="left"/>
              <w:rPr>
                <w:sz w:val="4"/>
                <w:szCs w:val="4"/>
              </w:rPr>
            </w:pPr>
            <w:r>
              <w:rPr>
                <w:sz w:val="4"/>
                <w:szCs w:val="4"/>
              </w:rPr>
            </w:r>
          </w:p>
        </w:tc>
      </w:tr>
      <w:tr>
        <w:trPr/>
        <w:tc>
          <w:tcPr>
            <w:tcW w:w="5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PENN Entertainment,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6216" w:type="dxa"/>
        <w:jc w:val="center"/>
        <w:tblInd w:w="0" w:type="dxa"/>
        <w:tblLayout w:type="fixed"/>
        <w:tblCellMar>
          <w:top w:w="28" w:type="dxa"/>
          <w:left w:w="28" w:type="dxa"/>
          <w:bottom w:w="28" w:type="dxa"/>
          <w:right w:w="28" w:type="dxa"/>
        </w:tblCellMar>
      </w:tblPr>
      <w:tblGrid>
        <w:gridCol w:w="519"/>
        <w:gridCol w:w="205"/>
        <w:gridCol w:w="207"/>
        <w:gridCol w:w="203"/>
        <w:gridCol w:w="203"/>
        <w:gridCol w:w="171"/>
        <w:gridCol w:w="109"/>
        <w:gridCol w:w="109"/>
        <w:gridCol w:w="109"/>
        <w:gridCol w:w="181"/>
        <w:gridCol w:w="406"/>
        <w:gridCol w:w="109"/>
        <w:gridCol w:w="109"/>
        <w:gridCol w:w="109"/>
        <w:gridCol w:w="109"/>
        <w:gridCol w:w="541"/>
        <w:gridCol w:w="330"/>
        <w:gridCol w:w="331"/>
        <w:gridCol w:w="109"/>
        <w:gridCol w:w="109"/>
        <w:gridCol w:w="109"/>
        <w:gridCol w:w="181"/>
        <w:gridCol w:w="316"/>
        <w:gridCol w:w="109"/>
        <w:gridCol w:w="109"/>
        <w:gridCol w:w="109"/>
        <w:gridCol w:w="109"/>
        <w:gridCol w:w="316"/>
        <w:gridCol w:w="315"/>
        <w:gridCol w:w="316"/>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586"/>
        <w:gridCol w:w="109"/>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5"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2026 and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132,584,258 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836,764 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280,901 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(280,901)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133,701,923 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2025</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152,229,171 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466,534 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334,366 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(1,413,882)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86,056 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151,235,711 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380,478 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(255.3)</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99" w:type="dxa"/>
        <w:jc w:val="left"/>
        <w:tblInd w:w="0" w:type="dxa"/>
        <w:tblLayout w:type="fixed"/>
        <w:tblCellMar>
          <w:top w:w="28" w:type="dxa"/>
          <w:left w:w="28" w:type="dxa"/>
          <w:bottom w:w="28" w:type="dxa"/>
          <w:right w:w="28" w:type="dxa"/>
        </w:tblCellMar>
      </w:tblPr>
      <w:tblGrid>
        <w:gridCol w:w="2263"/>
        <w:gridCol w:w="1987"/>
        <w:gridCol w:w="1990"/>
        <w:gridCol w:w="331"/>
        <w:gridCol w:w="762"/>
        <w:gridCol w:w="184"/>
        <w:gridCol w:w="184"/>
        <w:gridCol w:w="184"/>
        <w:gridCol w:w="184"/>
        <w:gridCol w:w="331"/>
        <w:gridCol w:w="939"/>
        <w:gridCol w:w="260"/>
      </w:tblGrid>
      <w:tr>
        <w:trPr/>
        <w:tc>
          <w:tcPr>
            <w:tcW w:w="226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discounts and debt issuance costs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 from unconsolidated affiliates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Agreement warrant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tbl>
      <w:tblPr>
        <w:tblW w:w="8890" w:type="dxa"/>
        <w:jc w:val="left"/>
        <w:tblInd w:w="0" w:type="dxa"/>
        <w:tblLayout w:type="fixed"/>
        <w:tblCellMar>
          <w:top w:w="28" w:type="dxa"/>
          <w:left w:w="28" w:type="dxa"/>
          <w:bottom w:w="28" w:type="dxa"/>
          <w:right w:w="28" w:type="dxa"/>
        </w:tblCellMar>
      </w:tblPr>
      <w:tblGrid>
        <w:gridCol w:w="2006"/>
        <w:gridCol w:w="1761"/>
        <w:gridCol w:w="1768"/>
        <w:gridCol w:w="314"/>
        <w:gridCol w:w="892"/>
        <w:gridCol w:w="174"/>
        <w:gridCol w:w="174"/>
        <w:gridCol w:w="174"/>
        <w:gridCol w:w="174"/>
        <w:gridCol w:w="314"/>
        <w:gridCol w:w="892"/>
        <w:gridCol w:w="247"/>
      </w:tblGrid>
      <w:tr>
        <w:trPr/>
        <w:tc>
          <w:tcPr>
            <w:tcW w:w="200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insurance financing</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rate changes on cash, cash equivalents, and restricted cash</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year</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refunds related to income taxes, net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0" w:after="200"/>
        <w:ind w:left="0" w:right="0" w:firstLine="360"/>
        <w:jc w:val="left"/>
        <w:rPr/>
      </w:pPr>
      <w:r>
        <w:rPr>
          <w:rFonts w:ascii="Times New Roman;serif" w:hAnsi="Times New Roman;serif"/>
          <w:b/>
          <w:i/>
          <w:color w:val="000000"/>
          <w:sz w:val="20"/>
        </w:rPr>
        <w:t>Organization:</w:t>
      </w:r>
      <w:r>
        <w:rPr>
          <w:color w:val="000000"/>
        </w:rPr>
        <w:t xml:space="preserve"> </w:t>
      </w:r>
      <w:r>
        <w:rPr>
          <w:rFonts w:ascii="Times New Roman;serif" w:hAnsi="Times New Roman;serif"/>
          <w:b w:val="false"/>
          <w:color w:val="000000"/>
          <w:sz w:val="20"/>
        </w:rPr>
        <w:t>PENN Entertainment, Inc., together with its subsidiaries (“PENN,” or the “Company,” “we,” “our,” or “us”), operates in 27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approximately 34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and collectively referred to as the “Master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2—Significant Accounting Policies and Basis of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The unaudited Consolidated Financial Statements of the Company have been prepared in accordance with generally accepted accounting principles in the United States (“GAAP”) for interim financial information and with the rules and regulations of the United States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statement have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Principles of Consolidation: </w:t>
      </w:r>
      <w:r>
        <w:rPr>
          <w:rFonts w:ascii="Times New Roman;serif" w:hAnsi="Times New Roman;serif"/>
          <w:b w:val="false"/>
          <w:color w:val="000000"/>
          <w:sz w:val="20"/>
        </w:rPr>
        <w:t>The unaudited Consolidated Financial Statements include the accounts of PENN Entertainment, Inc. and its subsidiaries. 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Reclassifications: </w:t>
      </w:r>
      <w:r>
        <w:rPr>
          <w:rFonts w:ascii="Times New Roman;serif" w:hAnsi="Times New Roman;serif"/>
          <w:b w:val="false"/>
          <w:color w:val="000000"/>
          <w:sz w:val="20"/>
        </w:rPr>
        <w:t>Certain reclassifications have been made to conform the prior period presentation with current year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The preparation of unaudited Consolidated Financial Statements in conformity with GAAP requires management to make estimates and assumptions that affect (i) the reported amounts of assets and liabilities, (ii) the disclosure of contingent assets and liabilities at the date of the financial statements, and (iii) the reported amounts of revenues and expenses during the reporting period. We applied estimation methods consistently for the periods presented within the unaudited Consolidated Financial Statements. Actual results may differ from those estimates.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Segment Information: </w:t>
      </w:r>
      <w:r>
        <w:rPr>
          <w:rFonts w:ascii="Times New Roman;serif" w:hAnsi="Times New Roman;serif"/>
          <w:b w:val="false"/>
          <w:color w:val="000000"/>
          <w:sz w:val="20"/>
        </w:rPr>
        <w:t>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w:t>
      </w:r>
      <w:r>
        <w:rPr>
          <w:rFonts w:ascii="Times New Roman;serif" w:hAnsi="Times New Roman;serif"/>
          <w:b w:val="false"/>
          <w:color w:val="000000"/>
          <w:sz w:val="20"/>
          <w:shd w:fill="FFFFFF" w:val="clear"/>
        </w:rPr>
        <w:t>ting, and media operations.</w:t>
      </w:r>
      <w:r>
        <w:rPr>
          <w:color w:val="000000"/>
        </w:rPr>
        <w:t xml:space="preserve">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f4e771b9a5bf400c8d8aabcb60865b46_79">
        <w:r>
          <w:rPr>
            <w:rStyle w:val="InternetLink"/>
            <w:rFonts w:ascii="Times New Roman;serif" w:hAnsi="Times New Roman;serif"/>
            <w:b w:val="false"/>
            <w:color w:val="0000FF"/>
            <w:sz w:val="20"/>
            <w:u w:val="single"/>
          </w:rPr>
          <w:t>Note 13, “Segment Information”</w:t>
        </w:r>
      </w:hyperlink>
      <w:r>
        <w:rPr>
          <w:color w:val="000000"/>
        </w:rPr>
        <w:t xml:space="preserve"> </w:t>
      </w:r>
      <w:r>
        <w:rPr>
          <w:rFonts w:ascii="Times New Roman;serif" w:hAnsi="Times New Roman;serif"/>
          <w:b w:val="false"/>
          <w:color w:val="000000"/>
          <w:sz w:val="20"/>
        </w:rPr>
        <w:t xml:space="preserve">and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for further segment and lease structure information, respectively. For financial reporting purposes, we aggregate our operating segments into the following reportable segments:</w:t>
      </w:r>
    </w:p>
    <w:tbl>
      <w:tblPr>
        <w:tblW w:w="10205" w:type="dxa"/>
        <w:jc w:val="left"/>
        <w:tblInd w:w="0" w:type="dxa"/>
        <w:tblLayout w:type="fixed"/>
        <w:tblCellMar>
          <w:top w:w="28" w:type="dxa"/>
          <w:left w:w="28" w:type="dxa"/>
          <w:bottom w:w="28" w:type="dxa"/>
          <w:right w:w="28" w:type="dxa"/>
        </w:tblCellMar>
      </w:tblPr>
      <w:tblGrid>
        <w:gridCol w:w="1377"/>
        <w:gridCol w:w="1207"/>
        <w:gridCol w:w="1219"/>
        <w:gridCol w:w="109"/>
        <w:gridCol w:w="109"/>
        <w:gridCol w:w="109"/>
        <w:gridCol w:w="698"/>
        <w:gridCol w:w="695"/>
        <w:gridCol w:w="698"/>
        <w:gridCol w:w="109"/>
        <w:gridCol w:w="109"/>
        <w:gridCol w:w="109"/>
        <w:gridCol w:w="1067"/>
        <w:gridCol w:w="1066"/>
        <w:gridCol w:w="152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Assets Lease or Ownership Structure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Northeast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Greektown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Morgantown,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Morgantown Lease </w:t>
            </w:r>
            <w:r>
              <w:rPr>
                <w:rFonts w:ascii="Times New Roman;serif" w:hAnsi="Times New Roman;serif"/>
                <w:b w:val="false"/>
                <w:color w:val="000000"/>
                <w:sz w:val="10"/>
              </w:rPr>
              <w:t>(1)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York,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Lease (not with REIT Landlord)</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Dayton Raceway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Mahoning Valley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Marquee by PENN</w:t>
            </w:r>
            <w:r>
              <w:rPr>
                <w:color w:val="000000"/>
              </w:rPr>
              <w:t xml:space="preserv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South segment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rFonts w:ascii="Times New Roman;serif" w:hAnsi="Times New Roman;serif"/>
                <w:b w:val="false"/>
                <w:color w:val="000000"/>
                <w:sz w:val="10"/>
              </w:rPr>
              <w:t>st</w:t>
            </w:r>
            <w:r>
              <w:rPr>
                <w:color w:val="000000"/>
              </w:rPr>
              <w:t xml:space="preserve"> </w:t>
            </w:r>
            <w:r>
              <w:rPr>
                <w:rFonts w:ascii="Times New Roman;serif" w:hAnsi="Times New Roman;serif"/>
                <w:b w:val="false"/>
                <w:color w:val="000000"/>
                <w:sz w:val="16"/>
              </w:rPr>
              <w:t>Jackpot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Resort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Cactus Petes and Horseshu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 Spa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Midwest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Ameristar Council Bluffs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Argosy Casino Alton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Hollywood Casino at Kansas Speedway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Owned - Joint Venture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Prairie State Gaming</w:t>
            </w:r>
            <w:r>
              <w:rPr>
                <w:color w:val="000000"/>
              </w:rPr>
              <w:t xml:space="preserve">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bl>
    <w:p>
      <w:pPr>
        <w:pStyle w:val="TextBody"/>
        <w:bidi w:val="0"/>
        <w:spacing w:lineRule="auto" w:line="288" w:before="0" w:after="6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16"/>
        </w:rPr>
        <w:t>Upon termination of the Morgantown Lease, ownership of the constructed building and all tenant improvements will transfer from the Company to GLPI.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(2)VGT route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riverboat is owned by us and not subject to the AR PENN Master Lease.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(4)Pursuant to a joint venture with NASCAR Holdings LLC (“NASCAR”) and includes the Company’s 50% investment in Kansas Entertainment, LLC (“Kansas Entertainment”), which owns Hollywood Casino at Kansas Speedway.</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Our revenue from contracts with customers consists primarily of gaming wagers, inclusive of sports betting and iCasino products, food and beverage transactions, hotel room sales, retail transactions, racing wagers, and third-party revenue sharing agreements. See </w:t>
      </w:r>
      <w:hyperlink w:anchor="if4e771b9a5bf400c8d8aabcb60865b46_43">
        <w:r>
          <w:rPr>
            <w:rStyle w:val="InternetLink"/>
            <w:rFonts w:ascii="Times New Roman;serif" w:hAnsi="Times New Roman;serif"/>
            <w:b w:val="false"/>
            <w:color w:val="0000FF"/>
            <w:sz w:val="20"/>
            <w:u w:val="single"/>
          </w:rPr>
          <w:t>Note 4, “Revenue Disaggregation”</w:t>
        </w:r>
      </w:hyperlink>
      <w:r>
        <w:rPr>
          <w:color w:val="000000"/>
        </w:rPr>
        <w:t xml:space="preserve"> </w:t>
      </w:r>
      <w:r>
        <w:rPr>
          <w:rFonts w:ascii="Times New Roman;serif" w:hAnsi="Times New Roman;serif"/>
          <w:b w:val="false"/>
          <w:color w:val="000000"/>
          <w:sz w:val="20"/>
        </w:rPr>
        <w:t>for information on our revenue by type and geographic location.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Complimentaries Associated with Gaming Contracts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tbl>
      <w:tblPr>
        <w:tblW w:w="9413" w:type="dxa"/>
        <w:jc w:val="left"/>
        <w:tblInd w:w="0" w:type="dxa"/>
        <w:tblLayout w:type="fixed"/>
        <w:tblCellMar>
          <w:top w:w="28" w:type="dxa"/>
          <w:left w:w="28" w:type="dxa"/>
          <w:bottom w:w="28" w:type="dxa"/>
          <w:right w:w="28" w:type="dxa"/>
        </w:tblCellMar>
      </w:tblPr>
      <w:tblGrid>
        <w:gridCol w:w="1696"/>
        <w:gridCol w:w="1490"/>
        <w:gridCol w:w="1493"/>
        <w:gridCol w:w="109"/>
        <w:gridCol w:w="109"/>
        <w:gridCol w:w="344"/>
        <w:gridCol w:w="344"/>
        <w:gridCol w:w="666"/>
        <w:gridCol w:w="1615"/>
        <w:gridCol w:w="344"/>
        <w:gridCol w:w="109"/>
        <w:gridCol w:w="109"/>
        <w:gridCol w:w="109"/>
        <w:gridCol w:w="211"/>
        <w:gridCol w:w="51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complimentaries associated with gaming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provides discretionary complimentaries in the form of iCasino and OSB free play bonuses. Free play bonuses provided to patrons as an inducement to gamble on the Company’s digital sports betting and iCasino apps are recorded as a reduction of “Gaming” revenues.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Customer-related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OSB and/or iCasino partners for OSB and iCasino market access.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Our PENN Play</w:t>
      </w:r>
      <w:r>
        <w:rPr>
          <w:color w:val="000000"/>
        </w:rPr>
        <w:t xml:space="preserve"> </w:t>
      </w:r>
      <w:r>
        <w:rPr>
          <w:rFonts w:ascii="Times New Roman;serif" w:hAnsi="Times New Roman;serif"/>
          <w:b w:val="false"/>
          <w:color w:val="000000"/>
          <w:sz w:val="20"/>
        </w:rPr>
        <w:t>program connects the Company’s brands under one loyalty program and allows members to earn loyalty points, or “PENN Cash,” redeemable for slot play and complimentaries, such as food and beverage at our restaurants, lodging at our hotels, redemptions at the PENN Play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obligation associated with our PENN Play</w:t>
      </w:r>
      <w:r>
        <w:rPr>
          <w:color w:val="000000"/>
        </w:rPr>
        <w:t xml:space="preserve"> </w:t>
      </w:r>
      <w:r>
        <w:rPr>
          <w:rFonts w:ascii="Times New Roman;serif" w:hAnsi="Times New Roman;serif"/>
          <w:b w:val="false"/>
          <w:color w:val="000000"/>
          <w:sz w:val="20"/>
        </w:rPr>
        <w:t>program, which is included in “Accrued expenses and other current liabilities” within the unaudited Consolidated Balance Sheets, was $33.1 million and $29.8 million as of March 31, 2026 and December 31, 2025, respectively, and consisted primarily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(iv) money deposited in an online wallet for pending and concluded wagers not yet withdrawn; (v) outstanding tickets generated by slot machine play, sports betting, or pari-mutuel wagering; (vi) outstanding chip liabilities; and (vii) unclaimed jackpots. Unpaid wagers generally represent obligations stemming from prior wagering events, of which revenue was previously recognized. The Company’s advance payments on goods and services yet to be provided and for unpaid wagers were $117.1 million and $133.7 million as of March 31, 2026 and December 31, 2025, respectively, and are included in “Accrued expenses and other current liabilities” within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deferred revenue is primarily related to PENN Interactive, which enters into multi-year agreements with third-party OSB and/or iCasino partners for OSB and iCasino market access across our portfolio of properties.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deferred revenue balance was $37.4 million and $34.1 million, respectively, the majority of which is included in “Other long-term liabilities” within the unaudited Consolidated Balance Sheets. During the three months ended March 31, 2026 and 2025, we recognized revenue of $1.7 million and $3.6 million, respectively, that was included in the December 31, 2025 and 2024 deferred revenue balance.</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Advertising: </w:t>
      </w:r>
      <w:r>
        <w:rPr>
          <w:rFonts w:ascii="Times New Roman;serif" w:hAnsi="Times New Roman;serif"/>
          <w:b w:val="false"/>
          <w:color w:val="000000"/>
          <w:sz w:val="20"/>
        </w:rPr>
        <w:t>The Company expenses advertising costs the first time the advertising takes place or as incurred. Advertising expenses, which generally relate to media placement costs and are primarily included in “Gaming” expenses within the unaudited Consolidated Statements of Operations were $40.6 million and $99.9 million for the three months ended March 31, 2026 and 2025, respectively. During the three months ended March 31, 2025, advertising expense included media marketing services and brand and other rights provided by ESPN, Inc. and ESPN Enterprises Inc. (together, “ESPN”) pursuant to the Sportsbook Agreement (the “Sportsbook Agreement”) which was terminated on November 5,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and Pari-mutuel Taxes: </w:t>
      </w:r>
      <w:r>
        <w:rPr>
          <w:rFonts w:ascii="Times New Roman;serif" w:hAnsi="Times New Roman;serif"/>
          <w:b w:val="false"/>
          <w:color w:val="000000"/>
          <w:sz w:val="20"/>
        </w:rPr>
        <w:t>We are subject to gaming and pari-mutuel taxes based on gross gaming revenue and pari-mutuel revenue in the jurisdictions in which we operate, as well as taxes on revenues derived from arrangements which allow for third-party OSB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unaudited Consolidated Statements of Operations and were $686.0 million and $609.9 million for the three months ended March 31, 2026 and 2025, respectively.</w:t>
      </w:r>
    </w:p>
    <w:p>
      <w:pPr>
        <w:pStyle w:val="TextBody"/>
        <w:bidi w:val="0"/>
        <w:spacing w:lineRule="auto" w:line="288" w:before="0" w:after="200"/>
        <w:ind w:left="0" w:right="0" w:firstLine="360"/>
        <w:jc w:val="left"/>
        <w:rPr/>
      </w:pPr>
      <w:r>
        <w:rPr>
          <w:rFonts w:ascii="Times New Roman;serif" w:hAnsi="Times New Roman;serif"/>
          <w:b/>
          <w:i/>
          <w:color w:val="000000"/>
          <w:sz w:val="20"/>
        </w:rPr>
        <w:t>Foreign Currency Translation:</w:t>
      </w:r>
      <w:r>
        <w:rPr>
          <w:color w:val="000000"/>
        </w:rPr>
        <w:t xml:space="preserve"> </w:t>
      </w:r>
      <w:r>
        <w:rPr>
          <w:rFonts w:ascii="Times New Roman;serif" w:hAnsi="Times New Roman;serif"/>
          <w:b w:val="false"/>
          <w:color w:val="000000"/>
          <w:sz w:val="20"/>
        </w:rPr>
        <w:t>The functional currency of the Company’s foreign subsidiaries is the local currency in which the subsidiary operates. Balance sheet accounts are translated at the exchange rate in effect at each balance sheet date. Translation adjustments resulting from this process are recorded to other comprehensive income or loss. Revenues and expenses are typically translated at the average exchange rates during the year. Gains or losses resulting from foreign currency transactions are included in “Other” within the unaudited Consolidated Statements of Operations.</w:t>
      </w:r>
    </w:p>
    <w:p>
      <w:pPr>
        <w:pStyle w:val="TextBody"/>
        <w:bidi w:val="0"/>
        <w:spacing w:lineRule="auto" w:line="288" w:before="0" w:after="200"/>
        <w:ind w:left="0" w:right="0" w:firstLine="360"/>
        <w:jc w:val="left"/>
        <w:rPr/>
      </w:pPr>
      <w:r>
        <w:rPr>
          <w:rFonts w:ascii="Times New Roman;serif" w:hAnsi="Times New Roman;serif"/>
          <w:b/>
          <w:i/>
          <w:color w:val="000000"/>
          <w:sz w:val="20"/>
        </w:rPr>
        <w:t>Comprehensive Income or Loss and Accumulated Other Comprehensive Income or Loss:</w:t>
      </w:r>
      <w:r>
        <w:rPr>
          <w:color w:val="000000"/>
        </w:rPr>
        <w:t xml:space="preserve"> </w:t>
      </w:r>
      <w:r>
        <w:rPr>
          <w:rFonts w:ascii="Times New Roman;serif" w:hAnsi="Times New Roman;serif"/>
          <w:b w:val="false"/>
          <w:color w:val="000000"/>
          <w:sz w:val="20"/>
        </w:rPr>
        <w:t>Comprehensive income or loss includes net income or loss and all other non-stockholder changes in equity, or other comprehensive income or loss. The balance of accumulated other comprehensive income or loss consists of foreign currency translation adjustments and unrealized gains or losses on debt securities.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Earnings or Loss Per Share: </w:t>
      </w:r>
      <w:r>
        <w:rPr>
          <w:rFonts w:ascii="Times New Roman;serif" w:hAnsi="Times New Roman;serif"/>
          <w:b w:val="false"/>
          <w:color w:val="000000"/>
          <w:sz w:val="20"/>
        </w:rPr>
        <w:t>Basic earnings or loss per share (“EPS”) is computed by dividing net income or loss applicable to common stock by the 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outstanding preferred stock, and convertible debt.</w:t>
      </w:r>
    </w:p>
    <w:p>
      <w:pPr>
        <w:pStyle w:val="TextBody"/>
        <w:bidi w:val="0"/>
        <w:spacing w:lineRule="auto" w:line="288" w:before="0" w:after="200"/>
        <w:ind w:left="0" w:right="0" w:firstLine="360"/>
        <w:jc w:val="left"/>
        <w:rPr/>
      </w:pPr>
      <w:r>
        <w:rPr>
          <w:rFonts w:ascii="Times New Roman;serif" w:hAnsi="Times New Roman;serif"/>
          <w:b/>
          <w:i/>
          <w:color w:val="000000"/>
          <w:sz w:val="20"/>
        </w:rPr>
        <w:t>Guarantees and Indemnifications:</w:t>
      </w:r>
      <w:r>
        <w:rPr>
          <w:color w:val="000000"/>
        </w:rPr>
        <w:t xml:space="preserve"> </w:t>
      </w:r>
      <w:r>
        <w:rPr>
          <w:rFonts w:ascii="Times New Roman;serif" w:hAnsi="Times New Roman;serif"/>
          <w:b w:val="false"/>
          <w:color w:val="000000"/>
          <w:sz w:val="20"/>
        </w:rPr>
        <w:t xml:space="preserve">The Company accounts for indemnity obligations in accordance with ASC Topic 460-20, “Contingencies” and records a liability at fair value. See </w:t>
      </w:r>
      <w:hyperlink w:anchor="if4e771b9a5bf400c8d8aabcb60865b46_61">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3—New Accounting Pronouncements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Adopted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“Debt—Debt with Conversion and Other Options (Subtopic 470-20): Induced Conversions of Convertible Debt Instruments” (“ASU 2024-04”). ASU 2024-04 clarifies the determination of accounting treatment required for settlement of convertible debt (particularly, cash convertible instruments) at terms that differ from the original conversion terms. ASU 2024-04 is effective for fiscal years beginning after December 15, 2025, and interim reporting periods within those annual reporting periods, and was adopted on a prospective basis. The adoption of ASU 2024-04 did not have a material impact on our unaudited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introduces optional relief for entities estimating expected credit losses on accounts receivable and contract assets arising from revenue transactions under ASC 606, “Revenue from Contracts with Customers.” The guidance allows entities to apply a practical expedient assuming current conditions persist over the asset’s life, and for certain non-public entities, to consider post-balance sheet cash collections when estimating credit losses. ASU 2025-05 is effective for fiscal years beginning after December 15, 2025, and interim reporting periods within those annual reporting periods, and was adopted on a prospective basis. The adoption of ASU 2025-05 did not have a material impact on our unaudited Consolidated Financial Statements.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to be Implemented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updates the requirements for a public entity to disclose additional information about specific income statement expense categories in the notes to financial statements. ASU 2024-03 does not change or remove current expense disclosure requirements, however, it affects where this information appears in the notes to financial statements. ASU 2024-03 is effective for fiscal years beginning after December 15, 2026, and interim periods within fiscal years beginning after December 15, 2027, on a prospective or retrospective basis, with early adoption permitted. We are assessing the guidance and currently expect adoption of the new standard to result in additional disclosures in the notes to the unaudited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The amendments in ASU 2025-06 improve the operability of the guidance by removing all references to software development project stages so that the guidance is neutral to different software development methods, which may impact the timing and extent of cost capitalization for internal-use software. ASU 2025-06 is effective for fiscal years beginning after December 15, 2027, and interim periods within those annual reporting periods, on a prospective, modified, or retrospective basis, with early adoption permitted. We are currently assessing the guidance, and we do not expect the new standard to have a material impact on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4—Revenue Disaggregation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revenues are generated primarily by providing the following types of services: (i) gaming, inclusive of retail sports betting, iCasino, and OSB; (ii) food and beverage; (iii) hotel; and (iv) other. Other revenues are primarily comprised of PENN Interactive’s revenues generated from third-party iCasino and OSB, in addition to the related gross-up for taxes, racing operations, media advertising, retail, and commissions received on ATM transactions. Our revenue is disaggregated by type of revenue and geographic location (with no single foreign country’s revenue representing more than 10% of total consolidated revenues) of the related properties, which is consistent with our reportable segments, as follows:</w:t>
      </w:r>
    </w:p>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 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Other revenues within the Interactive segment are inclusive of gaming tax reimbursement amounts related to third-party OSB and/or iCasino partners for OSB and iCasino market access of $185.8 million and $128.2 million for the three months ended March 31, 2026 and 2025,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Primarily represents the elimination of intersegment revenues associated with our retail sportsbooks, which are operated by PENN Interactive.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5—Long-Term Debt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long-term debt, net of current maturities, debt discounts, and debt issuance costs:</w:t>
      </w:r>
    </w:p>
    <w:tbl>
      <w:tblPr>
        <w:tblW w:w="7390" w:type="dxa"/>
        <w:jc w:val="left"/>
        <w:tblInd w:w="0" w:type="dxa"/>
        <w:tblLayout w:type="fixed"/>
        <w:tblCellMar>
          <w:top w:w="28" w:type="dxa"/>
          <w:left w:w="28" w:type="dxa"/>
          <w:bottom w:w="28" w:type="dxa"/>
          <w:right w:w="28" w:type="dxa"/>
        </w:tblCellMar>
      </w:tblPr>
      <w:tblGrid>
        <w:gridCol w:w="1397"/>
        <w:gridCol w:w="1227"/>
        <w:gridCol w:w="1230"/>
        <w:gridCol w:w="279"/>
        <w:gridCol w:w="1016"/>
        <w:gridCol w:w="144"/>
        <w:gridCol w:w="109"/>
        <w:gridCol w:w="109"/>
        <w:gridCol w:w="109"/>
        <w:gridCol w:w="330"/>
        <w:gridCol w:w="1199"/>
        <w:gridCol w:w="241"/>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 due 2027</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A Facility due 2027</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B Facility due 2029</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 due 2027</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 due 2029</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Notes due 2031</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 Convertible Notes due 2026</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and debt issuance costs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March 31, 2026:</w:t>
      </w:r>
    </w:p>
    <w:tbl>
      <w:tblPr>
        <w:tblW w:w="5930" w:type="dxa"/>
        <w:jc w:val="left"/>
        <w:tblInd w:w="0" w:type="dxa"/>
        <w:tblLayout w:type="fixed"/>
        <w:tblCellMar>
          <w:top w:w="28" w:type="dxa"/>
          <w:left w:w="28" w:type="dxa"/>
          <w:bottom w:w="28" w:type="dxa"/>
          <w:right w:w="28" w:type="dxa"/>
        </w:tblCellMar>
      </w:tblPr>
      <w:tblGrid>
        <w:gridCol w:w="1739"/>
        <w:gridCol w:w="1527"/>
        <w:gridCol w:w="1533"/>
        <w:gridCol w:w="211"/>
        <w:gridCol w:w="76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Amended 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2022, the Company entered into an agreement with its various lenders to amend and restate its previous credit agreement (the “Second Amended and Restated Credit Agreement”). The Second Amended and Restated Credit Agreement provides for a $1.0 billion revolving credit facility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balances of the previous credit facilities.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ranges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was 2.75% per annum for Term SOFR loans and 1.75% per annum for base rate loans until the margins were both reduced by 25 basis points pursuant to the Second Amendment Agreement, as discussed and defined below, and effective December 4, 2024. The Amended Term Loan B Facility is subject to a Term SOFR “floor” of 0.50% per annum and a base rate “floor” of 1.50% per annum. In addition, the Company pays a commitment fee on the unused portion of the commitments under the Amended Revolving Credit Facility at a rate that ranges from 0.35% to 0.20% per annum, depending on the Company’s total net leverage ratio (as defined within the Second Amended and Restated Credit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discussed in </w:t>
      </w:r>
      <w:hyperlink w:anchor="if4e771b9a5bf400c8d8aabcb60865b46_55">
        <w:r>
          <w:rPr>
            <w:rStyle w:val="InternetLink"/>
            <w:rFonts w:ascii="Times New Roman;serif" w:hAnsi="Times New Roman;serif"/>
            <w:b w:val="false"/>
            <w:color w:val="0000FF"/>
            <w:sz w:val="20"/>
            <w:u w:val="single"/>
          </w:rPr>
          <w:t>Note 6, “Leases.”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2024 (the “Second Amendment Effective Date”), PENN entered into a Second Amendment (the “Second Amendment Agreement”) with its various lenders to reduce the interest rate margins applicable to the Company’s approximately $978 million in existing Amended Term Loan B Facility loans from 2.75% to 2.50% for Term SOFR loans, and from 1.75% to 1.50% for base rate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quarter end, on April 16, 2026, PENN entered into a Third Amendment (the “Third Amendment Agreement”) to its Second Amended and Restated Credit Agreement. The Third Amendment Agreement, among other things, refinanced and extended the term of the Company’s $1.0 billion Amended Revolving Credit Facility and $446.9 million Amended Term Loan A Facility (together, as so amended, the “Amended Facilities”). The Amended Facilities will mature in April 2031, subject to an earlier springing maturity 91 days inside certain of the Company’s existing debt obligations in the event that such debt remains outstanding and has not been refinanced, unless certain liquidity conditions are met. The interest rate margins applicable to the Amended Revolving Credit Facility and Amended Term Loan A Facility were unchanged by the Third Amendment Agreement, except that the Third Amendment Agreement removed the credit spread adjustment applicable to SOFR borrowings under the Amended Revolving Credit Facility and Amended Term Loan A Facility.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refinancing, the borrowing capacity under the Amended Facilities will be available for future working capital and other general corporate purposes.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existing Amended Term Loan B Facility remains outstanding and was not refinanced as part of the Third Amendment Agreement. The maturity of the Company’s Amended Term Loan B Facility remains unchanged.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$25.0 million drawn on the Amended Revolving Credit Facility. Additionally, the Company had conditional obligations under letters of credit issued pursuant to the Amended Credit Facilities with face amounts aggregating to $23.9 million, resulting in $951.1 million of available borrowing capacity under the Amended Revolving Credit Facility. As of April 28, 2026, the Company had no outstanding borrowings under its Amended Revolving Credit Facility; and continued to have $23.9 million in outstanding letters of credit, resulting in $976.1 million in available borrowing capacity.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6.75%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an offering of $600.0 million aggregate principal amount of 6.75% senior unsecured notes that mature on April 1, 2031 (the “6.75% Notes”). The 6.75% Notes were issued at par and interest is payable semi-annually on April 1st and October 1st of each year. The 6.75% Notes are not guaranteed by any of the Company’s subsidiaries except in the event that the Company, in the future, issues certain subsidiary-guaranteed debt securities. The Company may redeem the 6.75% Notes at any time on or after April 1, 2028, at the declining redemption premiums set forth in the indenture governing the 6.75% Notes, and, prior to April 1, 2028, at a “make-whole” redemption premium set forth in the indenture governing the 6.75% Notes. Net proceeds of the 6.75% Notes were used to repay borrowings under the Amended Revolving Credit Facility.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5.625%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19, 2017, the Company completed an offering of $400.0 million aggregate principal amount of 5.625% senior unsecured notes that mature on January 15, 2027 (the “5.625% Notes”). The 5.625% Notes were issued at par and interest is payable semi-annually on January 15th and July 15th of each year. The 5.625% Notes are not guaranteed by any of the Company’s subsidiaries except in the event that the Company, in the future, issues certain subsidiary-guaranteed debt securities. The Company may redeem the 5.625% Notes at any time on or after January 15, 2022, at the declining redemption premiums set forth in the indenture governing the 5.625% Notes. As of March 31, 2026, the 5.625% Notes are scheduled to mature within the next twelve months. However, the Company has classified this obligation as long-term based on its intent and ability to refinance on a long-term basis.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2.75% Unsecured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 public offering of $330.5 million aggregate principal amount of 2.75% unsecured convertible notes (the “Convertible Notes”) that mature, unless earlier converted, redeemed, or repurchased, on May 15, 2026 at a price of par.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an agreement with certain holders of the Convertible Notes to repurchase $223.8 million aggregate principal amount of the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Convertible Notes are scheduled to mature within the next twelve months. However, the Company has classified this obligation as long-term based on its intent and ability to refinance on a long-term basis.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none of the Convertible Notes have been converted into shares of the Company’s common stock. The maximum number of shares that could be issued to satisfy the conversion feature of the Convertible Notes is 5,928,661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net:</w:t>
      </w:r>
    </w:p>
    <w:tbl>
      <w:tblPr>
        <w:tblW w:w="6610" w:type="dxa"/>
        <w:jc w:val="left"/>
        <w:tblInd w:w="0" w:type="dxa"/>
        <w:tblLayout w:type="fixed"/>
        <w:tblCellMar>
          <w:top w:w="28" w:type="dxa"/>
          <w:left w:w="28" w:type="dxa"/>
          <w:bottom w:w="28" w:type="dxa"/>
          <w:right w:w="28" w:type="dxa"/>
        </w:tblCellMar>
      </w:tblPr>
      <w:tblGrid>
        <w:gridCol w:w="641"/>
        <w:gridCol w:w="563"/>
        <w:gridCol w:w="565"/>
        <w:gridCol w:w="109"/>
        <w:gridCol w:w="109"/>
        <w:gridCol w:w="313"/>
        <w:gridCol w:w="313"/>
        <w:gridCol w:w="606"/>
        <w:gridCol w:w="1770"/>
        <w:gridCol w:w="313"/>
        <w:gridCol w:w="109"/>
        <w:gridCol w:w="109"/>
        <w:gridCol w:w="109"/>
        <w:gridCol w:w="211"/>
        <w:gridCol w:w="61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Amended Credit Facilities, 5.625% Notes, 4.125% Notes due 2029 (the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defined in </w:t>
      </w:r>
      <w:hyperlink w:anchor="if4e771b9a5bf400c8d8aabcb60865b46_55">
        <w:r>
          <w:rPr>
            <w:rStyle w:val="InternetLink"/>
            <w:rFonts w:ascii="Times New Roman;serif" w:hAnsi="Times New Roman;serif"/>
            <w:b w:val="false"/>
            <w:color w:val="0000FF"/>
            <w:sz w:val="20"/>
            <w:u w:val="single"/>
          </w:rPr>
          <w:t>Note 6, “Leases”</w:t>
        </w:r>
      </w:hyperlink>
      <w:r>
        <w:rPr>
          <w:rFonts w:ascii="Times New Roman;serif" w:hAnsi="Times New Roman;serif"/>
          <w:b w:val="false"/>
          <w:color w:val="000000"/>
          <w:sz w:val="20"/>
        </w:rPr>
        <w:t>), each with GLPI.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Long-Term Obligation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2021, the Company entered into a financing arrangement with a third-party, which provided the Company with upfront and non-refundable cash proceeds while permitting us to participate in future proceeds on certain insurance coverage claims for economic losses PENN sustained due to the COVID-19 pandemic. During the three months ended March 31, 2025, the Company determined that obligations under these claims were no longer probable and therefore recognized a $215.1 million non-cash gain, which was recorded as “Gain on financing arrangement” within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6—Leases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Master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periods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(“AR PENN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AR PENN Master Lease are classified as operating leases and the related expenses are included in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next annual escalator test date is scheduled to occur on November 1, 2026. The next AR PENN Percentage Rent reset is scheduled to occur on November 1, 2028.</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2023 Master Lease includes a base rent (the “2023 Master Lease Base Rent”) and the Master Development Agreement contains additional rent (together with the 2023 Master Lease Base Rent, the “2023 Master Lease Rent”) equal to (i) 7.75% of any project funding received by PENN from GLPI for the relocation of our riverboat casino and related developments with respect to Aurora (the “Aurora Project”); and (ii) a percentage, based on the then-current GLPI stock price, of any project funding received by PENN from GLPI for development projects with respect to Joliet (the “Joliet Project”), M Resort (the “M Resort Project”), and Columbus (the “Columbus Project” and together with the Joliet Project and M Resort Project, the “Other Development Projects,” and together with the Aurora Project, referred to as the “PENN Development Projects”). The Master Development Agreement provides that GLPI will fund up to $225.0 million for the Aurora Project and, upon our request, up to $350.0 million in aggregate for the Other Development Projects, as discussed below. The 2023 Master Lease Rent will be subject to a one-time increase of $1.4 million, effective November 1, 2027. The 2023 Master Lease Rent is subject to an annual fixed escalator rent increase of 1.5% which began on November 1, 2023 and will continue to increase annually thereafter.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PENN Development Projects still under construction are all subject to necessary regulatory and other government approvals.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opened on December 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August 1, 2025, we determined that the sale-and-lease back of real estate assets related to the new Joliet facility to GLPI for $130.0 million constituted a lease modification under ASC Topic 842, “Leases”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August 1, 2025 lease modification, the Company reassessed the land and building components contained within the 2023 Master Lease and remeasured the related lease liabilities. The assessment and remeasurement included the following elements: (i) the removal of the previously leased Joliet facility assets; (ii) the addition of the newly leased Joliet facility assets; and (iii) a $10.1 million increase in annual rent, which is specific to the lease back of the real estate assets related to the new Joliet facility, subject to annual escalation in accordance with the 2023 Master Lease. The modification did not result in a change to the lease classification, and all lease components continue to be accounted for as operating leases. As of the modification date, the Company recognized $166.3 million in ROU assets and $163.0 million in corresponding lease liabilities 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November 3, 2025, we also determined that the sale-and-lease back of real estate assets related to the new M Resort hotel tower to GLPI for $150.0 million constituted a lease modification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November 3, 2025 lease modification, the Company reassessed the land and building components contained within the 2023 Master Lease and remeasured the related lease liabilities. The assessment and remeasurement included an $11.7 million increase in annual rent, which is specific to the lease back of the real estate assets related to the new M Resort hotel tower,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$94.0 million in the unaudited Consolidated Balance Sheets.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2023 Master Lease are classified as operating leases and the related expenses are included in “General and administrative” within the unaudited Consolidated Statements of Operations.</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both the August 1, 2025 and November 3, 2025 lease modifications, we concluded that the lease term will continue to end on the current lease expiration date of October 31, 2033, and that the three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requested $216.3 million in funding from GLPI for the Aurora Project (representing the $225.0 million commitment of GLPI less costs incurred to-date by GLPI with respect to the land associated with the Aurora Project), which we have not yet received. We did not request or receive any funding from GLPI for the Columbus Project, and GLPI’s funding commitment expired on December 31, 2025.</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Pinnacle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Pinnacle Master Lease contains land and building components that are classified as finance leases and financing obligations. Expenses related to lease components classified as finance leases are recorded to “Depreciation and amortization” and “Interest expense, net” within the unaudited Consolidated Statements of Operations.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next annual escalator test date and Pinnacle Percentage Rent reset are both scheduled to occur on May 1,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Triple Net Leases with REIT Landlords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VICI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2025, the Company entered into a triple net master lease with VICI Properties Inc. (NYSE: VICI) (“VICI”) (“VICI Master Lease”) which amended and restated the Margaritaville Lease and the Greektown Lease (both as defined below) into a single combined lease. The VICI Master Lease has an initial term through May 23, 2034, with four subsequent five-year renewal periods on the same terms and conditions, exercisable at the Company’s option. Upon execution of the VICI Master Lease, initial annual rent was set at $80.7 million, representing the aggregate annual rent under the Margaritaville Lease and the Greektown Lease in effect immediately prior to December 4, 2025. Annual rent will increase by 1.0% to $81.5 million effective June 1, 2026 and, thereafter, will be subject to an annual escalator of up to 1.0% each June 1, depending on a minimum coverage floor ratio of Net Revenue to Rent to be determined over the performance period from June 1, 2025 to May 31, 2026 (as defined within the VICI Master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determined that the execution of the VICI Master Lease constituted a lease modification under ASC 842. As such, the Company reassessed the land and building components and remeasured the related lease liabilities. The modification did not result in a change to the lease classification, and all lease components continue to be accounted for as operating leases. As of the modification date, the Company recognized an additional ROU asset and corresponding lease liability of $53.5 million in our unaudited Consolidated Balance Sheets.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the December 4, 2025 lease modification, we concluded that the lease term ends on May 23, 2034, the expiration of the initial 15-year lease period and that the four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Margaritaville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January 1, 2019, the Company had entered into an individual triple net lease with VICI for the real estate assets used in the operations of Margaritaville Resort Casino (the “Margaritaville Lease”). The Margaritaville Lease had an initial term of 15 years, with four subsequent five-year renewal periods on the same terms and conditions, exercisable at the Company’s option. The payment structure under the Margaritaville Lease included a fixed component, a portion that was subject to an annual escalator of up to 2% depending on a minimum coverage floor ratio of Net Revenue to Rent of 6.1:1, and a component that was based on performance, which was prospectively adjusted every two years by an amount equal to 4% of the average change in net revenues of the property compared to a contractual baseline during the preceding two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Margaritaville Lease were classified as operating leases and the related expenses were included to “General and administrative” within our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Greektown Lease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May 23, 2019, the Company had entered into an individual triple net lease with VICI for the real estate assets used in the operations of Hollywood Casino at Greektown (the “Greektown Lease”). The Greektown Lease had an initial term of 15 years, with four subsequent five-year renewal periods on the same terms and conditions, exercisable at the Company’s option. The payment structure under the Greektown Lease included a fixed component, a portion subject to an annual escalator of up to 2% initially determined based on an Adjusted Revenue to Rent ratio, as defined in the Greektown Lease, and subsequently amended to be determined based on an agreed upon minimum coverage floor ratio of Net Revenue to Rent, and a component that was based on performance, which was prospectively adjusted every two years by an amount equal to 4% of the average change in net revenues of the property compared to a contractual baseline during the preceding two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Greektown Lease were classified as operating leases and the related expenses were included in “General and administrative” within our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 2020, the Company entered into an individual triple net lease with a subsidiary of GLPI for the land underlying our development project in Morgantown, Pennsylvania (“Morgantown Lease”) in exchange for $30.0 million in rent credits.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concluded control of the land underlying the Morgantown facility was not passed from the Company to the lessor in accordance with ASC 842. As such we recognized a financing obligation in accordance with ASC 470 and continue to recognize the underlying land asset in “Property and equipment, net” within our unaudited Consolidated Balance Sheets.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the Master Leases, VICI Master Lease, Margaritaville Lease (prior to December 4, 2025), Greektown Lease (prior to December 4, 2025), and Morgantown Lease, collectively, as our “Triple Net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Non-REIT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any operating lease components contained within the Master Leases, VICI Master Lease, Margaritaville Lease (prior to December 4, 2025), and Greektown Lease (prior to December 4, 2025, and collectively referred to as “triple net operating leases”), the Company’s operating leases consist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maturity analysis of our operating leases, finance leases, and financing obligations as of March 31, 2026:</w:t>
      </w:r>
    </w:p>
    <w:tbl>
      <w:tblPr>
        <w:tblW w:w="10205" w:type="dxa"/>
        <w:jc w:val="left"/>
        <w:tblInd w:w="0" w:type="dxa"/>
        <w:tblLayout w:type="fixed"/>
        <w:tblCellMar>
          <w:top w:w="28" w:type="dxa"/>
          <w:left w:w="28" w:type="dxa"/>
          <w:bottom w:w="28" w:type="dxa"/>
          <w:right w:w="28" w:type="dxa"/>
        </w:tblCellMar>
      </w:tblPr>
      <w:tblGrid>
        <w:gridCol w:w="1676"/>
        <w:gridCol w:w="1466"/>
        <w:gridCol w:w="1469"/>
        <w:gridCol w:w="304"/>
        <w:gridCol w:w="1104"/>
        <w:gridCol w:w="156"/>
        <w:gridCol w:w="109"/>
        <w:gridCol w:w="109"/>
        <w:gridCol w:w="109"/>
        <w:gridCol w:w="268"/>
        <w:gridCol w:w="973"/>
        <w:gridCol w:w="138"/>
        <w:gridCol w:w="109"/>
        <w:gridCol w:w="109"/>
        <w:gridCol w:w="109"/>
        <w:gridCol w:w="370"/>
        <w:gridCol w:w="1349"/>
        <w:gridCol w:w="278"/>
      </w:tblGrid>
      <w:tr>
        <w:trPr/>
        <w:tc>
          <w:tcPr>
            <w:tcW w:w="167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Obligations</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4,288.0 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under our Triple Net Leases were as follows:</w:t>
      </w:r>
    </w:p>
    <w:tbl>
      <w:tblPr>
        <w:tblW w:w="6880" w:type="dxa"/>
        <w:jc w:val="left"/>
        <w:tblInd w:w="0" w:type="dxa"/>
        <w:tblLayout w:type="fixed"/>
        <w:tblCellMar>
          <w:top w:w="28" w:type="dxa"/>
          <w:left w:w="28" w:type="dxa"/>
          <w:bottom w:w="28" w:type="dxa"/>
          <w:right w:w="28" w:type="dxa"/>
        </w:tblCellMar>
      </w:tblPr>
      <w:tblGrid>
        <w:gridCol w:w="739"/>
        <w:gridCol w:w="649"/>
        <w:gridCol w:w="651"/>
        <w:gridCol w:w="109"/>
        <w:gridCol w:w="109"/>
        <w:gridCol w:w="313"/>
        <w:gridCol w:w="313"/>
        <w:gridCol w:w="606"/>
        <w:gridCol w:w="1770"/>
        <w:gridCol w:w="313"/>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(1)Prior to December 4, 2025, lease payments made to VICI related to the Margaritaville and Greektown individual triple net leases; effective December 4, 2025, lease payments made to VICI relate to the VICI Master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lease term and discount rate was as follows:</w:t>
      </w:r>
    </w:p>
    <w:tbl>
      <w:tblPr>
        <w:tblW w:w="7284" w:type="dxa"/>
        <w:jc w:val="left"/>
        <w:tblInd w:w="0" w:type="dxa"/>
        <w:tblLayout w:type="fixed"/>
        <w:tblCellMar>
          <w:top w:w="28" w:type="dxa"/>
          <w:left w:w="28" w:type="dxa"/>
          <w:bottom w:w="28" w:type="dxa"/>
          <w:right w:w="28" w:type="dxa"/>
        </w:tblCellMar>
      </w:tblPr>
      <w:tblGrid>
        <w:gridCol w:w="1359"/>
        <w:gridCol w:w="1194"/>
        <w:gridCol w:w="1196"/>
        <w:gridCol w:w="319"/>
        <w:gridCol w:w="319"/>
        <w:gridCol w:w="801"/>
        <w:gridCol w:w="109"/>
        <w:gridCol w:w="109"/>
        <w:gridCol w:w="109"/>
        <w:gridCol w:w="360"/>
        <w:gridCol w:w="360"/>
        <w:gridCol w:w="1049"/>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1303"/>
        <w:gridCol w:w="1075"/>
        <w:gridCol w:w="1083"/>
        <w:gridCol w:w="879"/>
        <w:gridCol w:w="856"/>
        <w:gridCol w:w="859"/>
        <w:gridCol w:w="109"/>
        <w:gridCol w:w="109"/>
        <w:gridCol w:w="109"/>
        <w:gridCol w:w="237"/>
        <w:gridCol w:w="237"/>
        <w:gridCol w:w="459"/>
        <w:gridCol w:w="1341"/>
        <w:gridCol w:w="237"/>
        <w:gridCol w:w="109"/>
        <w:gridCol w:w="109"/>
        <w:gridCol w:w="109"/>
        <w:gridCol w:w="211"/>
        <w:gridCol w:w="616"/>
        <w:gridCol w:w="158"/>
      </w:tblGrid>
      <w:tr>
        <w:trPr/>
        <w:tc>
          <w:tcPr>
            <w:tcW w:w="130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Location on unaudited </w:t>
              <w:br/>
              <w:t>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3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59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 expense associated with triple net operating leases</w:t>
            </w:r>
            <w:r>
              <w:rPr>
                <w:rFonts w:ascii="Times New Roman;serif" w:hAnsi="Times New Roman;serif"/>
                <w:b w:val="false"/>
                <w:color w:val="000000"/>
                <w:sz w:val="13"/>
              </w:rPr>
              <w:t>(1)</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(2)</w:t>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(2)</w:t>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lease liabilities </w:t>
            </w:r>
            <w:r>
              <w:rPr>
                <w:rFonts w:ascii="Times New Roman;serif" w:hAnsi="Times New Roman;serif"/>
                <w:b w:val="false"/>
                <w:color w:val="000000"/>
                <w:sz w:val="13"/>
              </w:rPr>
              <w:t>(3)</w:t>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ROU assets </w:t>
            </w:r>
            <w:r>
              <w:rPr>
                <w:rFonts w:ascii="Times New Roman;serif" w:hAnsi="Times New Roman;serif"/>
                <w:b w:val="false"/>
                <w:color w:val="000000"/>
                <w:sz w:val="13"/>
              </w:rPr>
              <w:t>(3)</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Obligation Costs</w:t>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financing obligations </w:t>
            </w:r>
            <w:r>
              <w:rPr>
                <w:rFonts w:ascii="Times New Roman;serif" w:hAnsi="Times New Roman;serif"/>
                <w:b w:val="false"/>
                <w:color w:val="000000"/>
                <w:sz w:val="13"/>
              </w:rPr>
              <w:t>(4)</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(1)Pertains to the following operating leases: (i) AR PENN Master Lease; (ii) 2023 Master Lease; (iii) Margaritaville Lease (for the period January 1, 2025 to March 31, 2025); (iv) Greektown Lease (for the period January 1, 2025 to March 31, 2025); and (v) VICI Master Lease (for the period January 1, 2026 to March 31,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(2)Excludes the operating lease costs and variable lease costs pertaining to our triple net leases with our REIT landlords classified as operating leases.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(3)Pertains to finance lease components associated with the Pinnacle Master Lease (land).</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(4)Pertains to the components contained within the Pinnacle Master Lease (buildings) and the 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6355" w:type="dxa"/>
        <w:jc w:val="left"/>
        <w:tblInd w:w="0" w:type="dxa"/>
        <w:tblLayout w:type="fixed"/>
        <w:tblCellMar>
          <w:top w:w="28" w:type="dxa"/>
          <w:left w:w="28" w:type="dxa"/>
          <w:bottom w:w="28" w:type="dxa"/>
          <w:right w:w="28" w:type="dxa"/>
        </w:tblCellMar>
      </w:tblPr>
      <w:tblGrid>
        <w:gridCol w:w="1088"/>
        <w:gridCol w:w="955"/>
        <w:gridCol w:w="957"/>
        <w:gridCol w:w="367"/>
        <w:gridCol w:w="707"/>
        <w:gridCol w:w="189"/>
        <w:gridCol w:w="189"/>
        <w:gridCol w:w="189"/>
        <w:gridCol w:w="189"/>
        <w:gridCol w:w="367"/>
        <w:gridCol w:w="890"/>
        <w:gridCol w:w="268"/>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lease activities: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operating leases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finance leases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7—Investments in and Advances to Unconsolidated Affiliates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investments in and advances to unconsolidated affiliates primarily consisted of the Company’s 50% investment in Kansas Entertainment, the joint venture with NASCAR that owns Hollywood Casino at Kansas Speedway.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Kansas Entertainment Joint Venture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investment in Kansas Entertainment was $77.6 million and $77.8 million, respectively. During the three months ended March 31, 2026 and 2025, the Company received distributions from Kansas Entertainment totaling $8.8 million and $8.3 million, respectively. The Company deems these distributions to be returns on its investment based on the source of those cash flows from the normal business operations of Kansas Entertainment.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March 31, 2026 and December 31, 2025, nor the results of operations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its provision for income taxes during interim reporting periods by applying an estimate of the annual effective tax rate to its year-to-date pre-tax book income or loss. The tax effects of discrete items are recognized in the period in which they occur. The effective tax rate (income taxes as a percentage of income from operations before income taxes) including discrete items was 36.8% and 26.2% for the three months ended March 31, 2026 and 2025, respectively.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the effective tax rate for the three months ended March 31, 2026, as compared to the prior-year period, was primarily driven by (i) the exclusion of certain foreign losses for which no tax benefit can be recognized in the Company’s worldwide effective tax rate calculation; (ii) non-deductible permanent items; (iii) state income taxes; and (iv) changes in the valuation allowance. The effective tax rate may vary from period to period depending on, among other factors, the geographic and business mix of the Company’s earnings, changes in its valuation allowance assessment, and other factors, including the Company’s historical and projected pre-tax earnings, which are considered in evaluating the realizability of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each reporting date, the Company evaluates all available positive and negative evidence in assessing the realizability of deferred tax assets, in accordance with ASC Topic 740, “Income Taxes” (“ASC 740”). As of March 31, 2026, the Company continues to maintain a valuation allowance on deferred tax assets not considered “more likely than not” to be realized. A reduction in the valuation allowance could result in a significant decrease in income tax expense in the period the release is recorded. The timing and amount of any reversal will depend on actual earnings achieved in 2026 and projected future income levels.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prepaid income taxes of $16.7 million and $35.7 million, respectively, which were included in “Prepaid expenses” within the unaudited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Liability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2023, we entered into a stock purchase agreement with David Portnoy (the “Barstool SPA”) and we sold 100% of the outstanding shares of Barstool Sports, Inc. (“Barstool” or “Barstool Sports”) common stock. Pursuant to the Barstool SPA,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maximum potential amount of future payments the Company could be required to make under this indemnification agreement is not estimable at this time due to uncertainties related to potential outcomes and other unique facts and circumstances involved in the Barstool SPA. As of both periods ended March 31, 2026 and December 31, 2025, the Company has recorded a liability of $39.5 million for this agreement. Liabilities associated with the indemnification are recorded at fair value in “Other long-term liabilities” within the unaudited Consolidated Balance Sheets. See </w:t>
      </w:r>
      <w:hyperlink w:anchor="if4e771b9a5bf400c8d8aabcb60865b46_73">
        <w:r>
          <w:rPr>
            <w:rStyle w:val="InternetLink"/>
            <w:rFonts w:ascii="Times New Roman;serif" w:hAnsi="Times New Roman;serif"/>
            <w:b w:val="false"/>
            <w:color w:val="0000FF"/>
            <w:sz w:val="20"/>
            <w:u w:val="single"/>
          </w:rPr>
          <w:t>Note 12, “Fair Value Measurements”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10—Stockholders’ Equity and Stock-Based Compensation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Score Media and Gaming, Inc. (“theScore”) in October 2021, the Company issued 12,319,340 shares of common stock with a par value of $0.01, and 697,539 exchangeable shares, par value $0.01 (“Exchangeable Shares”) through the capital of an indirect wholly-owned subsidiary of PENN,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issued as Exchangeable Shares once the shares vest or are exercised. In addition, the Company may redeem all outstanding Exchangeable Shares in exchange for shares of PENN common stock at any time following the fifth anniversary of the closing, or earlier under certain circumstances.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issue any Exchangeable Shares during the three months ended March 31, 2026 and 2025, respectively. As of both March 31, 2026 and December 31, 2025, there were 768,441 Exchangeable Shares authorized, of which 98,920 shares and 379,821 shares were outstanding,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 Repurchase Authorization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2025, the Board of Directors approved a new $750.0 million share repurchase program (the “October 2025 Authorization”), which commenced on January 1, 2026 and expires on December 31, 2028.</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shares of the Company’s common stock were repurchased during the three months ended March 31, 2026. During the three months ended March 31, 2025, the Company repurchased 1,413,882 shares of its common stock in open market transactions for $25.0 million at an average price of $17.67 per share under the previous $750.0 million authorization approved on December 6, 2022. The cost of all repurchased shares is recorded as “Treasury stock” within the unaudited Consolidated Balance Sheets.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2022 Long Term Incentive Compensation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Long Term Incentive Compensation Plan, approved by shareholders on June 7, 2022, authorizes stock options, stock appreciation rights, restricted stock, performance awards, and cash awards for executive officers, non-employee directors, other employees, consultants, and advisors of the Company and its subsidiaries. Non-employee directors and consultants are eligible to receive all awards other than incentive stock options. Shareholders approved amendments to the plan on June 6, 2023 and June 17, 2025. The amendment on June 17, 2025 increased the total shares reserved for issuance to 22,067,275 shares. Equity-settled awards count against the limit on a one-for-one basis, while awards not settled in common stock do not. As of March 31, 2026, there were 7,290,238 shares available for future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Performance Share Program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performance share programs were adopted to provide certain key executives with stock-based compensation tied directly to the Company’s performance, which further aligns their interests with our shareholders and provides compensation only if the designated performance goals are met for the applicable performance periods.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grant restricted units with performance-based vesting conditions during the three months ended March 31, 2026 and 2025. Subsequent to quarter end, in April 2026, the Company granted 726,565 restricted units with performance- and market-based vesting conditions, at target, under the current performance share program. The restricted performance units granted in 2026 consist of one three-year performance period over a three-year service period that ends on December 31, 2028. The awards may be earned at between 0% and 200% of target based on achievement of a specified financial performance goal, subject to further adjustment (±20%) based on the Company’s relative total shareholder return “TSR” for the three-year performance period compared to a specified stock market index. The TSR modifier also incorporates a downside safeguard, such that no upward TSR modifier will apply if three-year absolute TSR is negative. Any earned shares remain subject to vesting over the full three-year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Earnings (Loss)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a net loss attributable to PENN. As such, because the dilution from potential common shares was anti-dilutive, we used basic weighted-average common shares outstanding rather than diluted weighted-average common shares outstanding when calculating diluted loss per share. There are no reconciling items between the weighted-average common shares outstanding for basic and diluted EPS calculations for the period in which we recorded a net loss. Restricted stock and convertible debt that could potentially dilute basic EPS in the future, that is not included in the computation of diluted loss per share, is as follows:</w:t>
      </w:r>
    </w:p>
    <w:tbl>
      <w:tblPr>
        <w:tblW w:w="8462" w:type="dxa"/>
        <w:jc w:val="left"/>
        <w:tblInd w:w="0" w:type="dxa"/>
        <w:tblLayout w:type="fixed"/>
        <w:tblCellMar>
          <w:top w:w="28" w:type="dxa"/>
          <w:left w:w="28" w:type="dxa"/>
          <w:bottom w:w="28" w:type="dxa"/>
          <w:right w:w="28" w:type="dxa"/>
        </w:tblCellMar>
      </w:tblPr>
      <w:tblGrid>
        <w:gridCol w:w="1440"/>
        <w:gridCol w:w="1261"/>
        <w:gridCol w:w="1273"/>
        <w:gridCol w:w="109"/>
        <w:gridCol w:w="109"/>
        <w:gridCol w:w="3316"/>
        <w:gridCol w:w="109"/>
        <w:gridCol w:w="203"/>
        <w:gridCol w:w="203"/>
        <w:gridCol w:w="176"/>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954"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we recorded net income attributable to PENN. As such, we used diluted weighted-average common shares outstanding when calculating diluted income per share. Stock options, restricted stock, and convertible debt that could potentially dilute basic EPS in the future are included in the computation of diluted income per share. The following table reconciles the weighted-average common shares outstanding used in the calculation of basic EPS to the weighted-average common shares outstanding used in the calculation of diluted EPS for the three months ended March 31, 2025. </w:t>
      </w:r>
    </w:p>
    <w:tbl>
      <w:tblPr>
        <w:tblW w:w="9559" w:type="dxa"/>
        <w:jc w:val="left"/>
        <w:tblInd w:w="0" w:type="dxa"/>
        <w:tblLayout w:type="fixed"/>
        <w:tblCellMar>
          <w:top w:w="28" w:type="dxa"/>
          <w:left w:w="28" w:type="dxa"/>
          <w:bottom w:w="28" w:type="dxa"/>
          <w:right w:w="28" w:type="dxa"/>
        </w:tblCellMar>
      </w:tblPr>
      <w:tblGrid>
        <w:gridCol w:w="1755"/>
        <w:gridCol w:w="1539"/>
        <w:gridCol w:w="1551"/>
        <w:gridCol w:w="109"/>
        <w:gridCol w:w="109"/>
        <w:gridCol w:w="109"/>
        <w:gridCol w:w="109"/>
        <w:gridCol w:w="3316"/>
        <w:gridCol w:w="109"/>
        <w:gridCol w:w="308"/>
        <w:gridCol w:w="308"/>
        <w:gridCol w:w="237"/>
      </w:tblGrid>
      <w:tr>
        <w:trPr/>
        <w:tc>
          <w:tcPr>
            <w:tcW w:w="175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962" w:type="dxa"/>
            <w:gridSpan w:val="4"/>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Convertible debt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(1)See </w:t>
      </w:r>
      <w:hyperlink w:anchor="if4e771b9a5bf400c8d8aabcb60865b46_52">
        <w:r>
          <w:rPr>
            <w:rStyle w:val="InternetLink"/>
            <w:rFonts w:ascii="Times New Roman;serif" w:hAnsi="Times New Roman;serif"/>
            <w:b w:val="false"/>
            <w:color w:val="0000FF"/>
            <w:sz w:val="16"/>
            <w:u w:val="single"/>
          </w:rPr>
          <w:t>Note 5, “Long-Term Debt”</w:t>
        </w:r>
      </w:hyperlink>
      <w:r>
        <w:rPr>
          <w:color w:val="000000"/>
        </w:rPr>
        <w:t xml:space="preserve"> </w:t>
      </w:r>
      <w:r>
        <w:rPr>
          <w:rFonts w:ascii="Times New Roman;serif" w:hAnsi="Times New Roman;serif"/>
          <w:b w:val="false"/>
          <w:color w:val="000000"/>
          <w:sz w:val="16"/>
        </w:rPr>
        <w:t>for details regarding the repurchases of the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with performance and market based vesting conditions that were not met as of March 31, 2026 and 2025 were excluded from the computation of diluted EPS.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equity-based awards are excluded from the computation of diluted EPS, and primarily consists of stock options awarded under the Company’s previous and current long-term incentive compensation plans and warrants previously issued (“Initial Warrants”) under the terms of the Investment Agreement between PENN and ESPN, entered into on August 8, 2023 (the “Investment Agreement”). The prior year period included warrants outstanding prior to the November 5, 2025 amendment to the Investment Agreement, pursuant to which the Initial Warrants were deemed vested through and including February 8, 2026, and the remaining unvested warrants were forfeited and cancelled for no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options and warrants to purchase 13.8 million and 35.6 million shares were outstanding for the three months ended March 31, 2026 and 2025, respectively.</w:t>
      </w:r>
    </w:p>
    <w:p>
      <w:pPr>
        <w:pStyle w:val="TextBody"/>
        <w:bidi w:val="0"/>
        <w:spacing w:lineRule="auto" w:line="288" w:before="0" w:after="60"/>
        <w:ind w:left="0" w:right="0" w:firstLine="360"/>
        <w:jc w:val="left"/>
        <w:rPr/>
      </w:pPr>
      <w:r>
        <w:rPr>
          <w:rFonts w:ascii="Times New Roman;serif" w:hAnsi="Times New Roman;serif"/>
          <w:b w:val="false"/>
          <w:color w:val="000000"/>
          <w:sz w:val="20"/>
        </w:rPr>
        <w:t xml:space="preserve">The Company’s calculation of weighted-average common shares outstanding includes the Exchangeable Shares issued in connection with theScore acquisition, as discussed in </w:t>
      </w:r>
      <w:hyperlink w:anchor="if4e771b9a5bf400c8d8aabcb60865b46_64">
        <w:r>
          <w:rPr>
            <w:rStyle w:val="InternetLink"/>
            <w:rFonts w:ascii="Times New Roman;serif" w:hAnsi="Times New Roman;serif"/>
            <w:b w:val="false"/>
            <w:color w:val="0000FF"/>
            <w:sz w:val="20"/>
            <w:u w:val="single"/>
          </w:rPr>
          <w:t>Note 10, “Stockholders’ Equity and Stock-Based Compensation.”</w:t>
        </w:r>
      </w:hyperlink>
      <w:r>
        <w:rPr>
          <w:color w:val="000000"/>
        </w:rPr>
        <w:t xml:space="preserve"> </w:t>
      </w:r>
      <w:r>
        <w:rPr>
          <w:rFonts w:ascii="Times New Roman;serif" w:hAnsi="Times New Roman;serif"/>
          <w:b w:val="false"/>
          <w:color w:val="000000"/>
          <w:sz w:val="20"/>
        </w:rPr>
        <w:t>The following table presents the calculation of basic and diluted earnings (loss) per share for the Company’s common stock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979"/>
        <w:gridCol w:w="1715"/>
        <w:gridCol w:w="1732"/>
        <w:gridCol w:w="109"/>
        <w:gridCol w:w="109"/>
        <w:gridCol w:w="315"/>
        <w:gridCol w:w="315"/>
        <w:gridCol w:w="610"/>
        <w:gridCol w:w="1695"/>
        <w:gridCol w:w="315"/>
        <w:gridCol w:w="109"/>
        <w:gridCol w:w="109"/>
        <w:gridCol w:w="109"/>
        <w:gridCol w:w="211"/>
        <w:gridCol w:w="616"/>
        <w:gridCol w:w="157"/>
      </w:tblGrid>
      <w:tr>
        <w:trPr/>
        <w:tc>
          <w:tcPr>
            <w:tcW w:w="197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11" w:type="dxa"/>
            <w:gridSpan w:val="6"/>
            <w:tcBorders/>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PENN Entertainment,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Exchangeable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of tax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tax-affected rate was 21% for both of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1: Observable inputs such as quoted prices in active markets for identical assets or liabilities.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 approximates the carrying amounts.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March 16, 2026, the Company issued $600.0 million of unsecured notes due 2031 at an interest rate of 6.75%. See </w:t>
      </w:r>
      <w:hyperlink w:anchor="if4e771b9a5bf400c8d8aabcb60865b46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fair value of o</w:t>
      </w:r>
      <w:r>
        <w:rPr>
          <w:rFonts w:ascii="Times New Roman;serif" w:hAnsi="Times New Roman;serif"/>
          <w:b w:val="false"/>
          <w:color w:val="000000"/>
          <w:sz w:val="20"/>
          <w:shd w:fill="FFFFFF" w:val="clear"/>
        </w:rPr>
        <w:t>ur Amended Credit Facilities,</w:t>
      </w:r>
      <w:r>
        <w:rPr>
          <w:color w:val="000000"/>
        </w:rPr>
        <w:t xml:space="preserve"> </w:t>
      </w:r>
      <w:r>
        <w:rPr>
          <w:rFonts w:ascii="Times New Roman;serif" w:hAnsi="Times New Roman;serif"/>
          <w:b w:val="false"/>
          <w:color w:val="000000"/>
          <w:sz w:val="20"/>
        </w:rPr>
        <w:t>5.625% Notes, 4.125% Notes, 6.75% Notes, and the Convertible Notes is estimated based on quoted prices in active markets. Due to their trading frequency, these long-term debt instruments are classified as Level 2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Liability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both periods ended March 31, 2026 and December 31, 2025, other liabilities include a $39.5 million tax indemnification, as described in </w:t>
      </w:r>
      <w:hyperlink w:anchor="if4e771b9a5bf400c8d8aabcb60865b46_61">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Liabilities associated with the indemnification are recorded in “Other long-term liabilities” within the unaudited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March 31, 2026 and December 31,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acquired 12.0% secured convertible notes in a third-party technology provider on April 7, 2023 for $20.0 million, due on the third-year anniversary of the date of issuance. On February 2, 2026, the Company amended the terms of the convertible notes to extend the maturity date to April 2029. As of both periods ended March 31, 2026 and December 31, 2025, the balance of the convertible notes was $26.4 million, which is reported in “Other assets” in our unaudited Consolidated Balance Sheets. The fair value of the convertible notes was determined using valuation models that utilize Level 3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were as follows:</w:t>
      </w:r>
    </w:p>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calculating fair value for our Level 3 assets and liabilities on a recurring basis as of March 31, 2026:</w:t>
      </w:r>
    </w:p>
    <w:tbl>
      <w:tblPr>
        <w:tblW w:w="8407" w:type="dxa"/>
        <w:jc w:val="left"/>
        <w:tblInd w:w="0" w:type="dxa"/>
        <w:tblLayout w:type="fixed"/>
        <w:tblCellMar>
          <w:top w:w="28" w:type="dxa"/>
          <w:left w:w="28" w:type="dxa"/>
          <w:bottom w:w="28" w:type="dxa"/>
          <w:right w:w="28" w:type="dxa"/>
        </w:tblCellMar>
      </w:tblPr>
      <w:tblGrid>
        <w:gridCol w:w="1011"/>
        <w:gridCol w:w="889"/>
        <w:gridCol w:w="890"/>
        <w:gridCol w:w="624"/>
        <w:gridCol w:w="624"/>
        <w:gridCol w:w="626"/>
        <w:gridCol w:w="109"/>
        <w:gridCol w:w="109"/>
        <w:gridCol w:w="109"/>
        <w:gridCol w:w="589"/>
        <w:gridCol w:w="589"/>
        <w:gridCol w:w="591"/>
        <w:gridCol w:w="109"/>
        <w:gridCol w:w="109"/>
        <w:gridCol w:w="109"/>
        <w:gridCol w:w="268"/>
        <w:gridCol w:w="268"/>
        <w:gridCol w:w="784"/>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13—Segment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retail segments primarily generate revenue from gaming operations (such as slot machines and table games), food and beverage offerings, and hotel visitation. The accounting policies of our retail segments are the same as those described in our significant accounting policies. See </w:t>
      </w:r>
      <w:hyperlink w:anchor="if4e771b9a5bf400c8d8aabcb60865b46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 includes all of our online gaming operations, management of retail sports betting, and media operations. The accounting policies of our Interactive segment are the same as those described in our significant accounting policies. See </w:t>
      </w:r>
      <w:hyperlink w:anchor="if4e771b9a5bf400c8d8aabcb60865b46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Other category, </w:t>
      </w:r>
      <w:r>
        <w:rPr>
          <w:rFonts w:ascii="Times New Roman;serif" w:hAnsi="Times New Roman;serif"/>
          <w:b w:val="false"/>
          <w:color w:val="000000"/>
          <w:sz w:val="20"/>
        </w:rPr>
        <w:t>included in the tables to reconcile the segment information to the consolidated information,</w:t>
      </w:r>
      <w:r>
        <w:rPr>
          <w:color w:val="000000"/>
          <w:shd w:fill="FFFFFF" w:val="clear"/>
        </w:rPr>
        <w:t xml:space="preserve"> </w:t>
      </w:r>
      <w:r>
        <w:rPr>
          <w:rFonts w:ascii="Times New Roman;serif" w:hAnsi="Times New Roman;serif"/>
          <w:b w:val="false"/>
          <w:color w:val="000000"/>
          <w:sz w:val="20"/>
          <w:shd w:fill="FFFFFF" w:val="clear"/>
        </w:rPr>
        <w:t>consists of our stand-alone racing operations, namely Sanford-Orlando Kennel Club, Sam Houston and Valley Race Park</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and our management contract for Retama Park Racetrack. The Other category also includes corporate overhead expenses, which consist of certain expenses, such as: payroll, professional fees, travel expenses, and other general and administrative expenses that have not otherwise been allocated.</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(“CODM”) is the Chief Executive Officer and President. Segment Adjusted EBITDAR (as defined below) is our measure of segment profit or loss for each segment and is utilized by the CODM as follows: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 xml:space="preserve">within the annual budget and forecasting process when making decisions about the allocation of operating and capital resources to each segment;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evaluate monthly budget-to-actual variances which are used in assessing segment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determine whether to reinvest profits into the segment or into other parts of the Company, such as new development projects, return generating investments in our retail operations and Interactive segment;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shd w:fill="FFFFFF" w:val="clear"/>
        </w:rPr>
        <w:t>to determine various capital allocation initiatives such as mergers and acquisitions, share repurchases, and delevering.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our revenues, expenses, and Segment Adjusted EBITDAR and provide a reconciliation to net income (loss).</w:t>
      </w:r>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 2026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66" w:type="dxa"/>
        <w:jc w:val="left"/>
        <w:tblInd w:w="0" w:type="dxa"/>
        <w:tblLayout w:type="fixed"/>
        <w:tblCellMar>
          <w:top w:w="28" w:type="dxa"/>
          <w:left w:w="28" w:type="dxa"/>
          <w:bottom w:w="28" w:type="dxa"/>
          <w:right w:w="28" w:type="dxa"/>
        </w:tblCellMar>
      </w:tblPr>
      <w:tblGrid>
        <w:gridCol w:w="1887"/>
        <w:gridCol w:w="1661"/>
        <w:gridCol w:w="1672"/>
        <w:gridCol w:w="211"/>
        <w:gridCol w:w="48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(9)</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$185.8 million</w:t>
      </w:r>
      <w:r>
        <w:rPr>
          <w:color w:val="000000"/>
        </w:rPr>
        <w:t xml:space="preserve"> </w:t>
      </w:r>
      <w:r>
        <w:rPr>
          <w:rFonts w:ascii="Times New Roman;serif" w:hAnsi="Times New Roman;serif"/>
          <w:b w:val="false"/>
          <w:color w:val="000000"/>
          <w:sz w:val="16"/>
        </w:rPr>
        <w:t>for the three months ended March 31,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advertising and media expenses across various platforms for both the Hollywood-branded iCasino and theScore BET, which launched in the US following the termination of the Sportsbook Agreement. Such platforms include television, radio, out-of-home, social media,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w:t>
      </w:r>
      <w:r>
        <w:rPr>
          <w:rFonts w:ascii="Times New Roman;serif" w:hAnsi="Times New Roman;serif"/>
          <w:b w:val="false"/>
          <w:color w:val="000000"/>
          <w:sz w:val="16"/>
          <w:shd w:fill="FFFFFF" w:val="clear"/>
        </w:rPr>
        <w:t xml:space="preserve">vices, legal expenses, software subscriptions and maintenance fees, software development costs, utilities, supplies, property and liability insurance, other taxes and fees, lease expenses, allocated corporate expenses, and </w:t>
      </w:r>
      <w:r>
        <w:rPr>
          <w:rFonts w:ascii="Times New Roman;serif" w:hAnsi="Times New Roman;serif"/>
          <w:b w:val="false"/>
          <w:color w:val="000000"/>
          <w:sz w:val="16"/>
        </w:rPr>
        <w:t>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(6)</w:t>
      </w:r>
      <w:r>
        <w:rPr>
          <w:rFonts w:ascii="Times New Roman;serif" w:hAnsi="Times New Roman;serif"/>
          <w:b w:val="false"/>
          <w:color w:val="000000"/>
          <w:sz w:val="16"/>
        </w:rPr>
        <w:t xml:space="preserve">Primarily represents corporate overhead expenses of </w:t>
      </w:r>
      <w:r>
        <w:rPr>
          <w:rFonts w:ascii="Times New Roman;serif" w:hAnsi="Times New Roman;serif"/>
          <w:b w:val="false"/>
          <w:color w:val="000000"/>
          <w:sz w:val="16"/>
          <w:shd w:fill="FFFFFF" w:val="clear"/>
        </w:rPr>
        <w:t>$28.2 million</w:t>
      </w:r>
      <w:r>
        <w:rPr>
          <w:color w:val="000000"/>
        </w:rPr>
        <w:t xml:space="preserve"> </w:t>
      </w:r>
      <w:r>
        <w:rPr>
          <w:rFonts w:ascii="Times New Roman;serif" w:hAnsi="Times New Roman;serif"/>
          <w:b w:val="false"/>
          <w:color w:val="000000"/>
          <w:sz w:val="16"/>
        </w:rPr>
        <w:t>for the three months ended March 31,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and (iii) VICI Master Lease.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000000"/>
          <w:sz w:val="16"/>
          <w:shd w:fill="FFFFFF" w:val="clear"/>
        </w:rPr>
        <w:t>(9)</w:t>
      </w:r>
      <w:r>
        <w:rPr>
          <w:rFonts w:ascii="Times New Roman;serif" w:hAnsi="Times New Roman;serif"/>
          <w:b w:val="false"/>
          <w:color w:val="000000"/>
          <w:sz w:val="16"/>
        </w:rPr>
        <w:t>Represents expenses related to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and other transaction costs.</w:t>
      </w:r>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01" w:type="dxa"/>
        <w:jc w:val="left"/>
        <w:tblInd w:w="0" w:type="dxa"/>
        <w:tblLayout w:type="fixed"/>
        <w:tblCellMar>
          <w:top w:w="28" w:type="dxa"/>
          <w:left w:w="28" w:type="dxa"/>
          <w:bottom w:w="28" w:type="dxa"/>
          <w:right w:w="28" w:type="dxa"/>
        </w:tblCellMar>
      </w:tblPr>
      <w:tblGrid>
        <w:gridCol w:w="1887"/>
        <w:gridCol w:w="1661"/>
        <w:gridCol w:w="1672"/>
        <w:gridCol w:w="211"/>
        <w:gridCol w:w="61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financing arrangement </w:t>
            </w:r>
            <w:r>
              <w:rPr>
                <w:rFonts w:ascii="Times New Roman;serif" w:hAnsi="Times New Roman;serif"/>
                <w:b w:val="false"/>
                <w:color w:val="000000"/>
                <w:sz w:val="13"/>
              </w:rPr>
              <w:t>(9)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$128.2 million</w:t>
      </w:r>
      <w:r>
        <w:rPr>
          <w:color w:val="000000"/>
        </w:rPr>
        <w:t xml:space="preserve"> </w:t>
      </w:r>
      <w:r>
        <w:rPr>
          <w:rFonts w:ascii="Times New Roman;serif" w:hAnsi="Times New Roman;serif"/>
          <w:b w:val="false"/>
          <w:color w:val="000000"/>
          <w:sz w:val="16"/>
        </w:rPr>
        <w:t>for the three months ended March 31,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$37.5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$14.2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(including such expenses associated with the Hollywood-branded iCasino and theScore BET) across various platforms. Such platforms include television, radio, out-of-home, social media, and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w:t>
      </w:r>
      <w:r>
        <w:rPr>
          <w:rFonts w:ascii="Times New Roman;serif" w:hAnsi="Times New Roman;serif"/>
          <w:b w:val="false"/>
          <w:color w:val="000000"/>
          <w:sz w:val="16"/>
          <w:shd w:fill="FFFFFF" w:val="clear"/>
        </w:rPr>
        <w:t xml:space="preserve">vices, legal expenses, software subscriptions and maintenance fees, software development costs, utilities, supplies, property and liability insurance, other taxes and fees, lease expenses, allocated corporate expenses, and </w:t>
      </w:r>
      <w:r>
        <w:rPr>
          <w:rFonts w:ascii="Times New Roman;serif" w:hAnsi="Times New Roman;serif"/>
          <w:b w:val="false"/>
          <w:color w:val="000000"/>
          <w:sz w:val="16"/>
        </w:rPr>
        <w:t>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212529"/>
          <w:sz w:val="16"/>
          <w:shd w:fill="FFFFFF" w:val="clear"/>
        </w:rPr>
        <w:t>(6)</w:t>
      </w:r>
      <w:r>
        <w:rPr>
          <w:rFonts w:ascii="Times New Roman;serif" w:hAnsi="Times New Roman;serif"/>
          <w:b w:val="false"/>
          <w:color w:val="000000"/>
          <w:sz w:val="16"/>
        </w:rPr>
        <w:t>Primarily represents corporate overhead expenses of $36.0 million for the three months ended March 31, 2025, which is inclusive of $7.7 million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(8)Consists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 xml:space="preserve">(9)Relates to the </w:t>
      </w:r>
      <w:r>
        <w:rPr>
          <w:rFonts w:ascii="Times New Roman;serif" w:hAnsi="Times New Roman;serif"/>
          <w:b w:val="false"/>
          <w:color w:val="000000"/>
          <w:sz w:val="16"/>
        </w:rPr>
        <w:t>$215.1 million</w:t>
      </w:r>
      <w:r>
        <w:rPr>
          <w:color w:val="212529"/>
          <w:shd w:fill="FFFFFF" w:val="clear"/>
        </w:rPr>
        <w:t xml:space="preserve"> </w:t>
      </w:r>
      <w:r>
        <w:rPr>
          <w:rFonts w:ascii="Times New Roman;serif" w:hAnsi="Times New Roman;serif"/>
          <w:b w:val="false"/>
          <w:color w:val="212529"/>
          <w:sz w:val="16"/>
          <w:shd w:fill="FFFFFF" w:val="clear"/>
        </w:rPr>
        <w:t xml:space="preserve">non-cash gain on financing arrangement. </w:t>
      </w:r>
      <w:r>
        <w:rPr>
          <w:rFonts w:ascii="Times New Roman;serif" w:hAnsi="Times New Roman;serif"/>
          <w:b w:val="false"/>
          <w:color w:val="000000"/>
          <w:sz w:val="16"/>
        </w:rPr>
        <w:t xml:space="preserve">See </w:t>
      </w:r>
      <w:hyperlink w:anchor="if4e771b9a5bf400c8d8aabcb60865b46_52">
        <w:r>
          <w:rPr>
            <w:rStyle w:val="InternetLink"/>
            <w:rFonts w:ascii="Times New Roman;serif" w:hAnsi="Times New Roman;serif"/>
            <w:b w:val="false"/>
            <w:color w:val="0000FF"/>
            <w:sz w:val="16"/>
            <w:u w:val="single"/>
          </w:rPr>
          <w:t>Note 5, “Long-Term Debt.”</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capital expenditures by segment:</w:t>
      </w:r>
    </w:p>
    <w:tbl>
      <w:tblPr>
        <w:tblW w:w="7179" w:type="dxa"/>
        <w:jc w:val="left"/>
        <w:tblInd w:w="0" w:type="dxa"/>
        <w:tblLayout w:type="fixed"/>
        <w:tblCellMar>
          <w:top w:w="28" w:type="dxa"/>
          <w:left w:w="28" w:type="dxa"/>
          <w:bottom w:w="28" w:type="dxa"/>
          <w:right w:w="28" w:type="dxa"/>
        </w:tblCellMar>
      </w:tblPr>
      <w:tblGrid>
        <w:gridCol w:w="848"/>
        <w:gridCol w:w="742"/>
        <w:gridCol w:w="750"/>
        <w:gridCol w:w="109"/>
        <w:gridCol w:w="109"/>
        <w:gridCol w:w="344"/>
        <w:gridCol w:w="344"/>
        <w:gridCol w:w="666"/>
        <w:gridCol w:w="1615"/>
        <w:gridCol w:w="344"/>
        <w:gridCol w:w="109"/>
        <w:gridCol w:w="109"/>
        <w:gridCol w:w="109"/>
        <w:gridCol w:w="211"/>
        <w:gridCol w:w="61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unaudited Consolidated Balance Sheets as total consolidated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investment in and advances to unconsolidated affiliates and total assets by segment:</w:t>
      </w:r>
    </w:p>
    <w:tbl>
      <w:tblPr>
        <w:tblW w:w="10205" w:type="dxa"/>
        <w:jc w:val="left"/>
        <w:tblInd w:w="0" w:type="dxa"/>
        <w:tblLayout w:type="fixed"/>
        <w:tblCellMar>
          <w:top w:w="28" w:type="dxa"/>
          <w:left w:w="28" w:type="dxa"/>
          <w:bottom w:w="28" w:type="dxa"/>
          <w:right w:w="28" w:type="dxa"/>
        </w:tblCellMar>
      </w:tblPr>
      <w:tblGrid>
        <w:gridCol w:w="775"/>
        <w:gridCol w:w="246"/>
        <w:gridCol w:w="248"/>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March 31, 2026</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December 31, 2025</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real estate assets subject to the Master Leases, which are classified as either property and equipment, net, operating lease ROU assets, or finance lease ROU assets, are included within the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 Entertainment, Inc., together with its subsidiaries (“PENN,” or the “Company,” “we,” “our,” or “us”), operates in 27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approximately 34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and collectively referred to as the “Master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Realignment of Digital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realigned our digital strategy to prioritize our U.S. iCasino and Canadian operations, with OSB, now offered in the U.S. under theScore Bet brand, and serving as a top-of-funnel customer acquisition and cross-sell channel. Our iCasino strategy is aligned with our core business, which emphasizes cross-sell opportunities across our ecosystem and enhanced connectivity with our PENN Play loyalty program. Our Hollywood-branded iCasino will remain integrated into our OSB product in jurisdictions where permitted, in addition to serving as a standalone iCasino app.</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Recent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2022, the Company announced its intent to pursue four new development projects, including the land-based relocations of Hollywood Casino Joliet (“Joliet”) and Hollywood Casino Aurora (“Aurora”), a second hotel tower at M Resort Spa Casino (“M Resort”), and a new hotel at Hollywood Casino Columbus (“Columbus”).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Subsequently, on February 21, 2023, as described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the Company and GLPI entered into a master development agreement (the “Master Development Agreement”) related to these development projects.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Master Development Agreement provides that GLPI will fund (i) up to $225.0 million for the relocation of our riverboat casino and related developments with respect to Aurora (the “Aurora Project”); and (ii) upon our request, up to $130.0 million for the relocation of our riverboat casino and related developments with respect to Joliet (the “Joliet Project”), up to $150.0 million for the second hotel tower at M Resort (the “M Resort Project”), up to $70.0 million for the new hotel tower at Columbus (the “Columbus Project” and together with the Joliet Project and M Resort Project, the “Other Development Projects,” and together with the Aurora Project, referred to as the “PENN Development Projects”), all in accordance with certain terms and conditions set forth in the Master Development Agreement. GLPI has committed up to $225.0 million in funding for the Aurora Project at a 7.75% cap rate, which we are required to draw and the funding will be structured as rent under the 2023 Master Lease (as described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Rent within the 2023 Master Lease will also increase by a percentage, based on the then-current GLPI stock price, of any project funding received by PENN from GLPI for the Other Development Projects. The PENN Development Projects still under construction are all subject to necessary regulatory and other government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Joliet Project to relocate its riverboat casino operations to a new, state-of-the-art land-based facility opened on August 11, 2025. The best-in-class property features approximately 1,000 slots and 43 live table games, including high-limit slots and table games, a baccarat room, and a retail sportsbook. Its unique bars and restaurants include Sorellina by Giada De Laurentiis and Boulevard Food &amp; Drink Hall. Additional features of the new property include an approximately 10,000 square foot, all-ages event center with meeting areas, and approximately 1,330 parking spaces. On August 1, 2025, the Company received the full $130.0 million in committed funding from GLPI for the Joliet Project, resulting in a $10.1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second hotel tower at M Resort opened on December 1, 2025. The M Resort Project added 375 rooms to the Company’s property south of the Las Vegas Strip, bringing its total to 765 rooms and suites. Along with the rooms, the project includes expanded meeting space, updated amenities, and additional local partnerships. On November 3, 2025, the Company received the full $150.0 million in committed funding from GLPI for the M Resort Project, resulting in an $11.7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new hotel at Columbus is expected to open on June 12, 2026. The hotel is expected to include 180 rooms, meeting space, an additional restaurant, and local partnerships and amenities. We did not request or receive any funding from GLPI for the Columbus Project, and GLPI’s funding commitment expired on December 31,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Aurora Project to relocate its riverboat casino operations to a new, land-based facility is expected to open on June 24, 2026. The land-based casino will feature roughly 1,200 gaming positions, approximately 220 guest rooms, a retail sportsbook, outdoor entertainment area, full-service spa, high-quality bars and restaurants, an approximately 12,000 square foot event center with meeting areas, and approximately 1,700 parking spaces. The Aurora Project included the transfer of certain parcels of land from the City of Aurora, and up to $50.0 million of the project will be funded by the city through a new bond issuance. As of April 28, 2026, we have requested $216.3 million in funding from GLPI for the Aurora Project (representing the $225.0 million commitment of GLPI less costs incurred to-date by GLPI with respect to the land associated with the Aurora Project), which we have not yet received, while the Company has received $29.3 million from the City of Aurora.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announced a development project to relocate its Ameristar Council Bluffs (“ACB”) riverboat casino operations to a new, land-based property to be rebranded as Hollywood Casino Council Bluffs (“HCCB”). Under the proposed plan, the new HCCB is expected to include roughly 125,000 square feet of new development with approximately 58,000 square feet of gaming space and more than 1,000 positions on a single level. The new facility will complement the existing retail sportsbook, 160-room hotel, and dining options in the landside portion of the current infrastructure. The project is anticipated to cost between $180.0 million and $200.0 million and is expected to open in 2028. GLPI has committed to finance, at PENN’s request, up to $150.0 million of the project at a 7.1% cap rate, which may be structured at PENN’s option as either rent or a 5-year term loan that is prepayable at any time without penalty.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Strategic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portfolio of assets provides us with the benefit of geographically 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Our sports media assets and proprietary OSB and iCasino technology reinforce our strategy to continue evolving from the nation’s largest regional gaming operator to a best-in-class omni-channel provider of retail gaming, iCasino, and sports betting entertainment. Additionally, our iCasino forward strategy with long-term alignment to our core business will focus on cross-sell opportunities across our ecosystem and enhanced connectivity to our PENN Play loyalty program.</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and Competitive Environment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our properties operate in mature, competitive markets. We expect the majority of our future growth to come from our OSB and iCasino businesses; improvements, expansions, or relocations of our existing properties; entrance into new jurisdictions or verticals; expansions of gaming in existing jurisdictions; strategic investments and acquisitions; and cross-sell opportunities between our retail gaming, OSB, and iCasino businesses. Our portfolio is comprised largely of well-maintained regional gaming facilities, which has allowed us to develop what we believe to be a solid base for future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We continuously adjust operations, offerings, and cost structures to reflect changing economic conditions, as well as consumer demand and behaviors. We also continue to focus on technology enhancements, and providing customers with additional gaming and entertainment experiences through our differentiated omni-channel strategy. We seek to grow our customer database and PENN Play</w:t>
      </w:r>
      <w:r>
        <w:rPr>
          <w:color w:val="000000"/>
        </w:rPr>
        <w:t xml:space="preserve"> </w:t>
      </w:r>
      <w:r>
        <w:rPr>
          <w:rFonts w:ascii="Times New Roman;serif" w:hAnsi="Times New Roman;serif"/>
          <w:b w:val="false"/>
          <w:color w:val="000000"/>
          <w:sz w:val="20"/>
        </w:rPr>
        <w:t>loyalty program through our iCasino and OSB businesses, the development of new properties, the expansion of existing properties and other business lines, and through partnerships with third-party partners, such as Shake Shack Inc., Ticketmaster Entertainment, LLC, Norwegian Cruise Line Holdings Ltd., Live Nation Entertainment, Inc., and Choice Hotels International, Inc. In addition, we believe that our online gaming offerings, combined with other strategic relationships we have, or may develop in the future, should enable us to acquire new customers, expand our player database, and provide additional revenue streams that enhance our omni-channel strategy.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historical horse racing gaming terminals, illegal slot machines and skill games, fantasy sports and third-party internet or mobile-based gaming platforms, including both legal and illegal iCasino and sports betting operations, and emerging prediction markets. See the </w:t>
      </w:r>
      <w:hyperlink w:anchor="if4e771b9a5bf400c8d8aabcb60865b46_109">
        <w:r>
          <w:rPr>
            <w:rStyle w:val="InternetLink"/>
            <w:color w:val="0000FF"/>
            <w:u w:val="single"/>
          </w:rPr>
          <w:t>“</w:t>
        </w:r>
      </w:hyperlink>
      <w:hyperlink w:anchor="if4e771b9a5bf400c8d8aabcb60865b46_109">
        <w:r>
          <w:rPr>
            <w:rStyle w:val="InternetLink"/>
            <w:rFonts w:ascii="Times New Roman;serif" w:hAnsi="Times New Roman;serif"/>
            <w:b w:val="false"/>
            <w:color w:val="0000FF"/>
            <w:sz w:val="20"/>
            <w:u w:val="single"/>
          </w:rPr>
          <w:t>Segment comparison of the three months ended March 31, 2026 and 2025”</w:t>
        </w:r>
      </w:hyperlink>
      <w:r>
        <w:rPr>
          <w:color w:val="000000"/>
        </w:rPr>
        <w:t xml:space="preserve"> </w:t>
      </w:r>
      <w:r>
        <w:rPr>
          <w:rFonts w:ascii="Times New Roman;serif" w:hAnsi="Times New Roman;serif"/>
          <w:b w:val="false"/>
          <w:color w:val="000000"/>
          <w:sz w:val="20"/>
        </w:rPr>
        <w:t>section below for discussions on our results of operations by reportable segment.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Key Performance Indicators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actual or perceived weakened general economic conditions, such as recessions, inflation, rising interest rate environments, tight credit conditions, high unemployment levels, higher income taxes, low levels of consumer confidence, weakness in the housing market, high fuel or other transportation costs, global hostilities, political or social unrest, and the effects of pandemics.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revenues is gaming revenue, which is highly dependent upon the volume and spending levels of customers at our properties. Our gaming revenue is derived primarily from slot machines (which represented approximately 86% of our gaming revenue for the three months ended March 31, 2026 and 2025, respectively) and, to a lesser extent, table games, OSB, and iCasino. Aside from gaming revenue, our revenues are primarily derived from our hotel, dining, retail, commissions, program sales, admissions, concessions and certain other ancillary activities, and our racing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gaming revenue are slot handle and table game drop, which are volume indicators, and “win” or “hold” percentage. Our typical property slot win percentage is in the range of approximately 5% to 11% of slot handle, and our typical table game hold percentage is in the range of approximately 12% to 30% of table game drop.</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high-value play, which can lead to volatility in hold percentages. Therefore, changes in table game hold percentages do not typically have a material impact to our results of operations and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online gaming revenue, including OSB and iCasino, are handle, which is a volume indicator, and “win” or “hold” percentage. Our OSB win percentage is in the range of approximately 4.6% to 9.8% of online handle and our iCasino win percentage is in the range of approximately 1.6% to 5.8% of online handle.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online gaming, customers deposit cash into their online accounts for use in OSB and iCasino play. Liabilities are recognized for online player account funds that have not been withdrawn and for wagers that have been placed on events that have not yet occurred. Online sportsbook handle is the gross amount wagered during a given period. The win or hold percentage is the net amount of gaming wins and losses, with liabilities recognized for any bonus funds deposited into player accounts. Given that OSB wagers are made based on the outcomes of future sporting events, the win or hold percentage can vary based on the bet type (i.e., straight wagers vs. parlay wagers). Online slot handle is the gross amount wagered during a given period. The win or hold percentage is the net amount of gaming wins and losses, with liabilities recognized for accruals related to the anticipated payout of online progressive jackpots. Given the stability in our online slot hold percentages on a historical basis, we have not experienced significant impacts to the results of our operations or cash flows from changes in these percentages. Online table game hold is the amount of handle that is retained and recorded as gaming revenue. Our online table game hold percentages are fairly stable as we do not regularly experience high-value online play, which can lead to volatility in hold percentages. Given the stability in our online table game hold percentages on a historical basis, we have not experienced significant impacts to the results of our operations or cash flows from changes in these percentages.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hyperlink w:anchor="if4e771b9a5bf400c8d8aabcb60865b46_118">
        <w:r>
          <w:rPr>
            <w:rStyle w:val="InternetLink"/>
            <w:color w:val="0000FF"/>
            <w:u w:val="single"/>
          </w:rPr>
          <w:t>“</w:t>
        </w:r>
      </w:hyperlink>
      <w:hyperlink w:anchor="if4e771b9a5bf400c8d8aabcb60865b46_118">
        <w:r>
          <w:rPr>
            <w:rStyle w:val="InternetLink"/>
            <w:rFonts w:ascii="Times New Roman;serif" w:hAnsi="Times New Roman;serif"/>
            <w:b w:val="false"/>
            <w:color w:val="0000FF"/>
            <w:sz w:val="20"/>
            <w:u w:val="single"/>
          </w:rPr>
          <w:t>Liquidity and Capital Resources”</w:t>
        </w:r>
      </w:hyperlink>
      <w:r>
        <w:rPr>
          <w:rFonts w:ascii="Times New Roman;serif" w:hAnsi="Times New Roman;serif"/>
          <w:b w:val="false"/>
          <w:color w:val="000000"/>
          <w:sz w:val="20"/>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hyperlink w:anchor="if4e771b9a5bf400c8d8aabcb60865b46_118">
        <w:r>
          <w:rPr>
            <w:rStyle w:val="InternetLink"/>
            <w:color w:val="0000FF"/>
            <w:u w:val="single"/>
          </w:rPr>
          <w:t>“</w:t>
        </w:r>
      </w:hyperlink>
      <w:hyperlink w:anchor="if4e771b9a5bf400c8d8aabcb60865b46_118">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betting, and media operations.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For a listing of our gaming properties and VGT operations included in each reportable segment, see </w:t>
      </w:r>
      <w:hyperlink w:anchor="if4e771b9a5bf400c8d8aabcb60865b46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following table highlights our revenues, reportable segment revenues, net income (loss), Consolidated Adjusted EBITDA, and Segment Adjusted EBITDAR. Such segment reporting is consistent with how we measure our business and allocate resources internally. We consider net income (loss) to be the most directly comparable financial measure calculated in accordance with generally accepted accounting principles in the United States (“GAAP”) to Consolidated Adjusted EBITDA, which is a non-GAAP financial measure. Refer to </w:t>
      </w:r>
      <w:hyperlink w:anchor="if4e771b9a5bf400c8d8aabcb60865b46_112">
        <w:r>
          <w:rPr>
            <w:rStyle w:val="InternetLink"/>
            <w:color w:val="0000FF"/>
            <w:u w:val="single"/>
          </w:rPr>
          <w:t>“</w:t>
        </w:r>
      </w:hyperlink>
      <w:hyperlink w:anchor="if4e771b9a5bf400c8d8aabcb60865b46_112">
        <w:r>
          <w:rPr>
            <w:rStyle w:val="InternetLink"/>
            <w:rFonts w:ascii="Times New Roman;serif" w:hAnsi="Times New Roman;serif"/>
            <w:b w:val="false"/>
            <w:color w:val="0000FF"/>
            <w:sz w:val="20"/>
            <w:u w:val="single"/>
          </w:rPr>
          <w:t>Reportable Segment Measures”</w:t>
        </w:r>
      </w:hyperlink>
      <w:r>
        <w:rPr>
          <w:color w:val="000000"/>
        </w:rPr>
        <w:t xml:space="preserve"> </w:t>
      </w:r>
      <w:r>
        <w:rPr>
          <w:rFonts w:ascii="Times New Roman;serif" w:hAnsi="Times New Roman;serif"/>
          <w:b w:val="false"/>
          <w:color w:val="000000"/>
          <w:sz w:val="20"/>
        </w:rPr>
        <w:t xml:space="preserve">below for the definition of Segment Adjusted EBITDAR. Refer to </w:t>
      </w:r>
      <w:hyperlink w:anchor="if4e771b9a5bf400c8d8aabcb60865b46_115">
        <w:r>
          <w:rPr>
            <w:rStyle w:val="InternetLink"/>
            <w:color w:val="0000FF"/>
            <w:u w:val="single"/>
          </w:rPr>
          <w:t>“</w:t>
        </w:r>
      </w:hyperlink>
      <w:hyperlink w:anchor="if4e771b9a5bf400c8d8aabcb60865b46_115">
        <w:r>
          <w:rPr>
            <w:rStyle w:val="InternetLink"/>
            <w:rFonts w:ascii="Times New Roman;serif" w:hAnsi="Times New Roman;serif"/>
            <w:b w:val="false"/>
            <w:color w:val="0000FF"/>
            <w:sz w:val="20"/>
            <w:u w:val="single"/>
          </w:rPr>
          <w:t>Non-GAAP Financial Measure”</w:t>
        </w:r>
      </w:hyperlink>
      <w:r>
        <w:rPr>
          <w:color w:val="000000"/>
        </w:rPr>
        <w:t xml:space="preserve"> </w:t>
      </w:r>
      <w:r>
        <w:rPr>
          <w:rFonts w:ascii="Times New Roman;serif" w:hAnsi="Times New Roman;serif"/>
          <w:b w:val="false"/>
          <w:color w:val="000000"/>
          <w:sz w:val="20"/>
        </w:rPr>
        <w:t>below for the definition of Consolidated Adjusted EBITDA as well as a reconciliation of net income (loss) to Consolidated Adjusted EBITDA.</w:t>
      </w:r>
    </w:p>
    <w:tbl>
      <w:tblPr>
        <w:tblW w:w="9723" w:type="dxa"/>
        <w:jc w:val="left"/>
        <w:tblInd w:w="0" w:type="dxa"/>
        <w:tblLayout w:type="fixed"/>
        <w:tblCellMar>
          <w:top w:w="28" w:type="dxa"/>
          <w:left w:w="28" w:type="dxa"/>
          <w:bottom w:w="28" w:type="dxa"/>
          <w:right w:w="28" w:type="dxa"/>
        </w:tblCellMar>
      </w:tblPr>
      <w:tblGrid>
        <w:gridCol w:w="1756"/>
        <w:gridCol w:w="1541"/>
        <w:gridCol w:w="1548"/>
        <w:gridCol w:w="109"/>
        <w:gridCol w:w="109"/>
        <w:gridCol w:w="556"/>
        <w:gridCol w:w="556"/>
        <w:gridCol w:w="1080"/>
        <w:gridCol w:w="556"/>
        <w:gridCol w:w="565"/>
        <w:gridCol w:w="109"/>
        <w:gridCol w:w="109"/>
        <w:gridCol w:w="109"/>
        <w:gridCol w:w="254"/>
        <w:gridCol w:w="315"/>
        <w:gridCol w:w="451"/>
      </w:tblGrid>
      <w:tr>
        <w:trPr/>
        <w:tc>
          <w:tcPr>
            <w:tcW w:w="175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47" w:type="dxa"/>
            <w:gridSpan w:val="6"/>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eliminations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(3)</w:t>
            </w: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Consolidated Adjusted EBITDA </w:t>
            </w:r>
            <w:r>
              <w:rPr>
                <w:rFonts w:ascii="Times New Roman;serif" w:hAnsi="Times New Roman;serif"/>
                <w:b/>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which consists of certain expenses, such as: payroll, professional fees, travel expenses, and other general and administrative expenses that do not directly relate to or have not otherwise been allocated. Corporate overhead was $28.2 million and $36.0 million for the three months ended March 31, 2026 and 2025, respectively. Corporate overhead for the three months ended March 31, 2025 included $7.7 million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(3)See definition of “Segment Adjusted EBITDAR” within the “Reportable Segment Measures” section below.</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(4)Pertains to the following operating leases: (i) AR PENN Master Lease; (ii) 2023 Master Lease; (iii) Margaritaville Lease (for the period January 1, 2025 to March 31, 2025); (iv) Greektown Lease (for the period January 1, 2025 to March 31, 2025); and (v) VICI Master Lease (for the period January 1, 2026 to March 31, 2026).</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(5)See definition of Consolidated Adjusted EBITDA within the </w:t>
      </w:r>
      <w:hyperlink w:anchor="if4e771b9a5bf400c8d8aabcb60865b46_115">
        <w:r>
          <w:rPr>
            <w:rStyle w:val="InternetLink"/>
            <w:color w:val="0000FF"/>
            <w:u w:val="single"/>
          </w:rPr>
          <w:t>“</w:t>
        </w:r>
      </w:hyperlink>
      <w:hyperlink w:anchor="if4e771b9a5bf400c8d8aabcb60865b46_115">
        <w:r>
          <w:rPr>
            <w:rStyle w:val="InternetLink"/>
            <w:rFonts w:ascii="Times New Roman;serif" w:hAnsi="Times New Roman;serif"/>
            <w:b w:val="false"/>
            <w:color w:val="0000FF"/>
            <w:sz w:val="16"/>
            <w:u w:val="single"/>
          </w:rPr>
          <w:t>Non-GAAP Financial Measure”</w:t>
        </w:r>
      </w:hyperlink>
      <w:r>
        <w:rPr>
          <w:color w:val="000000"/>
        </w:rPr>
        <w:t xml:space="preserve"> </w:t>
      </w:r>
      <w:r>
        <w:rPr>
          <w:rFonts w:ascii="Times New Roman;serif" w:hAnsi="Times New Roman;serif"/>
          <w:b w:val="false"/>
          <w:color w:val="000000"/>
          <w:sz w:val="16"/>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Consolidated comparison of the three months ended March 31, 2026 and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revenues:</w:t>
      </w:r>
    </w:p>
    <w:tbl>
      <w:tblPr>
        <w:tblW w:w="10205" w:type="dxa"/>
        <w:jc w:val="left"/>
        <w:tblInd w:w="0" w:type="dxa"/>
        <w:tblLayout w:type="fixed"/>
        <w:tblCellMar>
          <w:top w:w="28" w:type="dxa"/>
          <w:left w:w="28" w:type="dxa"/>
          <w:bottom w:w="28" w:type="dxa"/>
          <w:right w:w="28" w:type="dxa"/>
        </w:tblCellMar>
      </w:tblPr>
      <w:tblGrid>
        <w:gridCol w:w="824"/>
        <w:gridCol w:w="707"/>
        <w:gridCol w:w="710"/>
        <w:gridCol w:w="109"/>
        <w:gridCol w:w="109"/>
        <w:gridCol w:w="109"/>
        <w:gridCol w:w="109"/>
        <w:gridCol w:w="937"/>
        <w:gridCol w:w="937"/>
        <w:gridCol w:w="940"/>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305"/>
      </w:tblGrid>
      <w:tr>
        <w:trPr/>
        <w:tc>
          <w:tcPr>
            <w:tcW w:w="82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286" w:type="dxa"/>
            <w:gridSpan w:val="12"/>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revenues </w:t>
      </w:r>
      <w:r>
        <w:rPr>
          <w:rFonts w:ascii="Times New Roman;serif" w:hAnsi="Times New Roman;serif"/>
          <w:b w:val="false"/>
          <w:color w:val="000000"/>
          <w:sz w:val="20"/>
        </w:rPr>
        <w:t xml:space="preserve">for the three months ended March 31, 2026 increased by $36.1 million </w:t>
      </w:r>
      <w:r>
        <w:rPr>
          <w:rFonts w:ascii="Times New Roman;serif" w:hAnsi="Times New Roman;serif"/>
          <w:b w:val="false"/>
          <w:color w:val="000000"/>
          <w:sz w:val="20"/>
          <w:shd w:fill="FFFFFF" w:val="clear"/>
        </w:rPr>
        <w:t>compared to the prior year period. Increased visitation and higher spend per visit drove increases in gaming revenues at our retail segment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Online gaming revenues at our Interactive segment increased due to </w:t>
      </w:r>
      <w:r>
        <w:rPr>
          <w:rFonts w:ascii="Times New Roman;serif" w:hAnsi="Times New Roman;serif"/>
          <w:b w:val="false"/>
          <w:color w:val="000000"/>
          <w:sz w:val="20"/>
        </w:rPr>
        <w:t>iCasino and online sports betting growth driven by increased hold rates and decreased promotional expense compared to the corresponding prior year period. The opening of our new land-based Joliet facility on August 11, 2025 and increases in gaming revenues at our Hollywood Casino St. Louis and River City Casino properties contributed to i</w:t>
      </w:r>
      <w:r>
        <w:rPr>
          <w:rFonts w:ascii="Times New Roman;serif" w:hAnsi="Times New Roman;serif"/>
          <w:b w:val="false"/>
          <w:color w:val="000000"/>
          <w:sz w:val="20"/>
          <w:shd w:fill="FFFFFF" w:val="clear"/>
        </w:rPr>
        <w:t xml:space="preserve">ncreases in revenues within our Midwest segment. </w:t>
      </w:r>
      <w:r>
        <w:rPr>
          <w:rFonts w:ascii="Times New Roman;serif" w:hAnsi="Times New Roman;serif"/>
          <w:b w:val="false"/>
          <w:color w:val="000000"/>
          <w:sz w:val="20"/>
        </w:rPr>
        <w:t>Additionally, the opening of the second hotel tower at M Resort on December 1, 2025 and an increase in gaming revenues at our Ameristar Black Hawk property contributed to increases in revenues within our West Segment</w:t>
      </w:r>
      <w:r>
        <w:rPr>
          <w:rFonts w:ascii="Times New Roman;serif" w:hAnsi="Times New Roman;serif"/>
          <w:b w:val="false"/>
          <w:color w:val="000000"/>
          <w:sz w:val="20"/>
          <w:shd w:fill="FFFFFF" w:val="clear"/>
        </w:rPr>
        <w:t xml:space="preserve">. Despite weather events negatively impacting our Northeast segment, its revenues increased by </w:t>
      </w:r>
      <w:r>
        <w:rPr>
          <w:rFonts w:ascii="Times New Roman;serif" w:hAnsi="Times New Roman;serif"/>
          <w:b w:val="false"/>
          <w:color w:val="000000"/>
          <w:sz w:val="20"/>
        </w:rPr>
        <w:t>$4.8 million compared to the prior year period</w:t>
      </w:r>
      <w:r>
        <w:rPr>
          <w:rFonts w:ascii="Times New Roman;serif" w:hAnsi="Times New Roman;serif"/>
          <w:b w:val="false"/>
          <w:color w:val="000000"/>
          <w:sz w:val="20"/>
          <w:shd w:fill="FFFFFF" w:val="clear"/>
        </w:rPr>
        <w:t xml:space="preserve">. Increases in revenues within our Northeast, Midwest, and West segments were partially offset by decreases within our South segment, where new </w:t>
      </w:r>
      <w:r>
        <w:rPr>
          <w:rFonts w:ascii="Times New Roman;serif" w:hAnsi="Times New Roman;serif"/>
          <w:b w:val="false"/>
          <w:color w:val="000000"/>
          <w:sz w:val="20"/>
        </w:rPr>
        <w:t>supply continues to</w:t>
      </w:r>
      <w:r>
        <w:rPr>
          <w:color w:val="000000"/>
          <w:shd w:fill="FFFFFF" w:val="clear"/>
        </w:rPr>
        <w:t xml:space="preserve"> </w:t>
      </w:r>
      <w:r>
        <w:rPr>
          <w:rFonts w:ascii="Times New Roman;serif" w:hAnsi="Times New Roman;serif"/>
          <w:b w:val="false"/>
          <w:color w:val="000000"/>
          <w:sz w:val="20"/>
          <w:shd w:fill="FFFFFF" w:val="clear"/>
        </w:rPr>
        <w:t>impact visitation and weather events negatively impacted revenues.</w:t>
      </w:r>
    </w:p>
    <w:p>
      <w:pPr>
        <w:pStyle w:val="TextBody"/>
        <w:bidi w:val="0"/>
        <w:spacing w:lineRule="auto" w:line="288" w:before="0" w:after="200"/>
        <w:ind w:left="0" w:right="0" w:firstLine="360"/>
        <w:jc w:val="left"/>
        <w:rPr/>
      </w:pPr>
      <w:r>
        <w:rPr>
          <w:rFonts w:ascii="Times New Roman;serif" w:hAnsi="Times New Roman;serif"/>
          <w:b/>
          <w:i/>
          <w:color w:val="000000"/>
          <w:sz w:val="20"/>
        </w:rPr>
        <w:t>Food, beverage, hotel, and other revenues</w:t>
      </w:r>
      <w:r>
        <w:rPr>
          <w:color w:val="000000"/>
        </w:rPr>
        <w:t xml:space="preserve"> </w:t>
      </w:r>
      <w:r>
        <w:rPr>
          <w:rFonts w:ascii="Times New Roman;serif" w:hAnsi="Times New Roman;serif"/>
          <w:b w:val="false"/>
          <w:color w:val="000000"/>
          <w:sz w:val="20"/>
        </w:rPr>
        <w:t>for the three months ended</w:t>
      </w:r>
      <w:r>
        <w:rPr>
          <w:color w:val="000000"/>
          <w:shd w:fill="FFFFFF" w:val="clear"/>
        </w:rPr>
        <w:t xml:space="preserve"> </w:t>
      </w:r>
      <w:r>
        <w:rPr>
          <w:rFonts w:ascii="Times New Roman;serif" w:hAnsi="Times New Roman;serif"/>
          <w:b w:val="false"/>
          <w:color w:val="000000"/>
          <w:sz w:val="20"/>
        </w:rPr>
        <w:t xml:space="preserve">March 31, 2026 increased by $70.5 million, compared to the corresponding prior year period. The increase was primarily due to gaming tax reimbursement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partners for online sports betting and iCasino market access of $57.6 million compared to the prior year period. Additionally, the recent openings of the second hotel tower at M Resort and our new land-based Joliet facility contributed to increases in revenues within our West and Midwest segments, respectively, as discussed </w:t>
      </w:r>
      <w:r>
        <w:rPr>
          <w:rFonts w:ascii="Times New Roman;serif" w:hAnsi="Times New Roman;serif"/>
          <w:b w:val="false"/>
          <w:color w:val="000000"/>
          <w:sz w:val="20"/>
          <w:shd w:fill="FFFFFF" w:val="clear"/>
        </w:rPr>
        <w:t>above.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f4e771b9a5bf400c8d8aabcb60865b46_109">
        <w:r>
          <w:rPr>
            <w:rStyle w:val="InternetLink"/>
            <w:color w:val="0000FF"/>
            <w:u w:val="single"/>
          </w:rPr>
          <w:t>“</w:t>
        </w:r>
      </w:hyperlink>
      <w:hyperlink w:anchor="if4e771b9a5bf400c8d8aabcb60865b46_109">
        <w:r>
          <w:rPr>
            <w:rStyle w:val="InternetLink"/>
            <w:rFonts w:ascii="Times New Roman;serif" w:hAnsi="Times New Roman;serif"/>
            <w:b w:val="false"/>
            <w:color w:val="0000FF"/>
            <w:sz w:val="20"/>
            <w:u w:val="single"/>
          </w:rPr>
          <w:t>Segment comparison of the three months ended March 31, 2026 and 2025”</w:t>
        </w:r>
      </w:hyperlink>
      <w:r>
        <w:rPr>
          <w:color w:val="000000"/>
        </w:rPr>
        <w:t xml:space="preserve"> </w:t>
      </w:r>
      <w:r>
        <w:rPr>
          <w:rFonts w:ascii="Times New Roman;serif" w:hAnsi="Times New Roman;serif"/>
          <w:b w:val="false"/>
          <w:color w:val="000000"/>
          <w:sz w:val="20"/>
        </w:rPr>
        <w:t>below for more detailed explanations of the fluctuations in revenues.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expenses:</w:t>
      </w:r>
    </w:p>
    <w:tbl>
      <w:tblPr>
        <w:tblW w:w="10205" w:type="dxa"/>
        <w:jc w:val="left"/>
        <w:tblInd w:w="0" w:type="dxa"/>
        <w:tblLayout w:type="fixed"/>
        <w:tblCellMar>
          <w:top w:w="28" w:type="dxa"/>
          <w:left w:w="28" w:type="dxa"/>
          <w:bottom w:w="28" w:type="dxa"/>
          <w:right w:w="28" w:type="dxa"/>
        </w:tblCellMar>
      </w:tblPr>
      <w:tblGrid>
        <w:gridCol w:w="850"/>
        <w:gridCol w:w="706"/>
        <w:gridCol w:w="709"/>
        <w:gridCol w:w="109"/>
        <w:gridCol w:w="109"/>
        <w:gridCol w:w="109"/>
        <w:gridCol w:w="109"/>
        <w:gridCol w:w="936"/>
        <w:gridCol w:w="936"/>
        <w:gridCol w:w="939"/>
        <w:gridCol w:w="109"/>
        <w:gridCol w:w="196"/>
        <w:gridCol w:w="691"/>
        <w:gridCol w:w="109"/>
        <w:gridCol w:w="109"/>
        <w:gridCol w:w="109"/>
        <w:gridCol w:w="109"/>
        <w:gridCol w:w="196"/>
        <w:gridCol w:w="691"/>
        <w:gridCol w:w="109"/>
        <w:gridCol w:w="109"/>
        <w:gridCol w:w="109"/>
        <w:gridCol w:w="109"/>
        <w:gridCol w:w="196"/>
        <w:gridCol w:w="534"/>
        <w:gridCol w:w="109"/>
        <w:gridCol w:w="109"/>
        <w:gridCol w:w="109"/>
        <w:gridCol w:w="109"/>
        <w:gridCol w:w="232"/>
        <w:gridCol w:w="234"/>
        <w:gridCol w:w="306"/>
      </w:tblGrid>
      <w:tr>
        <w:trPr/>
        <w:tc>
          <w:tcPr>
            <w:tcW w:w="85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265" w:type="dxa"/>
            <w:gridSpan w:val="1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pPr>
      <w:r>
        <w:rPr>
          <w:rFonts w:ascii="Times New Roman;serif" w:hAnsi="Times New Roman;serif"/>
          <w:b/>
          <w:i/>
          <w:color w:val="000000"/>
          <w:sz w:val="20"/>
        </w:rPr>
        <w:t>Gaming expenses</w:t>
      </w:r>
      <w:r>
        <w:rPr>
          <w:color w:val="000000"/>
        </w:rPr>
        <w:t xml:space="preserve"> </w:t>
      </w:r>
      <w:r>
        <w:rPr>
          <w:rFonts w:ascii="Times New Roman;serif" w:hAnsi="Times New Roman;serif"/>
          <w:b w:val="false"/>
          <w:color w:val="000000"/>
          <w:sz w:val="20"/>
        </w:rPr>
        <w:t>primarily consist of gaming taxes, payroll, marketing and promotional expenses, and other expenses associated with our gaming operations. Gaming expenses for the three months ended</w:t>
      </w:r>
      <w:r>
        <w:rPr>
          <w:color w:val="000000"/>
          <w:shd w:fill="FFFFFF" w:val="clear"/>
        </w:rPr>
        <w:t xml:space="preserve"> </w:t>
      </w:r>
      <w:r>
        <w:rPr>
          <w:rFonts w:ascii="Times New Roman;serif" w:hAnsi="Times New Roman;serif"/>
          <w:b w:val="false"/>
          <w:color w:val="000000"/>
          <w:sz w:val="20"/>
        </w:rPr>
        <w:t xml:space="preserve">March 31, 2026 decreased by $45.9 million </w:t>
      </w:r>
      <w:r>
        <w:rPr>
          <w:rFonts w:ascii="Times New Roman;serif" w:hAnsi="Times New Roman;serif"/>
          <w:b w:val="false"/>
          <w:color w:val="000000"/>
          <w:sz w:val="20"/>
          <w:shd w:fill="FFFFFF" w:val="clear"/>
        </w:rPr>
        <w:t>compared to the corresponding prior year period due primarily to a decrease in marketing expenses at our Interactive segment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We incurred additional marketing expenses to support our promotion of ESPN BET within our Interactive segment during the </w:t>
      </w:r>
      <w:r>
        <w:rPr>
          <w:rFonts w:ascii="Times New Roman;serif" w:hAnsi="Times New Roman;serif"/>
          <w:b w:val="false"/>
          <w:color w:val="000000"/>
          <w:sz w:val="20"/>
        </w:rPr>
        <w:t>corresponding prior year period. The decrease in gaming expenses was partially offset by increases in gaming taxes at our Northeast, Midwest, and West segments related to increased gaming revenues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Food, beverage, hotel, and other expenses </w:t>
      </w:r>
      <w:r>
        <w:rPr>
          <w:rFonts w:ascii="Times New Roman;serif" w:hAnsi="Times New Roman;serif"/>
          <w:b w:val="false"/>
          <w:color w:val="000000"/>
          <w:sz w:val="20"/>
        </w:rPr>
        <w:t>consist primarily of payroll expenses, costs of goods sold, and other costs associated with our food, beverage, hotel, retail, racing, and Interactive operations. Fo</w:t>
      </w:r>
      <w:r>
        <w:rPr>
          <w:rFonts w:ascii="Times New Roman;serif" w:hAnsi="Times New Roman;serif"/>
          <w:b w:val="false"/>
          <w:color w:val="000000"/>
          <w:sz w:val="20"/>
          <w:shd w:fill="FFFFFF" w:val="clear"/>
        </w:rPr>
        <w:t xml:space="preserve">od, beverage, hotel, and other expenses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increased by </w:t>
      </w:r>
      <w:r>
        <w:rPr>
          <w:rFonts w:ascii="Times New Roman;serif" w:hAnsi="Times New Roman;serif"/>
          <w:b w:val="false"/>
          <w:color w:val="000000"/>
          <w:sz w:val="20"/>
        </w:rPr>
        <w:t xml:space="preserve">$64.5 million, </w:t>
      </w:r>
      <w:r>
        <w:rPr>
          <w:rFonts w:ascii="Times New Roman;serif" w:hAnsi="Times New Roman;serif"/>
          <w:b w:val="false"/>
          <w:color w:val="000000"/>
          <w:sz w:val="20"/>
          <w:shd w:fill="FFFFFF" w:val="clear"/>
        </w:rPr>
        <w:t xml:space="preserve">compared to the corresponding prior year period, primarily due to increases in gaming tax reimbursement 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partners for online sports betting and iCasino market access.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include items such as compliance, facility maintenance, utilities, property and liability insurance, surveillance 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general and administrative expenses increased by $24.7 million, compared to the corresponding prior year period. The increase was primarily due to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and other transaction costs.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for the three months ended March 31, 2026 increased $9.0 million compared to the corresponding prior year period, primarily due to the opening of our new land-based Joliet facility on August 11, 2025 and the opening of the second hotel tower at M Resort on December 1,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other income (expenses):</w:t>
      </w:r>
    </w:p>
    <w:tbl>
      <w:tblPr>
        <w:tblW w:w="10205" w:type="dxa"/>
        <w:jc w:val="left"/>
        <w:tblInd w:w="0" w:type="dxa"/>
        <w:tblLayout w:type="fixed"/>
        <w:tblCellMar>
          <w:top w:w="28" w:type="dxa"/>
          <w:left w:w="28" w:type="dxa"/>
          <w:bottom w:w="28" w:type="dxa"/>
          <w:right w:w="28" w:type="dxa"/>
        </w:tblCellMar>
      </w:tblPr>
      <w:tblGrid>
        <w:gridCol w:w="947"/>
        <w:gridCol w:w="771"/>
        <w:gridCol w:w="759"/>
        <w:gridCol w:w="109"/>
        <w:gridCol w:w="109"/>
        <w:gridCol w:w="109"/>
        <w:gridCol w:w="109"/>
        <w:gridCol w:w="864"/>
        <w:gridCol w:w="864"/>
        <w:gridCol w:w="867"/>
        <w:gridCol w:w="109"/>
        <w:gridCol w:w="196"/>
        <w:gridCol w:w="619"/>
        <w:gridCol w:w="109"/>
        <w:gridCol w:w="109"/>
        <w:gridCol w:w="109"/>
        <w:gridCol w:w="109"/>
        <w:gridCol w:w="196"/>
        <w:gridCol w:w="619"/>
        <w:gridCol w:w="109"/>
        <w:gridCol w:w="109"/>
        <w:gridCol w:w="109"/>
        <w:gridCol w:w="109"/>
        <w:gridCol w:w="196"/>
        <w:gridCol w:w="619"/>
        <w:gridCol w:w="109"/>
        <w:gridCol w:w="109"/>
        <w:gridCol w:w="109"/>
        <w:gridCol w:w="109"/>
        <w:gridCol w:w="262"/>
        <w:gridCol w:w="266"/>
        <w:gridCol w:w="307"/>
      </w:tblGrid>
      <w:tr>
        <w:trPr/>
        <w:tc>
          <w:tcPr>
            <w:tcW w:w="94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413" w:type="dxa"/>
            <w:gridSpan w:val="12"/>
            <w:tcBorders/>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decreased by $9.8 million for the three months ended March 31, 2026, compared to the corresponding prior year period. The first quarter of 2025 included interest expense related to the Company’s financing arrangement, which upon derecognition, resulted in the “Gain on financing arrangement” described below.</w:t>
      </w:r>
    </w:p>
    <w:p>
      <w:pPr>
        <w:pStyle w:val="TextBody"/>
        <w:bidi w:val="0"/>
        <w:spacing w:lineRule="auto" w:line="288" w:before="0" w:after="200"/>
        <w:ind w:left="0" w:right="0" w:firstLine="360"/>
        <w:jc w:val="left"/>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decreased by $1.3 million for the three months ended March 31, 2026, compared to the corresponding prior year period, primarily due to decreases in interest rates received on our money market funds.</w:t>
      </w:r>
    </w:p>
    <w:p>
      <w:pPr>
        <w:pStyle w:val="TextBody"/>
        <w:bidi w:val="0"/>
        <w:spacing w:lineRule="auto" w:line="288" w:before="0" w:after="200"/>
        <w:ind w:left="0" w:right="0" w:firstLine="360"/>
        <w:jc w:val="left"/>
        <w:rPr/>
      </w:pPr>
      <w:r>
        <w:rPr>
          <w:rFonts w:ascii="Times New Roman;serif" w:hAnsi="Times New Roman;serif"/>
          <w:b/>
          <w:i/>
          <w:color w:val="000000"/>
          <w:sz w:val="20"/>
        </w:rPr>
        <w:t>Income from unconsolidated affiliates</w:t>
      </w:r>
      <w:r>
        <w:rPr>
          <w:color w:val="000000"/>
        </w:rPr>
        <w:t xml:space="preserve"> </w:t>
      </w:r>
      <w:r>
        <w:rPr>
          <w:rFonts w:ascii="Times New Roman;serif" w:hAnsi="Times New Roman;serif"/>
          <w:b w:val="false"/>
          <w:color w:val="000000"/>
          <w:sz w:val="20"/>
        </w:rPr>
        <w:t>relates primarily to our investment in Kansas Entertainment joint venture. The change in income from the corresponding prior year period is due to fluctuations in earnings from our investments in these unconsolidated affiliates.</w:t>
      </w:r>
    </w:p>
    <w:p>
      <w:pPr>
        <w:pStyle w:val="TextBody"/>
        <w:bidi w:val="0"/>
        <w:spacing w:lineRule="auto" w:line="288" w:before="0" w:after="200"/>
        <w:ind w:left="0" w:right="0" w:firstLine="360"/>
        <w:jc w:val="left"/>
        <w:rPr/>
      </w:pPr>
      <w:r>
        <w:rPr>
          <w:rFonts w:ascii="Times New Roman;serif" w:hAnsi="Times New Roman;serif"/>
          <w:b/>
          <w:i/>
          <w:color w:val="000000"/>
          <w:sz w:val="20"/>
        </w:rPr>
        <w:t>Gain on financing arrangement</w:t>
      </w:r>
      <w:r>
        <w:rPr>
          <w:color w:val="000000"/>
        </w:rPr>
        <w:t xml:space="preserve"> </w:t>
      </w:r>
      <w:r>
        <w:rPr>
          <w:rFonts w:ascii="Times New Roman;serif" w:hAnsi="Times New Roman;serif"/>
          <w:b w:val="false"/>
          <w:color w:val="000000"/>
          <w:sz w:val="20"/>
        </w:rPr>
        <w:t xml:space="preserve">relates to a $215.1 million non-cash gain on financing arrangement during the three months ended March 31, 2025. See </w:t>
      </w:r>
      <w:hyperlink w:anchor="if4e771b9a5bf400c8d8aabcb60865b46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Other </w:t>
      </w:r>
      <w:r>
        <w:rPr>
          <w:rFonts w:ascii="Times New Roman;serif" w:hAnsi="Times New Roman;serif"/>
          <w:b w:val="false"/>
          <w:color w:val="000000"/>
          <w:sz w:val="20"/>
        </w:rPr>
        <w:t>primarily consisted of foreign currency revaluation for the three months ended March 31, 2026. The corresponding prior year period primarily consisted of realized and unrealized gains and losses on equity securities held by PENN Interactive, as well as miscellaneous income and expense items. The equity securities were sold during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was $8.7 million and $47.7 million for the three months ended March 31, 2026 and 2025, respectively. The effective tax rate (income taxes as a percentage of income from operations before income taxes), including discrete items was 36.8% and 26.2% for the three months ended</w:t>
      </w:r>
      <w:r>
        <w:rPr>
          <w:color w:val="000000"/>
          <w:shd w:fill="FFFFFF" w:val="clear"/>
        </w:rPr>
        <w:t xml:space="preserve"> </w:t>
      </w:r>
      <w:r>
        <w:rPr>
          <w:rFonts w:ascii="Times New Roman;serif" w:hAnsi="Times New Roman;serif"/>
          <w:b w:val="false"/>
          <w:color w:val="000000"/>
          <w:sz w:val="20"/>
        </w:rPr>
        <w:t>March 31, 2026 and 2025, respectively.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excluded certain foreign losses from our worldwide effective tax rate calculation due to a year-to-date ordinary loss for which no benefit may be recognized. The change in the effective tax rate for the three months ended March 31, 2026, as compared to the corresponding prior period was primarily due to: (i) excluding certain foreign losses for which no tax benefit can be recognized in our worldwide effective tax rate calculation; (ii) non-deductible permanent items; (iii) state taxes; and (iv) changes to the valuation allowance. See </w:t>
      </w:r>
      <w:hyperlink w:anchor="if4e771b9a5bf400c8d8aabcb60865b46_58">
        <w:r>
          <w:rPr>
            <w:rStyle w:val="InternetLink"/>
            <w:rFonts w:ascii="Times New Roman;serif" w:hAnsi="Times New Roman;serif"/>
            <w:b w:val="false"/>
            <w:color w:val="0000FF"/>
            <w:sz w:val="20"/>
            <w:u w:val="single"/>
          </w:rPr>
          <w:t>Note 8, “Income Taxes”</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may vary each reporting period depending on, among other factors, the geographic and business mix of our earnings, changes to our valuation allowances, and the level of our tax credits. These and other factors, including our history and projections of pre-tax earnings, are considered in assessing the realizability of our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Segment comparison of the three months ended March 31, 2026 and 2025</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Northeast Segment</w:t>
      </w:r>
    </w:p>
    <w:tbl>
      <w:tblPr>
        <w:tblW w:w="10063"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109"/>
        <w:gridCol w:w="1018"/>
        <w:gridCol w:w="1018"/>
        <w:gridCol w:w="1022"/>
        <w:gridCol w:w="109"/>
        <w:gridCol w:w="262"/>
        <w:gridCol w:w="204"/>
        <w:gridCol w:w="359"/>
        <w:gridCol w:w="109"/>
        <w:gridCol w:w="109"/>
        <w:gridCol w:w="109"/>
        <w:gridCol w:w="262"/>
        <w:gridCol w:w="204"/>
        <w:gridCol w:w="359"/>
        <w:gridCol w:w="109"/>
        <w:gridCol w:w="109"/>
        <w:gridCol w:w="109"/>
        <w:gridCol w:w="196"/>
        <w:gridCol w:w="376"/>
        <w:gridCol w:w="109"/>
        <w:gridCol w:w="109"/>
        <w:gridCol w:w="109"/>
        <w:gridCol w:w="109"/>
        <w:gridCol w:w="208"/>
        <w:gridCol w:w="208"/>
        <w:gridCol w:w="333"/>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084"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Northeast segment’s revenues for the three months ended March 31, 2026 increased by $6.2 million, compared to the prior year period, </w:t>
      </w:r>
      <w:r>
        <w:rPr>
          <w:rFonts w:ascii="Times New Roman;serif" w:hAnsi="Times New Roman;serif"/>
          <w:b w:val="false"/>
          <w:color w:val="000000"/>
          <w:sz w:val="20"/>
          <w:shd w:fill="FFFFFF" w:val="clear"/>
        </w:rPr>
        <w:t xml:space="preserve">despite weather events negatively impacting the segment. Increases in revenue were </w:t>
      </w:r>
      <w:r>
        <w:rPr>
          <w:rFonts w:ascii="Times New Roman;serif" w:hAnsi="Times New Roman;serif"/>
          <w:b w:val="false"/>
          <w:color w:val="000000"/>
          <w:sz w:val="20"/>
        </w:rPr>
        <w:t>primarily due to an increase in gaming revenues, particularly slots revenues, as well as an increase in food and beverage revenue.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March 31, 2026, </w:t>
      </w:r>
      <w:r>
        <w:rPr>
          <w:rFonts w:ascii="Times New Roman;serif" w:hAnsi="Times New Roman;serif"/>
          <w:b w:val="false"/>
          <w:color w:val="000000"/>
          <w:sz w:val="20"/>
          <w:shd w:fill="FFFFFF" w:val="clear"/>
        </w:rPr>
        <w:t xml:space="preserve">the Northeast segment’s Adjusted EBITDAR increased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28.3%.</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South Segment</w:t>
      </w:r>
    </w:p>
    <w:tbl>
      <w:tblPr>
        <w:tblW w:w="10140"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109"/>
        <w:gridCol w:w="1018"/>
        <w:gridCol w:w="1018"/>
        <w:gridCol w:w="1022"/>
        <w:gridCol w:w="109"/>
        <w:gridCol w:w="262"/>
        <w:gridCol w:w="204"/>
        <w:gridCol w:w="359"/>
        <w:gridCol w:w="109"/>
        <w:gridCol w:w="109"/>
        <w:gridCol w:w="109"/>
        <w:gridCol w:w="262"/>
        <w:gridCol w:w="204"/>
        <w:gridCol w:w="359"/>
        <w:gridCol w:w="109"/>
        <w:gridCol w:w="109"/>
        <w:gridCol w:w="109"/>
        <w:gridCol w:w="196"/>
        <w:gridCol w:w="451"/>
        <w:gridCol w:w="109"/>
        <w:gridCol w:w="109"/>
        <w:gridCol w:w="109"/>
        <w:gridCol w:w="109"/>
        <w:gridCol w:w="224"/>
        <w:gridCol w:w="226"/>
        <w:gridCol w:w="301"/>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161"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bps</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South segment’s revenues for the three months ended March 31, 2026 decreased by $7.0 million, compared to the prior year period, primarily due to a decrease in gaming revenues as increased competition and severe weather events negatively impacted several of our properties, partially offset by an increase in food and beverage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For the three months ended March 31, 2026, the South segment’s Adjusted EBITDAR increased $0.9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and Adjusted EBITDAR margin increased to 37.0%. The current year quarter benefited from a one-time favorable adjustment related to a legal accrual.</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West Segment</w:t>
      </w:r>
    </w:p>
    <w:tbl>
      <w:tblPr>
        <w:tblW w:w="10173"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109"/>
        <w:gridCol w:w="1018"/>
        <w:gridCol w:w="1018"/>
        <w:gridCol w:w="1022"/>
        <w:gridCol w:w="109"/>
        <w:gridCol w:w="263"/>
        <w:gridCol w:w="203"/>
        <w:gridCol w:w="360"/>
        <w:gridCol w:w="109"/>
        <w:gridCol w:w="109"/>
        <w:gridCol w:w="109"/>
        <w:gridCol w:w="263"/>
        <w:gridCol w:w="203"/>
        <w:gridCol w:w="360"/>
        <w:gridCol w:w="109"/>
        <w:gridCol w:w="109"/>
        <w:gridCol w:w="109"/>
        <w:gridCol w:w="196"/>
        <w:gridCol w:w="466"/>
        <w:gridCol w:w="109"/>
        <w:gridCol w:w="109"/>
        <w:gridCol w:w="109"/>
        <w:gridCol w:w="109"/>
        <w:gridCol w:w="233"/>
        <w:gridCol w:w="233"/>
        <w:gridCol w:w="301"/>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192"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The West segment’s revenues for the three months ended March 31, 2026 increased by</w:t>
      </w:r>
      <w:r>
        <w:rPr>
          <w:color w:val="000000"/>
          <w:shd w:fill="FFFFFF" w:val="clear"/>
        </w:rPr>
        <w:t xml:space="preserve"> </w:t>
      </w:r>
      <w:r>
        <w:rPr>
          <w:rFonts w:ascii="Times New Roman;serif" w:hAnsi="Times New Roman;serif"/>
          <w:b w:val="false"/>
          <w:color w:val="000000"/>
          <w:sz w:val="20"/>
          <w:shd w:fill="FFFFFF" w:val="clear"/>
        </w:rPr>
        <w:t xml:space="preserve">$16.1 million, </w:t>
      </w:r>
      <w:r>
        <w:rPr>
          <w:rFonts w:ascii="Times New Roman;serif" w:hAnsi="Times New Roman;serif"/>
          <w:b w:val="false"/>
          <w:color w:val="000000"/>
          <w:sz w:val="20"/>
        </w:rPr>
        <w:t xml:space="preserve">compared to the corresponding prior year period, due to </w:t>
      </w:r>
      <w:r>
        <w:rPr>
          <w:rFonts w:ascii="Times New Roman;serif" w:hAnsi="Times New Roman;serif"/>
          <w:b w:val="false"/>
          <w:color w:val="000000"/>
          <w:sz w:val="20"/>
          <w:shd w:fill="FFFFFF" w:val="clear"/>
        </w:rPr>
        <w:t xml:space="preserve">increases in both </w:t>
      </w:r>
      <w:r>
        <w:rPr>
          <w:rFonts w:ascii="Times New Roman;serif" w:hAnsi="Times New Roman;serif"/>
          <w:b w:val="false"/>
          <w:color w:val="000000"/>
          <w:sz w:val="20"/>
        </w:rPr>
        <w:t>food, beverage, hotel, and other revenues, as well as gaming revenues. Increases during the three months ended March 31, 2026 were driven primarily by the opening of the second hotel tower at M Resort on December 1, 2025 and an increase in gaming revenues at our Ameristar Black Hawk property.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March 31, 2026, </w:t>
      </w:r>
      <w:r>
        <w:rPr>
          <w:rFonts w:ascii="Times New Roman;serif" w:hAnsi="Times New Roman;serif"/>
          <w:b w:val="false"/>
          <w:color w:val="000000"/>
          <w:sz w:val="20"/>
          <w:shd w:fill="FFFFFF" w:val="clear"/>
        </w:rPr>
        <w:t>the West segment’s Adjusted EBITDAR increased $8.2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Adjusted EBITDAR margin increased to</w:t>
      </w:r>
      <w:r>
        <w:rPr>
          <w:color w:val="000000"/>
        </w:rPr>
        <w:t xml:space="preserve"> </w:t>
      </w:r>
      <w:r>
        <w:rPr>
          <w:rFonts w:ascii="Times New Roman;serif" w:hAnsi="Times New Roman;serif"/>
          <w:b w:val="false"/>
          <w:color w:val="000000"/>
          <w:sz w:val="20"/>
        </w:rPr>
        <w:t>37.0%,</w:t>
      </w:r>
      <w:r>
        <w:rPr>
          <w:color w:val="000000"/>
          <w:shd w:fill="FFFFFF" w:val="clear"/>
        </w:rPr>
        <w:t xml:space="preserve"> </w:t>
      </w:r>
      <w:r>
        <w:rPr>
          <w:rFonts w:ascii="Times New Roman;serif" w:hAnsi="Times New Roman;serif"/>
          <w:b w:val="false"/>
          <w:color w:val="000000"/>
          <w:sz w:val="20"/>
          <w:shd w:fill="FFFFFF" w:val="clear"/>
        </w:rPr>
        <w:t>primarily due to the increases in revenues discussed above.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Midwest Segment</w:t>
      </w:r>
    </w:p>
    <w:tbl>
      <w:tblPr>
        <w:tblW w:w="10205" w:type="dxa"/>
        <w:jc w:val="left"/>
        <w:tblInd w:w="0" w:type="dxa"/>
        <w:tblLayout w:type="fixed"/>
        <w:tblCellMar>
          <w:top w:w="28" w:type="dxa"/>
          <w:left w:w="28" w:type="dxa"/>
          <w:bottom w:w="28" w:type="dxa"/>
          <w:right w:w="28" w:type="dxa"/>
        </w:tblCellMar>
      </w:tblPr>
      <w:tblGrid>
        <w:gridCol w:w="866"/>
        <w:gridCol w:w="757"/>
        <w:gridCol w:w="760"/>
        <w:gridCol w:w="109"/>
        <w:gridCol w:w="109"/>
        <w:gridCol w:w="109"/>
        <w:gridCol w:w="109"/>
        <w:gridCol w:w="1010"/>
        <w:gridCol w:w="1010"/>
        <w:gridCol w:w="1013"/>
        <w:gridCol w:w="109"/>
        <w:gridCol w:w="262"/>
        <w:gridCol w:w="204"/>
        <w:gridCol w:w="359"/>
        <w:gridCol w:w="109"/>
        <w:gridCol w:w="109"/>
        <w:gridCol w:w="109"/>
        <w:gridCol w:w="262"/>
        <w:gridCol w:w="204"/>
        <w:gridCol w:w="359"/>
        <w:gridCol w:w="109"/>
        <w:gridCol w:w="109"/>
        <w:gridCol w:w="109"/>
        <w:gridCol w:w="196"/>
        <w:gridCol w:w="466"/>
        <w:gridCol w:w="109"/>
        <w:gridCol w:w="109"/>
        <w:gridCol w:w="109"/>
        <w:gridCol w:w="109"/>
        <w:gridCol w:w="232"/>
        <w:gridCol w:w="232"/>
        <w:gridCol w:w="378"/>
      </w:tblGrid>
      <w:tr>
        <w:trPr/>
        <w:tc>
          <w:tcPr>
            <w:tcW w:w="8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267" w:type="dxa"/>
            <w:gridSpan w:val="12"/>
            <w:tcBorders/>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Midwest segment’s revenues for the three months ended March 31, 2026 increased by </w:t>
      </w:r>
      <w:r>
        <w:rPr>
          <w:rFonts w:ascii="Times New Roman;serif" w:hAnsi="Times New Roman;serif"/>
          <w:b w:val="false"/>
          <w:color w:val="000000"/>
          <w:sz w:val="20"/>
          <w:shd w:fill="FFFFFF" w:val="clear"/>
        </w:rPr>
        <w:t xml:space="preserve">$23.0 million, </w:t>
      </w:r>
      <w:r>
        <w:rPr>
          <w:rFonts w:ascii="Times New Roman;serif" w:hAnsi="Times New Roman;serif"/>
          <w:b w:val="false"/>
          <w:color w:val="000000"/>
          <w:sz w:val="20"/>
        </w:rPr>
        <w:t>compared to the prior year period, primarily due to an increase in gaming revenues driven by the relocation of Joliet from a riverboat casino operation to a new land-based facility that opened on August 11, 2025. The increase in gaming revenues was also due to increases at our Hollywood Casino St. Louis and River City Casino properties.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March 31, 2026, </w:t>
      </w:r>
      <w:r>
        <w:rPr>
          <w:rFonts w:ascii="Times New Roman;serif" w:hAnsi="Times New Roman;serif"/>
          <w:b w:val="false"/>
          <w:color w:val="000000"/>
          <w:sz w:val="20"/>
          <w:shd w:fill="FFFFFF" w:val="clear"/>
        </w:rPr>
        <w:t xml:space="preserve">the Midwest segment’s Adjusted EBITDAR increased $4.9 million due to the increase in revenues discussed above, partially offset by increases in gaming taxes, labor costs, and </w:t>
      </w:r>
      <w:r>
        <w:rPr>
          <w:rFonts w:ascii="Times New Roman;serif" w:hAnsi="Times New Roman;serif"/>
          <w:b w:val="false"/>
          <w:color w:val="000000"/>
          <w:sz w:val="20"/>
        </w:rPr>
        <w:t>marketing expenses.</w:t>
      </w:r>
      <w:r>
        <w:rPr>
          <w:color w:val="000000"/>
          <w:shd w:fill="FFFFFF" w:val="clear"/>
        </w:rPr>
        <w:t xml:space="preserve">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38.8%, primarily </w:t>
      </w:r>
      <w:r>
        <w:rPr>
          <w:rFonts w:ascii="Times New Roman;serif" w:hAnsi="Times New Roman;serif"/>
          <w:b w:val="false"/>
          <w:color w:val="000000"/>
          <w:sz w:val="20"/>
          <w:shd w:fill="FFFFFF" w:val="clear"/>
        </w:rPr>
        <w:t xml:space="preserve">due to the increases in gaming taxes, labor costs, and </w:t>
      </w:r>
      <w:r>
        <w:rPr>
          <w:rFonts w:ascii="Times New Roman;serif" w:hAnsi="Times New Roman;serif"/>
          <w:b w:val="false"/>
          <w:color w:val="000000"/>
          <w:sz w:val="20"/>
        </w:rPr>
        <w:t>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Interactive Segment</w:t>
      </w:r>
    </w:p>
    <w:tbl>
      <w:tblPr>
        <w:tblW w:w="10205" w:type="dxa"/>
        <w:jc w:val="left"/>
        <w:tblInd w:w="0" w:type="dxa"/>
        <w:tblLayout w:type="fixed"/>
        <w:tblCellMar>
          <w:top w:w="28" w:type="dxa"/>
          <w:left w:w="28" w:type="dxa"/>
          <w:bottom w:w="28" w:type="dxa"/>
          <w:right w:w="28" w:type="dxa"/>
        </w:tblCellMar>
      </w:tblPr>
      <w:tblGrid>
        <w:gridCol w:w="909"/>
        <w:gridCol w:w="787"/>
        <w:gridCol w:w="790"/>
        <w:gridCol w:w="109"/>
        <w:gridCol w:w="109"/>
        <w:gridCol w:w="109"/>
        <w:gridCol w:w="109"/>
        <w:gridCol w:w="969"/>
        <w:gridCol w:w="969"/>
        <w:gridCol w:w="972"/>
        <w:gridCol w:w="109"/>
        <w:gridCol w:w="250"/>
        <w:gridCol w:w="195"/>
        <w:gridCol w:w="378"/>
        <w:gridCol w:w="109"/>
        <w:gridCol w:w="109"/>
        <w:gridCol w:w="109"/>
        <w:gridCol w:w="300"/>
        <w:gridCol w:w="235"/>
        <w:gridCol w:w="378"/>
        <w:gridCol w:w="109"/>
        <w:gridCol w:w="109"/>
        <w:gridCol w:w="109"/>
        <w:gridCol w:w="196"/>
        <w:gridCol w:w="466"/>
        <w:gridCol w:w="109"/>
        <w:gridCol w:w="109"/>
        <w:gridCol w:w="109"/>
        <w:gridCol w:w="109"/>
        <w:gridCol w:w="233"/>
        <w:gridCol w:w="233"/>
        <w:gridCol w:w="310"/>
      </w:tblGrid>
      <w:tr>
        <w:trPr/>
        <w:tc>
          <w:tcPr>
            <w:tcW w:w="9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201" w:type="dxa"/>
            <w:gridSpan w:val="12"/>
            <w:tcBorders/>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Food, beverage, hotel, and other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 “Food, beverage, hotel, and other” only includes “other” revenue.</w:t>
      </w:r>
    </w:p>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segment’s revenues for the three months ended March 31, 2026 increased by </w:t>
      </w:r>
      <w:r>
        <w:rPr>
          <w:rFonts w:ascii="Times New Roman;serif" w:hAnsi="Times New Roman;serif"/>
          <w:b w:val="false"/>
          <w:color w:val="000000"/>
          <w:sz w:val="20"/>
          <w:shd w:fill="FFFFFF" w:val="clear"/>
        </w:rPr>
        <w:t>$68.2 million,</w:t>
      </w:r>
      <w:r>
        <w:rPr>
          <w:color w:val="000000"/>
        </w:rPr>
        <w:t xml:space="preserve"> </w:t>
      </w:r>
      <w:r>
        <w:rPr>
          <w:rFonts w:ascii="Times New Roman;serif" w:hAnsi="Times New Roman;serif"/>
          <w:b w:val="false"/>
          <w:color w:val="000000"/>
          <w:sz w:val="20"/>
        </w:rPr>
        <w:t xml:space="preserve">compared to the corresponding prior year period, primarily due to increases in other revenues and gaming revenues. Gaming revenues were positively impacted by </w:t>
      </w:r>
      <w:r>
        <w:rPr>
          <w:rFonts w:ascii="Times New Roman;serif" w:hAnsi="Times New Roman;serif"/>
          <w:b w:val="false"/>
          <w:color w:val="000000"/>
          <w:sz w:val="20"/>
          <w:shd w:fill="FFFFFF" w:val="clear"/>
        </w:rPr>
        <w:t>higher hold rates compared to the corresponding prior year period, as well as</w:t>
      </w:r>
      <w:r>
        <w:rPr>
          <w:color w:val="000000"/>
        </w:rPr>
        <w:t xml:space="preserve"> </w:t>
      </w:r>
      <w:r>
        <w:rPr>
          <w:rFonts w:ascii="Times New Roman;serif" w:hAnsi="Times New Roman;serif"/>
          <w:b w:val="false"/>
          <w:color w:val="000000"/>
          <w:sz w:val="20"/>
        </w:rPr>
        <w:t xml:space="preserve">growth in our </w:t>
      </w:r>
      <w:r>
        <w:rPr>
          <w:rFonts w:ascii="Times New Roman;serif" w:hAnsi="Times New Roman;serif"/>
          <w:b w:val="false"/>
          <w:color w:val="000000"/>
          <w:sz w:val="20"/>
          <w:shd w:fill="FFFFFF" w:val="clear"/>
        </w:rPr>
        <w:t>Hollywood-branded iCasino and theScore Bet iCasino apps. O</w:t>
      </w:r>
      <w:r>
        <w:rPr>
          <w:rFonts w:ascii="Times New Roman;serif" w:hAnsi="Times New Roman;serif"/>
          <w:b w:val="false"/>
          <w:color w:val="000000"/>
          <w:sz w:val="20"/>
        </w:rPr>
        <w:t xml:space="preserve">nline sports betting also </w:t>
      </w:r>
      <w:r>
        <w:rPr>
          <w:rFonts w:ascii="Times New Roman;serif" w:hAnsi="Times New Roman;serif"/>
          <w:b w:val="false"/>
          <w:color w:val="000000"/>
          <w:sz w:val="20"/>
          <w:shd w:fill="FFFFFF" w:val="clear"/>
        </w:rPr>
        <w:t>benefitted from lower promotional expenses compared to the corresponding prior year period</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Other</w:t>
      </w:r>
      <w:r>
        <w:rPr>
          <w:color w:val="000000"/>
        </w:rPr>
        <w:t xml:space="preserve"> </w:t>
      </w:r>
      <w:r>
        <w:rPr>
          <w:rFonts w:ascii="Times New Roman;serif" w:hAnsi="Times New Roman;serif"/>
          <w:b w:val="false"/>
          <w:color w:val="000000"/>
          <w:sz w:val="20"/>
        </w:rPr>
        <w:t xml:space="preserve">revenues include gaming tax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 xml:space="preserve">partners for online sports betting and iCasino market access </w:t>
      </w:r>
      <w:r>
        <w:rPr>
          <w:rFonts w:ascii="Times New Roman;serif" w:hAnsi="Times New Roman;serif"/>
          <w:b w:val="false"/>
          <w:color w:val="000000"/>
          <w:sz w:val="20"/>
        </w:rPr>
        <w:t>of $185.8 million and $128.2 million for the three months ended</w:t>
      </w:r>
      <w:r>
        <w:rPr>
          <w:color w:val="000000"/>
          <w:shd w:fill="FFFFFF" w:val="clear"/>
        </w:rPr>
        <w:t xml:space="preserve"> </w:t>
      </w:r>
      <w:r>
        <w:rPr>
          <w:rFonts w:ascii="Times New Roman;serif" w:hAnsi="Times New Roman;serif"/>
          <w:b w:val="false"/>
          <w:color w:val="000000"/>
          <w:sz w:val="20"/>
        </w:rPr>
        <w:t xml:space="preserve">March 31, 2026 and 2025, respectively.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March 31, 2026, </w:t>
      </w:r>
      <w:r>
        <w:rPr>
          <w:rFonts w:ascii="Times New Roman;serif" w:hAnsi="Times New Roman;serif"/>
          <w:b w:val="false"/>
          <w:color w:val="000000"/>
          <w:sz w:val="20"/>
          <w:shd w:fill="FFFFFF" w:val="clear"/>
        </w:rPr>
        <w:t>the Interactive segment’s Adjusted EBITDA and Adjusted EBITDA margin increased primarily due to the increase in gaming revenues, discussed above, and a decrease in marketing expense.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Other</w:t>
      </w:r>
    </w:p>
    <w:tbl>
      <w:tblPr>
        <w:tblW w:w="10198"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109"/>
        <w:gridCol w:w="1018"/>
        <w:gridCol w:w="1018"/>
        <w:gridCol w:w="1022"/>
        <w:gridCol w:w="109"/>
        <w:gridCol w:w="196"/>
        <w:gridCol w:w="541"/>
        <w:gridCol w:w="109"/>
        <w:gridCol w:w="109"/>
        <w:gridCol w:w="109"/>
        <w:gridCol w:w="109"/>
        <w:gridCol w:w="196"/>
        <w:gridCol w:w="541"/>
        <w:gridCol w:w="109"/>
        <w:gridCol w:w="109"/>
        <w:gridCol w:w="109"/>
        <w:gridCol w:w="109"/>
        <w:gridCol w:w="196"/>
        <w:gridCol w:w="451"/>
        <w:gridCol w:w="109"/>
        <w:gridCol w:w="109"/>
        <w:gridCol w:w="109"/>
        <w:gridCol w:w="109"/>
        <w:gridCol w:w="232"/>
        <w:gridCol w:w="234"/>
        <w:gridCol w:w="301"/>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177"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Other consists of the Company’s stand-alone racing operations, as well as corporate overhead expenses, which primarily include certain expenses such as payroll, professional f</w:t>
      </w:r>
      <w:r>
        <w:rPr>
          <w:rFonts w:ascii="Times New Roman;serif" w:hAnsi="Times New Roman;serif"/>
          <w:b w:val="false"/>
          <w:color w:val="000000"/>
          <w:sz w:val="20"/>
        </w:rPr>
        <w:t>ees, travel expenses, and other general and administrative expenses that do not directly relate to or have not otherwise been allocated. Revenues for the three months ended March 31, 2026 remained relatively flat compared to the prior year period.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Corporate overhead expenses were $28.2 million and $36.0 million for the three months ended March 31, 2026 and 2025, respectively. Corporate overhead expenses for the three months ended March 31, 2025 included $7.7 million of legal and advisory costs related to activist activity in connection with our 2025 annual meeting of shareholders.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Adjusted EBITDAR for the three months ended March 31, 2026 primarily relate to the prior year period including $7.7 million of legal and advisory costs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Reportable Segment Measures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Non-GAAP Financial Measure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Use and Definitions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GAAP financial measures, management uses Consolidated Adjusted EBITDA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Reconciliation of GAAP Financial Measures to Non-GAAP Financial Measure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 reconciliation of net income (loss), which is determined in accordance with GAAP, to Consolidated Adjusted EBITDA, which is a non-GAAP financial measure:</w:t>
      </w:r>
    </w:p>
    <w:tbl>
      <w:tblPr>
        <w:tblW w:w="8410" w:type="dxa"/>
        <w:jc w:val="left"/>
        <w:tblInd w:w="0" w:type="dxa"/>
        <w:tblLayout w:type="fixed"/>
        <w:tblCellMar>
          <w:top w:w="28" w:type="dxa"/>
          <w:left w:w="28" w:type="dxa"/>
          <w:bottom w:w="28" w:type="dxa"/>
          <w:right w:w="28" w:type="dxa"/>
        </w:tblCellMar>
      </w:tblPr>
      <w:tblGrid>
        <w:gridCol w:w="1413"/>
        <w:gridCol w:w="1240"/>
        <w:gridCol w:w="1246"/>
        <w:gridCol w:w="109"/>
        <w:gridCol w:w="109"/>
        <w:gridCol w:w="309"/>
        <w:gridCol w:w="309"/>
        <w:gridCol w:w="556"/>
        <w:gridCol w:w="1577"/>
        <w:gridCol w:w="309"/>
        <w:gridCol w:w="109"/>
        <w:gridCol w:w="109"/>
        <w:gridCol w:w="109"/>
        <w:gridCol w:w="196"/>
        <w:gridCol w:w="55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Cash-settled stock-based award variance </w:t>
            </w:r>
            <w:r>
              <w:rPr>
                <w:rFonts w:ascii="Times New Roman;serif" w:hAnsi="Times New Roman;serif"/>
                <w:b w:val="false"/>
                <w:color w:val="000000"/>
                <w:sz w:val="12"/>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Pre-opening expenses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Non-operating items of equity method investments </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expenses </w:t>
            </w:r>
            <w:r>
              <w:rPr>
                <w:rFonts w:ascii="Times New Roman;serif" w:hAnsi="Times New Roman;serif"/>
                <w:b w:val="false"/>
                <w:color w:val="000000"/>
                <w:sz w:val="12"/>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(1)These items are included in “General and administrative” within the unaudited Consolidated Statements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primarily of depreciation expense associated with our Kansas Entertainment joint venture.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the three months ended March 31, 2026, other expenses primarily consist of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and other transaction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 We currently believe that our operating cash flow and other sources of liquidity, as described herein, will be sufficient to meet our liquidity needs on a short and long-term basis.</w:t>
      </w:r>
    </w:p>
    <w:tbl>
      <w:tblPr>
        <w:tblW w:w="9300" w:type="dxa"/>
        <w:jc w:val="left"/>
        <w:tblInd w:w="0" w:type="dxa"/>
        <w:tblLayout w:type="fixed"/>
        <w:tblCellMar>
          <w:top w:w="28" w:type="dxa"/>
          <w:left w:w="28" w:type="dxa"/>
          <w:bottom w:w="28" w:type="dxa"/>
          <w:right w:w="28" w:type="dxa"/>
        </w:tblCellMar>
      </w:tblPr>
      <w:tblGrid>
        <w:gridCol w:w="1257"/>
        <w:gridCol w:w="1102"/>
        <w:gridCol w:w="1106"/>
        <w:gridCol w:w="109"/>
        <w:gridCol w:w="307"/>
        <w:gridCol w:w="898"/>
        <w:gridCol w:w="158"/>
        <w:gridCol w:w="158"/>
        <w:gridCol w:w="158"/>
        <w:gridCol w:w="158"/>
        <w:gridCol w:w="307"/>
        <w:gridCol w:w="1007"/>
        <w:gridCol w:w="158"/>
        <w:gridCol w:w="109"/>
        <w:gridCol w:w="109"/>
        <w:gridCol w:w="109"/>
        <w:gridCol w:w="211"/>
        <w:gridCol w:w="511"/>
        <w:gridCol w:w="109"/>
        <w:gridCol w:w="109"/>
        <w:gridCol w:w="109"/>
        <w:gridCol w:w="109"/>
        <w:gridCol w:w="308"/>
        <w:gridCol w:w="308"/>
        <w:gridCol w:w="316"/>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Trends in our operating cash flows tend to follow trends in operating loss, excluding non-cash charges, but can be affected by changes in working capital, the timing of significant interest payments, tax payments or refunds, and distributions from unconsolidated affiliates. Net cash provided by operating activities increased by $80.5 million for the three months ended March 31, 2026, primarily due to an increase in our Interactive segment’s Adjusted EBITDAR.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three months ended March 31, 2026 and 2025, was $84.7 million and $135.9 million, respectively, and primarily related to capital expenditures of $94.6 million and $125.2 million, respectively.</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 expenditures are accounted for as either project capital (new facilities or expansions) or maintenance capital (replacement) which is inclusive of projects such as our retail sportsbooks and hotel renovations. Cash provided by operating activities, as well as cash available under our Amended Revolving Credit Facility, was available to fund our capital expenditures for the three months ended March 31, 2026 and 2025, as applicable.</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Capital expenditures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March 31, 2026 were </w:t>
      </w:r>
      <w:r>
        <w:rPr>
          <w:rFonts w:ascii="Times New Roman;serif" w:hAnsi="Times New Roman;serif"/>
          <w:b w:val="false"/>
          <w:color w:val="000000"/>
          <w:sz w:val="20"/>
        </w:rPr>
        <w:t>$94.6 million</w:t>
      </w:r>
      <w:r>
        <w:rPr>
          <w:rFonts w:ascii="Times New Roman;serif" w:hAnsi="Times New Roman;serif"/>
          <w:b w:val="false"/>
          <w:color w:val="000000"/>
          <w:sz w:val="20"/>
          <w:shd w:fill="FFFFFF" w:val="clear"/>
        </w:rPr>
        <w:t xml:space="preserve">, inclusive of </w:t>
      </w:r>
      <w:r>
        <w:rPr>
          <w:rFonts w:ascii="Times New Roman;serif" w:hAnsi="Times New Roman;serif"/>
          <w:b w:val="false"/>
          <w:color w:val="000000"/>
          <w:sz w:val="20"/>
        </w:rPr>
        <w:t xml:space="preserve">$29.9 million of maintenance capital expenditures and $64.7 million of project capital expenditures. For the year ending December 31, 2026, our anticipated </w:t>
      </w:r>
      <w:r>
        <w:rPr>
          <w:rFonts w:ascii="Times New Roman;serif" w:hAnsi="Times New Roman;serif"/>
          <w:b w:val="false"/>
          <w:color w:val="000000"/>
          <w:sz w:val="20"/>
          <w:shd w:fill="FFFFFF" w:val="clear"/>
        </w:rPr>
        <w:t xml:space="preserve">maintenance </w:t>
      </w:r>
      <w:r>
        <w:rPr>
          <w:rFonts w:ascii="Times New Roman;serif" w:hAnsi="Times New Roman;serif"/>
          <w:b w:val="false"/>
          <w:color w:val="000000"/>
          <w:sz w:val="20"/>
        </w:rPr>
        <w:t>capi</w:t>
      </w:r>
      <w:r>
        <w:rPr>
          <w:rFonts w:ascii="Times New Roman;serif" w:hAnsi="Times New Roman;serif"/>
          <w:b w:val="false"/>
          <w:color w:val="000000"/>
          <w:sz w:val="20"/>
          <w:shd w:fill="FFFFFF" w:val="clear"/>
        </w:rPr>
        <w:t xml:space="preserve">tal expenditures are approximately $220.0 million, which include capital expenditures required under our Triple Net Leases, which require us to spend a specified percentage of total revenues. Additionally,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year ending December 31,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we anticipate project capital expenditures of</w:t>
      </w:r>
      <w:r>
        <w:rPr>
          <w:color w:val="000000"/>
        </w:rPr>
        <w:t xml:space="preserve"> </w:t>
      </w:r>
      <w:r>
        <w:rPr>
          <w:rFonts w:ascii="Times New Roman;serif" w:hAnsi="Times New Roman;serif"/>
          <w:b w:val="false"/>
          <w:color w:val="000000"/>
          <w:sz w:val="20"/>
        </w:rPr>
        <w:t>$200.0 million,</w:t>
      </w:r>
      <w:r>
        <w:rPr>
          <w:color w:val="000000"/>
          <w:shd w:fill="FFFFFF" w:val="clear"/>
        </w:rPr>
        <w:t xml:space="preserve"> </w:t>
      </w:r>
      <w:r>
        <w:rPr>
          <w:rFonts w:ascii="Times New Roman;serif" w:hAnsi="Times New Roman;serif"/>
          <w:b w:val="false"/>
          <w:color w:val="000000"/>
          <w:sz w:val="20"/>
          <w:shd w:fill="FFFFFF" w:val="clear"/>
        </w:rPr>
        <w:t xml:space="preserve">the majority of which are </w:t>
      </w:r>
      <w:r>
        <w:rPr>
          <w:rFonts w:ascii="Times New Roman;serif" w:hAnsi="Times New Roman;serif"/>
          <w:b w:val="false"/>
          <w:color w:val="000000"/>
          <w:sz w:val="20"/>
        </w:rPr>
        <w:t xml:space="preserve">in connection with the PENN Development Projects pursuant to our Master Development Agreement with GLPI (as described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 xml:space="preserve">in the notes to the unaudited Consolidated Financial Statements). The Master Development Agreement provides that GLPI will fund up to $225.0 million for the Aurora Project and, upon PENN’s request, up to $350.0 million in aggregate for the Other Development Projects, in accordance with certain terms and conditions set forth in the Master Development Agreement. The PENN Development Projects still under construction are all subject to necessary regulatory and other government approvals. On August 1, 2025, the Company received the full $130.0 million in committed funding from GLPI for the Joliet Project which opened on August 11, 2025, and on November 3, 2025, the Company received the full $150.0 million in committed funding from GLPI for the M Resort Project which opened on December 1, 2025. We have requested $216.3 million in funding from GLPI for the Aurora Project, which we have not yet received, as described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We did not request or receive any funding from GLPI for the Columbus Project, and GLPI’s funding commitment expired on December 31,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financing activities totaled $7.0 million, primarily related to net payments of $545.0 million on our revolving credit facility, principal payments of $25.1 million on our finance leases and financing obligations, $9.4 million in payments on insurance financing, as well as $9.4 million in principal payments on long-term debt, partially offset by proceeds from issuance of long-term debt of $600.0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net cash used in financing activities totaled $16.2 million, primarily related to repurchases of our common stock of $25.0 million, principal payments of $23.8 million on our finance leases and financing obligations, $12.4 million in payments on insurance financing, as well as $9.4 million in principal payments on long-term debt, offset by $60.0 million of net proceeds from our revolving credit facility.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Debt Issuance and Other Long-Term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As of March 31, 2026, we had $2.9 billion in aggregate principal amount of indebtedness, including $1.4 billion outstanding under our Amended Credit Facilities, $400.0 million outstanding under our 5.625% Notes, $400.0 million outstanding under our 4.125% Notes, $600.0 million outstanding on our 6.75% Notes, $106.7 million outstanding under our Convertible Notes, and $7.8 million outstanding in other long-term obligations. We ha</w:t>
      </w:r>
      <w:r>
        <w:rPr>
          <w:rFonts w:ascii="Times New Roman;serif" w:hAnsi="Times New Roman;serif"/>
          <w:b w:val="false"/>
          <w:color w:val="000000"/>
          <w:sz w:val="20"/>
          <w:shd w:fill="FFFFFF" w:val="clear"/>
        </w:rPr>
        <w:t xml:space="preserve">d $25.0 million drawn on our Amended Revolving Credit Facility. See definitions for (i) Amended Credit Facilities; (ii) 5.625% Notes; (iii) 4.125% Notes; (iv) 6.75% Notes; (v) Convertible Notes; and (vi) Amended Revolving Credit Facility in </w:t>
      </w:r>
      <w:hyperlink w:anchor="if4e771b9a5bf400c8d8aabcb60865b46_52">
        <w:r>
          <w:rPr>
            <w:rStyle w:val="InternetLink"/>
            <w:rFonts w:ascii="Times New Roman;serif" w:hAnsi="Times New Roman;serif"/>
            <w:b w:val="false"/>
            <w:color w:val="0000FF"/>
            <w:sz w:val="20"/>
            <w:u w:val="single"/>
            <w:shd w:fill="FFFFFF" w:val="clear"/>
          </w:rPr>
          <w:t>Note 5, “Long-Term Debt”</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Consolidated Financial Statements. T</w:t>
      </w:r>
      <w:r>
        <w:rPr>
          <w:rFonts w:ascii="Times New Roman;serif" w:hAnsi="Times New Roman;serif"/>
          <w:b w:val="false"/>
          <w:color w:val="000000"/>
          <w:sz w:val="20"/>
        </w:rPr>
        <w:t>he Convertible Notes and 5.625% Notes are scheduled to mature within twelve months, however, the Company intends to refinance both on a long-term basis. As of April 28, 2026, the Company had no outstanding borrowings under its Amended Revolving Credit Facility; and continued to have $23.9 million in outstanding letters of credit, resulting in $976.1 million in available borrowing capacity.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an offering of $600.0 million aggregate principal amount of 6.75% senior unsecured notes that mature on April 1, 2031. The 6.75% Notes were issued at par and interest is payable semi-annually on April 1st and October 1st of each year. The 6.75% Notes are not guaranteed by any of the Company’s subsidiaries except in the event that the Company, in the future, issues certain subsidiary-guaranteed debt securities. Net proceeds of the 6.75% Notes were used to repay borrowings under the Amended Revolving Credit Facility.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Subsequent to quarter end, on April 16, 2026, PENN entered into a Third Amendment (the “Third Amendment Agreement”) to its Second Amended and Restated Credit Agreement (as defined in </w:t>
      </w:r>
      <w:hyperlink w:anchor="if4e771b9a5bf400c8d8aabcb60865b46_52">
        <w:r>
          <w:rPr>
            <w:rStyle w:val="InternetLink"/>
            <w:rFonts w:ascii="Times New Roman;serif" w:hAnsi="Times New Roman;serif"/>
            <w:b w:val="false"/>
            <w:color w:val="0000FF"/>
            <w:sz w:val="20"/>
            <w:u w:val="single"/>
            <w:shd w:fill="FFFFFF" w:val="clear"/>
          </w:rPr>
          <w:t>Note 5, “Long-Term Debt”</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Consolidated Financial Statements)</w:t>
      </w:r>
      <w:r>
        <w:rPr>
          <w:rFonts w:ascii="Times New Roman;serif" w:hAnsi="Times New Roman;serif"/>
          <w:b w:val="false"/>
          <w:color w:val="000000"/>
          <w:sz w:val="20"/>
        </w:rPr>
        <w:t>. The Third Amendment Agreement, among other things, refinanced and extended the term of the Company’s $1.0 billion Amended Revolving Credit Facility and $446.9 million Amended Term Loan A Facility (together, as so amended, the “Amended Facilities”). The interest rate margins applicable to the Amended Revolving Credit Facility and Amended Term Loan A Facility were unchanged by the Third Amendment Agreement, except that the Third Amendment Agreement removed the credit spread adjustment applicable to SOFR borrowings under the Amended Revolving Credit Facility and Amended Term Loan A Facility.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refinancing, the borrowing capacity under the Amended Facilities will be available for future working capital and other general corporate purposes.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Credit Facilities, 5.625% Notes,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f4e771b9a5bf400c8d8aabcb60865b46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in the notes to the unaudited Consolidated Financial Statements for additional information of the Company’s debt and other long-term obligations.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2025, the Board of Directors approved a new $750.0 million share repurchase program (the “October 2025 Authorization”), which commenced on January 1, 2026 and expires on December 31,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all repurchased shares is recorded as “Treasury stock” within the unaudited Consolidated Balance Sheets.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Factors Affecting Liquidity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Triple Net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the AR PENN Master Lease, 2023 Master Lease, and Pinnacle Master Lease (as such terms are defined in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our unaudited Consolidated Financial Statements, and collectively referred to as the “Master Leases”) with GLPI. We refer to the Master Leases, VICI Master Lease, Margaritaville Lease (prior to December 4, 2025), Greektown Lease (prior to December 4, 2025), and Morgantown Lease, collectively, as our “Triple Net Leases.” The Company’s Triple Net Leases are accounted for as either operating leases, finance leases, or financing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Additionally, our Triple Net Leases are subject to annual escalators and periodic percentage rent resets, as applicable. See </w:t>
      </w:r>
      <w:hyperlink w:anchor="if4e771b9a5bf400c8d8aabcb60865b46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 and disclosure related to the Company’s leases.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to our REIT Landlords under Triple Net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payments made to our REIT Landlords, GLPI and VICI, were as follows:</w:t>
      </w:r>
    </w:p>
    <w:tbl>
      <w:tblPr>
        <w:tblW w:w="6880" w:type="dxa"/>
        <w:jc w:val="left"/>
        <w:tblInd w:w="0" w:type="dxa"/>
        <w:tblLayout w:type="fixed"/>
        <w:tblCellMar>
          <w:top w:w="28" w:type="dxa"/>
          <w:left w:w="28" w:type="dxa"/>
          <w:bottom w:w="28" w:type="dxa"/>
          <w:right w:w="28" w:type="dxa"/>
        </w:tblCellMar>
      </w:tblPr>
      <w:tblGrid>
        <w:gridCol w:w="739"/>
        <w:gridCol w:w="649"/>
        <w:gridCol w:w="651"/>
        <w:gridCol w:w="109"/>
        <w:gridCol w:w="109"/>
        <w:gridCol w:w="313"/>
        <w:gridCol w:w="313"/>
        <w:gridCol w:w="606"/>
        <w:gridCol w:w="1770"/>
        <w:gridCol w:w="313"/>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(1)As discussed in </w:t>
      </w:r>
      <w:hyperlink w:anchor="if4e771b9a5bf400c8d8aabcb60865b46_55">
        <w:r>
          <w:rPr>
            <w:rStyle w:val="InternetLink"/>
            <w:rFonts w:ascii="Times New Roman;serif" w:hAnsi="Times New Roman;serif"/>
            <w:b w:val="false"/>
            <w:color w:val="0000FF"/>
            <w:sz w:val="16"/>
            <w:u w:val="single"/>
          </w:rPr>
          <w:t>Note 6, “Leases,”</w:t>
        </w:r>
      </w:hyperlink>
      <w:r>
        <w:rPr>
          <w:color w:val="000000"/>
        </w:rPr>
        <w:t xml:space="preserve"> </w:t>
      </w:r>
      <w:r>
        <w:rPr>
          <w:rFonts w:ascii="Times New Roman;serif" w:hAnsi="Times New Roman;serif"/>
          <w:b w:val="false"/>
          <w:color w:val="000000"/>
          <w:sz w:val="16"/>
        </w:rPr>
        <w:t>prior to December 4, 2025, lease payments made to VICI related to the Margaritaville and Greektown individual triple net leases; effective December 4, 2025, lease payments made to VICI relate to the VICI Master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rFonts w:ascii="Times New Roman;serif" w:hAnsi="Times New Roman;serif"/>
          <w:b/>
          <w:i/>
          <w:color w:val="000000"/>
          <w:sz w:val="20"/>
        </w:rPr>
        <w:t>Outlook</w:t>
      </w:r>
      <w:r>
        <w:rPr>
          <w:color w:val="000000"/>
        </w:rPr>
        <w: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price inflation, changes in interest rates on the U.S. economy, economic uncertainty, and geopolitical uncertainty; (ii) that our anticipated earnings projections will be realized; (iii) that we will realize the anticipated benefits of our realigned digital strategy;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2025 for a discussion of additional risks, including risks related to the Company’s capital structure.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complete discussion of our critical accounting estimates is included in our Form 10-K for the year ended December 31, 2025. There have been no significant changes in our critical accounting estimates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information with respect to new accounting pronouncements and the impact of these pronouncements on the unaudited Consolidated Financial Statements, see </w:t>
      </w:r>
      <w:hyperlink w:anchor="if4e771b9a5bf400c8d8aabcb60865b46_40">
        <w:r>
          <w:rPr>
            <w:rStyle w:val="InternetLink"/>
            <w:rFonts w:ascii="Times New Roman;serif" w:hAnsi="Times New Roman;serif"/>
            <w:b w:val="false"/>
            <w:color w:val="0000FF"/>
            <w:sz w:val="20"/>
            <w:u w:val="single"/>
          </w:rPr>
          <w:t>Note 3, “New Accounting Pronouncements”</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IMPORTANT FACTORS REGARDING FORWARD-LOOKING STATEMENTS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scale and timing of the Company’s product and technology investments; the Company’s expectations regarding cash flow generation and near-term deleveraging; the Company’s expectations regarding results and customer growth and the impact of competition in retail/mobile/online sportsbooks, iCasino, social gaming, and retail operations; the Company’s development and launch of its Interactive segment’s products in new jurisdictions and enhancements to existing Interactive segment products; the future success of theScore Bet, Hollywood iCasino and its other digital offerings; the anticipated benefits of the Company’s realigned digital strategy; the Company’s expectations regarding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(“OSB”), and iCasino businesses; our ability to obtain financing for our development projects on attractive terms; the timing, cost and expected impact of planned capital expenditures on the Company’s results of operations; and the actions of regulatory, legislative, or executive authorities, or judicial decisions at the federal, state, provincial, or local level with regard to our business and the impact of any such actions or decisions.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including from prediction markets and grey market or illegal offerings;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rent payments under our lease agreements, make anticipated capital expenditures or pay off or refinance our indebtedness prior to maturity; the impact of indemnification obligations under the Barstool SPA; our ability to realize the anticipated benefits of our realigned digital strategy; our ability to attract and retain user adoption of theScore Bet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Quarterly Report on Form 10-Q may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adverse changes in interest rates with respect to the short-term floating interest rates on borrowings under our Amended Credit Facilities. As of March 31, 2026, the Company’s Amended Credit Facilities had a gross outstanding balance of $1.4 billion, consisting of a $446.9 million Amended Term Loan A Facility, a $962.5 million Amended Term Loan B Facility, and $25.0 million of borrowings against our Amended Revolving Credit Facility. As of March 31, 2026, we had $951.1 million of available borrowing capacity under our Amended Revolving Credit Facility.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as of March 31, 2026 about our long-term debt obligations that are sensitive to changes in interest rates, including the notional amounts maturing during the twelve month period presented and the related weighted-average interest rates by maturity dates.</w:t>
      </w:r>
    </w:p>
    <w:tbl>
      <w:tblPr>
        <w:tblW w:w="10273" w:type="dxa"/>
        <w:jc w:val="left"/>
        <w:tblInd w:w="0" w:type="dxa"/>
        <w:tblLayout w:type="fixed"/>
        <w:tblCellMar>
          <w:top w:w="28" w:type="dxa"/>
          <w:left w:w="28" w:type="dxa"/>
          <w:bottom w:w="28" w:type="dxa"/>
          <w:right w:w="28" w:type="dxa"/>
        </w:tblCellMar>
      </w:tblPr>
      <w:tblGrid>
        <w:gridCol w:w="290"/>
        <w:gridCol w:w="215"/>
        <w:gridCol w:w="216"/>
        <w:gridCol w:w="211"/>
        <w:gridCol w:w="406"/>
        <w:gridCol w:w="256"/>
        <w:gridCol w:w="109"/>
        <w:gridCol w:w="109"/>
        <w:gridCol w:w="109"/>
        <w:gridCol w:w="211"/>
        <w:gridCol w:w="406"/>
        <w:gridCol w:w="256"/>
        <w:gridCol w:w="109"/>
        <w:gridCol w:w="109"/>
        <w:gridCol w:w="109"/>
        <w:gridCol w:w="211"/>
        <w:gridCol w:w="406"/>
        <w:gridCol w:w="256"/>
        <w:gridCol w:w="109"/>
        <w:gridCol w:w="109"/>
        <w:gridCol w:w="109"/>
        <w:gridCol w:w="211"/>
        <w:gridCol w:w="406"/>
        <w:gridCol w:w="256"/>
        <w:gridCol w:w="109"/>
        <w:gridCol w:w="109"/>
        <w:gridCol w:w="109"/>
        <w:gridCol w:w="211"/>
        <w:gridCol w:w="406"/>
        <w:gridCol w:w="109"/>
        <w:gridCol w:w="109"/>
        <w:gridCol w:w="109"/>
        <w:gridCol w:w="109"/>
        <w:gridCol w:w="196"/>
        <w:gridCol w:w="556"/>
        <w:gridCol w:w="256"/>
        <w:gridCol w:w="109"/>
        <w:gridCol w:w="109"/>
        <w:gridCol w:w="109"/>
        <w:gridCol w:w="196"/>
        <w:gridCol w:w="691"/>
        <w:gridCol w:w="109"/>
        <w:gridCol w:w="109"/>
        <w:gridCol w:w="109"/>
        <w:gridCol w:w="109"/>
        <w:gridCol w:w="196"/>
        <w:gridCol w:w="691"/>
        <w:gridCol w:w="154"/>
      </w:tblGrid>
      <w:tr>
        <w:trPr/>
        <w:tc>
          <w:tcPr>
            <w:tcW w:w="2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4/1/26 - 3/31/27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4/1/27 - 3/31/28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4/1/28 - 3/31/29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4/1/29 - 3/31/30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4/1/30 - 3/31/31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interest rate </w:t>
            </w:r>
            <w:r>
              <w:rPr>
                <w:rFonts w:ascii="Times New Roman;serif" w:hAnsi="Times New Roman;serif"/>
                <w:b w:val="false"/>
                <w:color w:val="000000"/>
                <w:sz w:val="12"/>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(1)Estimated rate, reflective of forward SOFR as of March 31, 2026 plus the spread over SOFR applicable to variable-rate borrowing.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currency translation risk because the results of our international entities are reported in local currency, which we then translate to U.S. dollars for inclusion in the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the unaudited Consolidated Financial Statements. We do not currently enter into hedging arrangements to minimize the impact of foreign currency fluctuations on our operations. For the three months ended March 31, 2026 and 2025, we incurred unrealized foreign currency translation adjustment losses of $10.4 million and $0.3 million, respectively, as reported in “Foreign currency translation adjustment” within the unaudited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March 31, 2026. Based on this evaluation, our principal executive officer and principal financial officer concluded that the Company’s disclosure controls and procedures were effective as of March 31,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you to our 2025 Annual Report on Form 10-K for a discussion of the risk factors that affect our business and financial results. There have been no material changes to the risk factors previously disclosed under Part I, Item 1A. “Risk Factors” in the Company’s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October 2025 Authorization, which expires on December 31, 2028, authorized the repurchase of up to $750.0 million of our common stock from time to time on the open market or in privately negotiated transactions. Stock repurchases, if any, will be funded using our available liquidity. The timing and amount of stock repurchases are dependent on a variety of factors, including but not limited to, market conditions and corporate and regulatory considerations. </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during the three months ended March 31, 2026. As of March 31, 2026, the remaining availability under our October 2025 Authorization was $750.0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shares withheld to pay taxes due upon the vesting of employee restricted stock.</w:t>
      </w:r>
    </w:p>
    <w:tbl>
      <w:tblPr>
        <w:tblW w:w="8678" w:type="dxa"/>
        <w:jc w:val="left"/>
        <w:tblInd w:w="0" w:type="dxa"/>
        <w:tblLayout w:type="fixed"/>
        <w:tblCellMar>
          <w:top w:w="28" w:type="dxa"/>
          <w:left w:w="28" w:type="dxa"/>
          <w:bottom w:w="28" w:type="dxa"/>
          <w:right w:w="28" w:type="dxa"/>
        </w:tblCellMar>
      </w:tblPr>
      <w:tblGrid>
        <w:gridCol w:w="1021"/>
        <w:gridCol w:w="895"/>
        <w:gridCol w:w="903"/>
        <w:gridCol w:w="109"/>
        <w:gridCol w:w="109"/>
        <w:gridCol w:w="109"/>
        <w:gridCol w:w="909"/>
        <w:gridCol w:w="909"/>
        <w:gridCol w:w="912"/>
        <w:gridCol w:w="109"/>
        <w:gridCol w:w="109"/>
        <w:gridCol w:w="109"/>
        <w:gridCol w:w="454"/>
        <w:gridCol w:w="1288"/>
        <w:gridCol w:w="252"/>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Average Price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298,269 </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53,186 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140,117 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491,572 </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directors or executive officers adopted, modified or terminated any contract, instruction or written plan for the purchase or sale of the Company’s securities that was intended to satisfy the affirmative defense conditions of Rule 10b5-1(c) or any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8"/>
        <w:gridCol w:w="263"/>
        <w:gridCol w:w="265"/>
        <w:gridCol w:w="109"/>
        <w:gridCol w:w="109"/>
        <w:gridCol w:w="109"/>
        <w:gridCol w:w="2799"/>
        <w:gridCol w:w="2580"/>
        <w:gridCol w:w="3673"/>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Indenture, dated as of March 16, 2026, between PENN Entertainment, Inc. and Computershare Trust Company, National Association as Trustee, relating to the 6.750% Senior Notes due 2031 is hereby incorporated by reference to Exhibit 4.1 to the Company’s Current Report on Form 8-K filed on March 16, 2026 (SEC File No. 000-24206).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Form of Note for 6.750% Senior Notes due 2031 is included in, and hereby incorporated by reference to Exhibit 4.1 to the Company’s Current Report on Form 8-K filed on March 16, 2026 (SEC File No. 000-24206).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Third Amendment, dated as of April 16, 2026, by and among PENN Entertainment, Inc., the guarantors party thereto, the lenders party thereto and Bank of America. N.A., as administrative agent and collateral agent is hereby incorporated by reference to Exhibit 10.1 to the Company’s Current Report on Form 8-K filed on April 16, 2026 (SEC File No. 000-24206).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103312026.htm">
              <w:r>
                <w:rPr>
                  <w:rStyle w:val="InternetLink"/>
                  <w:rFonts w:ascii="Times New Roman;serif" w:hAnsi="Times New Roman;serif"/>
                  <w:b w:val="false"/>
                  <w:color w:val="0000FF"/>
                  <w:sz w:val="20"/>
                  <w:u w:val="single"/>
                </w:rPr>
                <w:t>CEO Certification pursuant to Exchange Act Rules 13a-14(a) and 15d-14(a),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203312026.htm">
              <w:r>
                <w:rPr>
                  <w:rStyle w:val="InternetLink"/>
                  <w:rFonts w:ascii="Times New Roman;serif" w:hAnsi="Times New Roman;serif"/>
                  <w:b w:val="false"/>
                  <w:color w:val="0000FF"/>
                  <w:sz w:val="20"/>
                  <w:u w:val="single"/>
                </w:rPr>
                <w:t>CFO Certification pursuant to Exchange Act Rules 13a-14(a) and 15d-14(a),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103312026.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203312026.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4e771b9a5bf400c8d8aabcb60865b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852"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34"/>
        <w:gridCol w:w="134"/>
        <w:gridCol w:w="136"/>
        <w:gridCol w:w="1315"/>
        <w:gridCol w:w="1315"/>
        <w:gridCol w:w="186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PENN Entertainment,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Jay A. Snowden,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48" w:type="dxa"/>
        <w:jc w:val="right"/>
        <w:tblInd w:w="0" w:type="dxa"/>
        <w:tblLayout w:type="fixed"/>
        <w:tblCellMar>
          <w:top w:w="28" w:type="dxa"/>
          <w:left w:w="28" w:type="dxa"/>
          <w:bottom w:w="28" w:type="dxa"/>
          <w:right w:w="28" w:type="dxa"/>
        </w:tblCellMar>
      </w:tblPr>
      <w:tblGrid>
        <w:gridCol w:w="200"/>
        <w:gridCol w:w="177"/>
        <w:gridCol w:w="178"/>
        <w:gridCol w:w="429"/>
        <w:gridCol w:w="429"/>
        <w:gridCol w:w="43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Felicia R. Hendrix,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83" w:type="dxa"/>
        <w:jc w:val="right"/>
        <w:tblInd w:w="0" w:type="dxa"/>
        <w:tblLayout w:type="fixed"/>
        <w:tblCellMar>
          <w:top w:w="28" w:type="dxa"/>
          <w:left w:w="28" w:type="dxa"/>
          <w:bottom w:w="28" w:type="dxa"/>
          <w:right w:w="28" w:type="dxa"/>
        </w:tblCellMar>
      </w:tblPr>
      <w:tblGrid>
        <w:gridCol w:w="200"/>
        <w:gridCol w:w="177"/>
        <w:gridCol w:w="178"/>
        <w:gridCol w:w="429"/>
        <w:gridCol w:w="429"/>
        <w:gridCol w:w="43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March 31, 2026 as filed with the U.S. Securities and Exchange Commission on the date hereof (the “Report”), I, Jay A. Snowden, Chief Executive Officer and President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848" w:type="dxa"/>
        <w:jc w:val="right"/>
        <w:tblInd w:w="0" w:type="dxa"/>
        <w:tblLayout w:type="fixed"/>
        <w:tblCellMar>
          <w:top w:w="28" w:type="dxa"/>
          <w:left w:w="28" w:type="dxa"/>
          <w:bottom w:w="28" w:type="dxa"/>
          <w:right w:w="28" w:type="dxa"/>
        </w:tblCellMar>
      </w:tblPr>
      <w:tblGrid>
        <w:gridCol w:w="200"/>
        <w:gridCol w:w="177"/>
        <w:gridCol w:w="178"/>
        <w:gridCol w:w="429"/>
        <w:gridCol w:w="429"/>
        <w:gridCol w:w="43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March 31, 2026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283" w:type="dxa"/>
        <w:jc w:val="right"/>
        <w:tblInd w:w="0" w:type="dxa"/>
        <w:tblLayout w:type="fixed"/>
        <w:tblCellMar>
          <w:top w:w="28" w:type="dxa"/>
          <w:left w:w="28" w:type="dxa"/>
          <w:bottom w:w="28" w:type="dxa"/>
          <w:right w:w="28" w:type="dxa"/>
        </w:tblCellMar>
      </w:tblPr>
      <w:tblGrid>
        <w:gridCol w:w="200"/>
        <w:gridCol w:w="177"/>
        <w:gridCol w:w="178"/>
        <w:gridCol w:w="429"/>
        <w:gridCol w:w="429"/>
        <w:gridCol w:w="43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738/000110465926028502/tm2530634d5_ex4-1.htm" TargetMode="External"/><Relationship Id="rId3" Type="http://schemas.openxmlformats.org/officeDocument/2006/relationships/hyperlink" Target="https://www.sec.gov/Archives/edgar/data/921738/000110465926028502/tm2530634d5_ex4-1.htm" TargetMode="External"/><Relationship Id="rId4" Type="http://schemas.openxmlformats.org/officeDocument/2006/relationships/hyperlink" Target="https://www.sec.gov/Archives/edgar/data/921738/000110465926044358/tm2611966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28096</Words>
  <Characters>158065</Characters>
  <CharactersWithSpaces>184097</CharactersWithSpaces>
  <Paragraphs>3326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