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394970</wp:posOffset>
            </wp:positionH>
            <wp:positionV relativeFrom="paragraph">
              <wp:posOffset>415925</wp:posOffset>
            </wp:positionV>
            <wp:extent cx="6805930" cy="165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805930" cy="1651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19" w:lineRule="exact"/>
        <w:rPr>
          <w:sz w:val="24"/>
          <w:szCs w:val="24"/>
          <w:color w:val="auto"/>
        </w:rPr>
      </w:pPr>
    </w:p>
    <w:p>
      <w:pPr>
        <w:jc w:val="center"/>
        <w:spacing w:after="0"/>
        <w:rPr>
          <w:sz w:val="20"/>
          <w:szCs w:val="20"/>
          <w:color w:val="auto"/>
        </w:rPr>
      </w:pPr>
      <w:r>
        <w:rPr>
          <w:rFonts w:ascii="Arial" w:cs="Arial" w:eastAsia="Arial" w:hAnsi="Arial"/>
          <w:sz w:val="27"/>
          <w:szCs w:val="27"/>
          <w:b w:val="1"/>
          <w:bCs w:val="1"/>
          <w:color w:val="auto"/>
        </w:rPr>
        <w:t>UNITED STATES</w:t>
      </w:r>
    </w:p>
    <w:p>
      <w:pPr>
        <w:spacing w:after="0" w:line="44" w:lineRule="exact"/>
        <w:rPr>
          <w:sz w:val="24"/>
          <w:szCs w:val="24"/>
          <w:color w:val="auto"/>
        </w:rPr>
      </w:pPr>
    </w:p>
    <w:p>
      <w:pPr>
        <w:jc w:val="center"/>
        <w:spacing w:after="0"/>
        <w:rPr>
          <w:sz w:val="20"/>
          <w:szCs w:val="20"/>
          <w:color w:val="auto"/>
        </w:rPr>
      </w:pPr>
      <w:r>
        <w:rPr>
          <w:rFonts w:ascii="Arial" w:cs="Arial" w:eastAsia="Arial" w:hAnsi="Arial"/>
          <w:sz w:val="27"/>
          <w:szCs w:val="27"/>
          <w:b w:val="1"/>
          <w:bCs w:val="1"/>
          <w:color w:val="auto"/>
        </w:rPr>
        <w:t>SECURITIES AND EXCHANGE COMMISSION</w:t>
      </w:r>
    </w:p>
    <w:p>
      <w:pPr>
        <w:spacing w:after="0" w:line="17"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Washington, D.C. 20549</w:t>
      </w:r>
    </w:p>
    <w:p>
      <w:pPr>
        <w:spacing w:after="0" w:line="11" w:lineRule="exact"/>
        <w:rPr>
          <w:sz w:val="24"/>
          <w:szCs w:val="24"/>
          <w:color w:val="auto"/>
        </w:rPr>
      </w:pPr>
    </w:p>
    <w:p>
      <w:pPr>
        <w:jc w:val="center"/>
        <w:spacing w:after="0"/>
        <w:rPr>
          <w:sz w:val="20"/>
          <w:szCs w:val="20"/>
          <w:color w:val="auto"/>
        </w:rPr>
      </w:pPr>
      <w:r>
        <w:rPr>
          <w:rFonts w:ascii="Arial" w:cs="Arial" w:eastAsia="Arial" w:hAnsi="Arial"/>
          <w:sz w:val="31"/>
          <w:szCs w:val="31"/>
          <w:b w:val="1"/>
          <w:bCs w:val="1"/>
          <w:color w:val="auto"/>
        </w:rPr>
        <w:t>FORM 10-Q</w:t>
      </w:r>
    </w:p>
    <w:p>
      <w:pPr>
        <w:spacing w:after="0" w:line="1"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(Mark One)</w:t>
      </w:r>
    </w:p>
    <w:p>
      <w:pPr>
        <w:spacing w:after="0" w:line="98" w:lineRule="exact"/>
        <w:rPr>
          <w:sz w:val="24"/>
          <w:szCs w:val="24"/>
          <w:color w:val="auto"/>
        </w:rPr>
      </w:pPr>
    </w:p>
    <w:p>
      <w:pPr>
        <w:ind w:left="580" w:hanging="422"/>
        <w:spacing w:after="0"/>
        <w:tabs>
          <w:tab w:leader="none" w:pos="580" w:val="left"/>
        </w:tabs>
        <w:numPr>
          <w:ilvl w:val="0"/>
          <w:numId w:val="1"/>
        </w:numPr>
        <w:rPr>
          <w:rFonts w:ascii="MS PGothic" w:cs="MS PGothic" w:eastAsia="MS PGothic" w:hAnsi="MS PGothic"/>
          <w:sz w:val="15"/>
          <w:szCs w:val="15"/>
          <w:color w:val="auto"/>
        </w:rPr>
      </w:pPr>
      <w:r>
        <w:rPr>
          <w:rFonts w:ascii="Arial" w:cs="Arial" w:eastAsia="Arial" w:hAnsi="Arial"/>
          <w:sz w:val="16"/>
          <w:szCs w:val="16"/>
          <w:b w:val="1"/>
          <w:bCs w:val="1"/>
          <w:color w:val="auto"/>
        </w:rPr>
        <w:t>QUARTERLY REPORT PURSUANT TO SECTION 13 OR 15(d) OF THE SECURITIES EXCHANGE ACT OF 1934</w:t>
      </w:r>
    </w:p>
    <w:p>
      <w:pPr>
        <w:spacing w:after="0" w:line="159" w:lineRule="exact"/>
        <w:rPr>
          <w:sz w:val="24"/>
          <w:szCs w:val="24"/>
          <w:color w:val="auto"/>
        </w:rPr>
      </w:pPr>
    </w:p>
    <w:p>
      <w:pPr>
        <w:jc w:val="center"/>
        <w:spacing w:after="0"/>
        <w:rPr>
          <w:sz w:val="20"/>
          <w:szCs w:val="20"/>
          <w:color w:val="auto"/>
        </w:rPr>
      </w:pPr>
      <w:r>
        <w:rPr>
          <w:rFonts w:ascii="Arial" w:cs="Arial" w:eastAsia="Arial" w:hAnsi="Arial"/>
          <w:sz w:val="15"/>
          <w:szCs w:val="15"/>
          <w:b w:val="1"/>
          <w:bCs w:val="1"/>
          <w:color w:val="auto"/>
        </w:rPr>
        <w:t>For the quarterly period ended March 31, 2021</w:t>
      </w:r>
    </w:p>
    <w:p>
      <w:pPr>
        <w:spacing w:after="0" w:line="60" w:lineRule="exact"/>
        <w:rPr>
          <w:sz w:val="24"/>
          <w:szCs w:val="24"/>
          <w:color w:val="auto"/>
        </w:rPr>
      </w:pPr>
    </w:p>
    <w:p>
      <w:pPr>
        <w:jc w:val="center"/>
        <w:spacing w:after="0"/>
        <w:rPr>
          <w:sz w:val="20"/>
          <w:szCs w:val="20"/>
          <w:color w:val="auto"/>
        </w:rPr>
      </w:pPr>
      <w:r>
        <w:rPr>
          <w:rFonts w:ascii="Arial" w:cs="Arial" w:eastAsia="Arial" w:hAnsi="Arial"/>
          <w:sz w:val="15"/>
          <w:szCs w:val="15"/>
          <w:b w:val="1"/>
          <w:bCs w:val="1"/>
          <w:color w:val="auto"/>
        </w:rPr>
        <w:t>or</w:t>
      </w:r>
    </w:p>
    <w:p>
      <w:pPr>
        <w:spacing w:after="0" w:line="129" w:lineRule="exact"/>
        <w:rPr>
          <w:sz w:val="24"/>
          <w:szCs w:val="24"/>
          <w:color w:val="auto"/>
        </w:rPr>
      </w:pPr>
    </w:p>
    <w:p>
      <w:pPr>
        <w:ind w:left="580" w:hanging="422"/>
        <w:spacing w:after="0"/>
        <w:tabs>
          <w:tab w:leader="none" w:pos="580" w:val="left"/>
        </w:tabs>
        <w:numPr>
          <w:ilvl w:val="0"/>
          <w:numId w:val="2"/>
        </w:numPr>
        <w:rPr>
          <w:rFonts w:ascii="MS PGothic" w:cs="MS PGothic" w:eastAsia="MS PGothic" w:hAnsi="MS PGothic"/>
          <w:sz w:val="15"/>
          <w:szCs w:val="15"/>
          <w:color w:val="auto"/>
        </w:rPr>
      </w:pPr>
      <w:r>
        <w:rPr>
          <w:rFonts w:ascii="Arial" w:cs="Arial" w:eastAsia="Arial" w:hAnsi="Arial"/>
          <w:sz w:val="16"/>
          <w:szCs w:val="16"/>
          <w:b w:val="1"/>
          <w:bCs w:val="1"/>
          <w:color w:val="auto"/>
        </w:rPr>
        <w:t>TRANSITION REPORT PURSUANT TO SECTION 13 OR 15(d) OF THE SECURITIES EXCHANGE ACT OF 1934</w:t>
      </w:r>
    </w:p>
    <w:p>
      <w:pPr>
        <w:spacing w:after="0" w:line="146" w:lineRule="exact"/>
        <w:rPr>
          <w:sz w:val="24"/>
          <w:szCs w:val="24"/>
          <w:color w:val="auto"/>
        </w:rPr>
      </w:pPr>
    </w:p>
    <w:p>
      <w:pPr>
        <w:ind w:left="3720"/>
        <w:spacing w:after="0"/>
        <w:rPr>
          <w:sz w:val="20"/>
          <w:szCs w:val="20"/>
          <w:color w:val="auto"/>
        </w:rPr>
      </w:pPr>
      <w:r>
        <w:rPr>
          <w:rFonts w:ascii="Arial" w:cs="Arial" w:eastAsia="Arial" w:hAnsi="Arial"/>
          <w:sz w:val="15"/>
          <w:szCs w:val="15"/>
          <w:b w:val="1"/>
          <w:bCs w:val="1"/>
          <w:color w:val="auto"/>
        </w:rPr>
        <w:t>For the transition period from __________ to __________</w:t>
      </w:r>
    </w:p>
    <w:p>
      <w:pPr>
        <w:spacing w:after="0" w:line="60" w:lineRule="exact"/>
        <w:rPr>
          <w:sz w:val="24"/>
          <w:szCs w:val="24"/>
          <w:color w:val="auto"/>
        </w:rPr>
      </w:pPr>
    </w:p>
    <w:p>
      <w:pPr>
        <w:jc w:val="center"/>
        <w:spacing w:after="0"/>
        <w:rPr>
          <w:sz w:val="20"/>
          <w:szCs w:val="20"/>
          <w:color w:val="auto"/>
        </w:rPr>
      </w:pPr>
      <w:r>
        <w:rPr>
          <w:rFonts w:ascii="Arial" w:cs="Arial" w:eastAsia="Arial" w:hAnsi="Arial"/>
          <w:sz w:val="15"/>
          <w:szCs w:val="15"/>
          <w:b w:val="1"/>
          <w:bCs w:val="1"/>
          <w:color w:val="auto"/>
        </w:rPr>
        <w:t>Commission file number: 0-24206</w:t>
      </w:r>
    </w:p>
    <w:p>
      <w:pPr>
        <w:spacing w:after="0" w:line="96" w:lineRule="exact"/>
        <w:rPr>
          <w:sz w:val="24"/>
          <w:szCs w:val="24"/>
          <w:color w:val="auto"/>
        </w:rPr>
      </w:pPr>
    </w:p>
    <w:p>
      <w:pPr>
        <w:jc w:val="center"/>
        <w:spacing w:after="0"/>
        <w:rPr>
          <w:sz w:val="20"/>
          <w:szCs w:val="20"/>
          <w:color w:val="auto"/>
        </w:rPr>
      </w:pPr>
      <w:r>
        <w:rPr>
          <w:rFonts w:ascii="Arial" w:cs="Arial" w:eastAsia="Arial" w:hAnsi="Arial"/>
          <w:sz w:val="41"/>
          <w:szCs w:val="41"/>
          <w:b w:val="1"/>
          <w:bCs w:val="1"/>
          <w:color w:val="auto"/>
        </w:rPr>
        <w:t>PENN NATIONAL GAMING, INC.</w:t>
      </w:r>
    </w:p>
    <w:p>
      <w:pPr>
        <w:spacing w:after="0" w:line="51" w:lineRule="exact"/>
        <w:rPr>
          <w:sz w:val="24"/>
          <w:szCs w:val="24"/>
          <w:color w:val="auto"/>
        </w:rPr>
      </w:pPr>
    </w:p>
    <w:p>
      <w:pPr>
        <w:jc w:val="center"/>
        <w:spacing w:after="0"/>
        <w:rPr>
          <w:sz w:val="20"/>
          <w:szCs w:val="20"/>
          <w:color w:val="auto"/>
        </w:rPr>
      </w:pPr>
      <w:r>
        <w:rPr>
          <w:rFonts w:ascii="Arial" w:cs="Arial" w:eastAsia="Arial" w:hAnsi="Arial"/>
          <w:sz w:val="15"/>
          <w:szCs w:val="15"/>
          <w:color w:val="auto"/>
        </w:rPr>
        <w:t>(Exact name of registrant as specified in its charter)</w:t>
      </w:r>
    </w:p>
    <w:p>
      <w:pPr>
        <w:sectPr>
          <w:pgSz w:w="11900" w:h="16838" w:orient="portrait"/>
          <w:cols w:equalWidth="0" w:num="1">
            <w:col w:w="11240"/>
          </w:cols>
          <w:pgMar w:left="320" w:top="230" w:right="339" w:bottom="1440" w:gutter="0" w:footer="0" w:header="0"/>
        </w:sectPr>
      </w:pPr>
    </w:p>
    <w:p>
      <w:pPr>
        <w:spacing w:after="0" w:line="119" w:lineRule="exact"/>
        <w:rPr>
          <w:sz w:val="24"/>
          <w:szCs w:val="24"/>
          <w:color w:val="auto"/>
        </w:rPr>
      </w:pPr>
    </w:p>
    <w:p>
      <w:pPr>
        <w:ind w:left="2740"/>
        <w:spacing w:after="0"/>
        <w:rPr>
          <w:sz w:val="20"/>
          <w:szCs w:val="20"/>
          <w:color w:val="auto"/>
        </w:rPr>
      </w:pPr>
      <w:r>
        <w:rPr>
          <w:rFonts w:ascii="Arial" w:cs="Arial" w:eastAsia="Arial" w:hAnsi="Arial"/>
          <w:sz w:val="13"/>
          <w:szCs w:val="13"/>
          <w:b w:val="1"/>
          <w:bCs w:val="1"/>
          <w:color w:val="auto"/>
        </w:rPr>
        <w:t>Pennsylvania</w:t>
      </w:r>
    </w:p>
    <w:p>
      <w:pPr>
        <w:spacing w:after="0" w:line="20" w:lineRule="exact"/>
        <w:rPr>
          <w:sz w:val="24"/>
          <w:szCs w:val="24"/>
          <w:color w:val="auto"/>
        </w:rPr>
      </w:pPr>
      <w:r>
        <w:rPr>
          <w:sz w:val="24"/>
          <w:szCs w:val="24"/>
          <w:color w:val="auto"/>
        </w:rPr>
        <w:br w:type="column"/>
      </w:r>
    </w:p>
    <w:p>
      <w:pPr>
        <w:spacing w:after="0" w:line="99"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23-2234473</w:t>
      </w:r>
    </w:p>
    <w:p>
      <w:pPr>
        <w:spacing w:after="0" w:line="101" w:lineRule="exact"/>
        <w:rPr>
          <w:sz w:val="24"/>
          <w:szCs w:val="24"/>
          <w:color w:val="auto"/>
        </w:rPr>
      </w:pPr>
    </w:p>
    <w:p>
      <w:pPr>
        <w:sectPr>
          <w:pgSz w:w="11900" w:h="16838" w:orient="portrait"/>
          <w:cols w:equalWidth="0" w:num="2">
            <w:col w:w="7620" w:space="720"/>
            <w:col w:w="2900"/>
          </w:cols>
          <w:pgMar w:left="320" w:top="230" w:right="339" w:bottom="1440" w:gutter="0" w:footer="0" w:header="0"/>
          <w:type w:val="continuous"/>
        </w:sectPr>
      </w:pPr>
    </w:p>
    <w:p>
      <w:pPr>
        <w:ind w:left="1340"/>
        <w:spacing w:after="0"/>
        <w:rPr>
          <w:sz w:val="20"/>
          <w:szCs w:val="20"/>
          <w:color w:val="auto"/>
        </w:rPr>
      </w:pPr>
      <w:r>
        <w:rPr>
          <w:rFonts w:ascii="Arial" w:cs="Arial" w:eastAsia="Arial" w:hAnsi="Arial"/>
          <w:sz w:val="14"/>
          <w:szCs w:val="14"/>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(I.R.S. employer identification no.)</w:t>
      </w:r>
    </w:p>
    <w:p>
      <w:pPr>
        <w:spacing w:after="0" w:line="78" w:lineRule="exact"/>
        <w:rPr>
          <w:sz w:val="24"/>
          <w:szCs w:val="24"/>
          <w:color w:val="auto"/>
        </w:rPr>
      </w:pPr>
    </w:p>
    <w:p>
      <w:pPr>
        <w:sectPr>
          <w:pgSz w:w="11900" w:h="16838" w:orient="portrait"/>
          <w:cols w:equalWidth="0" w:num="2">
            <w:col w:w="6900" w:space="720"/>
            <w:col w:w="3620"/>
          </w:cols>
          <w:pgMar w:left="320" w:top="230" w:right="339" w:bottom="1440" w:gutter="0" w:footer="0" w:header="0"/>
          <w:type w:val="continuous"/>
        </w:sectPr>
      </w:pPr>
    </w:p>
    <w:p>
      <w:pPr>
        <w:ind w:left="2180"/>
        <w:spacing w:after="0"/>
        <w:rPr>
          <w:sz w:val="20"/>
          <w:szCs w:val="20"/>
          <w:color w:val="auto"/>
        </w:rPr>
      </w:pPr>
      <w:r>
        <w:rPr>
          <w:rFonts w:ascii="Arial" w:cs="Arial" w:eastAsia="Arial" w:hAnsi="Arial"/>
          <w:sz w:val="14"/>
          <w:szCs w:val="14"/>
          <w:b w:val="1"/>
          <w:bCs w:val="1"/>
          <w:color w:val="auto"/>
        </w:rPr>
        <w:t>825 Berkshire Blvd., Suite 200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b w:val="1"/>
          <w:bCs w:val="1"/>
          <w:color w:val="auto"/>
        </w:rPr>
        <w:t>Wyomissing,</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b w:val="1"/>
          <w:bCs w:val="1"/>
          <w:color w:val="auto"/>
        </w:rPr>
        <w:t>Pennsylvania</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b w:val="1"/>
          <w:bCs w:val="1"/>
          <w:color w:val="auto"/>
        </w:rPr>
        <w:t>19610</w:t>
      </w:r>
    </w:p>
    <w:p>
      <w:pPr>
        <w:spacing w:after="0" w:line="101" w:lineRule="exact"/>
        <w:rPr>
          <w:sz w:val="24"/>
          <w:szCs w:val="24"/>
          <w:color w:val="auto"/>
        </w:rPr>
      </w:pPr>
    </w:p>
    <w:p>
      <w:pPr>
        <w:sectPr>
          <w:pgSz w:w="11900" w:h="16838" w:orient="portrait"/>
          <w:cols w:equalWidth="0" w:num="4">
            <w:col w:w="4580" w:space="720"/>
            <w:col w:w="840" w:space="340"/>
            <w:col w:w="1320" w:space="720"/>
            <w:col w:w="2720"/>
          </w:cols>
          <w:pgMar w:left="320" w:top="230" w:right="339" w:bottom="1440" w:gutter="0" w:footer="0" w:header="0"/>
          <w:type w:val="continuous"/>
        </w:sectPr>
      </w:pPr>
    </w:p>
    <w:p>
      <w:pPr>
        <w:ind w:left="3160"/>
        <w:spacing w:after="0"/>
        <w:rPr>
          <w:sz w:val="20"/>
          <w:szCs w:val="20"/>
          <w:color w:val="auto"/>
        </w:rPr>
      </w:pPr>
      <w:r>
        <w:rPr>
          <w:rFonts w:ascii="Arial" w:cs="Arial" w:eastAsia="Arial" w:hAnsi="Arial"/>
          <w:sz w:val="14"/>
          <w:szCs w:val="14"/>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(Zip code)</w:t>
      </w:r>
    </w:p>
    <w:p>
      <w:pPr>
        <w:spacing w:after="0" w:line="200" w:lineRule="exact"/>
        <w:rPr>
          <w:sz w:val="24"/>
          <w:szCs w:val="24"/>
          <w:color w:val="auto"/>
        </w:rPr>
      </w:pPr>
    </w:p>
    <w:p>
      <w:pPr>
        <w:sectPr>
          <w:pgSz w:w="11900" w:h="16838" w:orient="portrait"/>
          <w:cols w:equalWidth="0" w:num="2">
            <w:col w:w="7660" w:space="720"/>
            <w:col w:w="2860"/>
          </w:cols>
          <w:pgMar w:left="320" w:top="230" w:right="339" w:bottom="1440" w:gutter="0" w:footer="0" w:header="0"/>
          <w:type w:val="continuous"/>
        </w:sectPr>
      </w:pPr>
    </w:p>
    <w:p>
      <w:pPr>
        <w:spacing w:after="0" w:line="71" w:lineRule="exact"/>
        <w:rPr>
          <w:sz w:val="24"/>
          <w:szCs w:val="24"/>
          <w:color w:val="auto"/>
        </w:rPr>
      </w:pPr>
    </w:p>
    <w:p>
      <w:pPr>
        <w:jc w:val="center"/>
        <w:spacing w:after="0"/>
        <w:rPr>
          <w:sz w:val="20"/>
          <w:szCs w:val="20"/>
          <w:color w:val="auto"/>
        </w:rPr>
      </w:pPr>
      <w:r>
        <w:rPr>
          <w:rFonts w:ascii="Arial" w:cs="Arial" w:eastAsia="Arial" w:hAnsi="Arial"/>
          <w:sz w:val="15"/>
          <w:szCs w:val="15"/>
          <w:b w:val="1"/>
          <w:bCs w:val="1"/>
          <w:color w:val="auto"/>
        </w:rPr>
        <w:t>(610) 373-2400</w:t>
      </w:r>
    </w:p>
    <w:p>
      <w:pPr>
        <w:spacing w:after="0" w:line="66" w:lineRule="exact"/>
        <w:rPr>
          <w:sz w:val="24"/>
          <w:szCs w:val="24"/>
          <w:color w:val="auto"/>
        </w:rPr>
      </w:pPr>
    </w:p>
    <w:p>
      <w:pPr>
        <w:jc w:val="center"/>
        <w:spacing w:after="0"/>
        <w:rPr>
          <w:sz w:val="20"/>
          <w:szCs w:val="20"/>
          <w:color w:val="auto"/>
        </w:rPr>
      </w:pPr>
      <w:r>
        <w:rPr>
          <w:rFonts w:ascii="Arial" w:cs="Arial" w:eastAsia="Arial" w:hAnsi="Arial"/>
          <w:sz w:val="15"/>
          <w:szCs w:val="15"/>
          <w:color w:val="auto"/>
        </w:rPr>
        <w:t>(Registrant’s telephone number, including area code)</w:t>
      </w:r>
    </w:p>
    <w:p>
      <w:pPr>
        <w:spacing w:after="0" w:line="54" w:lineRule="exact"/>
        <w:rPr>
          <w:sz w:val="24"/>
          <w:szCs w:val="24"/>
          <w:color w:val="auto"/>
        </w:rPr>
      </w:pPr>
    </w:p>
    <w:p>
      <w:pPr>
        <w:jc w:val="center"/>
        <w:spacing w:after="0"/>
        <w:rPr>
          <w:sz w:val="20"/>
          <w:szCs w:val="20"/>
          <w:color w:val="auto"/>
        </w:rPr>
      </w:pPr>
      <w:r>
        <w:rPr>
          <w:rFonts w:ascii="Arial" w:cs="Arial" w:eastAsia="Arial" w:hAnsi="Arial"/>
          <w:sz w:val="15"/>
          <w:szCs w:val="15"/>
          <w:b w:val="1"/>
          <w:bCs w:val="1"/>
          <w:color w:val="auto"/>
        </w:rPr>
        <w:t>N/A</w:t>
      </w:r>
    </w:p>
    <w:p>
      <w:pPr>
        <w:spacing w:after="0" w:line="66" w:lineRule="exact"/>
        <w:rPr>
          <w:sz w:val="24"/>
          <w:szCs w:val="24"/>
          <w:color w:val="auto"/>
        </w:rPr>
      </w:pPr>
    </w:p>
    <w:p>
      <w:pPr>
        <w:jc w:val="center"/>
        <w:spacing w:after="0"/>
        <w:rPr>
          <w:sz w:val="20"/>
          <w:szCs w:val="20"/>
          <w:color w:val="auto"/>
        </w:rPr>
      </w:pPr>
      <w:r>
        <w:rPr>
          <w:rFonts w:ascii="Arial" w:cs="Arial" w:eastAsia="Arial" w:hAnsi="Arial"/>
          <w:sz w:val="15"/>
          <w:szCs w:val="15"/>
          <w:color w:val="auto"/>
        </w:rPr>
        <w:t>(Former name, former address and former fiscal year, if changed since last report)</w:t>
      </w:r>
    </w:p>
    <w:p>
      <w:pPr>
        <w:spacing w:after="0" w:line="54" w:lineRule="exact"/>
        <w:rPr>
          <w:sz w:val="24"/>
          <w:szCs w:val="24"/>
          <w:color w:val="auto"/>
        </w:rPr>
      </w:pPr>
    </w:p>
    <w:p>
      <w:pPr>
        <w:jc w:val="center"/>
        <w:spacing w:after="0"/>
        <w:rPr>
          <w:sz w:val="20"/>
          <w:szCs w:val="20"/>
          <w:color w:val="auto"/>
        </w:rPr>
      </w:pPr>
      <w:r>
        <w:rPr>
          <w:rFonts w:ascii="Arial" w:cs="Arial" w:eastAsia="Arial" w:hAnsi="Arial"/>
          <w:sz w:val="15"/>
          <w:szCs w:val="15"/>
          <w:b w:val="1"/>
          <w:bCs w:val="1"/>
          <w:color w:val="auto"/>
        </w:rPr>
        <w:t>Securities registered pursuant to Section 12(b) of the Act:</w:t>
      </w:r>
    </w:p>
    <w:p>
      <w:pPr>
        <w:spacing w:after="0" w:line="105" w:lineRule="exact"/>
        <w:rPr>
          <w:sz w:val="24"/>
          <w:szCs w:val="24"/>
          <w:color w:val="auto"/>
        </w:rPr>
      </w:pPr>
    </w:p>
    <w:tbl>
      <w:tblPr>
        <w:tblLayout w:type="fixed"/>
        <w:tblInd w:w="30" w:type="dxa"/>
        <w:tblCellMar>
          <w:top w:w="0" w:type="dxa"/>
          <w:left w:w="0" w:type="dxa"/>
          <w:bottom w:w="0" w:type="dxa"/>
          <w:right w:w="0" w:type="dxa"/>
        </w:tblCellMar>
      </w:tblPr>
      <w:tr>
        <w:trPr>
          <w:trHeight w:val="216"/>
        </w:trPr>
        <w:tc>
          <w:tcPr>
            <w:tcW w:w="448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5"/>
                <w:szCs w:val="15"/>
                <w:color w:val="auto"/>
                <w:w w:val="93"/>
              </w:rPr>
              <w:t>Title of each class</w:t>
            </w:r>
          </w:p>
        </w:tc>
        <w:tc>
          <w:tcPr>
            <w:tcW w:w="228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5"/>
                <w:szCs w:val="15"/>
                <w:color w:val="auto"/>
                <w:w w:val="94"/>
              </w:rPr>
              <w:t>Trading Symbol(s)</w:t>
            </w:r>
          </w:p>
        </w:tc>
        <w:tc>
          <w:tcPr>
            <w:tcW w:w="448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5"/>
                <w:szCs w:val="15"/>
                <w:color w:val="auto"/>
                <w:w w:val="92"/>
              </w:rPr>
              <w:t>Name of each exchange on which registered</w:t>
            </w:r>
          </w:p>
        </w:tc>
      </w:tr>
      <w:tr>
        <w:trPr>
          <w:trHeight w:val="199"/>
        </w:trPr>
        <w:tc>
          <w:tcPr>
            <w:tcW w:w="44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5"/>
                <w:szCs w:val="15"/>
                <w:color w:val="auto"/>
                <w:w w:val="92"/>
              </w:rPr>
              <w:t>Common Stock, $0.01 par value per share</w:t>
            </w:r>
          </w:p>
        </w:tc>
        <w:tc>
          <w:tcPr>
            <w:tcW w:w="22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5"/>
                <w:szCs w:val="15"/>
                <w:color w:val="auto"/>
                <w:w w:val="95"/>
              </w:rPr>
              <w:t>PENN</w:t>
            </w:r>
          </w:p>
        </w:tc>
        <w:tc>
          <w:tcPr>
            <w:tcW w:w="44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5"/>
                <w:szCs w:val="15"/>
                <w:color w:val="auto"/>
                <w:w w:val="95"/>
              </w:rPr>
              <w:t>The Nasdaq Stock Market LLC</w:t>
            </w:r>
          </w:p>
        </w:tc>
      </w:tr>
    </w:tbl>
    <w:p>
      <w:pPr>
        <w:spacing w:after="0" w:line="185" w:lineRule="exact"/>
        <w:rPr>
          <w:sz w:val="24"/>
          <w:szCs w:val="24"/>
          <w:color w:val="auto"/>
        </w:rPr>
      </w:pPr>
    </w:p>
    <w:p>
      <w:pPr>
        <w:jc w:val="both"/>
        <w:ind w:right="20" w:firstLine="309"/>
        <w:spacing w:after="0" w:line="197"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71" w:lineRule="exact"/>
        <w:rPr>
          <w:sz w:val="24"/>
          <w:szCs w:val="24"/>
          <w:color w:val="auto"/>
        </w:rPr>
      </w:pPr>
    </w:p>
    <w:p>
      <w:pPr>
        <w:ind w:right="580" w:firstLine="309"/>
        <w:spacing w:after="0" w:line="197"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71" w:lineRule="exact"/>
        <w:rPr>
          <w:sz w:val="24"/>
          <w:szCs w:val="24"/>
          <w:color w:val="auto"/>
        </w:rPr>
      </w:pPr>
    </w:p>
    <w:p>
      <w:pPr>
        <w:ind w:right="320" w:firstLine="309"/>
        <w:spacing w:after="0" w:line="321"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42" w:lineRule="exact"/>
        <w:rPr>
          <w:sz w:val="24"/>
          <w:szCs w:val="24"/>
          <w:color w:val="auto"/>
        </w:rPr>
      </w:pPr>
    </w:p>
    <w:tbl>
      <w:tblPr>
        <w:tblLayout w:type="fixed"/>
        <w:tblInd w:w="2040" w:type="dxa"/>
        <w:tblCellMar>
          <w:top w:w="0" w:type="dxa"/>
          <w:left w:w="0" w:type="dxa"/>
          <w:bottom w:w="0" w:type="dxa"/>
          <w:right w:w="0" w:type="dxa"/>
        </w:tblCellMar>
      </w:tblPr>
      <w:tr>
        <w:trPr>
          <w:trHeight w:val="206"/>
        </w:trPr>
        <w:tc>
          <w:tcPr>
            <w:tcW w:w="2320" w:type="dxa"/>
            <w:vAlign w:val="bottom"/>
          </w:tcPr>
          <w:p>
            <w:pPr>
              <w:spacing w:after="0"/>
              <w:rPr>
                <w:sz w:val="20"/>
                <w:szCs w:val="20"/>
                <w:color w:val="auto"/>
              </w:rPr>
            </w:pPr>
            <w:r>
              <w:rPr>
                <w:rFonts w:ascii="Arial" w:cs="Arial" w:eastAsia="Arial" w:hAnsi="Arial"/>
                <w:sz w:val="15"/>
                <w:szCs w:val="15"/>
                <w:color w:val="auto"/>
              </w:rPr>
              <w:t>Large accelerated filer</w:t>
            </w:r>
          </w:p>
        </w:tc>
        <w:tc>
          <w:tcPr>
            <w:tcW w:w="1180" w:type="dxa"/>
            <w:vAlign w:val="bottom"/>
          </w:tcPr>
          <w:p>
            <w:pPr>
              <w:ind w:left="940"/>
              <w:spacing w:after="0" w:line="151" w:lineRule="exact"/>
              <w:rPr>
                <w:sz w:val="20"/>
                <w:szCs w:val="20"/>
                <w:color w:val="auto"/>
              </w:rPr>
            </w:pPr>
            <w:r>
              <w:rPr>
                <w:rFonts w:ascii="MS PGothic" w:cs="MS PGothic" w:eastAsia="MS PGothic" w:hAnsi="MS PGothic"/>
                <w:sz w:val="15"/>
                <w:szCs w:val="15"/>
                <w:color w:val="auto"/>
              </w:rPr>
              <w:t>☑</w:t>
            </w:r>
          </w:p>
        </w:tc>
        <w:tc>
          <w:tcPr>
            <w:tcW w:w="2580" w:type="dxa"/>
            <w:vAlign w:val="bottom"/>
          </w:tcPr>
          <w:p>
            <w:pPr>
              <w:ind w:left="80"/>
              <w:spacing w:after="0"/>
              <w:rPr>
                <w:sz w:val="20"/>
                <w:szCs w:val="20"/>
                <w:color w:val="auto"/>
              </w:rPr>
            </w:pPr>
            <w:r>
              <w:rPr>
                <w:rFonts w:ascii="Arial" w:cs="Arial" w:eastAsia="Arial" w:hAnsi="Arial"/>
                <w:sz w:val="15"/>
                <w:szCs w:val="15"/>
                <w:color w:val="auto"/>
              </w:rPr>
              <w:t>Accelerated filer</w:t>
            </w:r>
          </w:p>
        </w:tc>
        <w:tc>
          <w:tcPr>
            <w:tcW w:w="940" w:type="dxa"/>
            <w:vAlign w:val="bottom"/>
          </w:tcPr>
          <w:p>
            <w:pPr>
              <w:ind w:left="800"/>
              <w:spacing w:after="0" w:line="151" w:lineRule="exact"/>
              <w:rPr>
                <w:sz w:val="20"/>
                <w:szCs w:val="20"/>
                <w:color w:val="auto"/>
              </w:rPr>
            </w:pPr>
            <w:r>
              <w:rPr>
                <w:rFonts w:ascii="MS PGothic" w:cs="MS PGothic" w:eastAsia="MS PGothic" w:hAnsi="MS PGothic"/>
                <w:sz w:val="15"/>
                <w:szCs w:val="15"/>
                <w:color w:val="auto"/>
                <w:w w:val="79"/>
              </w:rPr>
              <w:t>☐</w:t>
            </w:r>
          </w:p>
        </w:tc>
      </w:tr>
      <w:tr>
        <w:trPr>
          <w:trHeight w:val="206"/>
        </w:trPr>
        <w:tc>
          <w:tcPr>
            <w:tcW w:w="2320" w:type="dxa"/>
            <w:vAlign w:val="bottom"/>
          </w:tcPr>
          <w:p>
            <w:pPr>
              <w:spacing w:after="0"/>
              <w:rPr>
                <w:sz w:val="20"/>
                <w:szCs w:val="20"/>
                <w:color w:val="auto"/>
              </w:rPr>
            </w:pPr>
            <w:r>
              <w:rPr>
                <w:rFonts w:ascii="Arial" w:cs="Arial" w:eastAsia="Arial" w:hAnsi="Arial"/>
                <w:sz w:val="15"/>
                <w:szCs w:val="15"/>
                <w:color w:val="auto"/>
              </w:rPr>
              <w:t>Non-accelerated filer</w:t>
            </w:r>
          </w:p>
        </w:tc>
        <w:tc>
          <w:tcPr>
            <w:tcW w:w="1180" w:type="dxa"/>
            <w:vAlign w:val="bottom"/>
          </w:tcPr>
          <w:p>
            <w:pPr>
              <w:ind w:left="940"/>
              <w:spacing w:after="0" w:line="151" w:lineRule="exact"/>
              <w:rPr>
                <w:sz w:val="20"/>
                <w:szCs w:val="20"/>
                <w:color w:val="auto"/>
              </w:rPr>
            </w:pPr>
            <w:r>
              <w:rPr>
                <w:rFonts w:ascii="MS PGothic" w:cs="MS PGothic" w:eastAsia="MS PGothic" w:hAnsi="MS PGothic"/>
                <w:sz w:val="15"/>
                <w:szCs w:val="15"/>
                <w:color w:val="auto"/>
              </w:rPr>
              <w:t>☐</w:t>
            </w:r>
          </w:p>
        </w:tc>
        <w:tc>
          <w:tcPr>
            <w:tcW w:w="2580" w:type="dxa"/>
            <w:vAlign w:val="bottom"/>
          </w:tcPr>
          <w:p>
            <w:pPr>
              <w:ind w:left="80"/>
              <w:spacing w:after="0"/>
              <w:rPr>
                <w:sz w:val="20"/>
                <w:szCs w:val="20"/>
                <w:color w:val="auto"/>
              </w:rPr>
            </w:pPr>
            <w:r>
              <w:rPr>
                <w:rFonts w:ascii="Arial" w:cs="Arial" w:eastAsia="Arial" w:hAnsi="Arial"/>
                <w:sz w:val="15"/>
                <w:szCs w:val="15"/>
                <w:color w:val="auto"/>
              </w:rPr>
              <w:t>Smaller reporting company</w:t>
            </w:r>
          </w:p>
        </w:tc>
        <w:tc>
          <w:tcPr>
            <w:tcW w:w="940" w:type="dxa"/>
            <w:vAlign w:val="bottom"/>
          </w:tcPr>
          <w:p>
            <w:pPr>
              <w:ind w:left="800"/>
              <w:spacing w:after="0" w:line="151" w:lineRule="exact"/>
              <w:rPr>
                <w:sz w:val="20"/>
                <w:szCs w:val="20"/>
                <w:color w:val="auto"/>
              </w:rPr>
            </w:pPr>
            <w:r>
              <w:rPr>
                <w:rFonts w:ascii="MS PGothic" w:cs="MS PGothic" w:eastAsia="MS PGothic" w:hAnsi="MS PGothic"/>
                <w:sz w:val="15"/>
                <w:szCs w:val="15"/>
                <w:color w:val="auto"/>
                <w:w w:val="79"/>
              </w:rPr>
              <w:t>☐</w:t>
            </w:r>
          </w:p>
        </w:tc>
      </w:tr>
      <w:tr>
        <w:trPr>
          <w:trHeight w:val="244"/>
        </w:trPr>
        <w:tc>
          <w:tcPr>
            <w:tcW w:w="23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2580" w:type="dxa"/>
            <w:vAlign w:val="bottom"/>
          </w:tcPr>
          <w:p>
            <w:pPr>
              <w:ind w:left="80"/>
              <w:spacing w:after="0"/>
              <w:rPr>
                <w:sz w:val="20"/>
                <w:szCs w:val="20"/>
                <w:color w:val="auto"/>
              </w:rPr>
            </w:pPr>
            <w:r>
              <w:rPr>
                <w:rFonts w:ascii="Arial" w:cs="Arial" w:eastAsia="Arial" w:hAnsi="Arial"/>
                <w:sz w:val="15"/>
                <w:szCs w:val="15"/>
                <w:color w:val="auto"/>
              </w:rPr>
              <w:t>Emerging growth company</w:t>
            </w:r>
          </w:p>
        </w:tc>
        <w:tc>
          <w:tcPr>
            <w:tcW w:w="940" w:type="dxa"/>
            <w:vAlign w:val="bottom"/>
          </w:tcPr>
          <w:p>
            <w:pPr>
              <w:ind w:left="800"/>
              <w:spacing w:after="0" w:line="151" w:lineRule="exact"/>
              <w:rPr>
                <w:sz w:val="20"/>
                <w:szCs w:val="20"/>
                <w:color w:val="auto"/>
              </w:rPr>
            </w:pPr>
            <w:r>
              <w:rPr>
                <w:rFonts w:ascii="MS PGothic" w:cs="MS PGothic" w:eastAsia="MS PGothic" w:hAnsi="MS PGothic"/>
                <w:sz w:val="15"/>
                <w:szCs w:val="15"/>
                <w:color w:val="auto"/>
                <w:w w:val="79"/>
              </w:rPr>
              <w:t>☐</w:t>
            </w:r>
          </w:p>
        </w:tc>
      </w:tr>
    </w:tbl>
    <w:p>
      <w:pPr>
        <w:spacing w:after="0" w:line="173" w:lineRule="exact"/>
        <w:rPr>
          <w:sz w:val="24"/>
          <w:szCs w:val="24"/>
          <w:color w:val="auto"/>
        </w:rPr>
      </w:pPr>
    </w:p>
    <w:p>
      <w:pPr>
        <w:ind w:right="180" w:firstLine="309"/>
        <w:spacing w:after="0" w:line="197" w:lineRule="exact"/>
        <w:rPr>
          <w:sz w:val="20"/>
          <w:szCs w:val="20"/>
          <w:color w:val="auto"/>
        </w:rPr>
      </w:pPr>
      <w:r>
        <w:rPr>
          <w:rFonts w:ascii="Arial" w:cs="Arial" w:eastAsia="Arial" w:hAnsi="Arial"/>
          <w:sz w:val="15"/>
          <w:szCs w:val="15"/>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5"/>
          <w:szCs w:val="15"/>
          <w:color w:val="auto"/>
        </w:rPr>
        <w:t>☐</w:t>
      </w:r>
    </w:p>
    <w:p>
      <w:pPr>
        <w:spacing w:after="0" w:line="41" w:lineRule="exact"/>
        <w:rPr>
          <w:sz w:val="24"/>
          <w:szCs w:val="24"/>
          <w:color w:val="auto"/>
        </w:rPr>
      </w:pPr>
    </w:p>
    <w:p>
      <w:pPr>
        <w:ind w:right="3700" w:firstLine="309"/>
        <w:spacing w:after="0" w:line="255" w:lineRule="exact"/>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r>
        <w:rPr>
          <w:rFonts w:ascii="Arial" w:cs="Arial" w:eastAsia="Arial" w:hAnsi="Arial"/>
          <w:sz w:val="14"/>
          <w:szCs w:val="14"/>
          <w:color w:val="auto"/>
        </w:rPr>
        <w:t xml:space="preserve"> As of April 30, 2021, the number of shares of the registrant’s common stock outstanding was 156,357,939.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-10160</wp:posOffset>
            </wp:positionH>
            <wp:positionV relativeFrom="paragraph">
              <wp:posOffset>711835</wp:posOffset>
            </wp:positionV>
            <wp:extent cx="7164070" cy="419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64070" cy="4191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127000</wp:posOffset>
            </wp:positionV>
            <wp:extent cx="7138670" cy="165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7"/>
          <w:szCs w:val="17"/>
          <w:b w:val="1"/>
          <w:bCs w:val="1"/>
          <w:color w:val="auto"/>
        </w:rPr>
        <w:t>PENN NATIONAL GAMING, INC. AND SUBSIDIARIES</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TABLE OF CONTENTS</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760" w:type="dxa"/>
            <w:vAlign w:val="bottom"/>
            <w:gridSpan w:val="9"/>
            <w:vMerge w:val="restart"/>
          </w:tcPr>
          <w:p>
            <w:pPr>
              <w:jc w:val="center"/>
              <w:ind w:right="2840"/>
              <w:spacing w:after="0"/>
              <w:rPr>
                <w:rFonts w:ascii="Arial" w:cs="Arial" w:eastAsia="Arial" w:hAnsi="Arial"/>
                <w:sz w:val="17"/>
                <w:szCs w:val="17"/>
                <w:b w:val="1"/>
                <w:bCs w:val="1"/>
                <w:color w:val="0000FF"/>
              </w:rPr>
            </w:pPr>
            <w:hyperlink w:anchor="page2">
              <w:r>
                <w:rPr>
                  <w:rFonts w:ascii="Arial" w:cs="Arial" w:eastAsia="Arial" w:hAnsi="Arial"/>
                  <w:sz w:val="17"/>
                  <w:szCs w:val="17"/>
                  <w:b w:val="1"/>
                  <w:bCs w:val="1"/>
                  <w:color w:val="0000FF"/>
                </w:rPr>
                <w:t>PART I. FINANCIAL INFORMATION</w:t>
              </w:r>
            </w:hyperlink>
          </w:p>
        </w:tc>
        <w:tc>
          <w:tcPr>
            <w:tcW w:w="1320" w:type="dxa"/>
            <w:vAlign w:val="bottom"/>
            <w:tcBorders>
              <w:bottom w:val="single" w:sz="8" w:color="auto"/>
            </w:tcBorders>
            <w:gridSpan w:val="4"/>
          </w:tcPr>
          <w:p>
            <w:pPr>
              <w:jc w:val="right"/>
              <w:ind w:right="480"/>
              <w:spacing w:after="0"/>
              <w:rPr>
                <w:sz w:val="20"/>
                <w:szCs w:val="20"/>
                <w:color w:val="auto"/>
              </w:rPr>
            </w:pPr>
            <w:r>
              <w:rPr>
                <w:rFonts w:ascii="Arial" w:cs="Arial" w:eastAsia="Arial" w:hAnsi="Arial"/>
                <w:sz w:val="17"/>
                <w:szCs w:val="17"/>
                <w:b w:val="1"/>
                <w:bCs w:val="1"/>
                <w:color w:val="auto"/>
              </w:rPr>
              <w:t>Page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760" w:type="dxa"/>
            <w:vAlign w:val="bottom"/>
            <w:gridSpan w:val="9"/>
            <w:vMerge w:val="continue"/>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2840" w:type="dxa"/>
            <w:vAlign w:val="bottom"/>
            <w:gridSpan w:val="8"/>
          </w:tcPr>
          <w:p>
            <w:pPr>
              <w:spacing w:after="0"/>
              <w:rPr>
                <w:rFonts w:ascii="Arial" w:cs="Arial" w:eastAsia="Arial" w:hAnsi="Arial"/>
                <w:sz w:val="17"/>
                <w:szCs w:val="17"/>
                <w:color w:val="0000FF"/>
                <w:w w:val="91"/>
              </w:rPr>
            </w:pPr>
            <w:hyperlink w:anchor="page3">
              <w:r>
                <w:rPr>
                  <w:rFonts w:ascii="Arial" w:cs="Arial" w:eastAsia="Arial" w:hAnsi="Arial"/>
                  <w:sz w:val="17"/>
                  <w:szCs w:val="17"/>
                  <w:color w:val="0000FF"/>
                  <w:w w:val="91"/>
                </w:rPr>
                <w:t>Item 1. Financial Statements (Unaudited)</w:t>
              </w:r>
            </w:hyperlink>
          </w:p>
        </w:tc>
        <w:tc>
          <w:tcPr>
            <w:tcW w:w="1300" w:type="dxa"/>
            <w:vAlign w:val="bottom"/>
            <w:gridSpan w:val="2"/>
          </w:tcPr>
          <w:p>
            <w:pPr>
              <w:spacing w:after="0"/>
              <w:rPr>
                <w:sz w:val="17"/>
                <w:szCs w:val="17"/>
                <w:color w:val="auto"/>
              </w:rPr>
            </w:pPr>
          </w:p>
        </w:tc>
        <w:tc>
          <w:tcPr>
            <w:tcW w:w="2920" w:type="dxa"/>
            <w:vAlign w:val="bottom"/>
            <w:tcBorders>
              <w:top w:val="single" w:sz="8" w:color="0000FF"/>
            </w:tcBorders>
            <w:gridSpan w:val="6"/>
          </w:tcPr>
          <w:p>
            <w:pPr>
              <w:spacing w:after="0"/>
              <w:rPr>
                <w:sz w:val="17"/>
                <w:szCs w:val="17"/>
                <w:color w:val="auto"/>
              </w:rPr>
            </w:pPr>
          </w:p>
        </w:tc>
        <w:tc>
          <w:tcPr>
            <w:tcW w:w="2840" w:type="dxa"/>
            <w:vAlign w:val="bottom"/>
            <w:gridSpan w:val="3"/>
          </w:tcPr>
          <w:p>
            <w:pPr>
              <w:spacing w:after="0"/>
              <w:rPr>
                <w:sz w:val="17"/>
                <w:szCs w:val="17"/>
                <w:color w:val="auto"/>
              </w:rPr>
            </w:pPr>
          </w:p>
        </w:tc>
        <w:tc>
          <w:tcPr>
            <w:tcW w:w="1220" w:type="dxa"/>
            <w:vAlign w:val="bottom"/>
            <w:gridSpan w:val="2"/>
          </w:tcPr>
          <w:p>
            <w:pPr>
              <w:spacing w:after="0"/>
              <w:rPr>
                <w:sz w:val="17"/>
                <w:szCs w:val="17"/>
                <w:color w:val="auto"/>
              </w:rPr>
            </w:pPr>
          </w:p>
        </w:tc>
        <w:tc>
          <w:tcPr>
            <w:tcW w:w="100" w:type="dxa"/>
            <w:vAlign w:val="bottom"/>
            <w:gridSpan w:val="2"/>
          </w:tcPr>
          <w:p>
            <w:pPr>
              <w:jc w:val="right"/>
              <w:ind w:right="20"/>
              <w:spacing w:after="0"/>
              <w:rPr>
                <w:rFonts w:ascii="Arial" w:cs="Arial" w:eastAsia="Arial" w:hAnsi="Arial"/>
                <w:sz w:val="15"/>
                <w:szCs w:val="15"/>
                <w:color w:val="0000FF"/>
                <w:w w:val="71"/>
              </w:rPr>
            </w:pPr>
            <w:hyperlink w:anchor="page3">
              <w:r>
                <w:rPr>
                  <w:rFonts w:ascii="Arial" w:cs="Arial" w:eastAsia="Arial" w:hAnsi="Arial"/>
                  <w:sz w:val="15"/>
                  <w:szCs w:val="15"/>
                  <w:color w:val="0000FF"/>
                  <w:w w:val="71"/>
                </w:rPr>
                <w:t>1</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400" w:type="dxa"/>
            <w:vAlign w:val="bottom"/>
            <w:gridSpan w:val="13"/>
          </w:tcPr>
          <w:p>
            <w:pPr>
              <w:spacing w:after="0"/>
              <w:rPr>
                <w:rFonts w:ascii="Arial" w:cs="Arial" w:eastAsia="Arial" w:hAnsi="Arial"/>
                <w:sz w:val="17"/>
                <w:szCs w:val="17"/>
                <w:color w:val="0000FF"/>
              </w:rPr>
            </w:pPr>
            <w:hyperlink w:anchor="page3">
              <w:r>
                <w:rPr>
                  <w:rFonts w:ascii="Arial" w:cs="Arial" w:eastAsia="Arial" w:hAnsi="Arial"/>
                  <w:sz w:val="17"/>
                  <w:szCs w:val="17"/>
                  <w:color w:val="0000FF"/>
                </w:rPr>
                <w:t>Consolidated Balance Sheets - March 31, 2021 and December 31, 2020</w:t>
              </w:r>
            </w:hyperlink>
          </w:p>
        </w:tc>
        <w:tc>
          <w:tcPr>
            <w:tcW w:w="3200" w:type="dxa"/>
            <w:vAlign w:val="bottom"/>
            <w:gridSpan w:val="5"/>
          </w:tcPr>
          <w:p>
            <w:pPr>
              <w:spacing w:after="0"/>
              <w:rPr>
                <w:sz w:val="17"/>
                <w:szCs w:val="17"/>
                <w:color w:val="auto"/>
              </w:rPr>
            </w:pPr>
          </w:p>
        </w:tc>
        <w:tc>
          <w:tcPr>
            <w:tcW w:w="1220" w:type="dxa"/>
            <w:vAlign w:val="bottom"/>
            <w:gridSpan w:val="2"/>
          </w:tcPr>
          <w:p>
            <w:pPr>
              <w:spacing w:after="0"/>
              <w:rPr>
                <w:sz w:val="17"/>
                <w:szCs w:val="17"/>
                <w:color w:val="auto"/>
              </w:rPr>
            </w:pPr>
          </w:p>
        </w:tc>
        <w:tc>
          <w:tcPr>
            <w:tcW w:w="100" w:type="dxa"/>
            <w:vAlign w:val="bottom"/>
            <w:gridSpan w:val="2"/>
          </w:tcPr>
          <w:p>
            <w:pPr>
              <w:jc w:val="right"/>
              <w:ind w:right="20"/>
              <w:spacing w:after="0"/>
              <w:rPr>
                <w:rFonts w:ascii="Arial" w:cs="Arial" w:eastAsia="Arial" w:hAnsi="Arial"/>
                <w:sz w:val="15"/>
                <w:szCs w:val="15"/>
                <w:color w:val="0000FF"/>
                <w:w w:val="71"/>
              </w:rPr>
            </w:pPr>
            <w:hyperlink w:anchor="page3">
              <w:r>
                <w:rPr>
                  <w:rFonts w:ascii="Arial" w:cs="Arial" w:eastAsia="Arial" w:hAnsi="Arial"/>
                  <w:sz w:val="15"/>
                  <w:szCs w:val="15"/>
                  <w:color w:val="0000FF"/>
                  <w:w w:val="71"/>
                </w:rPr>
                <w:t>1</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340" w:type="dxa"/>
            <w:vAlign w:val="bottom"/>
            <w:gridSpan w:val="2"/>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080" w:type="dxa"/>
            <w:vAlign w:val="bottom"/>
            <w:gridSpan w:val="2"/>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0" w:type="dxa"/>
            <w:vAlign w:val="bottom"/>
            <w:gridSpan w:val="18"/>
          </w:tcPr>
          <w:p>
            <w:pPr>
              <w:spacing w:after="0"/>
              <w:rPr>
                <w:rFonts w:ascii="Arial" w:cs="Arial" w:eastAsia="Arial" w:hAnsi="Arial"/>
                <w:sz w:val="17"/>
                <w:szCs w:val="17"/>
                <w:color w:val="0000FF"/>
                <w:w w:val="96"/>
              </w:rPr>
            </w:pPr>
            <w:hyperlink w:anchor="page3">
              <w:r>
                <w:rPr>
                  <w:rFonts w:ascii="Arial" w:cs="Arial" w:eastAsia="Arial" w:hAnsi="Arial"/>
                  <w:sz w:val="17"/>
                  <w:szCs w:val="17"/>
                  <w:color w:val="0000FF"/>
                  <w:w w:val="96"/>
                </w:rPr>
                <w:t>Consolidated Statements of Operations and Comprehensive Income (Loss) - for the Three Months Ended March 31, 2021 and 2020</w:t>
              </w:r>
            </w:hyperlink>
          </w:p>
        </w:tc>
        <w:tc>
          <w:tcPr>
            <w:tcW w:w="1220" w:type="dxa"/>
            <w:vAlign w:val="bottom"/>
            <w:gridSpan w:val="2"/>
          </w:tcPr>
          <w:p>
            <w:pPr>
              <w:spacing w:after="0"/>
              <w:rPr>
                <w:sz w:val="17"/>
                <w:szCs w:val="17"/>
                <w:color w:val="auto"/>
              </w:rPr>
            </w:pPr>
          </w:p>
        </w:tc>
        <w:tc>
          <w:tcPr>
            <w:tcW w:w="100" w:type="dxa"/>
            <w:vAlign w:val="bottom"/>
            <w:gridSpan w:val="2"/>
          </w:tcPr>
          <w:p>
            <w:pPr>
              <w:jc w:val="right"/>
              <w:ind w:right="20"/>
              <w:spacing w:after="0"/>
              <w:rPr>
                <w:rFonts w:ascii="Arial" w:cs="Arial" w:eastAsia="Arial" w:hAnsi="Arial"/>
                <w:sz w:val="15"/>
                <w:szCs w:val="15"/>
                <w:color w:val="0000FF"/>
                <w:w w:val="71"/>
              </w:rPr>
            </w:pPr>
            <w:hyperlink w:anchor="page3">
              <w:r>
                <w:rPr>
                  <w:rFonts w:ascii="Arial" w:cs="Arial" w:eastAsia="Arial" w:hAnsi="Arial"/>
                  <w:sz w:val="15"/>
                  <w:szCs w:val="15"/>
                  <w:color w:val="0000FF"/>
                  <w:w w:val="71"/>
                </w:rPr>
                <w:t>2</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340" w:type="dxa"/>
            <w:vAlign w:val="bottom"/>
            <w:gridSpan w:val="2"/>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08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500" w:type="dxa"/>
            <w:vAlign w:val="bottom"/>
            <w:tcBorders>
              <w:left w:val="single" w:sz="8" w:color="0000FF"/>
            </w:tcBorders>
            <w:gridSpan w:val="2"/>
            <w:shd w:val="clear" w:color="auto" w:fill="0000FF"/>
          </w:tcPr>
          <w:p>
            <w:pPr>
              <w:spacing w:after="0" w:line="20" w:lineRule="exact"/>
              <w:rPr>
                <w:sz w:val="1"/>
                <w:szCs w:val="1"/>
                <w:color w:val="auto"/>
              </w:rPr>
            </w:pPr>
          </w:p>
        </w:tc>
        <w:tc>
          <w:tcPr>
            <w:tcW w:w="1480" w:type="dxa"/>
            <w:vAlign w:val="bottom"/>
            <w:gridSpan w:val="2"/>
            <w:shd w:val="clear" w:color="auto" w:fill="0000FF"/>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120" w:type="dxa"/>
            <w:vAlign w:val="bottom"/>
            <w:gridSpan w:val="16"/>
          </w:tcPr>
          <w:p>
            <w:pPr>
              <w:spacing w:after="0"/>
              <w:rPr>
                <w:rFonts w:ascii="Arial" w:cs="Arial" w:eastAsia="Arial" w:hAnsi="Arial"/>
                <w:sz w:val="17"/>
                <w:szCs w:val="17"/>
                <w:color w:val="0000FF"/>
                <w:w w:val="91"/>
              </w:rPr>
            </w:pPr>
            <w:hyperlink w:anchor="page4">
              <w:r>
                <w:rPr>
                  <w:rFonts w:ascii="Arial" w:cs="Arial" w:eastAsia="Arial" w:hAnsi="Arial"/>
                  <w:sz w:val="17"/>
                  <w:szCs w:val="17"/>
                  <w:color w:val="0000FF"/>
                  <w:w w:val="91"/>
                </w:rPr>
                <w:t>Consolidated Statements of Changes in Stockholders’ Equity - for the Three Months Ended March 31, 2021 and 2020</w:t>
              </w:r>
            </w:hyperlink>
          </w:p>
        </w:tc>
        <w:tc>
          <w:tcPr>
            <w:tcW w:w="1480" w:type="dxa"/>
            <w:vAlign w:val="bottom"/>
            <w:gridSpan w:val="2"/>
          </w:tcPr>
          <w:p>
            <w:pPr>
              <w:spacing w:after="0"/>
              <w:rPr>
                <w:sz w:val="17"/>
                <w:szCs w:val="17"/>
                <w:color w:val="auto"/>
              </w:rPr>
            </w:pPr>
          </w:p>
        </w:tc>
        <w:tc>
          <w:tcPr>
            <w:tcW w:w="1220" w:type="dxa"/>
            <w:vAlign w:val="bottom"/>
            <w:gridSpan w:val="2"/>
          </w:tcPr>
          <w:p>
            <w:pPr>
              <w:spacing w:after="0"/>
              <w:rPr>
                <w:sz w:val="17"/>
                <w:szCs w:val="17"/>
                <w:color w:val="auto"/>
              </w:rPr>
            </w:pPr>
          </w:p>
        </w:tc>
        <w:tc>
          <w:tcPr>
            <w:tcW w:w="100" w:type="dxa"/>
            <w:vAlign w:val="bottom"/>
            <w:gridSpan w:val="2"/>
          </w:tcPr>
          <w:p>
            <w:pPr>
              <w:jc w:val="right"/>
              <w:ind w:right="20"/>
              <w:spacing w:after="0"/>
              <w:rPr>
                <w:rFonts w:ascii="Arial" w:cs="Arial" w:eastAsia="Arial" w:hAnsi="Arial"/>
                <w:sz w:val="15"/>
                <w:szCs w:val="15"/>
                <w:color w:val="0000FF"/>
                <w:w w:val="71"/>
              </w:rPr>
            </w:pPr>
            <w:hyperlink w:anchor="page4">
              <w:r>
                <w:rPr>
                  <w:rFonts w:ascii="Arial" w:cs="Arial" w:eastAsia="Arial" w:hAnsi="Arial"/>
                  <w:sz w:val="15"/>
                  <w:szCs w:val="15"/>
                  <w:color w:val="0000FF"/>
                  <w:w w:val="71"/>
                </w:rPr>
                <w:t>3</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340" w:type="dxa"/>
            <w:vAlign w:val="bottom"/>
            <w:gridSpan w:val="2"/>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08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500" w:type="dxa"/>
            <w:vAlign w:val="bottom"/>
            <w:tcBorders>
              <w:left w:val="single" w:sz="8" w:color="0000FF"/>
            </w:tcBorders>
            <w:gridSpan w:val="2"/>
            <w:shd w:val="clear" w:color="auto" w:fill="0000FF"/>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620" w:type="dxa"/>
            <w:vAlign w:val="bottom"/>
            <w:gridSpan w:val="14"/>
          </w:tcPr>
          <w:p>
            <w:pPr>
              <w:spacing w:after="0"/>
              <w:rPr>
                <w:rFonts w:ascii="Arial" w:cs="Arial" w:eastAsia="Arial" w:hAnsi="Arial"/>
                <w:sz w:val="17"/>
                <w:szCs w:val="17"/>
                <w:color w:val="0000FF"/>
                <w:w w:val="90"/>
              </w:rPr>
            </w:pPr>
            <w:hyperlink w:anchor="page5">
              <w:r>
                <w:rPr>
                  <w:rFonts w:ascii="Arial" w:cs="Arial" w:eastAsia="Arial" w:hAnsi="Arial"/>
                  <w:sz w:val="17"/>
                  <w:szCs w:val="17"/>
                  <w:color w:val="0000FF"/>
                  <w:w w:val="90"/>
                </w:rPr>
                <w:t>Consolidated Statements of Cash Flows - for the Three Months Ended March 31, 2021 and 2020</w:t>
              </w:r>
            </w:hyperlink>
          </w:p>
        </w:tc>
        <w:tc>
          <w:tcPr>
            <w:tcW w:w="1500" w:type="dxa"/>
            <w:vAlign w:val="bottom"/>
            <w:gridSpan w:val="2"/>
          </w:tcPr>
          <w:p>
            <w:pPr>
              <w:spacing w:after="0"/>
              <w:rPr>
                <w:sz w:val="17"/>
                <w:szCs w:val="17"/>
                <w:color w:val="auto"/>
              </w:rPr>
            </w:pPr>
          </w:p>
        </w:tc>
        <w:tc>
          <w:tcPr>
            <w:tcW w:w="1480" w:type="dxa"/>
            <w:vAlign w:val="bottom"/>
            <w:gridSpan w:val="2"/>
          </w:tcPr>
          <w:p>
            <w:pPr>
              <w:spacing w:after="0"/>
              <w:rPr>
                <w:sz w:val="17"/>
                <w:szCs w:val="17"/>
                <w:color w:val="auto"/>
              </w:rPr>
            </w:pPr>
          </w:p>
        </w:tc>
        <w:tc>
          <w:tcPr>
            <w:tcW w:w="1220" w:type="dxa"/>
            <w:vAlign w:val="bottom"/>
            <w:gridSpan w:val="2"/>
          </w:tcPr>
          <w:p>
            <w:pPr>
              <w:spacing w:after="0"/>
              <w:rPr>
                <w:sz w:val="17"/>
                <w:szCs w:val="17"/>
                <w:color w:val="auto"/>
              </w:rPr>
            </w:pPr>
          </w:p>
        </w:tc>
        <w:tc>
          <w:tcPr>
            <w:tcW w:w="100" w:type="dxa"/>
            <w:vAlign w:val="bottom"/>
            <w:gridSpan w:val="2"/>
          </w:tcPr>
          <w:p>
            <w:pPr>
              <w:jc w:val="right"/>
              <w:ind w:right="20"/>
              <w:spacing w:after="0"/>
              <w:rPr>
                <w:rFonts w:ascii="Arial" w:cs="Arial" w:eastAsia="Arial" w:hAnsi="Arial"/>
                <w:sz w:val="15"/>
                <w:szCs w:val="15"/>
                <w:color w:val="0000FF"/>
                <w:w w:val="71"/>
              </w:rPr>
            </w:pPr>
            <w:hyperlink w:anchor="page5">
              <w:r>
                <w:rPr>
                  <w:rFonts w:ascii="Arial" w:cs="Arial" w:eastAsia="Arial" w:hAnsi="Arial"/>
                  <w:sz w:val="15"/>
                  <w:szCs w:val="15"/>
                  <w:color w:val="0000FF"/>
                  <w:w w:val="71"/>
                </w:rPr>
                <w:t>4</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340" w:type="dxa"/>
            <w:vAlign w:val="bottom"/>
            <w:gridSpan w:val="2"/>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08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980" w:type="dxa"/>
            <w:vAlign w:val="bottom"/>
            <w:tcBorders>
              <w:left w:val="single" w:sz="8" w:color="0000FF"/>
            </w:tcBorders>
            <w:gridSpan w:val="4"/>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620" w:type="dxa"/>
            <w:vAlign w:val="bottom"/>
            <w:gridSpan w:val="14"/>
          </w:tcPr>
          <w:p>
            <w:pPr>
              <w:spacing w:after="0"/>
              <w:rPr>
                <w:rFonts w:ascii="Arial" w:cs="Arial" w:eastAsia="Arial" w:hAnsi="Arial"/>
                <w:sz w:val="17"/>
                <w:szCs w:val="17"/>
                <w:color w:val="0000FF"/>
              </w:rPr>
            </w:pPr>
            <w:hyperlink w:anchor="page8">
              <w:r>
                <w:rPr>
                  <w:rFonts w:ascii="Arial" w:cs="Arial" w:eastAsia="Arial" w:hAnsi="Arial"/>
                  <w:sz w:val="17"/>
                  <w:szCs w:val="17"/>
                  <w:color w:val="0000FF"/>
                </w:rPr>
                <w:t>Notes to the Consolidated Financial Statements</w:t>
              </w:r>
            </w:hyperlink>
          </w:p>
        </w:tc>
        <w:tc>
          <w:tcPr>
            <w:tcW w:w="2980" w:type="dxa"/>
            <w:vAlign w:val="bottom"/>
            <w:gridSpan w:val="4"/>
          </w:tcPr>
          <w:p>
            <w:pPr>
              <w:spacing w:after="0"/>
              <w:rPr>
                <w:sz w:val="17"/>
                <w:szCs w:val="17"/>
                <w:color w:val="auto"/>
              </w:rPr>
            </w:pPr>
          </w:p>
        </w:tc>
        <w:tc>
          <w:tcPr>
            <w:tcW w:w="1220" w:type="dxa"/>
            <w:vAlign w:val="bottom"/>
            <w:gridSpan w:val="2"/>
          </w:tcPr>
          <w:p>
            <w:pPr>
              <w:spacing w:after="0"/>
              <w:rPr>
                <w:sz w:val="17"/>
                <w:szCs w:val="17"/>
                <w:color w:val="auto"/>
              </w:rPr>
            </w:pPr>
          </w:p>
        </w:tc>
        <w:tc>
          <w:tcPr>
            <w:tcW w:w="100" w:type="dxa"/>
            <w:vAlign w:val="bottom"/>
            <w:gridSpan w:val="2"/>
          </w:tcPr>
          <w:p>
            <w:pPr>
              <w:jc w:val="right"/>
              <w:ind w:right="20"/>
              <w:spacing w:after="0"/>
              <w:rPr>
                <w:rFonts w:ascii="Arial" w:cs="Arial" w:eastAsia="Arial" w:hAnsi="Arial"/>
                <w:sz w:val="15"/>
                <w:szCs w:val="15"/>
                <w:color w:val="0000FF"/>
                <w:w w:val="71"/>
              </w:rPr>
            </w:pPr>
            <w:hyperlink w:anchor="page8">
              <w:r>
                <w:rPr>
                  <w:rFonts w:ascii="Arial" w:cs="Arial" w:eastAsia="Arial" w:hAnsi="Arial"/>
                  <w:sz w:val="15"/>
                  <w:szCs w:val="15"/>
                  <w:color w:val="0000FF"/>
                  <w:w w:val="71"/>
                </w:rPr>
                <w:t>6</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340" w:type="dxa"/>
            <w:vAlign w:val="bottom"/>
            <w:gridSpan w:val="2"/>
            <w:shd w:val="clear" w:color="auto" w:fill="0000FF"/>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980" w:type="dxa"/>
            <w:vAlign w:val="bottom"/>
            <w:gridSpan w:val="4"/>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20" w:type="dxa"/>
            <w:vAlign w:val="bottom"/>
          </w:tcPr>
          <w:p>
            <w:pPr>
              <w:spacing w:after="0"/>
              <w:rPr>
                <w:sz w:val="17"/>
                <w:szCs w:val="17"/>
                <w:color w:val="auto"/>
              </w:rPr>
            </w:pPr>
          </w:p>
        </w:tc>
        <w:tc>
          <w:tcPr>
            <w:tcW w:w="6920" w:type="dxa"/>
            <w:vAlign w:val="bottom"/>
            <w:gridSpan w:val="15"/>
          </w:tcPr>
          <w:p>
            <w:pPr>
              <w:spacing w:after="0"/>
              <w:rPr>
                <w:rFonts w:ascii="Arial" w:cs="Arial" w:eastAsia="Arial" w:hAnsi="Arial"/>
                <w:sz w:val="17"/>
                <w:szCs w:val="17"/>
                <w:color w:val="0000FF"/>
                <w:w w:val="94"/>
              </w:rPr>
            </w:pPr>
            <w:hyperlink w:anchor="page30">
              <w:r>
                <w:rPr>
                  <w:rFonts w:ascii="Arial" w:cs="Arial" w:eastAsia="Arial" w:hAnsi="Arial"/>
                  <w:sz w:val="17"/>
                  <w:szCs w:val="17"/>
                  <w:color w:val="0000FF"/>
                  <w:w w:val="94"/>
                </w:rPr>
                <w:t>Item 2. Management’s Discussion and Analysis of Financial Condition and Results of Operations</w:t>
              </w:r>
            </w:hyperlink>
          </w:p>
        </w:tc>
        <w:tc>
          <w:tcPr>
            <w:tcW w:w="2980" w:type="dxa"/>
            <w:vAlign w:val="bottom"/>
            <w:gridSpan w:val="4"/>
          </w:tcPr>
          <w:p>
            <w:pPr>
              <w:spacing w:after="0"/>
              <w:rPr>
                <w:sz w:val="17"/>
                <w:szCs w:val="17"/>
                <w:color w:val="auto"/>
              </w:rPr>
            </w:pPr>
          </w:p>
        </w:tc>
        <w:tc>
          <w:tcPr>
            <w:tcW w:w="1320" w:type="dxa"/>
            <w:vAlign w:val="bottom"/>
            <w:gridSpan w:val="4"/>
          </w:tcPr>
          <w:p>
            <w:pPr>
              <w:jc w:val="right"/>
              <w:ind w:right="20"/>
              <w:spacing w:after="0"/>
              <w:rPr>
                <w:rFonts w:ascii="Arial" w:cs="Arial" w:eastAsia="Arial" w:hAnsi="Arial"/>
                <w:sz w:val="17"/>
                <w:szCs w:val="17"/>
                <w:color w:val="0000FF"/>
              </w:rPr>
            </w:pPr>
            <w:hyperlink w:anchor="page30">
              <w:r>
                <w:rPr>
                  <w:rFonts w:ascii="Arial" w:cs="Arial" w:eastAsia="Arial" w:hAnsi="Arial"/>
                  <w:sz w:val="17"/>
                  <w:szCs w:val="17"/>
                  <w:color w:val="0000FF"/>
                </w:rPr>
                <w:t>29</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60" w:type="dxa"/>
            <w:vAlign w:val="bottom"/>
            <w:gridSpan w:val="4"/>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300" w:type="dxa"/>
            <w:vAlign w:val="bottom"/>
            <w:gridSpan w:val="3"/>
            <w:shd w:val="clear" w:color="auto" w:fill="0000FF"/>
          </w:tcPr>
          <w:p>
            <w:pPr>
              <w:spacing w:after="0" w:line="20" w:lineRule="exact"/>
              <w:rPr>
                <w:sz w:val="1"/>
                <w:szCs w:val="1"/>
                <w:color w:val="auto"/>
              </w:rPr>
            </w:pPr>
          </w:p>
        </w:tc>
        <w:tc>
          <w:tcPr>
            <w:tcW w:w="2980" w:type="dxa"/>
            <w:vAlign w:val="bottom"/>
            <w:gridSpan w:val="4"/>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20" w:type="dxa"/>
            <w:vAlign w:val="bottom"/>
          </w:tcPr>
          <w:p>
            <w:pPr>
              <w:spacing w:after="0"/>
              <w:rPr>
                <w:sz w:val="17"/>
                <w:szCs w:val="17"/>
                <w:color w:val="auto"/>
              </w:rPr>
            </w:pPr>
          </w:p>
        </w:tc>
        <w:tc>
          <w:tcPr>
            <w:tcW w:w="500" w:type="dxa"/>
            <w:vAlign w:val="bottom"/>
            <w:gridSpan w:val="2"/>
          </w:tcPr>
          <w:p>
            <w:pPr>
              <w:spacing w:after="0"/>
              <w:rPr>
                <w:rFonts w:ascii="Arial" w:cs="Arial" w:eastAsia="Arial" w:hAnsi="Arial"/>
                <w:sz w:val="17"/>
                <w:szCs w:val="17"/>
                <w:color w:val="0000FF"/>
                <w:w w:val="92"/>
              </w:rPr>
            </w:pPr>
            <w:hyperlink w:anchor="page47">
              <w:r>
                <w:rPr>
                  <w:rFonts w:ascii="Arial" w:cs="Arial" w:eastAsia="Arial" w:hAnsi="Arial"/>
                  <w:sz w:val="17"/>
                  <w:szCs w:val="17"/>
                  <w:color w:val="0000FF"/>
                  <w:w w:val="92"/>
                </w:rPr>
                <w:t>Item 3.</w:t>
              </w:r>
            </w:hyperlink>
          </w:p>
        </w:tc>
        <w:tc>
          <w:tcPr>
            <w:tcW w:w="6420" w:type="dxa"/>
            <w:vAlign w:val="bottom"/>
            <w:gridSpan w:val="13"/>
          </w:tcPr>
          <w:p>
            <w:pPr>
              <w:ind w:left="40"/>
              <w:spacing w:after="0"/>
              <w:rPr>
                <w:rFonts w:ascii="Arial" w:cs="Arial" w:eastAsia="Arial" w:hAnsi="Arial"/>
                <w:sz w:val="17"/>
                <w:szCs w:val="17"/>
                <w:color w:val="0000FF"/>
              </w:rPr>
            </w:pPr>
            <w:hyperlink w:anchor="page47">
              <w:r>
                <w:rPr>
                  <w:rFonts w:ascii="Arial" w:cs="Arial" w:eastAsia="Arial" w:hAnsi="Arial"/>
                  <w:sz w:val="17"/>
                  <w:szCs w:val="17"/>
                  <w:color w:val="0000FF"/>
                </w:rPr>
                <w:t>Quantitative and Qualitative Disclosure About Market Risk</w:t>
              </w:r>
            </w:hyperlink>
          </w:p>
        </w:tc>
        <w:tc>
          <w:tcPr>
            <w:tcW w:w="2980" w:type="dxa"/>
            <w:vAlign w:val="bottom"/>
            <w:gridSpan w:val="4"/>
          </w:tcPr>
          <w:p>
            <w:pPr>
              <w:spacing w:after="0"/>
              <w:rPr>
                <w:sz w:val="17"/>
                <w:szCs w:val="17"/>
                <w:color w:val="auto"/>
              </w:rPr>
            </w:pPr>
          </w:p>
        </w:tc>
        <w:tc>
          <w:tcPr>
            <w:tcW w:w="1320" w:type="dxa"/>
            <w:vAlign w:val="bottom"/>
            <w:gridSpan w:val="4"/>
          </w:tcPr>
          <w:p>
            <w:pPr>
              <w:jc w:val="right"/>
              <w:ind w:right="20"/>
              <w:spacing w:after="0"/>
              <w:rPr>
                <w:rFonts w:ascii="Arial" w:cs="Arial" w:eastAsia="Arial" w:hAnsi="Arial"/>
                <w:sz w:val="17"/>
                <w:szCs w:val="17"/>
                <w:color w:val="0000FF"/>
              </w:rPr>
            </w:pPr>
            <w:hyperlink w:anchor="page47">
              <w:r>
                <w:rPr>
                  <w:rFonts w:ascii="Arial" w:cs="Arial" w:eastAsia="Arial" w:hAnsi="Arial"/>
                  <w:sz w:val="17"/>
                  <w:szCs w:val="17"/>
                  <w:color w:val="0000FF"/>
                </w:rPr>
                <w:t>45</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60" w:type="dxa"/>
            <w:vAlign w:val="bottom"/>
            <w:gridSpan w:val="4"/>
            <w:shd w:val="clear" w:color="auto" w:fill="0000FF"/>
          </w:tcPr>
          <w:p>
            <w:pPr>
              <w:spacing w:after="0" w:line="20" w:lineRule="exact"/>
              <w:rPr>
                <w:sz w:val="1"/>
                <w:szCs w:val="1"/>
                <w:color w:val="auto"/>
              </w:rPr>
            </w:pPr>
          </w:p>
        </w:tc>
        <w:tc>
          <w:tcPr>
            <w:tcW w:w="2640" w:type="dxa"/>
            <w:vAlign w:val="bottom"/>
            <w:gridSpan w:val="4"/>
            <w:shd w:val="clear" w:color="auto" w:fill="0000FF"/>
          </w:tcPr>
          <w:p>
            <w:pPr>
              <w:spacing w:after="0" w:line="20" w:lineRule="exact"/>
              <w:rPr>
                <w:sz w:val="1"/>
                <w:szCs w:val="1"/>
                <w:color w:val="auto"/>
              </w:rPr>
            </w:pPr>
          </w:p>
        </w:tc>
        <w:tc>
          <w:tcPr>
            <w:tcW w:w="2980" w:type="dxa"/>
            <w:vAlign w:val="bottom"/>
            <w:gridSpan w:val="4"/>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20" w:type="dxa"/>
            <w:vAlign w:val="bottom"/>
          </w:tcPr>
          <w:p>
            <w:pPr>
              <w:spacing w:after="0"/>
              <w:rPr>
                <w:sz w:val="17"/>
                <w:szCs w:val="17"/>
                <w:color w:val="auto"/>
              </w:rPr>
            </w:pPr>
          </w:p>
        </w:tc>
        <w:tc>
          <w:tcPr>
            <w:tcW w:w="500" w:type="dxa"/>
            <w:vAlign w:val="bottom"/>
            <w:gridSpan w:val="2"/>
          </w:tcPr>
          <w:p>
            <w:pPr>
              <w:spacing w:after="0"/>
              <w:rPr>
                <w:rFonts w:ascii="Arial" w:cs="Arial" w:eastAsia="Arial" w:hAnsi="Arial"/>
                <w:sz w:val="17"/>
                <w:szCs w:val="17"/>
                <w:color w:val="0000FF"/>
                <w:w w:val="92"/>
              </w:rPr>
            </w:pPr>
            <w:hyperlink w:anchor="page47">
              <w:r>
                <w:rPr>
                  <w:rFonts w:ascii="Arial" w:cs="Arial" w:eastAsia="Arial" w:hAnsi="Arial"/>
                  <w:sz w:val="17"/>
                  <w:szCs w:val="17"/>
                  <w:color w:val="0000FF"/>
                  <w:w w:val="92"/>
                </w:rPr>
                <w:t>Item 4.</w:t>
              </w:r>
            </w:hyperlink>
          </w:p>
        </w:tc>
        <w:tc>
          <w:tcPr>
            <w:tcW w:w="6420" w:type="dxa"/>
            <w:vAlign w:val="bottom"/>
            <w:gridSpan w:val="13"/>
          </w:tcPr>
          <w:p>
            <w:pPr>
              <w:ind w:left="40"/>
              <w:spacing w:after="0"/>
              <w:rPr>
                <w:rFonts w:ascii="Arial" w:cs="Arial" w:eastAsia="Arial" w:hAnsi="Arial"/>
                <w:sz w:val="17"/>
                <w:szCs w:val="17"/>
                <w:color w:val="0000FF"/>
              </w:rPr>
            </w:pPr>
            <w:hyperlink w:anchor="page47">
              <w:r>
                <w:rPr>
                  <w:rFonts w:ascii="Arial" w:cs="Arial" w:eastAsia="Arial" w:hAnsi="Arial"/>
                  <w:sz w:val="17"/>
                  <w:szCs w:val="17"/>
                  <w:color w:val="0000FF"/>
                </w:rPr>
                <w:t>Controls and Procedures</w:t>
              </w:r>
            </w:hyperlink>
          </w:p>
        </w:tc>
        <w:tc>
          <w:tcPr>
            <w:tcW w:w="2980" w:type="dxa"/>
            <w:vAlign w:val="bottom"/>
            <w:gridSpan w:val="4"/>
          </w:tcPr>
          <w:p>
            <w:pPr>
              <w:spacing w:after="0"/>
              <w:rPr>
                <w:sz w:val="17"/>
                <w:szCs w:val="17"/>
                <w:color w:val="auto"/>
              </w:rPr>
            </w:pPr>
          </w:p>
        </w:tc>
        <w:tc>
          <w:tcPr>
            <w:tcW w:w="1320" w:type="dxa"/>
            <w:vAlign w:val="bottom"/>
            <w:gridSpan w:val="4"/>
          </w:tcPr>
          <w:p>
            <w:pPr>
              <w:jc w:val="right"/>
              <w:ind w:right="20"/>
              <w:spacing w:after="0"/>
              <w:rPr>
                <w:rFonts w:ascii="Arial" w:cs="Arial" w:eastAsia="Arial" w:hAnsi="Arial"/>
                <w:sz w:val="17"/>
                <w:szCs w:val="17"/>
                <w:color w:val="0000FF"/>
              </w:rPr>
            </w:pPr>
            <w:hyperlink w:anchor="page47">
              <w:r>
                <w:rPr>
                  <w:rFonts w:ascii="Arial" w:cs="Arial" w:eastAsia="Arial" w:hAnsi="Arial"/>
                  <w:sz w:val="17"/>
                  <w:szCs w:val="17"/>
                  <w:color w:val="0000FF"/>
                </w:rPr>
                <w:t>45</w:t>
              </w:r>
            </w:hyperlink>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300" w:type="dxa"/>
            <w:vAlign w:val="bottom"/>
            <w:tcBorders>
              <w:top w:val="single" w:sz="8" w:color="0000FF"/>
            </w:tcBorders>
          </w:tcPr>
          <w:p>
            <w:pPr>
              <w:spacing w:after="0"/>
              <w:rPr>
                <w:sz w:val="17"/>
                <w:szCs w:val="17"/>
                <w:color w:val="auto"/>
              </w:rPr>
            </w:pPr>
          </w:p>
        </w:tc>
        <w:tc>
          <w:tcPr>
            <w:tcW w:w="200" w:type="dxa"/>
            <w:vAlign w:val="bottom"/>
            <w:tcBorders>
              <w:top w:val="single" w:sz="8" w:color="0000FF"/>
            </w:tcBorders>
          </w:tcPr>
          <w:p>
            <w:pPr>
              <w:spacing w:after="0"/>
              <w:rPr>
                <w:sz w:val="17"/>
                <w:szCs w:val="17"/>
                <w:color w:val="auto"/>
              </w:rPr>
            </w:pPr>
          </w:p>
        </w:tc>
        <w:tc>
          <w:tcPr>
            <w:tcW w:w="220" w:type="dxa"/>
            <w:vAlign w:val="bottom"/>
            <w:tcBorders>
              <w:top w:val="single" w:sz="8" w:color="0000FF"/>
            </w:tcBorders>
          </w:tcPr>
          <w:p>
            <w:pPr>
              <w:spacing w:after="0"/>
              <w:rPr>
                <w:sz w:val="17"/>
                <w:szCs w:val="17"/>
                <w:color w:val="auto"/>
              </w:rPr>
            </w:pPr>
          </w:p>
        </w:tc>
        <w:tc>
          <w:tcPr>
            <w:tcW w:w="380" w:type="dxa"/>
            <w:vAlign w:val="bottom"/>
            <w:tcBorders>
              <w:top w:val="single" w:sz="8" w:color="0000FF"/>
            </w:tcBorders>
          </w:tcPr>
          <w:p>
            <w:pPr>
              <w:spacing w:after="0"/>
              <w:rPr>
                <w:sz w:val="17"/>
                <w:szCs w:val="17"/>
                <w:color w:val="auto"/>
              </w:rPr>
            </w:pPr>
          </w:p>
        </w:tc>
        <w:tc>
          <w:tcPr>
            <w:tcW w:w="420" w:type="dxa"/>
            <w:vAlign w:val="bottom"/>
            <w:tcBorders>
              <w:top w:val="single" w:sz="8" w:color="0000FF"/>
            </w:tcBorders>
          </w:tcPr>
          <w:p>
            <w:pPr>
              <w:spacing w:after="0"/>
              <w:rPr>
                <w:sz w:val="17"/>
                <w:szCs w:val="17"/>
                <w:color w:val="auto"/>
              </w:rPr>
            </w:pPr>
          </w:p>
        </w:tc>
        <w:tc>
          <w:tcPr>
            <w:tcW w:w="280" w:type="dxa"/>
            <w:vAlign w:val="bottom"/>
            <w:tcBorders>
              <w:top w:val="single" w:sz="8" w:color="0000FF"/>
            </w:tcBorders>
          </w:tcPr>
          <w:p>
            <w:pPr>
              <w:spacing w:after="0"/>
              <w:rPr>
                <w:sz w:val="17"/>
                <w:szCs w:val="17"/>
                <w:color w:val="auto"/>
              </w:rPr>
            </w:pPr>
          </w:p>
        </w:tc>
        <w:tc>
          <w:tcPr>
            <w:tcW w:w="420" w:type="dxa"/>
            <w:vAlign w:val="bottom"/>
            <w:tcBorders>
              <w:top w:val="single" w:sz="8" w:color="0000FF"/>
            </w:tcBorders>
          </w:tcPr>
          <w:p>
            <w:pPr>
              <w:spacing w:after="0"/>
              <w:rPr>
                <w:sz w:val="17"/>
                <w:szCs w:val="17"/>
                <w:color w:val="auto"/>
              </w:rPr>
            </w:pPr>
          </w:p>
        </w:tc>
        <w:tc>
          <w:tcPr>
            <w:tcW w:w="6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20" w:type="dxa"/>
            <w:vAlign w:val="bottom"/>
            <w:gridSpan w:val="8"/>
          </w:tcPr>
          <w:p>
            <w:pPr>
              <w:jc w:val="center"/>
              <w:ind w:right="2980"/>
              <w:spacing w:after="0"/>
              <w:rPr>
                <w:rFonts w:ascii="Arial" w:cs="Arial" w:eastAsia="Arial" w:hAnsi="Arial"/>
                <w:sz w:val="17"/>
                <w:szCs w:val="17"/>
                <w:b w:val="1"/>
                <w:bCs w:val="1"/>
                <w:color w:val="0000FF"/>
              </w:rPr>
            </w:pPr>
            <w:hyperlink w:anchor="page48">
              <w:r>
                <w:rPr>
                  <w:rFonts w:ascii="Arial" w:cs="Arial" w:eastAsia="Arial" w:hAnsi="Arial"/>
                  <w:sz w:val="17"/>
                  <w:szCs w:val="17"/>
                  <w:b w:val="1"/>
                  <w:bCs w:val="1"/>
                  <w:color w:val="0000FF"/>
                </w:rPr>
                <w:t>PART II. OTHER INFORMATION</w:t>
              </w:r>
            </w:hyperlink>
          </w:p>
        </w:tc>
        <w:tc>
          <w:tcPr>
            <w:tcW w:w="1140" w:type="dxa"/>
            <w:vAlign w:val="bottom"/>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500" w:type="dxa"/>
            <w:vAlign w:val="bottom"/>
            <w:gridSpan w:val="2"/>
          </w:tcPr>
          <w:p>
            <w:pPr>
              <w:spacing w:after="0"/>
              <w:rPr>
                <w:rFonts w:ascii="Arial" w:cs="Arial" w:eastAsia="Arial" w:hAnsi="Arial"/>
                <w:sz w:val="17"/>
                <w:szCs w:val="17"/>
                <w:color w:val="0000FF"/>
                <w:w w:val="92"/>
              </w:rPr>
            </w:pPr>
            <w:hyperlink w:anchor="page48">
              <w:r>
                <w:rPr>
                  <w:rFonts w:ascii="Arial" w:cs="Arial" w:eastAsia="Arial" w:hAnsi="Arial"/>
                  <w:sz w:val="17"/>
                  <w:szCs w:val="17"/>
                  <w:color w:val="0000FF"/>
                  <w:w w:val="92"/>
                </w:rPr>
                <w:t>Item 1.</w:t>
              </w:r>
            </w:hyperlink>
          </w:p>
        </w:tc>
        <w:tc>
          <w:tcPr>
            <w:tcW w:w="3780" w:type="dxa"/>
            <w:vAlign w:val="bottom"/>
            <w:gridSpan w:val="9"/>
          </w:tcPr>
          <w:p>
            <w:pPr>
              <w:ind w:left="40"/>
              <w:spacing w:after="0"/>
              <w:rPr>
                <w:rFonts w:ascii="Arial" w:cs="Arial" w:eastAsia="Arial" w:hAnsi="Arial"/>
                <w:sz w:val="17"/>
                <w:szCs w:val="17"/>
                <w:color w:val="0000FF"/>
              </w:rPr>
            </w:pPr>
            <w:hyperlink w:anchor="page48">
              <w:r>
                <w:rPr>
                  <w:rFonts w:ascii="Arial" w:cs="Arial" w:eastAsia="Arial" w:hAnsi="Arial"/>
                  <w:sz w:val="17"/>
                  <w:szCs w:val="17"/>
                  <w:color w:val="0000FF"/>
                </w:rPr>
                <w:t>Legal Proceedings</w:t>
              </w:r>
            </w:hyperlink>
          </w:p>
        </w:tc>
        <w:tc>
          <w:tcPr>
            <w:tcW w:w="2640" w:type="dxa"/>
            <w:vAlign w:val="bottom"/>
            <w:tcBorders>
              <w:top w:val="single" w:sz="8" w:color="0000FF"/>
            </w:tcBorders>
            <w:gridSpan w:val="4"/>
          </w:tcPr>
          <w:p>
            <w:pPr>
              <w:spacing w:after="0"/>
              <w:rPr>
                <w:sz w:val="17"/>
                <w:szCs w:val="17"/>
                <w:color w:val="auto"/>
              </w:rPr>
            </w:pPr>
          </w:p>
        </w:tc>
        <w:tc>
          <w:tcPr>
            <w:tcW w:w="2980" w:type="dxa"/>
            <w:vAlign w:val="bottom"/>
            <w:gridSpan w:val="4"/>
          </w:tcPr>
          <w:p>
            <w:pPr>
              <w:spacing w:after="0"/>
              <w:rPr>
                <w:sz w:val="17"/>
                <w:szCs w:val="17"/>
                <w:color w:val="auto"/>
              </w:rPr>
            </w:pPr>
          </w:p>
        </w:tc>
        <w:tc>
          <w:tcPr>
            <w:tcW w:w="1320" w:type="dxa"/>
            <w:vAlign w:val="bottom"/>
            <w:gridSpan w:val="4"/>
          </w:tcPr>
          <w:p>
            <w:pPr>
              <w:jc w:val="right"/>
              <w:ind w:right="20"/>
              <w:spacing w:after="0"/>
              <w:rPr>
                <w:rFonts w:ascii="Arial" w:cs="Arial" w:eastAsia="Arial" w:hAnsi="Arial"/>
                <w:sz w:val="17"/>
                <w:szCs w:val="17"/>
                <w:color w:val="0000FF"/>
              </w:rPr>
            </w:pPr>
            <w:hyperlink w:anchor="page48">
              <w:r>
                <w:rPr>
                  <w:rFonts w:ascii="Arial" w:cs="Arial" w:eastAsia="Arial" w:hAnsi="Arial"/>
                  <w:sz w:val="17"/>
                  <w:szCs w:val="17"/>
                  <w:color w:val="0000FF"/>
                </w:rPr>
                <w:t>46</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0" w:type="dxa"/>
            <w:vAlign w:val="bottom"/>
            <w:gridSpan w:val="3"/>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8100" w:type="dxa"/>
            <w:vAlign w:val="bottom"/>
            <w:gridSpan w:val="13"/>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20" w:type="dxa"/>
            <w:vAlign w:val="bottom"/>
          </w:tcPr>
          <w:p>
            <w:pPr>
              <w:spacing w:after="0"/>
              <w:rPr>
                <w:sz w:val="17"/>
                <w:szCs w:val="17"/>
                <w:color w:val="auto"/>
              </w:rPr>
            </w:pPr>
          </w:p>
        </w:tc>
        <w:tc>
          <w:tcPr>
            <w:tcW w:w="1520" w:type="dxa"/>
            <w:vAlign w:val="bottom"/>
            <w:gridSpan w:val="5"/>
          </w:tcPr>
          <w:p>
            <w:pPr>
              <w:spacing w:after="0"/>
              <w:rPr>
                <w:rFonts w:ascii="Arial" w:cs="Arial" w:eastAsia="Arial" w:hAnsi="Arial"/>
                <w:sz w:val="17"/>
                <w:szCs w:val="17"/>
                <w:color w:val="0000FF"/>
                <w:w w:val="92"/>
              </w:rPr>
            </w:pPr>
            <w:hyperlink w:anchor="page48">
              <w:r>
                <w:rPr>
                  <w:rFonts w:ascii="Arial" w:cs="Arial" w:eastAsia="Arial" w:hAnsi="Arial"/>
                  <w:sz w:val="17"/>
                  <w:szCs w:val="17"/>
                  <w:color w:val="0000FF"/>
                  <w:w w:val="92"/>
                </w:rPr>
                <w:t>Item 1A. Risk Factors</w:t>
              </w:r>
            </w:hyperlink>
          </w:p>
        </w:tc>
        <w:tc>
          <w:tcPr>
            <w:tcW w:w="280" w:type="dxa"/>
            <w:vAlign w:val="bottom"/>
          </w:tcPr>
          <w:p>
            <w:pPr>
              <w:spacing w:after="0"/>
              <w:rPr>
                <w:sz w:val="17"/>
                <w:szCs w:val="17"/>
                <w:color w:val="auto"/>
              </w:rPr>
            </w:pPr>
          </w:p>
        </w:tc>
        <w:tc>
          <w:tcPr>
            <w:tcW w:w="8100" w:type="dxa"/>
            <w:vAlign w:val="bottom"/>
            <w:gridSpan w:val="13"/>
          </w:tcPr>
          <w:p>
            <w:pPr>
              <w:spacing w:after="0"/>
              <w:rPr>
                <w:sz w:val="17"/>
                <w:szCs w:val="17"/>
                <w:color w:val="auto"/>
              </w:rPr>
            </w:pPr>
          </w:p>
        </w:tc>
        <w:tc>
          <w:tcPr>
            <w:tcW w:w="1320" w:type="dxa"/>
            <w:vAlign w:val="bottom"/>
            <w:gridSpan w:val="4"/>
          </w:tcPr>
          <w:p>
            <w:pPr>
              <w:jc w:val="right"/>
              <w:ind w:right="20"/>
              <w:spacing w:after="0"/>
              <w:rPr>
                <w:rFonts w:ascii="Arial" w:cs="Arial" w:eastAsia="Arial" w:hAnsi="Arial"/>
                <w:sz w:val="17"/>
                <w:szCs w:val="17"/>
                <w:color w:val="0000FF"/>
              </w:rPr>
            </w:pPr>
            <w:hyperlink w:anchor="page48">
              <w:r>
                <w:rPr>
                  <w:rFonts w:ascii="Arial" w:cs="Arial" w:eastAsia="Arial" w:hAnsi="Arial"/>
                  <w:sz w:val="17"/>
                  <w:szCs w:val="17"/>
                  <w:color w:val="0000FF"/>
                </w:rPr>
                <w:t>46</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8380" w:type="dxa"/>
            <w:vAlign w:val="bottom"/>
            <w:gridSpan w:val="14"/>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20" w:type="dxa"/>
            <w:vAlign w:val="bottom"/>
          </w:tcPr>
          <w:p>
            <w:pPr>
              <w:spacing w:after="0"/>
              <w:rPr>
                <w:sz w:val="17"/>
                <w:szCs w:val="17"/>
                <w:color w:val="auto"/>
              </w:rPr>
            </w:pPr>
          </w:p>
        </w:tc>
        <w:tc>
          <w:tcPr>
            <w:tcW w:w="500" w:type="dxa"/>
            <w:vAlign w:val="bottom"/>
            <w:gridSpan w:val="2"/>
          </w:tcPr>
          <w:p>
            <w:pPr>
              <w:spacing w:after="0"/>
              <w:rPr>
                <w:rFonts w:ascii="Arial" w:cs="Arial" w:eastAsia="Arial" w:hAnsi="Arial"/>
                <w:sz w:val="17"/>
                <w:szCs w:val="17"/>
                <w:color w:val="0000FF"/>
                <w:w w:val="92"/>
              </w:rPr>
            </w:pPr>
            <w:hyperlink w:anchor="page48">
              <w:r>
                <w:rPr>
                  <w:rFonts w:ascii="Arial" w:cs="Arial" w:eastAsia="Arial" w:hAnsi="Arial"/>
                  <w:sz w:val="17"/>
                  <w:szCs w:val="17"/>
                  <w:color w:val="0000FF"/>
                  <w:w w:val="92"/>
                </w:rPr>
                <w:t>Item 6.</w:t>
              </w:r>
            </w:hyperlink>
          </w:p>
        </w:tc>
        <w:tc>
          <w:tcPr>
            <w:tcW w:w="1020" w:type="dxa"/>
            <w:vAlign w:val="bottom"/>
            <w:gridSpan w:val="3"/>
          </w:tcPr>
          <w:p>
            <w:pPr>
              <w:ind w:left="40"/>
              <w:spacing w:after="0"/>
              <w:rPr>
                <w:rFonts w:ascii="Arial" w:cs="Arial" w:eastAsia="Arial" w:hAnsi="Arial"/>
                <w:sz w:val="17"/>
                <w:szCs w:val="17"/>
                <w:color w:val="0000FF"/>
              </w:rPr>
            </w:pPr>
            <w:hyperlink w:anchor="page48">
              <w:r>
                <w:rPr>
                  <w:rFonts w:ascii="Arial" w:cs="Arial" w:eastAsia="Arial" w:hAnsi="Arial"/>
                  <w:sz w:val="17"/>
                  <w:szCs w:val="17"/>
                  <w:color w:val="0000FF"/>
                </w:rPr>
                <w:t>Exhibits</w:t>
              </w:r>
            </w:hyperlink>
          </w:p>
        </w:tc>
        <w:tc>
          <w:tcPr>
            <w:tcW w:w="8380" w:type="dxa"/>
            <w:vAlign w:val="bottom"/>
            <w:gridSpan w:val="14"/>
          </w:tcPr>
          <w:p>
            <w:pPr>
              <w:spacing w:after="0"/>
              <w:rPr>
                <w:sz w:val="17"/>
                <w:szCs w:val="17"/>
                <w:color w:val="auto"/>
              </w:rPr>
            </w:pPr>
          </w:p>
        </w:tc>
        <w:tc>
          <w:tcPr>
            <w:tcW w:w="1320" w:type="dxa"/>
            <w:vAlign w:val="bottom"/>
            <w:gridSpan w:val="4"/>
          </w:tcPr>
          <w:p>
            <w:pPr>
              <w:jc w:val="right"/>
              <w:ind w:right="20"/>
              <w:spacing w:after="0"/>
              <w:rPr>
                <w:rFonts w:ascii="Arial" w:cs="Arial" w:eastAsia="Arial" w:hAnsi="Arial"/>
                <w:sz w:val="17"/>
                <w:szCs w:val="17"/>
                <w:color w:val="0000FF"/>
              </w:rPr>
            </w:pPr>
            <w:hyperlink w:anchor="page48">
              <w:r>
                <w:rPr>
                  <w:rFonts w:ascii="Arial" w:cs="Arial" w:eastAsia="Arial" w:hAnsi="Arial"/>
                  <w:sz w:val="17"/>
                  <w:szCs w:val="17"/>
                  <w:color w:val="0000FF"/>
                </w:rPr>
                <w:t>46</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0" w:type="dxa"/>
            <w:vAlign w:val="bottom"/>
            <w:gridSpan w:val="3"/>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8800" w:type="dxa"/>
            <w:vAlign w:val="bottom"/>
            <w:gridSpan w:val="15"/>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20" w:type="dxa"/>
            <w:vAlign w:val="bottom"/>
          </w:tcPr>
          <w:p>
            <w:pPr>
              <w:spacing w:after="0"/>
              <w:rPr>
                <w:sz w:val="17"/>
                <w:szCs w:val="17"/>
                <w:color w:val="auto"/>
              </w:rPr>
            </w:pPr>
          </w:p>
        </w:tc>
        <w:tc>
          <w:tcPr>
            <w:tcW w:w="1100" w:type="dxa"/>
            <w:vAlign w:val="bottom"/>
            <w:gridSpan w:val="4"/>
          </w:tcPr>
          <w:p>
            <w:pPr>
              <w:spacing w:after="0"/>
              <w:rPr>
                <w:rFonts w:ascii="Arial" w:cs="Arial" w:eastAsia="Arial" w:hAnsi="Arial"/>
                <w:sz w:val="17"/>
                <w:szCs w:val="17"/>
                <w:color w:val="0000FF"/>
              </w:rPr>
            </w:pPr>
            <w:hyperlink w:anchor="page48">
              <w:r>
                <w:rPr>
                  <w:rFonts w:ascii="Arial" w:cs="Arial" w:eastAsia="Arial" w:hAnsi="Arial"/>
                  <w:sz w:val="17"/>
                  <w:szCs w:val="17"/>
                  <w:color w:val="0000FF"/>
                </w:rPr>
                <w:t>Signatures</w:t>
              </w:r>
            </w:hyperlink>
          </w:p>
        </w:tc>
        <w:tc>
          <w:tcPr>
            <w:tcW w:w="8800" w:type="dxa"/>
            <w:vAlign w:val="bottom"/>
            <w:gridSpan w:val="15"/>
          </w:tcPr>
          <w:p>
            <w:pPr>
              <w:spacing w:after="0"/>
              <w:rPr>
                <w:sz w:val="17"/>
                <w:szCs w:val="17"/>
                <w:color w:val="auto"/>
              </w:rPr>
            </w:pPr>
          </w:p>
        </w:tc>
        <w:tc>
          <w:tcPr>
            <w:tcW w:w="1320" w:type="dxa"/>
            <w:vAlign w:val="bottom"/>
            <w:gridSpan w:val="4"/>
          </w:tcPr>
          <w:p>
            <w:pPr>
              <w:jc w:val="right"/>
              <w:ind w:right="20"/>
              <w:spacing w:after="0"/>
              <w:rPr>
                <w:rFonts w:ascii="Arial" w:cs="Arial" w:eastAsia="Arial" w:hAnsi="Arial"/>
                <w:sz w:val="17"/>
                <w:szCs w:val="17"/>
                <w:color w:val="0000FF"/>
              </w:rPr>
            </w:pPr>
            <w:hyperlink w:anchor="page48">
              <w:r>
                <w:rPr>
                  <w:rFonts w:ascii="Arial" w:cs="Arial" w:eastAsia="Arial" w:hAnsi="Arial"/>
                  <w:sz w:val="17"/>
                  <w:szCs w:val="17"/>
                  <w:color w:val="0000FF"/>
                </w:rPr>
                <w:t>47</w:t>
              </w:r>
            </w:hyperlink>
          </w:p>
        </w:tc>
        <w:tc>
          <w:tcPr>
            <w:tcW w:w="0" w:type="dxa"/>
            <w:vAlign w:val="bottom"/>
          </w:tcPr>
          <w:p>
            <w:pPr>
              <w:spacing w:after="0"/>
              <w:rPr>
                <w:sz w:val="1"/>
                <w:szCs w:val="1"/>
                <w:color w:val="auto"/>
              </w:rPr>
            </w:pPr>
          </w:p>
        </w:tc>
      </w:tr>
      <w:tr>
        <w:trPr>
          <w:trHeight w:val="1172"/>
        </w:trPr>
        <w:tc>
          <w:tcPr>
            <w:tcW w:w="20" w:type="dxa"/>
            <w:vAlign w:val="bottom"/>
            <w:tcBorders>
              <w:bottom w:val="single" w:sz="8" w:color="9A9A9A"/>
            </w:tcBorders>
          </w:tcPr>
          <w:p>
            <w:pPr>
              <w:spacing w:after="0"/>
              <w:rPr>
                <w:sz w:val="24"/>
                <w:szCs w:val="24"/>
                <w:color w:val="auto"/>
              </w:rPr>
            </w:pPr>
          </w:p>
        </w:tc>
        <w:tc>
          <w:tcPr>
            <w:tcW w:w="300" w:type="dxa"/>
            <w:vAlign w:val="bottom"/>
            <w:tcBorders>
              <w:top w:val="single" w:sz="8" w:color="0000FF"/>
              <w:bottom w:val="single" w:sz="8" w:color="9A9A9A"/>
            </w:tcBorders>
          </w:tcPr>
          <w:p>
            <w:pPr>
              <w:spacing w:after="0"/>
              <w:rPr>
                <w:sz w:val="24"/>
                <w:szCs w:val="24"/>
                <w:color w:val="auto"/>
              </w:rPr>
            </w:pPr>
          </w:p>
        </w:tc>
        <w:tc>
          <w:tcPr>
            <w:tcW w:w="200" w:type="dxa"/>
            <w:vAlign w:val="bottom"/>
            <w:tcBorders>
              <w:top w:val="single" w:sz="8" w:color="0000FF"/>
              <w:bottom w:val="single" w:sz="8" w:color="9A9A9A"/>
            </w:tcBorders>
          </w:tcPr>
          <w:p>
            <w:pPr>
              <w:spacing w:after="0"/>
              <w:rPr>
                <w:sz w:val="24"/>
                <w:szCs w:val="24"/>
                <w:color w:val="auto"/>
              </w:rPr>
            </w:pPr>
          </w:p>
        </w:tc>
        <w:tc>
          <w:tcPr>
            <w:tcW w:w="220" w:type="dxa"/>
            <w:vAlign w:val="bottom"/>
            <w:tcBorders>
              <w:top w:val="single" w:sz="8" w:color="0000FF"/>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14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36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856" w:right="339" w:bottom="1440" w:gutter="0" w:footer="0" w:header="0"/>
        </w:sectPr>
      </w:pPr>
    </w:p>
    <w:bookmarkStart w:id="2" w:name="page3"/>
    <w:bookmarkEnd w:id="2"/>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740" w:type="dxa"/>
            <w:vAlign w:val="bottom"/>
            <w:gridSpan w:val="2"/>
          </w:tcPr>
          <w:p>
            <w:pPr>
              <w:spacing w:after="0"/>
              <w:rPr>
                <w:sz w:val="20"/>
                <w:szCs w:val="20"/>
                <w:color w:val="auto"/>
              </w:rPr>
            </w:pPr>
            <w:r>
              <w:rPr>
                <w:rFonts w:ascii="Arial" w:cs="Arial" w:eastAsia="Arial" w:hAnsi="Arial"/>
                <w:sz w:val="17"/>
                <w:szCs w:val="17"/>
                <w:b w:val="1"/>
                <w:bCs w:val="1"/>
                <w:color w:val="auto"/>
              </w:rPr>
              <w:t>PART I.</w:t>
            </w:r>
          </w:p>
        </w:tc>
        <w:tc>
          <w:tcPr>
            <w:tcW w:w="7880" w:type="dxa"/>
            <w:vAlign w:val="bottom"/>
            <w:gridSpan w:val="3"/>
          </w:tcPr>
          <w:p>
            <w:pPr>
              <w:ind w:left="40"/>
              <w:spacing w:after="0"/>
              <w:rPr>
                <w:sz w:val="20"/>
                <w:szCs w:val="20"/>
                <w:color w:val="auto"/>
              </w:rPr>
            </w:pPr>
            <w:r>
              <w:rPr>
                <w:rFonts w:ascii="Arial" w:cs="Arial" w:eastAsia="Arial" w:hAnsi="Arial"/>
                <w:sz w:val="17"/>
                <w:szCs w:val="17"/>
                <w:b w:val="1"/>
                <w:bCs w:val="1"/>
                <w:color w:val="auto"/>
              </w:rPr>
              <w:t>FINANCIAL INFORMATION</w:t>
            </w: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06"/>
        </w:trPr>
        <w:tc>
          <w:tcPr>
            <w:tcW w:w="740" w:type="dxa"/>
            <w:vAlign w:val="bottom"/>
            <w:gridSpan w:val="2"/>
          </w:tcPr>
          <w:p>
            <w:pPr>
              <w:spacing w:after="0"/>
              <w:rPr>
                <w:sz w:val="20"/>
                <w:szCs w:val="20"/>
                <w:color w:val="auto"/>
              </w:rPr>
            </w:pPr>
            <w:r>
              <w:rPr>
                <w:rFonts w:ascii="Arial" w:cs="Arial" w:eastAsia="Arial" w:hAnsi="Arial"/>
                <w:sz w:val="17"/>
                <w:szCs w:val="17"/>
                <w:b w:val="1"/>
                <w:bCs w:val="1"/>
                <w:color w:val="auto"/>
              </w:rPr>
              <w:t>ITEM 1.</w:t>
            </w:r>
          </w:p>
        </w:tc>
        <w:tc>
          <w:tcPr>
            <w:tcW w:w="7880" w:type="dxa"/>
            <w:vAlign w:val="bottom"/>
            <w:gridSpan w:val="3"/>
          </w:tcPr>
          <w:p>
            <w:pPr>
              <w:ind w:left="60"/>
              <w:spacing w:after="0"/>
              <w:rPr>
                <w:sz w:val="20"/>
                <w:szCs w:val="20"/>
                <w:color w:val="auto"/>
              </w:rPr>
            </w:pPr>
            <w:r>
              <w:rPr>
                <w:rFonts w:ascii="Arial" w:cs="Arial" w:eastAsia="Arial" w:hAnsi="Arial"/>
                <w:sz w:val="17"/>
                <w:szCs w:val="17"/>
                <w:b w:val="1"/>
                <w:bCs w:val="1"/>
                <w:color w:val="auto"/>
              </w:rPr>
              <w:t>FINANCIAL STATEMENTS</w:t>
            </w: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02"/>
        </w:trPr>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40" w:type="dxa"/>
            <w:vAlign w:val="bottom"/>
          </w:tcPr>
          <w:p>
            <w:pPr>
              <w:jc w:val="center"/>
              <w:spacing w:after="0"/>
              <w:rPr>
                <w:sz w:val="20"/>
                <w:szCs w:val="20"/>
                <w:color w:val="auto"/>
              </w:rPr>
            </w:pPr>
            <w:r>
              <w:rPr>
                <w:rFonts w:ascii="Arial" w:cs="Arial" w:eastAsia="Arial" w:hAnsi="Arial"/>
                <w:sz w:val="17"/>
                <w:szCs w:val="17"/>
                <w:b w:val="1"/>
                <w:bCs w:val="1"/>
                <w:color w:val="auto"/>
              </w:rPr>
              <w:t>PENN NATIONAL GAMING, INC. AND SUBSIDIARIES</w:t>
            </w: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40" w:type="dxa"/>
            <w:vAlign w:val="bottom"/>
          </w:tcPr>
          <w:p>
            <w:pPr>
              <w:jc w:val="center"/>
              <w:spacing w:after="0"/>
              <w:rPr>
                <w:sz w:val="20"/>
                <w:szCs w:val="20"/>
                <w:color w:val="auto"/>
              </w:rPr>
            </w:pPr>
            <w:r>
              <w:rPr>
                <w:rFonts w:ascii="Arial" w:cs="Arial" w:eastAsia="Arial" w:hAnsi="Arial"/>
                <w:sz w:val="17"/>
                <w:szCs w:val="17"/>
                <w:b w:val="1"/>
                <w:bCs w:val="1"/>
                <w:color w:val="auto"/>
              </w:rPr>
              <w:t>CONSOLIDATED BALANCE SHEETS</w:t>
            </w: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40" w:type="dxa"/>
            <w:vAlign w:val="bottom"/>
          </w:tcPr>
          <w:p>
            <w:pPr>
              <w:jc w:val="center"/>
              <w:spacing w:after="0"/>
              <w:rPr>
                <w:sz w:val="20"/>
                <w:szCs w:val="20"/>
                <w:color w:val="auto"/>
              </w:rPr>
            </w:pPr>
            <w:r>
              <w:rPr>
                <w:rFonts w:ascii="Arial" w:cs="Arial" w:eastAsia="Arial" w:hAnsi="Arial"/>
                <w:sz w:val="17"/>
                <w:szCs w:val="17"/>
                <w:b w:val="1"/>
                <w:bCs w:val="1"/>
                <w:color w:val="auto"/>
              </w:rPr>
              <w:t>(UNAUDITED)</w:t>
            </w: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8620" w:type="dxa"/>
            <w:vAlign w:val="bottom"/>
            <w:gridSpan w:val="5"/>
            <w:vMerge w:val="restart"/>
          </w:tcPr>
          <w:p>
            <w:pPr>
              <w:ind w:left="20"/>
              <w:spacing w:after="0"/>
              <w:rPr>
                <w:sz w:val="20"/>
                <w:szCs w:val="20"/>
                <w:color w:val="auto"/>
              </w:rPr>
            </w:pPr>
            <w:r>
              <w:rPr>
                <w:rFonts w:ascii="Arial" w:cs="Arial" w:eastAsia="Arial" w:hAnsi="Arial"/>
                <w:sz w:val="14"/>
                <w:szCs w:val="14"/>
                <w:b w:val="1"/>
                <w:bCs w:val="1"/>
                <w:i w:val="1"/>
                <w:iCs w:val="1"/>
                <w:color w:val="auto"/>
              </w:rPr>
              <w:t>(in millions, except share and per share data)</w:t>
            </w:r>
          </w:p>
        </w:tc>
        <w:tc>
          <w:tcPr>
            <w:tcW w:w="200" w:type="dxa"/>
            <w:vAlign w:val="bottom"/>
          </w:tcPr>
          <w:p>
            <w:pPr>
              <w:spacing w:after="0"/>
              <w:rPr>
                <w:sz w:val="20"/>
                <w:szCs w:val="20"/>
                <w:color w:val="auto"/>
              </w:rPr>
            </w:pPr>
          </w:p>
        </w:tc>
        <w:tc>
          <w:tcPr>
            <w:tcW w:w="1160" w:type="dxa"/>
            <w:vAlign w:val="bottom"/>
            <w:gridSpan w:val="2"/>
          </w:tcPr>
          <w:p>
            <w:pPr>
              <w:ind w:left="120"/>
              <w:spacing w:after="0"/>
              <w:rPr>
                <w:sz w:val="20"/>
                <w:szCs w:val="20"/>
                <w:color w:val="auto"/>
              </w:rPr>
            </w:pPr>
            <w:r>
              <w:rPr>
                <w:rFonts w:ascii="Arial" w:cs="Arial" w:eastAsia="Arial" w:hAnsi="Arial"/>
                <w:sz w:val="14"/>
                <w:szCs w:val="14"/>
                <w:b w:val="1"/>
                <w:bCs w:val="1"/>
                <w:color w:val="auto"/>
              </w:rPr>
              <w:t>March 31,</w:t>
            </w:r>
          </w:p>
        </w:tc>
        <w:tc>
          <w:tcPr>
            <w:tcW w:w="160" w:type="dxa"/>
            <w:vAlign w:val="bottom"/>
          </w:tcPr>
          <w:p>
            <w:pPr>
              <w:spacing w:after="0"/>
              <w:rPr>
                <w:sz w:val="20"/>
                <w:szCs w:val="20"/>
                <w:color w:val="auto"/>
              </w:rPr>
            </w:pPr>
          </w:p>
        </w:tc>
        <w:tc>
          <w:tcPr>
            <w:tcW w:w="1100" w:type="dxa"/>
            <w:vAlign w:val="bottom"/>
          </w:tcPr>
          <w:p>
            <w:pPr>
              <w:jc w:val="right"/>
              <w:ind w:right="151"/>
              <w:spacing w:after="0"/>
              <w:rPr>
                <w:sz w:val="20"/>
                <w:szCs w:val="20"/>
                <w:color w:val="auto"/>
              </w:rPr>
            </w:pPr>
            <w:r>
              <w:rPr>
                <w:rFonts w:ascii="Arial" w:cs="Arial" w:eastAsia="Arial" w:hAnsi="Arial"/>
                <w:sz w:val="14"/>
                <w:szCs w:val="14"/>
                <w:b w:val="1"/>
                <w:bCs w:val="1"/>
                <w:color w:val="auto"/>
                <w:w w:val="94"/>
              </w:rPr>
              <w:t>December 31,</w:t>
            </w:r>
          </w:p>
        </w:tc>
        <w:tc>
          <w:tcPr>
            <w:tcW w:w="0" w:type="dxa"/>
            <w:vAlign w:val="bottom"/>
          </w:tcPr>
          <w:p>
            <w:pPr>
              <w:spacing w:after="0"/>
              <w:rPr>
                <w:sz w:val="1"/>
                <w:szCs w:val="1"/>
                <w:color w:val="auto"/>
              </w:rPr>
            </w:pPr>
          </w:p>
        </w:tc>
      </w:tr>
      <w:tr>
        <w:trPr>
          <w:trHeight w:val="142"/>
        </w:trPr>
        <w:tc>
          <w:tcPr>
            <w:tcW w:w="8620" w:type="dxa"/>
            <w:vAlign w:val="bottom"/>
            <w:gridSpan w:val="5"/>
            <w:vMerge w:val="continue"/>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tcPr>
          <w:p>
            <w:pPr>
              <w:jc w:val="right"/>
              <w:ind w:right="431"/>
              <w:spacing w:after="0" w:line="142" w:lineRule="exact"/>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tcPr>
          <w:p>
            <w:pPr>
              <w:jc w:val="right"/>
              <w:ind w:right="411"/>
              <w:spacing w:after="0" w:line="142" w:lineRule="exact"/>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720" w:type="dxa"/>
            <w:vAlign w:val="bottom"/>
            <w:tcBorders>
              <w:top w:val="single" w:sz="8" w:color="auto"/>
              <w:bottom w:val="single" w:sz="8" w:color="CCEEFF"/>
            </w:tcBorders>
          </w:tcPr>
          <w:p>
            <w:pPr>
              <w:spacing w:after="0" w:line="20" w:lineRule="exact"/>
              <w:rPr>
                <w:sz w:val="1"/>
                <w:szCs w:val="1"/>
                <w:color w:val="auto"/>
              </w:rPr>
            </w:pPr>
          </w:p>
        </w:tc>
        <w:tc>
          <w:tcPr>
            <w:tcW w:w="1640" w:type="dxa"/>
            <w:vAlign w:val="bottom"/>
            <w:tcBorders>
              <w:top w:val="single" w:sz="8" w:color="auto"/>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CCEEFF"/>
            </w:tcBorders>
          </w:tcPr>
          <w:p>
            <w:pPr>
              <w:spacing w:after="0" w:line="20" w:lineRule="exact"/>
              <w:rPr>
                <w:sz w:val="1"/>
                <w:szCs w:val="1"/>
                <w:color w:val="auto"/>
              </w:rPr>
            </w:pPr>
          </w:p>
        </w:tc>
        <w:tc>
          <w:tcPr>
            <w:tcW w:w="60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740" w:type="dxa"/>
            <w:vAlign w:val="bottom"/>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Assets</w:t>
            </w:r>
          </w:p>
        </w:tc>
        <w:tc>
          <w:tcPr>
            <w:tcW w:w="16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0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7"/>
        </w:trPr>
        <w:tc>
          <w:tcPr>
            <w:tcW w:w="8620" w:type="dxa"/>
            <w:vAlign w:val="bottom"/>
            <w:gridSpan w:val="5"/>
          </w:tcPr>
          <w:p>
            <w:pPr>
              <w:ind w:left="20"/>
              <w:spacing w:after="0"/>
              <w:rPr>
                <w:sz w:val="20"/>
                <w:szCs w:val="20"/>
                <w:color w:val="auto"/>
              </w:rPr>
            </w:pPr>
            <w:r>
              <w:rPr>
                <w:rFonts w:ascii="Arial" w:cs="Arial" w:eastAsia="Arial" w:hAnsi="Arial"/>
                <w:sz w:val="14"/>
                <w:szCs w:val="14"/>
                <w:color w:val="auto"/>
              </w:rPr>
              <w:t>Current assets</w:t>
            </w:r>
          </w:p>
        </w:tc>
        <w:tc>
          <w:tcPr>
            <w:tcW w:w="2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20" w:type="dxa"/>
            <w:vAlign w:val="bottom"/>
            <w:shd w:val="clear" w:color="auto" w:fill="CCEEFF"/>
          </w:tcPr>
          <w:p>
            <w:pPr>
              <w:spacing w:after="0"/>
              <w:rPr>
                <w:sz w:val="15"/>
                <w:szCs w:val="15"/>
                <w:color w:val="auto"/>
              </w:rPr>
            </w:pPr>
          </w:p>
        </w:tc>
        <w:tc>
          <w:tcPr>
            <w:tcW w:w="8600" w:type="dxa"/>
            <w:vAlign w:val="bottom"/>
            <w:gridSpan w:val="4"/>
            <w:shd w:val="clear" w:color="auto" w:fill="CCEEFF"/>
          </w:tcPr>
          <w:p>
            <w:pPr>
              <w:ind w:left="200"/>
              <w:spacing w:after="0"/>
              <w:rPr>
                <w:sz w:val="20"/>
                <w:szCs w:val="20"/>
                <w:color w:val="auto"/>
              </w:rPr>
            </w:pPr>
            <w:r>
              <w:rPr>
                <w:rFonts w:ascii="Arial" w:cs="Arial" w:eastAsia="Arial" w:hAnsi="Arial"/>
                <w:sz w:val="14"/>
                <w:szCs w:val="14"/>
                <w:color w:val="auto"/>
              </w:rPr>
              <w:t>Cash and cash equivalents</w:t>
            </w:r>
          </w:p>
        </w:tc>
        <w:tc>
          <w:tcPr>
            <w:tcW w:w="20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w w:val="76"/>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2,062.2</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w w:val="76"/>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1,853.8</w:t>
            </w: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8600" w:type="dxa"/>
            <w:vAlign w:val="bottom"/>
            <w:gridSpan w:val="4"/>
          </w:tcPr>
          <w:p>
            <w:pPr>
              <w:ind w:left="200"/>
              <w:spacing w:after="0"/>
              <w:rPr>
                <w:sz w:val="20"/>
                <w:szCs w:val="20"/>
                <w:color w:val="auto"/>
              </w:rPr>
            </w:pPr>
            <w:r>
              <w:rPr>
                <w:rFonts w:ascii="Arial" w:cs="Arial" w:eastAsia="Arial" w:hAnsi="Arial"/>
                <w:sz w:val="14"/>
                <w:szCs w:val="14"/>
                <w:color w:val="auto"/>
              </w:rPr>
              <w:t>Receivables, net</w:t>
            </w:r>
          </w:p>
        </w:tc>
        <w:tc>
          <w:tcPr>
            <w:tcW w:w="2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137.5</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96.4</w:t>
            </w:r>
          </w:p>
        </w:tc>
        <w:tc>
          <w:tcPr>
            <w:tcW w:w="0" w:type="dxa"/>
            <w:vAlign w:val="bottom"/>
          </w:tcPr>
          <w:p>
            <w:pPr>
              <w:spacing w:after="0"/>
              <w:rPr>
                <w:sz w:val="1"/>
                <w:szCs w:val="1"/>
                <w:color w:val="auto"/>
              </w:rPr>
            </w:pPr>
          </w:p>
        </w:tc>
      </w:tr>
      <w:tr>
        <w:trPr>
          <w:trHeight w:val="184"/>
        </w:trPr>
        <w:tc>
          <w:tcPr>
            <w:tcW w:w="20" w:type="dxa"/>
            <w:vAlign w:val="bottom"/>
            <w:shd w:val="clear" w:color="auto" w:fill="CCEEFF"/>
          </w:tcPr>
          <w:p>
            <w:pPr>
              <w:spacing w:after="0"/>
              <w:rPr>
                <w:sz w:val="15"/>
                <w:szCs w:val="15"/>
                <w:color w:val="auto"/>
              </w:rPr>
            </w:pPr>
          </w:p>
        </w:tc>
        <w:tc>
          <w:tcPr>
            <w:tcW w:w="8600" w:type="dxa"/>
            <w:vAlign w:val="bottom"/>
            <w:gridSpan w:val="4"/>
            <w:shd w:val="clear" w:color="auto" w:fill="CCEEFF"/>
          </w:tcPr>
          <w:p>
            <w:pPr>
              <w:ind w:left="200"/>
              <w:spacing w:after="0"/>
              <w:rPr>
                <w:sz w:val="20"/>
                <w:szCs w:val="20"/>
                <w:color w:val="auto"/>
              </w:rPr>
            </w:pPr>
            <w:r>
              <w:rPr>
                <w:rFonts w:ascii="Arial" w:cs="Arial" w:eastAsia="Arial" w:hAnsi="Arial"/>
                <w:sz w:val="14"/>
                <w:szCs w:val="14"/>
                <w:color w:val="auto"/>
              </w:rPr>
              <w:t>Prepaid expenses</w:t>
            </w:r>
          </w:p>
        </w:tc>
        <w:tc>
          <w:tcPr>
            <w:tcW w:w="20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112.2</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103.5</w:t>
            </w:r>
          </w:p>
        </w:tc>
        <w:tc>
          <w:tcPr>
            <w:tcW w:w="0" w:type="dxa"/>
            <w:vAlign w:val="bottom"/>
          </w:tcPr>
          <w:p>
            <w:pPr>
              <w:spacing w:after="0"/>
              <w:rPr>
                <w:sz w:val="1"/>
                <w:szCs w:val="1"/>
                <w:color w:val="auto"/>
              </w:rPr>
            </w:pPr>
          </w:p>
        </w:tc>
      </w:tr>
      <w:tr>
        <w:trPr>
          <w:trHeight w:val="177"/>
        </w:trPr>
        <w:tc>
          <w:tcPr>
            <w:tcW w:w="20" w:type="dxa"/>
            <w:vAlign w:val="bottom"/>
            <w:tcBorders>
              <w:bottom w:val="single" w:sz="8" w:color="CCEEFF"/>
            </w:tcBorders>
          </w:tcPr>
          <w:p>
            <w:pPr>
              <w:spacing w:after="0"/>
              <w:rPr>
                <w:sz w:val="15"/>
                <w:szCs w:val="15"/>
                <w:color w:val="auto"/>
              </w:rPr>
            </w:pPr>
          </w:p>
        </w:tc>
        <w:tc>
          <w:tcPr>
            <w:tcW w:w="8600" w:type="dxa"/>
            <w:vAlign w:val="bottom"/>
            <w:tcBorders>
              <w:bottom w:val="single" w:sz="8" w:color="CCEEFF"/>
            </w:tcBorders>
            <w:gridSpan w:val="4"/>
          </w:tcPr>
          <w:p>
            <w:pPr>
              <w:ind w:left="200"/>
              <w:spacing w:after="0"/>
              <w:rPr>
                <w:sz w:val="20"/>
                <w:szCs w:val="20"/>
                <w:color w:val="auto"/>
              </w:rPr>
            </w:pPr>
            <w:r>
              <w:rPr>
                <w:rFonts w:ascii="Arial" w:cs="Arial" w:eastAsia="Arial" w:hAnsi="Arial"/>
                <w:sz w:val="14"/>
                <w:szCs w:val="14"/>
                <w:color w:val="auto"/>
              </w:rPr>
              <w:t>Other current assets</w:t>
            </w:r>
          </w:p>
        </w:tc>
        <w:tc>
          <w:tcPr>
            <w:tcW w:w="2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35.8</w:t>
            </w: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31.3</w:t>
            </w:r>
          </w:p>
        </w:tc>
        <w:tc>
          <w:tcPr>
            <w:tcW w:w="0" w:type="dxa"/>
            <w:vAlign w:val="bottom"/>
          </w:tcPr>
          <w:p>
            <w:pPr>
              <w:spacing w:after="0"/>
              <w:rPr>
                <w:sz w:val="1"/>
                <w:szCs w:val="1"/>
                <w:color w:val="auto"/>
              </w:rPr>
            </w:pPr>
          </w:p>
        </w:tc>
      </w:tr>
      <w:tr>
        <w:trPr>
          <w:trHeight w:val="176"/>
        </w:trPr>
        <w:tc>
          <w:tcPr>
            <w:tcW w:w="20" w:type="dxa"/>
            <w:vAlign w:val="bottom"/>
            <w:shd w:val="clear" w:color="auto" w:fill="CCEEFF"/>
          </w:tcPr>
          <w:p>
            <w:pPr>
              <w:spacing w:after="0"/>
              <w:rPr>
                <w:sz w:val="15"/>
                <w:szCs w:val="15"/>
                <w:color w:val="auto"/>
              </w:rPr>
            </w:pPr>
          </w:p>
        </w:tc>
        <w:tc>
          <w:tcPr>
            <w:tcW w:w="8600" w:type="dxa"/>
            <w:vAlign w:val="bottom"/>
            <w:gridSpan w:val="4"/>
            <w:shd w:val="clear" w:color="auto" w:fill="CCEEFF"/>
          </w:tcPr>
          <w:p>
            <w:pPr>
              <w:ind w:left="420"/>
              <w:spacing w:after="0"/>
              <w:rPr>
                <w:sz w:val="20"/>
                <w:szCs w:val="20"/>
                <w:color w:val="auto"/>
              </w:rPr>
            </w:pPr>
            <w:r>
              <w:rPr>
                <w:rFonts w:ascii="Arial" w:cs="Arial" w:eastAsia="Arial" w:hAnsi="Arial"/>
                <w:sz w:val="14"/>
                <w:szCs w:val="14"/>
                <w:color w:val="auto"/>
              </w:rPr>
              <w:t>Total current assets</w:t>
            </w:r>
          </w:p>
        </w:tc>
        <w:tc>
          <w:tcPr>
            <w:tcW w:w="20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2,347.7</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2,085.0</w:t>
            </w:r>
          </w:p>
        </w:tc>
        <w:tc>
          <w:tcPr>
            <w:tcW w:w="0" w:type="dxa"/>
            <w:vAlign w:val="bottom"/>
          </w:tcPr>
          <w:p>
            <w:pPr>
              <w:spacing w:after="0"/>
              <w:rPr>
                <w:sz w:val="1"/>
                <w:szCs w:val="1"/>
                <w:color w:val="auto"/>
              </w:rPr>
            </w:pPr>
          </w:p>
        </w:tc>
      </w:tr>
      <w:tr>
        <w:trPr>
          <w:trHeight w:val="177"/>
        </w:trPr>
        <w:tc>
          <w:tcPr>
            <w:tcW w:w="8620" w:type="dxa"/>
            <w:vAlign w:val="bottom"/>
            <w:gridSpan w:val="5"/>
          </w:tcPr>
          <w:p>
            <w:pPr>
              <w:ind w:left="20"/>
              <w:spacing w:after="0"/>
              <w:rPr>
                <w:sz w:val="20"/>
                <w:szCs w:val="20"/>
                <w:color w:val="auto"/>
              </w:rPr>
            </w:pPr>
            <w:r>
              <w:rPr>
                <w:rFonts w:ascii="Arial" w:cs="Arial" w:eastAsia="Arial" w:hAnsi="Arial"/>
                <w:sz w:val="14"/>
                <w:szCs w:val="14"/>
                <w:color w:val="auto"/>
              </w:rPr>
              <w:t>Property and equipment, net</w:t>
            </w:r>
          </w:p>
        </w:tc>
        <w:tc>
          <w:tcPr>
            <w:tcW w:w="2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4,483.2</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4,529.3</w:t>
            </w:r>
          </w:p>
        </w:tc>
        <w:tc>
          <w:tcPr>
            <w:tcW w:w="0" w:type="dxa"/>
            <w:vAlign w:val="bottom"/>
          </w:tcPr>
          <w:p>
            <w:pPr>
              <w:spacing w:after="0"/>
              <w:rPr>
                <w:sz w:val="1"/>
                <w:szCs w:val="1"/>
                <w:color w:val="auto"/>
              </w:rPr>
            </w:pPr>
          </w:p>
        </w:tc>
      </w:tr>
      <w:tr>
        <w:trPr>
          <w:trHeight w:val="184"/>
        </w:trPr>
        <w:tc>
          <w:tcPr>
            <w:tcW w:w="8620" w:type="dxa"/>
            <w:vAlign w:val="bottom"/>
            <w:gridSpan w:val="5"/>
            <w:shd w:val="clear" w:color="auto" w:fill="CCEEFF"/>
          </w:tcPr>
          <w:p>
            <w:pPr>
              <w:ind w:left="20"/>
              <w:spacing w:after="0"/>
              <w:rPr>
                <w:sz w:val="20"/>
                <w:szCs w:val="20"/>
                <w:color w:val="auto"/>
              </w:rPr>
            </w:pPr>
            <w:r>
              <w:rPr>
                <w:rFonts w:ascii="Arial" w:cs="Arial" w:eastAsia="Arial" w:hAnsi="Arial"/>
                <w:sz w:val="14"/>
                <w:szCs w:val="14"/>
                <w:color w:val="auto"/>
              </w:rPr>
              <w:t>Investment in and advances to unconsolidated affiliates</w:t>
            </w:r>
          </w:p>
        </w:tc>
        <w:tc>
          <w:tcPr>
            <w:tcW w:w="20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275.8</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266.8</w:t>
            </w:r>
          </w:p>
        </w:tc>
        <w:tc>
          <w:tcPr>
            <w:tcW w:w="0" w:type="dxa"/>
            <w:vAlign w:val="bottom"/>
          </w:tcPr>
          <w:p>
            <w:pPr>
              <w:spacing w:after="0"/>
              <w:rPr>
                <w:sz w:val="1"/>
                <w:szCs w:val="1"/>
                <w:color w:val="auto"/>
              </w:rPr>
            </w:pPr>
          </w:p>
        </w:tc>
      </w:tr>
      <w:tr>
        <w:trPr>
          <w:trHeight w:val="177"/>
        </w:trPr>
        <w:tc>
          <w:tcPr>
            <w:tcW w:w="740" w:type="dxa"/>
            <w:vAlign w:val="bottom"/>
            <w:gridSpan w:val="2"/>
          </w:tcPr>
          <w:p>
            <w:pPr>
              <w:ind w:left="20"/>
              <w:spacing w:after="0"/>
              <w:rPr>
                <w:sz w:val="20"/>
                <w:szCs w:val="20"/>
                <w:color w:val="auto"/>
              </w:rPr>
            </w:pPr>
            <w:r>
              <w:rPr>
                <w:rFonts w:ascii="Arial" w:cs="Arial" w:eastAsia="Arial" w:hAnsi="Arial"/>
                <w:sz w:val="14"/>
                <w:szCs w:val="14"/>
                <w:color w:val="auto"/>
              </w:rPr>
              <w:t>Goodwill</w:t>
            </w:r>
          </w:p>
        </w:tc>
        <w:tc>
          <w:tcPr>
            <w:tcW w:w="1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1,157.1</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1,157.1</w:t>
            </w:r>
          </w:p>
        </w:tc>
        <w:tc>
          <w:tcPr>
            <w:tcW w:w="0" w:type="dxa"/>
            <w:vAlign w:val="bottom"/>
          </w:tcPr>
          <w:p>
            <w:pPr>
              <w:spacing w:after="0"/>
              <w:rPr>
                <w:sz w:val="1"/>
                <w:szCs w:val="1"/>
                <w:color w:val="auto"/>
              </w:rPr>
            </w:pPr>
          </w:p>
        </w:tc>
      </w:tr>
      <w:tr>
        <w:trPr>
          <w:trHeight w:val="184"/>
        </w:trPr>
        <w:tc>
          <w:tcPr>
            <w:tcW w:w="8620" w:type="dxa"/>
            <w:vAlign w:val="bottom"/>
            <w:gridSpan w:val="5"/>
            <w:shd w:val="clear" w:color="auto" w:fill="CCEEFF"/>
          </w:tcPr>
          <w:p>
            <w:pPr>
              <w:ind w:left="20"/>
              <w:spacing w:after="0"/>
              <w:rPr>
                <w:sz w:val="20"/>
                <w:szCs w:val="20"/>
                <w:color w:val="auto"/>
              </w:rPr>
            </w:pPr>
            <w:r>
              <w:rPr>
                <w:rFonts w:ascii="Arial" w:cs="Arial" w:eastAsia="Arial" w:hAnsi="Arial"/>
                <w:sz w:val="14"/>
                <w:szCs w:val="14"/>
                <w:color w:val="auto"/>
              </w:rPr>
              <w:t>Other intangible assets, net</w:t>
            </w:r>
          </w:p>
        </w:tc>
        <w:tc>
          <w:tcPr>
            <w:tcW w:w="20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1,511.9</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1,513.5</w:t>
            </w:r>
          </w:p>
        </w:tc>
        <w:tc>
          <w:tcPr>
            <w:tcW w:w="0" w:type="dxa"/>
            <w:vAlign w:val="bottom"/>
          </w:tcPr>
          <w:p>
            <w:pPr>
              <w:spacing w:after="0"/>
              <w:rPr>
                <w:sz w:val="1"/>
                <w:szCs w:val="1"/>
                <w:color w:val="auto"/>
              </w:rPr>
            </w:pPr>
          </w:p>
        </w:tc>
      </w:tr>
      <w:tr>
        <w:trPr>
          <w:trHeight w:val="177"/>
        </w:trPr>
        <w:tc>
          <w:tcPr>
            <w:tcW w:w="8620" w:type="dxa"/>
            <w:vAlign w:val="bottom"/>
            <w:gridSpan w:val="5"/>
          </w:tcPr>
          <w:p>
            <w:pPr>
              <w:ind w:left="20"/>
              <w:spacing w:after="0"/>
              <w:rPr>
                <w:sz w:val="20"/>
                <w:szCs w:val="20"/>
                <w:color w:val="auto"/>
              </w:rPr>
            </w:pPr>
            <w:r>
              <w:rPr>
                <w:rFonts w:ascii="Arial" w:cs="Arial" w:eastAsia="Arial" w:hAnsi="Arial"/>
                <w:sz w:val="14"/>
                <w:szCs w:val="14"/>
                <w:color w:val="auto"/>
              </w:rPr>
              <w:t>Lease right-of-use assets</w:t>
            </w:r>
          </w:p>
        </w:tc>
        <w:tc>
          <w:tcPr>
            <w:tcW w:w="2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4,785.9</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4,817.7</w:t>
            </w:r>
          </w:p>
        </w:tc>
        <w:tc>
          <w:tcPr>
            <w:tcW w:w="0" w:type="dxa"/>
            <w:vAlign w:val="bottom"/>
          </w:tcPr>
          <w:p>
            <w:pPr>
              <w:spacing w:after="0"/>
              <w:rPr>
                <w:sz w:val="1"/>
                <w:szCs w:val="1"/>
                <w:color w:val="auto"/>
              </w:rPr>
            </w:pPr>
          </w:p>
        </w:tc>
      </w:tr>
      <w:tr>
        <w:trPr>
          <w:trHeight w:val="180"/>
        </w:trPr>
        <w:tc>
          <w:tcPr>
            <w:tcW w:w="7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w w:val="88"/>
              </w:rPr>
              <w:t>Other assets</w:t>
            </w:r>
          </w:p>
        </w:tc>
        <w:tc>
          <w:tcPr>
            <w:tcW w:w="16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040" w:type="dxa"/>
            <w:vAlign w:val="bottom"/>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326.6</w:t>
            </w:r>
          </w:p>
        </w:tc>
        <w:tc>
          <w:tcPr>
            <w:tcW w:w="10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297.9</w:t>
            </w:r>
          </w:p>
        </w:tc>
        <w:tc>
          <w:tcPr>
            <w:tcW w:w="0" w:type="dxa"/>
            <w:vAlign w:val="bottom"/>
          </w:tcPr>
          <w:p>
            <w:pPr>
              <w:spacing w:after="0"/>
              <w:rPr>
                <w:sz w:val="1"/>
                <w:szCs w:val="1"/>
                <w:color w:val="auto"/>
              </w:rPr>
            </w:pPr>
          </w:p>
        </w:tc>
      </w:tr>
      <w:tr>
        <w:trPr>
          <w:trHeight w:val="176"/>
        </w:trPr>
        <w:tc>
          <w:tcPr>
            <w:tcW w:w="740" w:type="dxa"/>
            <w:vAlign w:val="bottom"/>
            <w:gridSpan w:val="2"/>
          </w:tcPr>
          <w:p>
            <w:pPr>
              <w:ind w:left="20"/>
              <w:spacing w:after="0"/>
              <w:rPr>
                <w:sz w:val="20"/>
                <w:szCs w:val="20"/>
                <w:color w:val="auto"/>
              </w:rPr>
            </w:pPr>
            <w:r>
              <w:rPr>
                <w:rFonts w:ascii="Arial" w:cs="Arial" w:eastAsia="Arial" w:hAnsi="Arial"/>
                <w:sz w:val="14"/>
                <w:szCs w:val="14"/>
                <w:b w:val="1"/>
                <w:bCs w:val="1"/>
                <w:color w:val="auto"/>
                <w:w w:val="86"/>
              </w:rPr>
              <w:t>Total assets</w:t>
            </w:r>
          </w:p>
        </w:tc>
        <w:tc>
          <w:tcPr>
            <w:tcW w:w="1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40" w:type="dxa"/>
            <w:vAlign w:val="bottom"/>
          </w:tcPr>
          <w:p>
            <w:pPr>
              <w:spacing w:after="0"/>
              <w:rPr>
                <w:sz w:val="15"/>
                <w:szCs w:val="15"/>
                <w:color w:val="auto"/>
              </w:rPr>
            </w:pPr>
          </w:p>
        </w:tc>
        <w:tc>
          <w:tcPr>
            <w:tcW w:w="200" w:type="dxa"/>
            <w:vAlign w:val="bottom"/>
            <w:tcBorders>
              <w:bottom w:val="single" w:sz="8" w:color="auto"/>
            </w:tcBorders>
          </w:tcPr>
          <w:p>
            <w:pPr>
              <w:jc w:val="right"/>
              <w:ind w:right="51"/>
              <w:spacing w:after="0"/>
              <w:rPr>
                <w:sz w:val="20"/>
                <w:szCs w:val="20"/>
                <w:color w:val="auto"/>
              </w:rPr>
            </w:pPr>
            <w:r>
              <w:rPr>
                <w:rFonts w:ascii="Arial" w:cs="Arial" w:eastAsia="Arial" w:hAnsi="Arial"/>
                <w:sz w:val="14"/>
                <w:szCs w:val="14"/>
                <w:color w:val="auto"/>
                <w:w w:val="76"/>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14,888.2</w:t>
            </w:r>
          </w:p>
        </w:tc>
        <w:tc>
          <w:tcPr>
            <w:tcW w:w="100" w:type="dxa"/>
            <w:vAlign w:val="bottom"/>
          </w:tcPr>
          <w:p>
            <w:pPr>
              <w:spacing w:after="0"/>
              <w:rPr>
                <w:sz w:val="15"/>
                <w:szCs w:val="15"/>
                <w:color w:val="auto"/>
              </w:rPr>
            </w:pPr>
          </w:p>
        </w:tc>
        <w:tc>
          <w:tcPr>
            <w:tcW w:w="160" w:type="dxa"/>
            <w:vAlign w:val="bottom"/>
            <w:tcBorders>
              <w:bottom w:val="single" w:sz="8" w:color="auto"/>
            </w:tcBorders>
          </w:tcPr>
          <w:p>
            <w:pPr>
              <w:jc w:val="right"/>
              <w:ind w:right="11"/>
              <w:spacing w:after="0"/>
              <w:rPr>
                <w:sz w:val="20"/>
                <w:szCs w:val="20"/>
                <w:color w:val="auto"/>
              </w:rPr>
            </w:pPr>
            <w:r>
              <w:rPr>
                <w:rFonts w:ascii="Arial" w:cs="Arial" w:eastAsia="Arial" w:hAnsi="Arial"/>
                <w:sz w:val="14"/>
                <w:szCs w:val="14"/>
                <w:color w:val="auto"/>
                <w:w w:val="76"/>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14,667.3</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CCEEFF"/>
            </w:tcBorders>
          </w:tcPr>
          <w:p>
            <w:pPr>
              <w:spacing w:after="0" w:line="20" w:lineRule="exact"/>
              <w:rPr>
                <w:sz w:val="1"/>
                <w:szCs w:val="1"/>
                <w:color w:val="auto"/>
              </w:rPr>
            </w:pPr>
          </w:p>
        </w:tc>
        <w:tc>
          <w:tcPr>
            <w:tcW w:w="16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60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0"/>
        </w:trPr>
        <w:tc>
          <w:tcPr>
            <w:tcW w:w="2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6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0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0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9"/>
        </w:trPr>
        <w:tc>
          <w:tcPr>
            <w:tcW w:w="740" w:type="dxa"/>
            <w:vAlign w:val="bottom"/>
            <w:gridSpan w:val="2"/>
          </w:tcPr>
          <w:p>
            <w:pPr>
              <w:ind w:left="20"/>
              <w:spacing w:after="0"/>
              <w:rPr>
                <w:sz w:val="20"/>
                <w:szCs w:val="20"/>
                <w:color w:val="auto"/>
              </w:rPr>
            </w:pPr>
            <w:r>
              <w:rPr>
                <w:rFonts w:ascii="Arial" w:cs="Arial" w:eastAsia="Arial" w:hAnsi="Arial"/>
                <w:sz w:val="14"/>
                <w:szCs w:val="14"/>
                <w:b w:val="1"/>
                <w:bCs w:val="1"/>
                <w:color w:val="auto"/>
              </w:rPr>
              <w:t>Liabilities</w:t>
            </w:r>
          </w:p>
        </w:tc>
        <w:tc>
          <w:tcPr>
            <w:tcW w:w="1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8620" w:type="dxa"/>
            <w:vAlign w:val="bottom"/>
            <w:gridSpan w:val="5"/>
            <w:shd w:val="clear" w:color="auto" w:fill="CCEEFF"/>
          </w:tcPr>
          <w:p>
            <w:pPr>
              <w:ind w:left="20"/>
              <w:spacing w:after="0"/>
              <w:rPr>
                <w:sz w:val="20"/>
                <w:szCs w:val="20"/>
                <w:color w:val="auto"/>
              </w:rPr>
            </w:pPr>
            <w:r>
              <w:rPr>
                <w:rFonts w:ascii="Arial" w:cs="Arial" w:eastAsia="Arial" w:hAnsi="Arial"/>
                <w:sz w:val="14"/>
                <w:szCs w:val="14"/>
                <w:color w:val="auto"/>
              </w:rPr>
              <w:t>Current liabilities</w:t>
            </w:r>
          </w:p>
        </w:tc>
        <w:tc>
          <w:tcPr>
            <w:tcW w:w="2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8600" w:type="dxa"/>
            <w:vAlign w:val="bottom"/>
            <w:gridSpan w:val="4"/>
          </w:tcPr>
          <w:p>
            <w:pPr>
              <w:ind w:left="200"/>
              <w:spacing w:after="0"/>
              <w:rPr>
                <w:sz w:val="20"/>
                <w:szCs w:val="20"/>
                <w:color w:val="auto"/>
              </w:rPr>
            </w:pPr>
            <w:r>
              <w:rPr>
                <w:rFonts w:ascii="Arial" w:cs="Arial" w:eastAsia="Arial" w:hAnsi="Arial"/>
                <w:sz w:val="14"/>
                <w:szCs w:val="14"/>
                <w:color w:val="auto"/>
              </w:rPr>
              <w:t>Accounts payable</w:t>
            </w:r>
          </w:p>
        </w:tc>
        <w:tc>
          <w:tcPr>
            <w:tcW w:w="200" w:type="dxa"/>
            <w:vAlign w:val="bottom"/>
          </w:tcPr>
          <w:p>
            <w:pPr>
              <w:jc w:val="right"/>
              <w:ind w:right="51"/>
              <w:spacing w:after="0"/>
              <w:rPr>
                <w:sz w:val="20"/>
                <w:szCs w:val="20"/>
                <w:color w:val="auto"/>
              </w:rPr>
            </w:pPr>
            <w:r>
              <w:rPr>
                <w:rFonts w:ascii="Arial" w:cs="Arial" w:eastAsia="Arial" w:hAnsi="Arial"/>
                <w:sz w:val="14"/>
                <w:szCs w:val="14"/>
                <w:color w:val="auto"/>
                <w:w w:val="76"/>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26.7</w:t>
            </w:r>
          </w:p>
        </w:tc>
        <w:tc>
          <w:tcPr>
            <w:tcW w:w="100" w:type="dxa"/>
            <w:vAlign w:val="bottom"/>
          </w:tcPr>
          <w:p>
            <w:pPr>
              <w:spacing w:after="0"/>
              <w:rPr>
                <w:sz w:val="15"/>
                <w:szCs w:val="15"/>
                <w:color w:val="auto"/>
              </w:rPr>
            </w:pPr>
          </w:p>
        </w:tc>
        <w:tc>
          <w:tcPr>
            <w:tcW w:w="160" w:type="dxa"/>
            <w:vAlign w:val="bottom"/>
          </w:tcPr>
          <w:p>
            <w:pPr>
              <w:jc w:val="right"/>
              <w:ind w:right="11"/>
              <w:spacing w:after="0"/>
              <w:rPr>
                <w:sz w:val="20"/>
                <w:szCs w:val="20"/>
                <w:color w:val="auto"/>
              </w:rPr>
            </w:pPr>
            <w:r>
              <w:rPr>
                <w:rFonts w:ascii="Arial" w:cs="Arial" w:eastAsia="Arial" w:hAnsi="Arial"/>
                <w:sz w:val="14"/>
                <w:szCs w:val="14"/>
                <w:color w:val="auto"/>
                <w:w w:val="76"/>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33.2</w:t>
            </w:r>
          </w:p>
        </w:tc>
        <w:tc>
          <w:tcPr>
            <w:tcW w:w="0" w:type="dxa"/>
            <w:vAlign w:val="bottom"/>
          </w:tcPr>
          <w:p>
            <w:pPr>
              <w:spacing w:after="0"/>
              <w:rPr>
                <w:sz w:val="1"/>
                <w:szCs w:val="1"/>
                <w:color w:val="auto"/>
              </w:rPr>
            </w:pPr>
          </w:p>
        </w:tc>
      </w:tr>
      <w:tr>
        <w:trPr>
          <w:trHeight w:val="184"/>
        </w:trPr>
        <w:tc>
          <w:tcPr>
            <w:tcW w:w="20" w:type="dxa"/>
            <w:vAlign w:val="bottom"/>
            <w:shd w:val="clear" w:color="auto" w:fill="CCEEFF"/>
          </w:tcPr>
          <w:p>
            <w:pPr>
              <w:spacing w:after="0"/>
              <w:rPr>
                <w:sz w:val="15"/>
                <w:szCs w:val="15"/>
                <w:color w:val="auto"/>
              </w:rPr>
            </w:pPr>
          </w:p>
        </w:tc>
        <w:tc>
          <w:tcPr>
            <w:tcW w:w="8600" w:type="dxa"/>
            <w:vAlign w:val="bottom"/>
            <w:gridSpan w:val="4"/>
            <w:shd w:val="clear" w:color="auto" w:fill="CCEEFF"/>
          </w:tcPr>
          <w:p>
            <w:pPr>
              <w:ind w:left="200"/>
              <w:spacing w:after="0"/>
              <w:rPr>
                <w:sz w:val="20"/>
                <w:szCs w:val="20"/>
                <w:color w:val="auto"/>
              </w:rPr>
            </w:pPr>
            <w:r>
              <w:rPr>
                <w:rFonts w:ascii="Arial" w:cs="Arial" w:eastAsia="Arial" w:hAnsi="Arial"/>
                <w:sz w:val="14"/>
                <w:szCs w:val="14"/>
                <w:color w:val="auto"/>
              </w:rPr>
              <w:t>Current maturities of long-term debt</w:t>
            </w:r>
          </w:p>
        </w:tc>
        <w:tc>
          <w:tcPr>
            <w:tcW w:w="20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85.8</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81.4</w:t>
            </w: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8600" w:type="dxa"/>
            <w:vAlign w:val="bottom"/>
            <w:gridSpan w:val="4"/>
          </w:tcPr>
          <w:p>
            <w:pPr>
              <w:ind w:left="200"/>
              <w:spacing w:after="0"/>
              <w:rPr>
                <w:sz w:val="20"/>
                <w:szCs w:val="20"/>
                <w:color w:val="auto"/>
              </w:rPr>
            </w:pPr>
            <w:r>
              <w:rPr>
                <w:rFonts w:ascii="Arial" w:cs="Arial" w:eastAsia="Arial" w:hAnsi="Arial"/>
                <w:sz w:val="14"/>
                <w:szCs w:val="14"/>
                <w:color w:val="auto"/>
              </w:rPr>
              <w:t>Current portion of financing obligations</w:t>
            </w:r>
          </w:p>
        </w:tc>
        <w:tc>
          <w:tcPr>
            <w:tcW w:w="2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36.7</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36.0</w:t>
            </w:r>
          </w:p>
        </w:tc>
        <w:tc>
          <w:tcPr>
            <w:tcW w:w="0" w:type="dxa"/>
            <w:vAlign w:val="bottom"/>
          </w:tcPr>
          <w:p>
            <w:pPr>
              <w:spacing w:after="0"/>
              <w:rPr>
                <w:sz w:val="1"/>
                <w:szCs w:val="1"/>
                <w:color w:val="auto"/>
              </w:rPr>
            </w:pPr>
          </w:p>
        </w:tc>
      </w:tr>
      <w:tr>
        <w:trPr>
          <w:trHeight w:val="184"/>
        </w:trPr>
        <w:tc>
          <w:tcPr>
            <w:tcW w:w="20" w:type="dxa"/>
            <w:vAlign w:val="bottom"/>
            <w:shd w:val="clear" w:color="auto" w:fill="CCEEFF"/>
          </w:tcPr>
          <w:p>
            <w:pPr>
              <w:spacing w:after="0"/>
              <w:rPr>
                <w:sz w:val="15"/>
                <w:szCs w:val="15"/>
                <w:color w:val="auto"/>
              </w:rPr>
            </w:pPr>
          </w:p>
        </w:tc>
        <w:tc>
          <w:tcPr>
            <w:tcW w:w="8600" w:type="dxa"/>
            <w:vAlign w:val="bottom"/>
            <w:gridSpan w:val="4"/>
            <w:shd w:val="clear" w:color="auto" w:fill="CCEEFF"/>
          </w:tcPr>
          <w:p>
            <w:pPr>
              <w:ind w:left="200"/>
              <w:spacing w:after="0"/>
              <w:rPr>
                <w:sz w:val="20"/>
                <w:szCs w:val="20"/>
                <w:color w:val="auto"/>
              </w:rPr>
            </w:pPr>
            <w:r>
              <w:rPr>
                <w:rFonts w:ascii="Arial" w:cs="Arial" w:eastAsia="Arial" w:hAnsi="Arial"/>
                <w:sz w:val="14"/>
                <w:szCs w:val="14"/>
                <w:color w:val="auto"/>
              </w:rPr>
              <w:t>Current portion of lease liabilities</w:t>
            </w:r>
          </w:p>
        </w:tc>
        <w:tc>
          <w:tcPr>
            <w:tcW w:w="20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137.7</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134.3</w:t>
            </w:r>
          </w:p>
        </w:tc>
        <w:tc>
          <w:tcPr>
            <w:tcW w:w="0" w:type="dxa"/>
            <w:vAlign w:val="bottom"/>
          </w:tcPr>
          <w:p>
            <w:pPr>
              <w:spacing w:after="0"/>
              <w:rPr>
                <w:sz w:val="1"/>
                <w:szCs w:val="1"/>
                <w:color w:val="auto"/>
              </w:rPr>
            </w:pPr>
          </w:p>
        </w:tc>
      </w:tr>
      <w:tr>
        <w:trPr>
          <w:trHeight w:val="177"/>
        </w:trPr>
        <w:tc>
          <w:tcPr>
            <w:tcW w:w="20" w:type="dxa"/>
            <w:vAlign w:val="bottom"/>
            <w:tcBorders>
              <w:bottom w:val="single" w:sz="8" w:color="CCEEFF"/>
            </w:tcBorders>
          </w:tcPr>
          <w:p>
            <w:pPr>
              <w:spacing w:after="0"/>
              <w:rPr>
                <w:sz w:val="15"/>
                <w:szCs w:val="15"/>
                <w:color w:val="auto"/>
              </w:rPr>
            </w:pPr>
          </w:p>
        </w:tc>
        <w:tc>
          <w:tcPr>
            <w:tcW w:w="8600" w:type="dxa"/>
            <w:vAlign w:val="bottom"/>
            <w:tcBorders>
              <w:bottom w:val="single" w:sz="8" w:color="CCEEFF"/>
            </w:tcBorders>
            <w:gridSpan w:val="4"/>
          </w:tcPr>
          <w:p>
            <w:pPr>
              <w:ind w:left="200"/>
              <w:spacing w:after="0"/>
              <w:rPr>
                <w:sz w:val="20"/>
                <w:szCs w:val="20"/>
                <w:color w:val="auto"/>
              </w:rPr>
            </w:pPr>
            <w:r>
              <w:rPr>
                <w:rFonts w:ascii="Arial" w:cs="Arial" w:eastAsia="Arial" w:hAnsi="Arial"/>
                <w:sz w:val="14"/>
                <w:szCs w:val="14"/>
                <w:color w:val="auto"/>
              </w:rPr>
              <w:t>Accrued expenses and other current liabilities</w:t>
            </w:r>
          </w:p>
        </w:tc>
        <w:tc>
          <w:tcPr>
            <w:tcW w:w="2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660.4</w:t>
            </w: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575.1</w:t>
            </w:r>
          </w:p>
        </w:tc>
        <w:tc>
          <w:tcPr>
            <w:tcW w:w="0" w:type="dxa"/>
            <w:vAlign w:val="bottom"/>
          </w:tcPr>
          <w:p>
            <w:pPr>
              <w:spacing w:after="0"/>
              <w:rPr>
                <w:sz w:val="1"/>
                <w:szCs w:val="1"/>
                <w:color w:val="auto"/>
              </w:rPr>
            </w:pPr>
          </w:p>
        </w:tc>
      </w:tr>
      <w:tr>
        <w:trPr>
          <w:trHeight w:val="176"/>
        </w:trPr>
        <w:tc>
          <w:tcPr>
            <w:tcW w:w="20" w:type="dxa"/>
            <w:vAlign w:val="bottom"/>
            <w:shd w:val="clear" w:color="auto" w:fill="CCEEFF"/>
          </w:tcPr>
          <w:p>
            <w:pPr>
              <w:spacing w:after="0"/>
              <w:rPr>
                <w:sz w:val="15"/>
                <w:szCs w:val="15"/>
                <w:color w:val="auto"/>
              </w:rPr>
            </w:pPr>
          </w:p>
        </w:tc>
        <w:tc>
          <w:tcPr>
            <w:tcW w:w="8600" w:type="dxa"/>
            <w:vAlign w:val="bottom"/>
            <w:gridSpan w:val="4"/>
            <w:shd w:val="clear" w:color="auto" w:fill="CCEEFF"/>
          </w:tcPr>
          <w:p>
            <w:pPr>
              <w:ind w:left="420"/>
              <w:spacing w:after="0"/>
              <w:rPr>
                <w:sz w:val="20"/>
                <w:szCs w:val="20"/>
                <w:color w:val="auto"/>
              </w:rPr>
            </w:pPr>
            <w:r>
              <w:rPr>
                <w:rFonts w:ascii="Arial" w:cs="Arial" w:eastAsia="Arial" w:hAnsi="Arial"/>
                <w:sz w:val="14"/>
                <w:szCs w:val="14"/>
                <w:color w:val="auto"/>
              </w:rPr>
              <w:t>Total current liabilities</w:t>
            </w:r>
          </w:p>
        </w:tc>
        <w:tc>
          <w:tcPr>
            <w:tcW w:w="20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947.3</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860.0</w:t>
            </w:r>
          </w:p>
        </w:tc>
        <w:tc>
          <w:tcPr>
            <w:tcW w:w="0" w:type="dxa"/>
            <w:vAlign w:val="bottom"/>
          </w:tcPr>
          <w:p>
            <w:pPr>
              <w:spacing w:after="0"/>
              <w:rPr>
                <w:sz w:val="1"/>
                <w:szCs w:val="1"/>
                <w:color w:val="auto"/>
              </w:rPr>
            </w:pPr>
          </w:p>
        </w:tc>
      </w:tr>
      <w:tr>
        <w:trPr>
          <w:trHeight w:val="177"/>
        </w:trPr>
        <w:tc>
          <w:tcPr>
            <w:tcW w:w="8620" w:type="dxa"/>
            <w:vAlign w:val="bottom"/>
            <w:gridSpan w:val="5"/>
          </w:tcPr>
          <w:p>
            <w:pPr>
              <w:ind w:left="20"/>
              <w:spacing w:after="0"/>
              <w:rPr>
                <w:sz w:val="20"/>
                <w:szCs w:val="20"/>
                <w:color w:val="auto"/>
              </w:rPr>
            </w:pPr>
            <w:r>
              <w:rPr>
                <w:rFonts w:ascii="Arial" w:cs="Arial" w:eastAsia="Arial" w:hAnsi="Arial"/>
                <w:sz w:val="14"/>
                <w:szCs w:val="14"/>
                <w:color w:val="auto"/>
              </w:rPr>
              <w:t>Long-term debt, net of current maturities, debt discount and debt issuance costs</w:t>
            </w:r>
          </w:p>
        </w:tc>
        <w:tc>
          <w:tcPr>
            <w:tcW w:w="2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2,289.5</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2,231.2</w:t>
            </w:r>
          </w:p>
        </w:tc>
        <w:tc>
          <w:tcPr>
            <w:tcW w:w="0" w:type="dxa"/>
            <w:vAlign w:val="bottom"/>
          </w:tcPr>
          <w:p>
            <w:pPr>
              <w:spacing w:after="0"/>
              <w:rPr>
                <w:sz w:val="1"/>
                <w:szCs w:val="1"/>
                <w:color w:val="auto"/>
              </w:rPr>
            </w:pPr>
          </w:p>
        </w:tc>
      </w:tr>
      <w:tr>
        <w:trPr>
          <w:trHeight w:val="184"/>
        </w:trPr>
        <w:tc>
          <w:tcPr>
            <w:tcW w:w="8620" w:type="dxa"/>
            <w:vAlign w:val="bottom"/>
            <w:gridSpan w:val="5"/>
            <w:shd w:val="clear" w:color="auto" w:fill="CCEEFF"/>
          </w:tcPr>
          <w:p>
            <w:pPr>
              <w:ind w:left="20"/>
              <w:spacing w:after="0"/>
              <w:rPr>
                <w:sz w:val="20"/>
                <w:szCs w:val="20"/>
                <w:color w:val="auto"/>
              </w:rPr>
            </w:pPr>
            <w:r>
              <w:rPr>
                <w:rFonts w:ascii="Arial" w:cs="Arial" w:eastAsia="Arial" w:hAnsi="Arial"/>
                <w:sz w:val="14"/>
                <w:szCs w:val="14"/>
                <w:color w:val="auto"/>
              </w:rPr>
              <w:t>Long-term portion of financing obligations</w:t>
            </w:r>
          </w:p>
        </w:tc>
        <w:tc>
          <w:tcPr>
            <w:tcW w:w="20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4,087.0</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4,096.4</w:t>
            </w:r>
          </w:p>
        </w:tc>
        <w:tc>
          <w:tcPr>
            <w:tcW w:w="0" w:type="dxa"/>
            <w:vAlign w:val="bottom"/>
          </w:tcPr>
          <w:p>
            <w:pPr>
              <w:spacing w:after="0"/>
              <w:rPr>
                <w:sz w:val="1"/>
                <w:szCs w:val="1"/>
                <w:color w:val="auto"/>
              </w:rPr>
            </w:pPr>
          </w:p>
        </w:tc>
      </w:tr>
      <w:tr>
        <w:trPr>
          <w:trHeight w:val="177"/>
        </w:trPr>
        <w:tc>
          <w:tcPr>
            <w:tcW w:w="8620" w:type="dxa"/>
            <w:vAlign w:val="bottom"/>
            <w:gridSpan w:val="5"/>
          </w:tcPr>
          <w:p>
            <w:pPr>
              <w:ind w:left="20"/>
              <w:spacing w:after="0"/>
              <w:rPr>
                <w:sz w:val="20"/>
                <w:szCs w:val="20"/>
                <w:color w:val="auto"/>
              </w:rPr>
            </w:pPr>
            <w:r>
              <w:rPr>
                <w:rFonts w:ascii="Arial" w:cs="Arial" w:eastAsia="Arial" w:hAnsi="Arial"/>
                <w:sz w:val="14"/>
                <w:szCs w:val="14"/>
                <w:color w:val="auto"/>
              </w:rPr>
              <w:t>Long-term portion of lease liabilities</w:t>
            </w:r>
          </w:p>
        </w:tc>
        <w:tc>
          <w:tcPr>
            <w:tcW w:w="2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4,547.7</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4,578.2</w:t>
            </w:r>
          </w:p>
        </w:tc>
        <w:tc>
          <w:tcPr>
            <w:tcW w:w="0" w:type="dxa"/>
            <w:vAlign w:val="bottom"/>
          </w:tcPr>
          <w:p>
            <w:pPr>
              <w:spacing w:after="0"/>
              <w:rPr>
                <w:sz w:val="1"/>
                <w:szCs w:val="1"/>
                <w:color w:val="auto"/>
              </w:rPr>
            </w:pPr>
          </w:p>
        </w:tc>
      </w:tr>
      <w:tr>
        <w:trPr>
          <w:trHeight w:val="184"/>
        </w:trPr>
        <w:tc>
          <w:tcPr>
            <w:tcW w:w="8620" w:type="dxa"/>
            <w:vAlign w:val="bottom"/>
            <w:gridSpan w:val="5"/>
            <w:shd w:val="clear" w:color="auto" w:fill="CCEEFF"/>
          </w:tcPr>
          <w:p>
            <w:pPr>
              <w:ind w:left="20"/>
              <w:spacing w:after="0"/>
              <w:rPr>
                <w:sz w:val="20"/>
                <w:szCs w:val="20"/>
                <w:color w:val="auto"/>
              </w:rPr>
            </w:pPr>
            <w:r>
              <w:rPr>
                <w:rFonts w:ascii="Arial" w:cs="Arial" w:eastAsia="Arial" w:hAnsi="Arial"/>
                <w:sz w:val="14"/>
                <w:szCs w:val="14"/>
                <w:color w:val="auto"/>
              </w:rPr>
              <w:t>Deferred income taxes</w:t>
            </w:r>
          </w:p>
        </w:tc>
        <w:tc>
          <w:tcPr>
            <w:tcW w:w="20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134.6</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126.3</w:t>
            </w:r>
          </w:p>
        </w:tc>
        <w:tc>
          <w:tcPr>
            <w:tcW w:w="0" w:type="dxa"/>
            <w:vAlign w:val="bottom"/>
          </w:tcPr>
          <w:p>
            <w:pPr>
              <w:spacing w:after="0"/>
              <w:rPr>
                <w:sz w:val="1"/>
                <w:szCs w:val="1"/>
                <w:color w:val="auto"/>
              </w:rPr>
            </w:pPr>
          </w:p>
        </w:tc>
      </w:tr>
      <w:tr>
        <w:trPr>
          <w:trHeight w:val="177"/>
        </w:trPr>
        <w:tc>
          <w:tcPr>
            <w:tcW w:w="8620" w:type="dxa"/>
            <w:vAlign w:val="bottom"/>
            <w:tcBorders>
              <w:bottom w:val="single" w:sz="8" w:color="CCEEFF"/>
            </w:tcBorders>
            <w:gridSpan w:val="5"/>
          </w:tcPr>
          <w:p>
            <w:pPr>
              <w:ind w:left="20"/>
              <w:spacing w:after="0"/>
              <w:rPr>
                <w:sz w:val="20"/>
                <w:szCs w:val="20"/>
                <w:color w:val="auto"/>
              </w:rPr>
            </w:pPr>
            <w:r>
              <w:rPr>
                <w:rFonts w:ascii="Arial" w:cs="Arial" w:eastAsia="Arial" w:hAnsi="Arial"/>
                <w:sz w:val="14"/>
                <w:szCs w:val="14"/>
                <w:color w:val="auto"/>
              </w:rPr>
              <w:t>Other long-term liabilities</w:t>
            </w:r>
          </w:p>
        </w:tc>
        <w:tc>
          <w:tcPr>
            <w:tcW w:w="2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126.3</w:t>
            </w: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119.4</w:t>
            </w:r>
          </w:p>
        </w:tc>
        <w:tc>
          <w:tcPr>
            <w:tcW w:w="0" w:type="dxa"/>
            <w:vAlign w:val="bottom"/>
          </w:tcPr>
          <w:p>
            <w:pPr>
              <w:spacing w:after="0"/>
              <w:rPr>
                <w:sz w:val="1"/>
                <w:szCs w:val="1"/>
                <w:color w:val="auto"/>
              </w:rPr>
            </w:pPr>
          </w:p>
        </w:tc>
      </w:tr>
      <w:tr>
        <w:trPr>
          <w:trHeight w:val="176"/>
        </w:trPr>
        <w:tc>
          <w:tcPr>
            <w:tcW w:w="20" w:type="dxa"/>
            <w:vAlign w:val="bottom"/>
            <w:shd w:val="clear" w:color="auto" w:fill="CCEEFF"/>
          </w:tcPr>
          <w:p>
            <w:pPr>
              <w:spacing w:after="0"/>
              <w:rPr>
                <w:sz w:val="15"/>
                <w:szCs w:val="15"/>
                <w:color w:val="auto"/>
              </w:rPr>
            </w:pPr>
          </w:p>
        </w:tc>
        <w:tc>
          <w:tcPr>
            <w:tcW w:w="8600" w:type="dxa"/>
            <w:vAlign w:val="bottom"/>
            <w:gridSpan w:val="4"/>
            <w:shd w:val="clear" w:color="auto" w:fill="CCEEFF"/>
          </w:tcPr>
          <w:p>
            <w:pPr>
              <w:ind w:left="420"/>
              <w:spacing w:after="0"/>
              <w:rPr>
                <w:sz w:val="20"/>
                <w:szCs w:val="20"/>
                <w:color w:val="auto"/>
              </w:rPr>
            </w:pPr>
            <w:r>
              <w:rPr>
                <w:rFonts w:ascii="Arial" w:cs="Arial" w:eastAsia="Arial" w:hAnsi="Arial"/>
                <w:sz w:val="14"/>
                <w:szCs w:val="14"/>
                <w:color w:val="auto"/>
              </w:rPr>
              <w:t>Total liabilities</w:t>
            </w:r>
          </w:p>
        </w:tc>
        <w:tc>
          <w:tcPr>
            <w:tcW w:w="200" w:type="dxa"/>
            <w:vAlign w:val="bottom"/>
            <w:tcBorders>
              <w:bottom w:val="single" w:sz="8" w:color="auto"/>
            </w:tcBorders>
            <w:shd w:val="clear" w:color="auto" w:fill="CCEEFF"/>
          </w:tcPr>
          <w:p>
            <w:pPr>
              <w:spacing w:after="0"/>
              <w:rPr>
                <w:sz w:val="15"/>
                <w:szCs w:val="15"/>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12,132.4</w:t>
            </w:r>
          </w:p>
        </w:tc>
        <w:tc>
          <w:tcPr>
            <w:tcW w:w="10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12,011.5</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600" w:type="dxa"/>
            <w:vAlign w:val="bottom"/>
            <w:gridSpan w:val="4"/>
          </w:tcPr>
          <w:p>
            <w:pPr>
              <w:spacing w:after="0" w:line="122" w:lineRule="exact"/>
              <w:rPr>
                <w:rFonts w:ascii="Arial" w:cs="Arial" w:eastAsia="Arial" w:hAnsi="Arial"/>
                <w:sz w:val="14"/>
                <w:szCs w:val="14"/>
                <w:color w:val="0000FF"/>
              </w:rPr>
            </w:pPr>
            <w:hyperlink w:anchor="page23">
              <w:r>
                <w:rPr>
                  <w:rFonts w:ascii="Arial" w:cs="Arial" w:eastAsia="Arial" w:hAnsi="Arial"/>
                  <w:sz w:val="14"/>
                  <w:szCs w:val="14"/>
                  <w:color w:val="0000FF"/>
                </w:rPr>
                <w:t>Commitments and contingencies (Note 12)</w:t>
              </w:r>
            </w:hyperlink>
          </w:p>
        </w:tc>
        <w:tc>
          <w:tcPr>
            <w:tcW w:w="2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0"/>
        </w:trPr>
        <w:tc>
          <w:tcPr>
            <w:tcW w:w="20" w:type="dxa"/>
            <w:vAlign w:val="bottom"/>
            <w:shd w:val="clear" w:color="auto" w:fill="CCEEFF"/>
          </w:tcPr>
          <w:p>
            <w:pPr>
              <w:spacing w:after="0"/>
              <w:rPr>
                <w:sz w:val="16"/>
                <w:szCs w:val="16"/>
                <w:color w:val="auto"/>
              </w:rPr>
            </w:pPr>
          </w:p>
        </w:tc>
        <w:tc>
          <w:tcPr>
            <w:tcW w:w="2360" w:type="dxa"/>
            <w:vAlign w:val="bottom"/>
            <w:tcBorders>
              <w:top w:val="single" w:sz="8" w:color="0000FF"/>
            </w:tcBorders>
            <w:gridSpan w:val="2"/>
            <w:shd w:val="clear" w:color="auto" w:fill="CCEEFF"/>
          </w:tcPr>
          <w:p>
            <w:pPr>
              <w:spacing w:after="0"/>
              <w:rPr>
                <w:sz w:val="20"/>
                <w:szCs w:val="20"/>
                <w:color w:val="auto"/>
              </w:rPr>
            </w:pPr>
            <w:r>
              <w:rPr>
                <w:rFonts w:ascii="Arial" w:cs="Arial" w:eastAsia="Arial" w:hAnsi="Arial"/>
                <w:sz w:val="14"/>
                <w:szCs w:val="14"/>
                <w:b w:val="1"/>
                <w:bCs w:val="1"/>
                <w:color w:val="auto"/>
              </w:rPr>
              <w:t>Stockholders’ equity</w:t>
            </w:r>
          </w:p>
        </w:tc>
        <w:tc>
          <w:tcPr>
            <w:tcW w:w="6240" w:type="dxa"/>
            <w:vAlign w:val="bottom"/>
            <w:gridSpan w:val="2"/>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8600" w:type="dxa"/>
            <w:vAlign w:val="bottom"/>
            <w:gridSpan w:val="4"/>
          </w:tcPr>
          <w:p>
            <w:pPr>
              <w:ind w:left="200"/>
              <w:spacing w:after="0"/>
              <w:rPr>
                <w:sz w:val="20"/>
                <w:szCs w:val="20"/>
                <w:color w:val="auto"/>
              </w:rPr>
            </w:pPr>
            <w:r>
              <w:rPr>
                <w:rFonts w:ascii="Arial" w:cs="Arial" w:eastAsia="Arial" w:hAnsi="Arial"/>
                <w:sz w:val="14"/>
                <w:szCs w:val="14"/>
                <w:color w:val="auto"/>
              </w:rPr>
              <w:t>Series B Preferred stock ($0.01 par value, 1,000,000 shares authorized, no shares issued and outstanding)</w:t>
            </w:r>
          </w:p>
        </w:tc>
        <w:tc>
          <w:tcPr>
            <w:tcW w:w="200" w:type="dxa"/>
            <w:vAlign w:val="bottom"/>
          </w:tcPr>
          <w:p>
            <w:pPr>
              <w:spacing w:after="0"/>
              <w:rPr>
                <w:sz w:val="15"/>
                <w:szCs w:val="15"/>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4"/>
        </w:trPr>
        <w:tc>
          <w:tcPr>
            <w:tcW w:w="20" w:type="dxa"/>
            <w:vAlign w:val="bottom"/>
            <w:shd w:val="clear" w:color="auto" w:fill="CCEEFF"/>
          </w:tcPr>
          <w:p>
            <w:pPr>
              <w:spacing w:after="0"/>
              <w:rPr>
                <w:sz w:val="15"/>
                <w:szCs w:val="15"/>
                <w:color w:val="auto"/>
              </w:rPr>
            </w:pPr>
          </w:p>
        </w:tc>
        <w:tc>
          <w:tcPr>
            <w:tcW w:w="8600" w:type="dxa"/>
            <w:vAlign w:val="bottom"/>
            <w:gridSpan w:val="4"/>
            <w:shd w:val="clear" w:color="auto" w:fill="CCEEFF"/>
          </w:tcPr>
          <w:p>
            <w:pPr>
              <w:ind w:left="200"/>
              <w:spacing w:after="0"/>
              <w:rPr>
                <w:sz w:val="20"/>
                <w:szCs w:val="20"/>
                <w:color w:val="auto"/>
              </w:rPr>
            </w:pPr>
            <w:r>
              <w:rPr>
                <w:rFonts w:ascii="Arial" w:cs="Arial" w:eastAsia="Arial" w:hAnsi="Arial"/>
                <w:sz w:val="14"/>
                <w:szCs w:val="14"/>
                <w:color w:val="auto"/>
              </w:rPr>
              <w:t>Series C Preferred stock ($0.01 par value, 18,500 shares authorized, no shares issued and outstanding)</w:t>
            </w:r>
          </w:p>
        </w:tc>
        <w:tc>
          <w:tcPr>
            <w:tcW w:w="20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8600" w:type="dxa"/>
            <w:vAlign w:val="bottom"/>
            <w:gridSpan w:val="4"/>
          </w:tcPr>
          <w:p>
            <w:pPr>
              <w:ind w:left="200"/>
              <w:spacing w:after="0"/>
              <w:rPr>
                <w:sz w:val="20"/>
                <w:szCs w:val="20"/>
                <w:color w:val="auto"/>
              </w:rPr>
            </w:pPr>
            <w:r>
              <w:rPr>
                <w:rFonts w:ascii="Arial" w:cs="Arial" w:eastAsia="Arial" w:hAnsi="Arial"/>
                <w:sz w:val="14"/>
                <w:szCs w:val="14"/>
                <w:color w:val="auto"/>
              </w:rPr>
              <w:t>Series D Preferred stock ($0.01 par value, 5,000 shares authorized, 926 and 883 shares issued, and 775 and 883 shares outstanding)</w:t>
            </w:r>
          </w:p>
        </w:tc>
        <w:tc>
          <w:tcPr>
            <w:tcW w:w="2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24.2</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23.1</w:t>
            </w:r>
          </w:p>
        </w:tc>
        <w:tc>
          <w:tcPr>
            <w:tcW w:w="0" w:type="dxa"/>
            <w:vAlign w:val="bottom"/>
          </w:tcPr>
          <w:p>
            <w:pPr>
              <w:spacing w:after="0"/>
              <w:rPr>
                <w:sz w:val="1"/>
                <w:szCs w:val="1"/>
                <w:color w:val="auto"/>
              </w:rPr>
            </w:pPr>
          </w:p>
        </w:tc>
      </w:tr>
      <w:tr>
        <w:trPr>
          <w:trHeight w:val="132"/>
        </w:trPr>
        <w:tc>
          <w:tcPr>
            <w:tcW w:w="20" w:type="dxa"/>
            <w:vAlign w:val="bottom"/>
            <w:shd w:val="clear" w:color="auto" w:fill="CCEEFF"/>
          </w:tcPr>
          <w:p>
            <w:pPr>
              <w:spacing w:after="0"/>
              <w:rPr>
                <w:sz w:val="11"/>
                <w:szCs w:val="11"/>
                <w:color w:val="auto"/>
              </w:rPr>
            </w:pPr>
          </w:p>
        </w:tc>
        <w:tc>
          <w:tcPr>
            <w:tcW w:w="8600" w:type="dxa"/>
            <w:vAlign w:val="bottom"/>
            <w:gridSpan w:val="4"/>
            <w:shd w:val="clear" w:color="auto" w:fill="CCEEFF"/>
          </w:tcPr>
          <w:p>
            <w:pPr>
              <w:ind w:left="200"/>
              <w:spacing w:after="0" w:line="132" w:lineRule="exact"/>
              <w:rPr>
                <w:sz w:val="20"/>
                <w:szCs w:val="20"/>
                <w:color w:val="auto"/>
              </w:rPr>
            </w:pPr>
            <w:r>
              <w:rPr>
                <w:rFonts w:ascii="Arial" w:cs="Arial" w:eastAsia="Arial" w:hAnsi="Arial"/>
                <w:sz w:val="14"/>
                <w:szCs w:val="14"/>
                <w:color w:val="auto"/>
                <w:w w:val="88"/>
              </w:rPr>
              <w:t>Common stock ($0.01 par value, 200,000,000 shares authorized, 158,497,534 and 157,868,227 shares issued, and 156,330,141 and 155,700,834 shares</w:t>
            </w:r>
          </w:p>
        </w:tc>
        <w:tc>
          <w:tcPr>
            <w:tcW w:w="200" w:type="dxa"/>
            <w:vAlign w:val="bottom"/>
            <w:shd w:val="clear" w:color="auto" w:fill="CCEEFF"/>
          </w:tcPr>
          <w:p>
            <w:pPr>
              <w:spacing w:after="0"/>
              <w:rPr>
                <w:sz w:val="11"/>
                <w:szCs w:val="11"/>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1.6</w:t>
            </w: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1.6</w:t>
            </w:r>
          </w:p>
        </w:tc>
        <w:tc>
          <w:tcPr>
            <w:tcW w:w="0" w:type="dxa"/>
            <w:vAlign w:val="bottom"/>
          </w:tcPr>
          <w:p>
            <w:pPr>
              <w:spacing w:after="0"/>
              <w:rPr>
                <w:sz w:val="1"/>
                <w:szCs w:val="1"/>
                <w:color w:val="auto"/>
              </w:rPr>
            </w:pPr>
          </w:p>
        </w:tc>
      </w:tr>
      <w:tr>
        <w:trPr>
          <w:trHeight w:val="180"/>
        </w:trPr>
        <w:tc>
          <w:tcPr>
            <w:tcW w:w="20" w:type="dxa"/>
            <w:vAlign w:val="bottom"/>
            <w:shd w:val="clear" w:color="auto" w:fill="CCEEFF"/>
          </w:tcPr>
          <w:p>
            <w:pPr>
              <w:spacing w:after="0"/>
              <w:rPr>
                <w:sz w:val="15"/>
                <w:szCs w:val="15"/>
                <w:color w:val="auto"/>
              </w:rPr>
            </w:pPr>
          </w:p>
        </w:tc>
        <w:tc>
          <w:tcPr>
            <w:tcW w:w="8600" w:type="dxa"/>
            <w:vAlign w:val="bottom"/>
            <w:gridSpan w:val="4"/>
            <w:shd w:val="clear" w:color="auto" w:fill="CCEEFF"/>
          </w:tcPr>
          <w:p>
            <w:pPr>
              <w:ind w:left="200"/>
              <w:spacing w:after="0"/>
              <w:rPr>
                <w:sz w:val="20"/>
                <w:szCs w:val="20"/>
                <w:color w:val="auto"/>
              </w:rPr>
            </w:pPr>
            <w:r>
              <w:rPr>
                <w:rFonts w:ascii="Arial" w:cs="Arial" w:eastAsia="Arial" w:hAnsi="Arial"/>
                <w:sz w:val="14"/>
                <w:szCs w:val="14"/>
                <w:color w:val="auto"/>
              </w:rPr>
              <w:t>outstanding)</w:t>
            </w:r>
          </w:p>
        </w:tc>
        <w:tc>
          <w:tcPr>
            <w:tcW w:w="200" w:type="dxa"/>
            <w:vAlign w:val="bottom"/>
            <w:shd w:val="clear" w:color="auto" w:fill="CCEEFF"/>
          </w:tcPr>
          <w:p>
            <w:pPr>
              <w:spacing w:after="0"/>
              <w:rPr>
                <w:sz w:val="15"/>
                <w:szCs w:val="15"/>
                <w:color w:val="auto"/>
              </w:rPr>
            </w:pPr>
          </w:p>
        </w:tc>
        <w:tc>
          <w:tcPr>
            <w:tcW w:w="106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0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8600" w:type="dxa"/>
            <w:vAlign w:val="bottom"/>
            <w:gridSpan w:val="4"/>
          </w:tcPr>
          <w:p>
            <w:pPr>
              <w:ind w:left="200"/>
              <w:spacing w:after="0"/>
              <w:rPr>
                <w:sz w:val="20"/>
                <w:szCs w:val="20"/>
                <w:color w:val="auto"/>
              </w:rPr>
            </w:pPr>
            <w:r>
              <w:rPr>
                <w:rFonts w:ascii="Arial" w:cs="Arial" w:eastAsia="Arial" w:hAnsi="Arial"/>
                <w:sz w:val="14"/>
                <w:szCs w:val="14"/>
                <w:color w:val="auto"/>
              </w:rPr>
              <w:t>Treasury stock, at cost, (2,167,393 shares held in both periods)</w:t>
            </w:r>
          </w:p>
        </w:tc>
        <w:tc>
          <w:tcPr>
            <w:tcW w:w="2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(28.4)</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(28.4)</w:t>
            </w:r>
          </w:p>
        </w:tc>
        <w:tc>
          <w:tcPr>
            <w:tcW w:w="0" w:type="dxa"/>
            <w:vAlign w:val="bottom"/>
          </w:tcPr>
          <w:p>
            <w:pPr>
              <w:spacing w:after="0"/>
              <w:rPr>
                <w:sz w:val="1"/>
                <w:szCs w:val="1"/>
                <w:color w:val="auto"/>
              </w:rPr>
            </w:pPr>
          </w:p>
        </w:tc>
      </w:tr>
      <w:tr>
        <w:trPr>
          <w:trHeight w:val="184"/>
        </w:trPr>
        <w:tc>
          <w:tcPr>
            <w:tcW w:w="20" w:type="dxa"/>
            <w:vAlign w:val="bottom"/>
            <w:shd w:val="clear" w:color="auto" w:fill="CCEEFF"/>
          </w:tcPr>
          <w:p>
            <w:pPr>
              <w:spacing w:after="0"/>
              <w:rPr>
                <w:sz w:val="15"/>
                <w:szCs w:val="15"/>
                <w:color w:val="auto"/>
              </w:rPr>
            </w:pPr>
          </w:p>
        </w:tc>
        <w:tc>
          <w:tcPr>
            <w:tcW w:w="8600" w:type="dxa"/>
            <w:vAlign w:val="bottom"/>
            <w:gridSpan w:val="4"/>
            <w:shd w:val="clear" w:color="auto" w:fill="CCEEFF"/>
          </w:tcPr>
          <w:p>
            <w:pPr>
              <w:ind w:left="200"/>
              <w:spacing w:after="0"/>
              <w:rPr>
                <w:sz w:val="20"/>
                <w:szCs w:val="20"/>
                <w:color w:val="auto"/>
              </w:rPr>
            </w:pPr>
            <w:r>
              <w:rPr>
                <w:rFonts w:ascii="Arial" w:cs="Arial" w:eastAsia="Arial" w:hAnsi="Arial"/>
                <w:sz w:val="14"/>
                <w:szCs w:val="14"/>
                <w:color w:val="auto"/>
              </w:rPr>
              <w:t>Additional paid-in capital</w:t>
            </w:r>
          </w:p>
        </w:tc>
        <w:tc>
          <w:tcPr>
            <w:tcW w:w="20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3,175.2</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3,167.2</w:t>
            </w:r>
          </w:p>
        </w:tc>
        <w:tc>
          <w:tcPr>
            <w:tcW w:w="0" w:type="dxa"/>
            <w:vAlign w:val="bottom"/>
          </w:tcPr>
          <w:p>
            <w:pPr>
              <w:spacing w:after="0"/>
              <w:rPr>
                <w:sz w:val="1"/>
                <w:szCs w:val="1"/>
                <w:color w:val="auto"/>
              </w:rPr>
            </w:pPr>
          </w:p>
        </w:tc>
      </w:tr>
      <w:tr>
        <w:trPr>
          <w:trHeight w:val="177"/>
        </w:trPr>
        <w:tc>
          <w:tcPr>
            <w:tcW w:w="20" w:type="dxa"/>
            <w:vAlign w:val="bottom"/>
            <w:tcBorders>
              <w:bottom w:val="single" w:sz="8" w:color="CCEEFF"/>
            </w:tcBorders>
          </w:tcPr>
          <w:p>
            <w:pPr>
              <w:spacing w:after="0"/>
              <w:rPr>
                <w:sz w:val="15"/>
                <w:szCs w:val="15"/>
                <w:color w:val="auto"/>
              </w:rPr>
            </w:pPr>
          </w:p>
        </w:tc>
        <w:tc>
          <w:tcPr>
            <w:tcW w:w="8600" w:type="dxa"/>
            <w:vAlign w:val="bottom"/>
            <w:tcBorders>
              <w:bottom w:val="single" w:sz="8" w:color="CCEEFF"/>
            </w:tcBorders>
            <w:gridSpan w:val="4"/>
          </w:tcPr>
          <w:p>
            <w:pPr>
              <w:ind w:left="200"/>
              <w:spacing w:after="0"/>
              <w:rPr>
                <w:sz w:val="20"/>
                <w:szCs w:val="20"/>
                <w:color w:val="auto"/>
              </w:rPr>
            </w:pPr>
            <w:r>
              <w:rPr>
                <w:rFonts w:ascii="Arial" w:cs="Arial" w:eastAsia="Arial" w:hAnsi="Arial"/>
                <w:sz w:val="14"/>
                <w:szCs w:val="14"/>
                <w:color w:val="auto"/>
              </w:rPr>
              <w:t>Retained earnings (accumulated deficit)</w:t>
            </w:r>
          </w:p>
        </w:tc>
        <w:tc>
          <w:tcPr>
            <w:tcW w:w="2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(416.3)</w:t>
            </w: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(507.3)</w:t>
            </w:r>
          </w:p>
        </w:tc>
        <w:tc>
          <w:tcPr>
            <w:tcW w:w="0" w:type="dxa"/>
            <w:vAlign w:val="bottom"/>
          </w:tcPr>
          <w:p>
            <w:pPr>
              <w:spacing w:after="0"/>
              <w:rPr>
                <w:sz w:val="1"/>
                <w:szCs w:val="1"/>
                <w:color w:val="auto"/>
              </w:rPr>
            </w:pPr>
          </w:p>
        </w:tc>
      </w:tr>
      <w:tr>
        <w:trPr>
          <w:trHeight w:val="176"/>
        </w:trPr>
        <w:tc>
          <w:tcPr>
            <w:tcW w:w="20" w:type="dxa"/>
            <w:vAlign w:val="bottom"/>
            <w:shd w:val="clear" w:color="auto" w:fill="CCEEFF"/>
          </w:tcPr>
          <w:p>
            <w:pPr>
              <w:spacing w:after="0"/>
              <w:rPr>
                <w:sz w:val="15"/>
                <w:szCs w:val="15"/>
                <w:color w:val="auto"/>
              </w:rPr>
            </w:pPr>
          </w:p>
        </w:tc>
        <w:tc>
          <w:tcPr>
            <w:tcW w:w="8600" w:type="dxa"/>
            <w:vAlign w:val="bottom"/>
            <w:gridSpan w:val="4"/>
            <w:shd w:val="clear" w:color="auto" w:fill="CCEEFF"/>
          </w:tcPr>
          <w:p>
            <w:pPr>
              <w:ind w:left="420"/>
              <w:spacing w:after="0"/>
              <w:rPr>
                <w:sz w:val="20"/>
                <w:szCs w:val="20"/>
                <w:color w:val="auto"/>
              </w:rPr>
            </w:pPr>
            <w:r>
              <w:rPr>
                <w:rFonts w:ascii="Arial" w:cs="Arial" w:eastAsia="Arial" w:hAnsi="Arial"/>
                <w:sz w:val="14"/>
                <w:szCs w:val="14"/>
                <w:color w:val="auto"/>
              </w:rPr>
              <w:t>Total Penn National stockholders’ equity</w:t>
            </w:r>
          </w:p>
        </w:tc>
        <w:tc>
          <w:tcPr>
            <w:tcW w:w="20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2,756.3</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2,656.2</w:t>
            </w:r>
          </w:p>
        </w:tc>
        <w:tc>
          <w:tcPr>
            <w:tcW w:w="0" w:type="dxa"/>
            <w:vAlign w:val="bottom"/>
          </w:tcPr>
          <w:p>
            <w:pPr>
              <w:spacing w:after="0"/>
              <w:rPr>
                <w:sz w:val="1"/>
                <w:szCs w:val="1"/>
                <w:color w:val="auto"/>
              </w:rPr>
            </w:pPr>
          </w:p>
        </w:tc>
      </w:tr>
      <w:tr>
        <w:trPr>
          <w:trHeight w:val="177"/>
        </w:trPr>
        <w:tc>
          <w:tcPr>
            <w:tcW w:w="20" w:type="dxa"/>
            <w:vAlign w:val="bottom"/>
            <w:tcBorders>
              <w:bottom w:val="single" w:sz="8" w:color="CCEEFF"/>
            </w:tcBorders>
          </w:tcPr>
          <w:p>
            <w:pPr>
              <w:spacing w:after="0"/>
              <w:rPr>
                <w:sz w:val="15"/>
                <w:szCs w:val="15"/>
                <w:color w:val="auto"/>
              </w:rPr>
            </w:pPr>
          </w:p>
        </w:tc>
        <w:tc>
          <w:tcPr>
            <w:tcW w:w="8600" w:type="dxa"/>
            <w:vAlign w:val="bottom"/>
            <w:tcBorders>
              <w:bottom w:val="single" w:sz="8" w:color="CCEEFF"/>
            </w:tcBorders>
            <w:gridSpan w:val="4"/>
          </w:tcPr>
          <w:p>
            <w:pPr>
              <w:ind w:left="200"/>
              <w:spacing w:after="0"/>
              <w:rPr>
                <w:sz w:val="20"/>
                <w:szCs w:val="20"/>
                <w:color w:val="auto"/>
              </w:rPr>
            </w:pPr>
            <w:r>
              <w:rPr>
                <w:rFonts w:ascii="Arial" w:cs="Arial" w:eastAsia="Arial" w:hAnsi="Arial"/>
                <w:sz w:val="14"/>
                <w:szCs w:val="14"/>
                <w:color w:val="auto"/>
              </w:rPr>
              <w:t>Non-controlling interest</w:t>
            </w:r>
          </w:p>
        </w:tc>
        <w:tc>
          <w:tcPr>
            <w:tcW w:w="2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(0.5)</w:t>
            </w: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(0.4)</w:t>
            </w:r>
          </w:p>
        </w:tc>
        <w:tc>
          <w:tcPr>
            <w:tcW w:w="0" w:type="dxa"/>
            <w:vAlign w:val="bottom"/>
          </w:tcPr>
          <w:p>
            <w:pPr>
              <w:spacing w:after="0"/>
              <w:rPr>
                <w:sz w:val="1"/>
                <w:szCs w:val="1"/>
                <w:color w:val="auto"/>
              </w:rPr>
            </w:pPr>
          </w:p>
        </w:tc>
      </w:tr>
      <w:tr>
        <w:trPr>
          <w:trHeight w:val="173"/>
        </w:trPr>
        <w:tc>
          <w:tcPr>
            <w:tcW w:w="20" w:type="dxa"/>
            <w:vAlign w:val="bottom"/>
            <w:shd w:val="clear" w:color="auto" w:fill="CCEEFF"/>
          </w:tcPr>
          <w:p>
            <w:pPr>
              <w:spacing w:after="0"/>
              <w:rPr>
                <w:sz w:val="15"/>
                <w:szCs w:val="15"/>
                <w:color w:val="auto"/>
              </w:rPr>
            </w:pPr>
          </w:p>
        </w:tc>
        <w:tc>
          <w:tcPr>
            <w:tcW w:w="8600" w:type="dxa"/>
            <w:vAlign w:val="bottom"/>
            <w:gridSpan w:val="4"/>
            <w:shd w:val="clear" w:color="auto" w:fill="CCEEFF"/>
          </w:tcPr>
          <w:p>
            <w:pPr>
              <w:ind w:left="420"/>
              <w:spacing w:after="0"/>
              <w:rPr>
                <w:sz w:val="20"/>
                <w:szCs w:val="20"/>
                <w:color w:val="auto"/>
              </w:rPr>
            </w:pPr>
            <w:r>
              <w:rPr>
                <w:rFonts w:ascii="Arial" w:cs="Arial" w:eastAsia="Arial" w:hAnsi="Arial"/>
                <w:sz w:val="14"/>
                <w:szCs w:val="14"/>
                <w:color w:val="auto"/>
              </w:rPr>
              <w:t>Total stockholders’ equity</w:t>
            </w:r>
          </w:p>
        </w:tc>
        <w:tc>
          <w:tcPr>
            <w:tcW w:w="200" w:type="dxa"/>
            <w:vAlign w:val="bottom"/>
            <w:tcBorders>
              <w:bottom w:val="single" w:sz="8" w:color="auto"/>
            </w:tcBorders>
            <w:shd w:val="clear" w:color="auto" w:fill="CCEEFF"/>
          </w:tcPr>
          <w:p>
            <w:pPr>
              <w:spacing w:after="0"/>
              <w:rPr>
                <w:sz w:val="15"/>
                <w:szCs w:val="15"/>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2,755.8</w:t>
            </w:r>
          </w:p>
        </w:tc>
        <w:tc>
          <w:tcPr>
            <w:tcW w:w="10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2,655.8</w:t>
            </w:r>
          </w:p>
        </w:tc>
        <w:tc>
          <w:tcPr>
            <w:tcW w:w="0" w:type="dxa"/>
            <w:vAlign w:val="bottom"/>
          </w:tcPr>
          <w:p>
            <w:pPr>
              <w:spacing w:after="0"/>
              <w:rPr>
                <w:sz w:val="1"/>
                <w:szCs w:val="1"/>
                <w:color w:val="auto"/>
              </w:rPr>
            </w:pPr>
          </w:p>
        </w:tc>
      </w:tr>
      <w:tr>
        <w:trPr>
          <w:trHeight w:val="176"/>
        </w:trPr>
        <w:tc>
          <w:tcPr>
            <w:tcW w:w="8620" w:type="dxa"/>
            <w:vAlign w:val="bottom"/>
            <w:gridSpan w:val="5"/>
          </w:tcPr>
          <w:p>
            <w:pPr>
              <w:ind w:left="20"/>
              <w:spacing w:after="0"/>
              <w:rPr>
                <w:sz w:val="20"/>
                <w:szCs w:val="20"/>
                <w:color w:val="auto"/>
              </w:rPr>
            </w:pPr>
            <w:r>
              <w:rPr>
                <w:rFonts w:ascii="Arial" w:cs="Arial" w:eastAsia="Arial" w:hAnsi="Arial"/>
                <w:sz w:val="14"/>
                <w:szCs w:val="14"/>
                <w:b w:val="1"/>
                <w:bCs w:val="1"/>
                <w:color w:val="auto"/>
              </w:rPr>
              <w:t>Total liabilities and stockholders’ equity</w:t>
            </w:r>
          </w:p>
        </w:tc>
        <w:tc>
          <w:tcPr>
            <w:tcW w:w="200" w:type="dxa"/>
            <w:vAlign w:val="bottom"/>
            <w:tcBorders>
              <w:bottom w:val="single" w:sz="8" w:color="auto"/>
            </w:tcBorders>
          </w:tcPr>
          <w:p>
            <w:pPr>
              <w:jc w:val="right"/>
              <w:ind w:right="51"/>
              <w:spacing w:after="0"/>
              <w:rPr>
                <w:sz w:val="20"/>
                <w:szCs w:val="20"/>
                <w:color w:val="auto"/>
              </w:rPr>
            </w:pPr>
            <w:r>
              <w:rPr>
                <w:rFonts w:ascii="Arial" w:cs="Arial" w:eastAsia="Arial" w:hAnsi="Arial"/>
                <w:sz w:val="14"/>
                <w:szCs w:val="14"/>
                <w:color w:val="auto"/>
                <w:w w:val="76"/>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14,888.2</w:t>
            </w:r>
          </w:p>
        </w:tc>
        <w:tc>
          <w:tcPr>
            <w:tcW w:w="100" w:type="dxa"/>
            <w:vAlign w:val="bottom"/>
          </w:tcPr>
          <w:p>
            <w:pPr>
              <w:spacing w:after="0"/>
              <w:rPr>
                <w:sz w:val="15"/>
                <w:szCs w:val="15"/>
                <w:color w:val="auto"/>
              </w:rPr>
            </w:pPr>
          </w:p>
        </w:tc>
        <w:tc>
          <w:tcPr>
            <w:tcW w:w="160" w:type="dxa"/>
            <w:vAlign w:val="bottom"/>
            <w:tcBorders>
              <w:bottom w:val="single" w:sz="8" w:color="auto"/>
            </w:tcBorders>
          </w:tcPr>
          <w:p>
            <w:pPr>
              <w:jc w:val="right"/>
              <w:ind w:right="11"/>
              <w:spacing w:after="0"/>
              <w:rPr>
                <w:sz w:val="20"/>
                <w:szCs w:val="20"/>
                <w:color w:val="auto"/>
              </w:rPr>
            </w:pPr>
            <w:r>
              <w:rPr>
                <w:rFonts w:ascii="Arial" w:cs="Arial" w:eastAsia="Arial" w:hAnsi="Arial"/>
                <w:sz w:val="14"/>
                <w:szCs w:val="14"/>
                <w:color w:val="auto"/>
                <w:w w:val="76"/>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14,667.3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See accompanying notes to the Consolidated Financial Statements.</w:t>
      </w: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173990</wp:posOffset>
            </wp:positionV>
            <wp:extent cx="7164070" cy="419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 w:name="page4"/>
    <w:bookmarkEnd w:id="3"/>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PENN NATIONAL GAMING, INC. AND SUBSIDIARIES</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CONSOLIDATED STATEMENTS OF OPERATIONS AND</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COMPREHENSIVE INCOME (LOSS)</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(UNAUDITED)</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0" w:type="dxa"/>
            <w:vAlign w:val="bottom"/>
          </w:tcPr>
          <w:p>
            <w:pPr>
              <w:spacing w:after="0"/>
              <w:rPr>
                <w:sz w:val="16"/>
                <w:szCs w:val="16"/>
                <w:color w:val="auto"/>
              </w:rPr>
            </w:pPr>
          </w:p>
        </w:tc>
        <w:tc>
          <w:tcPr>
            <w:tcW w:w="1960" w:type="dxa"/>
            <w:vAlign w:val="bottom"/>
          </w:tcPr>
          <w:p>
            <w:pPr>
              <w:spacing w:after="0"/>
              <w:rPr>
                <w:sz w:val="16"/>
                <w:szCs w:val="16"/>
                <w:color w:val="auto"/>
              </w:rPr>
            </w:pPr>
          </w:p>
        </w:tc>
        <w:tc>
          <w:tcPr>
            <w:tcW w:w="6640" w:type="dxa"/>
            <w:vAlign w:val="bottom"/>
          </w:tcPr>
          <w:p>
            <w:pPr>
              <w:spacing w:after="0"/>
              <w:rPr>
                <w:sz w:val="16"/>
                <w:szCs w:val="16"/>
                <w:color w:val="auto"/>
              </w:rPr>
            </w:pPr>
          </w:p>
        </w:tc>
        <w:tc>
          <w:tcPr>
            <w:tcW w:w="2620" w:type="dxa"/>
            <w:vAlign w:val="bottom"/>
            <w:gridSpan w:val="5"/>
          </w:tcPr>
          <w:p>
            <w:pPr>
              <w:ind w:left="20"/>
              <w:spacing w:after="0"/>
              <w:rPr>
                <w:sz w:val="20"/>
                <w:szCs w:val="20"/>
                <w:color w:val="auto"/>
              </w:rPr>
            </w:pPr>
            <w:r>
              <w:rPr>
                <w:rFonts w:ascii="Arial" w:cs="Arial" w:eastAsia="Arial" w:hAnsi="Arial"/>
                <w:sz w:val="17"/>
                <w:szCs w:val="17"/>
                <w:b w:val="1"/>
                <w:bCs w:val="1"/>
                <w:color w:val="auto"/>
                <w:w w:val="92"/>
              </w:rPr>
              <w:t>For the three months ended March</w:t>
            </w:r>
          </w:p>
        </w:tc>
      </w:tr>
      <w:tr>
        <w:trPr>
          <w:trHeight w:val="219"/>
        </w:trPr>
        <w:tc>
          <w:tcPr>
            <w:tcW w:w="2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664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gridSpan w:val="3"/>
          </w:tcPr>
          <w:p>
            <w:pPr>
              <w:jc w:val="right"/>
              <w:ind w:right="134"/>
              <w:spacing w:after="0"/>
              <w:rPr>
                <w:sz w:val="20"/>
                <w:szCs w:val="20"/>
                <w:color w:val="auto"/>
              </w:rPr>
            </w:pPr>
            <w:r>
              <w:rPr>
                <w:rFonts w:ascii="Arial" w:cs="Arial" w:eastAsia="Arial" w:hAnsi="Arial"/>
                <w:sz w:val="17"/>
                <w:szCs w:val="17"/>
                <w:b w:val="1"/>
                <w:bCs w:val="1"/>
                <w:color w:val="auto"/>
              </w:rPr>
              <w:t>31,</w:t>
            </w:r>
          </w:p>
        </w:tc>
        <w:tc>
          <w:tcPr>
            <w:tcW w:w="980" w:type="dxa"/>
            <w:vAlign w:val="bottom"/>
            <w:tcBorders>
              <w:bottom w:val="single" w:sz="8" w:color="auto"/>
            </w:tcBorders>
          </w:tcPr>
          <w:p>
            <w:pPr>
              <w:spacing w:after="0"/>
              <w:rPr>
                <w:sz w:val="19"/>
                <w:szCs w:val="19"/>
                <w:color w:val="auto"/>
              </w:rPr>
            </w:pPr>
          </w:p>
        </w:tc>
      </w:tr>
      <w:tr>
        <w:trPr>
          <w:trHeight w:val="173"/>
        </w:trPr>
        <w:tc>
          <w:tcPr>
            <w:tcW w:w="8620" w:type="dxa"/>
            <w:vAlign w:val="bottom"/>
            <w:gridSpan w:val="3"/>
          </w:tcPr>
          <w:p>
            <w:pPr>
              <w:ind w:left="20"/>
              <w:spacing w:after="0"/>
              <w:rPr>
                <w:sz w:val="20"/>
                <w:szCs w:val="20"/>
                <w:color w:val="auto"/>
              </w:rPr>
            </w:pPr>
            <w:r>
              <w:rPr>
                <w:rFonts w:ascii="Arial" w:cs="Arial" w:eastAsia="Arial" w:hAnsi="Arial"/>
                <w:sz w:val="14"/>
                <w:szCs w:val="14"/>
                <w:b w:val="1"/>
                <w:bCs w:val="1"/>
                <w:i w:val="1"/>
                <w:iCs w:val="1"/>
                <w:color w:val="auto"/>
              </w:rPr>
              <w:t>(in millions, except per share data)</w:t>
            </w:r>
          </w:p>
        </w:tc>
        <w:tc>
          <w:tcPr>
            <w:tcW w:w="280" w:type="dxa"/>
            <w:vAlign w:val="bottom"/>
          </w:tcPr>
          <w:p>
            <w:pPr>
              <w:spacing w:after="0"/>
              <w:rPr>
                <w:sz w:val="15"/>
                <w:szCs w:val="15"/>
                <w:color w:val="auto"/>
              </w:rPr>
            </w:pPr>
          </w:p>
        </w:tc>
        <w:tc>
          <w:tcPr>
            <w:tcW w:w="980" w:type="dxa"/>
            <w:vAlign w:val="bottom"/>
          </w:tcPr>
          <w:p>
            <w:pPr>
              <w:jc w:val="right"/>
              <w:ind w:right="374"/>
              <w:spacing w:after="0" w:line="173" w:lineRule="exact"/>
              <w:rPr>
                <w:sz w:val="20"/>
                <w:szCs w:val="20"/>
                <w:color w:val="auto"/>
              </w:rPr>
            </w:pPr>
            <w:r>
              <w:rPr>
                <w:rFonts w:ascii="Arial" w:cs="Arial" w:eastAsia="Arial" w:hAnsi="Arial"/>
                <w:sz w:val="17"/>
                <w:szCs w:val="17"/>
                <w:b w:val="1"/>
                <w:bCs w:val="1"/>
                <w:color w:val="auto"/>
              </w:rPr>
              <w:t>2021</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jc w:val="right"/>
              <w:ind w:right="374"/>
              <w:spacing w:after="0" w:line="173" w:lineRule="exact"/>
              <w:rPr>
                <w:sz w:val="20"/>
                <w:szCs w:val="20"/>
                <w:color w:val="auto"/>
              </w:rPr>
            </w:pPr>
            <w:r>
              <w:rPr>
                <w:rFonts w:ascii="Arial" w:cs="Arial" w:eastAsia="Arial" w:hAnsi="Arial"/>
                <w:sz w:val="17"/>
                <w:szCs w:val="17"/>
                <w:b w:val="1"/>
                <w:bCs w:val="1"/>
                <w:color w:val="auto"/>
              </w:rPr>
              <w:t>2020</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960" w:type="dxa"/>
            <w:vAlign w:val="bottom"/>
            <w:tcBorders>
              <w:top w:val="single" w:sz="8" w:color="auto"/>
              <w:bottom w:val="single" w:sz="8" w:color="CCEEFF"/>
            </w:tcBorders>
          </w:tcPr>
          <w:p>
            <w:pPr>
              <w:spacing w:after="0" w:line="20" w:lineRule="exact"/>
              <w:rPr>
                <w:sz w:val="1"/>
                <w:szCs w:val="1"/>
                <w:color w:val="auto"/>
              </w:rPr>
            </w:pPr>
          </w:p>
        </w:tc>
        <w:tc>
          <w:tcPr>
            <w:tcW w:w="66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211"/>
        </w:trPr>
        <w:tc>
          <w:tcPr>
            <w:tcW w:w="8620" w:type="dxa"/>
            <w:vAlign w:val="bottom"/>
            <w:gridSpan w:val="3"/>
            <w:shd w:val="clear" w:color="auto" w:fill="CCEEFF"/>
          </w:tcPr>
          <w:p>
            <w:pPr>
              <w:ind w:left="20"/>
              <w:spacing w:after="0"/>
              <w:rPr>
                <w:sz w:val="20"/>
                <w:szCs w:val="20"/>
                <w:color w:val="auto"/>
              </w:rPr>
            </w:pPr>
            <w:r>
              <w:rPr>
                <w:rFonts w:ascii="Arial" w:cs="Arial" w:eastAsia="Arial" w:hAnsi="Arial"/>
                <w:sz w:val="17"/>
                <w:szCs w:val="17"/>
                <w:b w:val="1"/>
                <w:bCs w:val="1"/>
                <w:color w:val="auto"/>
              </w:rPr>
              <w:t>Revenues</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r>
      <w:tr>
        <w:trPr>
          <w:trHeight w:val="218"/>
        </w:trPr>
        <w:tc>
          <w:tcPr>
            <w:tcW w:w="20" w:type="dxa"/>
            <w:vAlign w:val="bottom"/>
          </w:tcPr>
          <w:p>
            <w:pPr>
              <w:spacing w:after="0"/>
              <w:rPr>
                <w:sz w:val="18"/>
                <w:szCs w:val="18"/>
                <w:color w:val="auto"/>
              </w:rPr>
            </w:pPr>
          </w:p>
        </w:tc>
        <w:tc>
          <w:tcPr>
            <w:tcW w:w="8600" w:type="dxa"/>
            <w:vAlign w:val="bottom"/>
            <w:gridSpan w:val="2"/>
          </w:tcPr>
          <w:p>
            <w:pPr>
              <w:ind w:left="200"/>
              <w:spacing w:after="0"/>
              <w:rPr>
                <w:sz w:val="20"/>
                <w:szCs w:val="20"/>
                <w:color w:val="auto"/>
              </w:rPr>
            </w:pPr>
            <w:r>
              <w:rPr>
                <w:rFonts w:ascii="Arial" w:cs="Arial" w:eastAsia="Arial" w:hAnsi="Arial"/>
                <w:sz w:val="17"/>
                <w:szCs w:val="17"/>
                <w:color w:val="auto"/>
              </w:rPr>
              <w:t>Gaming</w:t>
            </w:r>
          </w:p>
        </w:tc>
        <w:tc>
          <w:tcPr>
            <w:tcW w:w="280" w:type="dxa"/>
            <w:vAlign w:val="bottom"/>
          </w:tcPr>
          <w:p>
            <w:pPr>
              <w:ind w:left="20"/>
              <w:spacing w:after="0"/>
              <w:rPr>
                <w:sz w:val="20"/>
                <w:szCs w:val="20"/>
                <w:color w:val="auto"/>
              </w:rPr>
            </w:pPr>
            <w:r>
              <w:rPr>
                <w:rFonts w:ascii="Arial" w:cs="Arial" w:eastAsia="Arial" w:hAnsi="Arial"/>
                <w:sz w:val="17"/>
                <w:szCs w:val="17"/>
                <w:color w:val="auto"/>
              </w:rPr>
              <w:t>$</w:t>
            </w:r>
          </w:p>
        </w:tc>
        <w:tc>
          <w:tcPr>
            <w:tcW w:w="980" w:type="dxa"/>
            <w:vAlign w:val="bottom"/>
          </w:tcPr>
          <w:p>
            <w:pPr>
              <w:jc w:val="right"/>
              <w:spacing w:after="0"/>
              <w:rPr>
                <w:sz w:val="20"/>
                <w:szCs w:val="20"/>
                <w:color w:val="auto"/>
              </w:rPr>
            </w:pPr>
            <w:r>
              <w:rPr>
                <w:rFonts w:ascii="Arial" w:cs="Arial" w:eastAsia="Arial" w:hAnsi="Arial"/>
                <w:sz w:val="17"/>
                <w:szCs w:val="17"/>
                <w:color w:val="auto"/>
              </w:rPr>
              <w:t>1,082.0</w:t>
            </w:r>
          </w:p>
        </w:tc>
        <w:tc>
          <w:tcPr>
            <w:tcW w:w="100" w:type="dxa"/>
            <w:vAlign w:val="bottom"/>
          </w:tcPr>
          <w:p>
            <w:pPr>
              <w:spacing w:after="0"/>
              <w:rPr>
                <w:sz w:val="18"/>
                <w:szCs w:val="18"/>
                <w:color w:val="auto"/>
              </w:rPr>
            </w:pPr>
          </w:p>
        </w:tc>
        <w:tc>
          <w:tcPr>
            <w:tcW w:w="280" w:type="dxa"/>
            <w:vAlign w:val="bottom"/>
          </w:tcPr>
          <w:p>
            <w:pPr>
              <w:jc w:val="right"/>
              <w:ind w:right="94"/>
              <w:spacing w:after="0"/>
              <w:rPr>
                <w:sz w:val="20"/>
                <w:szCs w:val="20"/>
                <w:color w:val="auto"/>
              </w:rPr>
            </w:pPr>
            <w:r>
              <w:rPr>
                <w:rFonts w:ascii="Arial" w:cs="Arial" w:eastAsia="Arial" w:hAnsi="Arial"/>
                <w:sz w:val="17"/>
                <w:szCs w:val="17"/>
                <w:color w:val="auto"/>
                <w:w w:val="84"/>
              </w:rPr>
              <w:t>$</w:t>
            </w:r>
          </w:p>
        </w:tc>
        <w:tc>
          <w:tcPr>
            <w:tcW w:w="980" w:type="dxa"/>
            <w:vAlign w:val="bottom"/>
          </w:tcPr>
          <w:p>
            <w:pPr>
              <w:jc w:val="right"/>
              <w:spacing w:after="0"/>
              <w:rPr>
                <w:sz w:val="20"/>
                <w:szCs w:val="20"/>
                <w:color w:val="auto"/>
              </w:rPr>
            </w:pPr>
            <w:r>
              <w:rPr>
                <w:rFonts w:ascii="Arial" w:cs="Arial" w:eastAsia="Arial" w:hAnsi="Arial"/>
                <w:sz w:val="17"/>
                <w:szCs w:val="17"/>
                <w:color w:val="auto"/>
              </w:rPr>
              <w:t>902.9</w:t>
            </w:r>
          </w:p>
        </w:tc>
      </w:tr>
      <w:tr>
        <w:trPr>
          <w:trHeight w:val="220"/>
        </w:trPr>
        <w:tc>
          <w:tcPr>
            <w:tcW w:w="20" w:type="dxa"/>
            <w:vAlign w:val="bottom"/>
            <w:shd w:val="clear" w:color="auto" w:fill="CCEEFF"/>
          </w:tcPr>
          <w:p>
            <w:pPr>
              <w:spacing w:after="0"/>
              <w:rPr>
                <w:sz w:val="19"/>
                <w:szCs w:val="19"/>
                <w:color w:val="auto"/>
              </w:rPr>
            </w:pPr>
          </w:p>
        </w:tc>
        <w:tc>
          <w:tcPr>
            <w:tcW w:w="8600" w:type="dxa"/>
            <w:vAlign w:val="bottom"/>
            <w:gridSpan w:val="2"/>
            <w:shd w:val="clear" w:color="auto" w:fill="CCEEFF"/>
          </w:tcPr>
          <w:p>
            <w:pPr>
              <w:ind w:left="200"/>
              <w:spacing w:after="0"/>
              <w:rPr>
                <w:sz w:val="20"/>
                <w:szCs w:val="20"/>
                <w:color w:val="auto"/>
              </w:rPr>
            </w:pPr>
            <w:r>
              <w:rPr>
                <w:rFonts w:ascii="Arial" w:cs="Arial" w:eastAsia="Arial" w:hAnsi="Arial"/>
                <w:sz w:val="17"/>
                <w:szCs w:val="17"/>
                <w:color w:val="auto"/>
              </w:rPr>
              <w:t>Food, beverage, hotel and other</w:t>
            </w: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192.9</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213.2</w:t>
            </w:r>
          </w:p>
        </w:tc>
      </w:tr>
      <w:tr>
        <w:trPr>
          <w:trHeight w:val="211"/>
        </w:trPr>
        <w:tc>
          <w:tcPr>
            <w:tcW w:w="20" w:type="dxa"/>
            <w:vAlign w:val="bottom"/>
            <w:tcBorders>
              <w:bottom w:val="single" w:sz="8" w:color="CCEEFF"/>
            </w:tcBorders>
          </w:tcPr>
          <w:p>
            <w:pPr>
              <w:spacing w:after="0"/>
              <w:rPr>
                <w:sz w:val="18"/>
                <w:szCs w:val="18"/>
                <w:color w:val="auto"/>
              </w:rPr>
            </w:pPr>
          </w:p>
        </w:tc>
        <w:tc>
          <w:tcPr>
            <w:tcW w:w="8600" w:type="dxa"/>
            <w:vAlign w:val="bottom"/>
            <w:tcBorders>
              <w:bottom w:val="single" w:sz="8" w:color="CCEEFF"/>
            </w:tcBorders>
            <w:gridSpan w:val="2"/>
          </w:tcPr>
          <w:p>
            <w:pPr>
              <w:ind w:left="420"/>
              <w:spacing w:after="0"/>
              <w:rPr>
                <w:sz w:val="20"/>
                <w:szCs w:val="20"/>
                <w:color w:val="auto"/>
              </w:rPr>
            </w:pPr>
            <w:r>
              <w:rPr>
                <w:rFonts w:ascii="Arial" w:cs="Arial" w:eastAsia="Arial" w:hAnsi="Arial"/>
                <w:sz w:val="17"/>
                <w:szCs w:val="17"/>
                <w:color w:val="auto"/>
              </w:rPr>
              <w:t>Total revenues</w:t>
            </w: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1,274.9</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1,116.1</w:t>
            </w:r>
          </w:p>
        </w:tc>
      </w:tr>
      <w:tr>
        <w:trPr>
          <w:trHeight w:val="213"/>
        </w:trPr>
        <w:tc>
          <w:tcPr>
            <w:tcW w:w="8620" w:type="dxa"/>
            <w:vAlign w:val="bottom"/>
            <w:gridSpan w:val="3"/>
            <w:shd w:val="clear" w:color="auto" w:fill="CCEEFF"/>
          </w:tcPr>
          <w:p>
            <w:pPr>
              <w:ind w:left="20"/>
              <w:spacing w:after="0"/>
              <w:rPr>
                <w:sz w:val="20"/>
                <w:szCs w:val="20"/>
                <w:color w:val="auto"/>
              </w:rPr>
            </w:pPr>
            <w:r>
              <w:rPr>
                <w:rFonts w:ascii="Arial" w:cs="Arial" w:eastAsia="Arial" w:hAnsi="Arial"/>
                <w:sz w:val="17"/>
                <w:szCs w:val="17"/>
                <w:b w:val="1"/>
                <w:bCs w:val="1"/>
                <w:color w:val="auto"/>
              </w:rPr>
              <w:t>Operating expenses</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r>
      <w:tr>
        <w:trPr>
          <w:trHeight w:val="218"/>
        </w:trPr>
        <w:tc>
          <w:tcPr>
            <w:tcW w:w="20" w:type="dxa"/>
            <w:vAlign w:val="bottom"/>
          </w:tcPr>
          <w:p>
            <w:pPr>
              <w:spacing w:after="0"/>
              <w:rPr>
                <w:sz w:val="18"/>
                <w:szCs w:val="18"/>
                <w:color w:val="auto"/>
              </w:rPr>
            </w:pPr>
          </w:p>
        </w:tc>
        <w:tc>
          <w:tcPr>
            <w:tcW w:w="8600" w:type="dxa"/>
            <w:vAlign w:val="bottom"/>
            <w:gridSpan w:val="2"/>
          </w:tcPr>
          <w:p>
            <w:pPr>
              <w:ind w:left="200"/>
              <w:spacing w:after="0"/>
              <w:rPr>
                <w:sz w:val="20"/>
                <w:szCs w:val="20"/>
                <w:color w:val="auto"/>
              </w:rPr>
            </w:pPr>
            <w:r>
              <w:rPr>
                <w:rFonts w:ascii="Arial" w:cs="Arial" w:eastAsia="Arial" w:hAnsi="Arial"/>
                <w:sz w:val="17"/>
                <w:szCs w:val="17"/>
                <w:color w:val="auto"/>
              </w:rPr>
              <w:t>Gaming</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527.8</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500.9</w:t>
            </w:r>
          </w:p>
        </w:tc>
      </w:tr>
      <w:tr>
        <w:trPr>
          <w:trHeight w:val="220"/>
        </w:trPr>
        <w:tc>
          <w:tcPr>
            <w:tcW w:w="20" w:type="dxa"/>
            <w:vAlign w:val="bottom"/>
            <w:shd w:val="clear" w:color="auto" w:fill="CCEEFF"/>
          </w:tcPr>
          <w:p>
            <w:pPr>
              <w:spacing w:after="0"/>
              <w:rPr>
                <w:sz w:val="19"/>
                <w:szCs w:val="19"/>
                <w:color w:val="auto"/>
              </w:rPr>
            </w:pPr>
          </w:p>
        </w:tc>
        <w:tc>
          <w:tcPr>
            <w:tcW w:w="8600" w:type="dxa"/>
            <w:vAlign w:val="bottom"/>
            <w:gridSpan w:val="2"/>
            <w:shd w:val="clear" w:color="auto" w:fill="CCEEFF"/>
          </w:tcPr>
          <w:p>
            <w:pPr>
              <w:ind w:left="200"/>
              <w:spacing w:after="0"/>
              <w:rPr>
                <w:sz w:val="20"/>
                <w:szCs w:val="20"/>
                <w:color w:val="auto"/>
              </w:rPr>
            </w:pPr>
            <w:r>
              <w:rPr>
                <w:rFonts w:ascii="Arial" w:cs="Arial" w:eastAsia="Arial" w:hAnsi="Arial"/>
                <w:sz w:val="17"/>
                <w:szCs w:val="17"/>
                <w:color w:val="auto"/>
              </w:rPr>
              <w:t>Food, beverage, hotel and other</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123.1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157.0</w:t>
            </w:r>
          </w:p>
        </w:tc>
      </w:tr>
      <w:tr>
        <w:trPr>
          <w:trHeight w:val="218"/>
        </w:trPr>
        <w:tc>
          <w:tcPr>
            <w:tcW w:w="20" w:type="dxa"/>
            <w:vAlign w:val="bottom"/>
          </w:tcPr>
          <w:p>
            <w:pPr>
              <w:spacing w:after="0"/>
              <w:rPr>
                <w:sz w:val="18"/>
                <w:szCs w:val="18"/>
                <w:color w:val="auto"/>
              </w:rPr>
            </w:pPr>
          </w:p>
        </w:tc>
        <w:tc>
          <w:tcPr>
            <w:tcW w:w="8600" w:type="dxa"/>
            <w:vAlign w:val="bottom"/>
            <w:gridSpan w:val="2"/>
          </w:tcPr>
          <w:p>
            <w:pPr>
              <w:ind w:left="200"/>
              <w:spacing w:after="0"/>
              <w:rPr>
                <w:sz w:val="20"/>
                <w:szCs w:val="20"/>
                <w:color w:val="auto"/>
              </w:rPr>
            </w:pPr>
            <w:r>
              <w:rPr>
                <w:rFonts w:ascii="Arial" w:cs="Arial" w:eastAsia="Arial" w:hAnsi="Arial"/>
                <w:sz w:val="17"/>
                <w:szCs w:val="17"/>
                <w:color w:val="auto"/>
              </w:rPr>
              <w:t>General and administrative</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326.2</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307.0</w:t>
            </w:r>
          </w:p>
        </w:tc>
      </w:tr>
      <w:tr>
        <w:trPr>
          <w:trHeight w:val="220"/>
        </w:trPr>
        <w:tc>
          <w:tcPr>
            <w:tcW w:w="20" w:type="dxa"/>
            <w:vAlign w:val="bottom"/>
            <w:shd w:val="clear" w:color="auto" w:fill="CCEEFF"/>
          </w:tcPr>
          <w:p>
            <w:pPr>
              <w:spacing w:after="0"/>
              <w:rPr>
                <w:sz w:val="19"/>
                <w:szCs w:val="19"/>
                <w:color w:val="auto"/>
              </w:rPr>
            </w:pPr>
          </w:p>
        </w:tc>
        <w:tc>
          <w:tcPr>
            <w:tcW w:w="8600" w:type="dxa"/>
            <w:vAlign w:val="bottom"/>
            <w:gridSpan w:val="2"/>
            <w:shd w:val="clear" w:color="auto" w:fill="CCEEFF"/>
          </w:tcPr>
          <w:p>
            <w:pPr>
              <w:ind w:left="200"/>
              <w:spacing w:after="0"/>
              <w:rPr>
                <w:sz w:val="20"/>
                <w:szCs w:val="20"/>
                <w:color w:val="auto"/>
              </w:rPr>
            </w:pPr>
            <w:r>
              <w:rPr>
                <w:rFonts w:ascii="Arial" w:cs="Arial" w:eastAsia="Arial" w:hAnsi="Arial"/>
                <w:sz w:val="17"/>
                <w:szCs w:val="17"/>
                <w:color w:val="auto"/>
              </w:rPr>
              <w:t>Depreciation and amortization</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81.3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95.7</w:t>
            </w:r>
          </w:p>
        </w:tc>
      </w:tr>
      <w:tr>
        <w:trPr>
          <w:trHeight w:val="218"/>
        </w:trPr>
        <w:tc>
          <w:tcPr>
            <w:tcW w:w="20" w:type="dxa"/>
            <w:vAlign w:val="bottom"/>
          </w:tcPr>
          <w:p>
            <w:pPr>
              <w:spacing w:after="0"/>
              <w:rPr>
                <w:sz w:val="18"/>
                <w:szCs w:val="18"/>
                <w:color w:val="auto"/>
              </w:rPr>
            </w:pPr>
          </w:p>
        </w:tc>
        <w:tc>
          <w:tcPr>
            <w:tcW w:w="8600" w:type="dxa"/>
            <w:vAlign w:val="bottom"/>
            <w:gridSpan w:val="2"/>
          </w:tcPr>
          <w:p>
            <w:pPr>
              <w:ind w:left="200"/>
              <w:spacing w:after="0"/>
              <w:rPr>
                <w:sz w:val="20"/>
                <w:szCs w:val="20"/>
                <w:color w:val="auto"/>
              </w:rPr>
            </w:pPr>
            <w:r>
              <w:rPr>
                <w:rFonts w:ascii="Arial" w:cs="Arial" w:eastAsia="Arial" w:hAnsi="Arial"/>
                <w:sz w:val="17"/>
                <w:szCs w:val="17"/>
                <w:color w:val="auto"/>
              </w:rPr>
              <w:t>Impairment losses</w:t>
            </w:r>
          </w:p>
        </w:tc>
        <w:tc>
          <w:tcPr>
            <w:tcW w:w="28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616.1</w:t>
            </w:r>
          </w:p>
        </w:tc>
      </w:tr>
      <w:tr>
        <w:trPr>
          <w:trHeight w:val="213"/>
        </w:trPr>
        <w:tc>
          <w:tcPr>
            <w:tcW w:w="20" w:type="dxa"/>
            <w:vAlign w:val="bottom"/>
            <w:tcBorders>
              <w:top w:val="single" w:sz="8" w:color="CCEEFF"/>
            </w:tcBorders>
            <w:shd w:val="clear" w:color="auto" w:fill="CCEEFF"/>
          </w:tcPr>
          <w:p>
            <w:pPr>
              <w:spacing w:after="0"/>
              <w:rPr>
                <w:sz w:val="18"/>
                <w:szCs w:val="18"/>
                <w:color w:val="auto"/>
              </w:rPr>
            </w:pPr>
          </w:p>
        </w:tc>
        <w:tc>
          <w:tcPr>
            <w:tcW w:w="8600" w:type="dxa"/>
            <w:vAlign w:val="bottom"/>
            <w:tcBorders>
              <w:top w:val="single" w:sz="8" w:color="CCEEFF"/>
            </w:tcBorders>
            <w:gridSpan w:val="2"/>
            <w:shd w:val="clear" w:color="auto" w:fill="CCEEFF"/>
          </w:tcPr>
          <w:p>
            <w:pPr>
              <w:ind w:left="420"/>
              <w:spacing w:after="0"/>
              <w:rPr>
                <w:sz w:val="20"/>
                <w:szCs w:val="20"/>
                <w:color w:val="auto"/>
              </w:rPr>
            </w:pPr>
            <w:r>
              <w:rPr>
                <w:rFonts w:ascii="Arial" w:cs="Arial" w:eastAsia="Arial" w:hAnsi="Arial"/>
                <w:sz w:val="17"/>
                <w:szCs w:val="17"/>
                <w:color w:val="auto"/>
              </w:rPr>
              <w:t>Total operating expenses</w:t>
            </w: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1,058.4</w:t>
            </w: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1,676.7</w:t>
            </w:r>
          </w:p>
        </w:tc>
      </w:tr>
      <w:tr>
        <w:trPr>
          <w:trHeight w:val="211"/>
        </w:trPr>
        <w:tc>
          <w:tcPr>
            <w:tcW w:w="8620" w:type="dxa"/>
            <w:vAlign w:val="bottom"/>
            <w:gridSpan w:val="3"/>
          </w:tcPr>
          <w:p>
            <w:pPr>
              <w:ind w:left="20"/>
              <w:spacing w:after="0"/>
              <w:rPr>
                <w:sz w:val="20"/>
                <w:szCs w:val="20"/>
                <w:color w:val="auto"/>
              </w:rPr>
            </w:pPr>
            <w:r>
              <w:rPr>
                <w:rFonts w:ascii="Arial" w:cs="Arial" w:eastAsia="Arial" w:hAnsi="Arial"/>
                <w:sz w:val="17"/>
                <w:szCs w:val="17"/>
                <w:color w:val="auto"/>
              </w:rPr>
              <w:t>Operating income (loss)</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216.5</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(560.6)</w:t>
            </w:r>
          </w:p>
        </w:tc>
      </w:tr>
      <w:tr>
        <w:trPr>
          <w:trHeight w:val="220"/>
        </w:trPr>
        <w:tc>
          <w:tcPr>
            <w:tcW w:w="8620" w:type="dxa"/>
            <w:vAlign w:val="bottom"/>
            <w:gridSpan w:val="3"/>
            <w:shd w:val="clear" w:color="auto" w:fill="CCEEFF"/>
          </w:tcPr>
          <w:p>
            <w:pPr>
              <w:ind w:left="20"/>
              <w:spacing w:after="0"/>
              <w:rPr>
                <w:sz w:val="20"/>
                <w:szCs w:val="20"/>
                <w:color w:val="auto"/>
              </w:rPr>
            </w:pPr>
            <w:r>
              <w:rPr>
                <w:rFonts w:ascii="Arial" w:cs="Arial" w:eastAsia="Arial" w:hAnsi="Arial"/>
                <w:sz w:val="17"/>
                <w:szCs w:val="17"/>
                <w:b w:val="1"/>
                <w:bCs w:val="1"/>
                <w:color w:val="auto"/>
              </w:rPr>
              <w:t>Other income (expenses)</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218"/>
        </w:trPr>
        <w:tc>
          <w:tcPr>
            <w:tcW w:w="20" w:type="dxa"/>
            <w:vAlign w:val="bottom"/>
          </w:tcPr>
          <w:p>
            <w:pPr>
              <w:spacing w:after="0"/>
              <w:rPr>
                <w:sz w:val="18"/>
                <w:szCs w:val="18"/>
                <w:color w:val="auto"/>
              </w:rPr>
            </w:pPr>
          </w:p>
        </w:tc>
        <w:tc>
          <w:tcPr>
            <w:tcW w:w="8600" w:type="dxa"/>
            <w:vAlign w:val="bottom"/>
            <w:gridSpan w:val="2"/>
          </w:tcPr>
          <w:p>
            <w:pPr>
              <w:ind w:left="200"/>
              <w:spacing w:after="0"/>
              <w:rPr>
                <w:sz w:val="20"/>
                <w:szCs w:val="20"/>
                <w:color w:val="auto"/>
              </w:rPr>
            </w:pPr>
            <w:r>
              <w:rPr>
                <w:rFonts w:ascii="Arial" w:cs="Arial" w:eastAsia="Arial" w:hAnsi="Arial"/>
                <w:sz w:val="17"/>
                <w:szCs w:val="17"/>
                <w:color w:val="auto"/>
              </w:rPr>
              <w:t>Interest expense, net</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(135.7)</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(129.8)</w:t>
            </w:r>
          </w:p>
        </w:tc>
      </w:tr>
      <w:tr>
        <w:trPr>
          <w:trHeight w:val="220"/>
        </w:trPr>
        <w:tc>
          <w:tcPr>
            <w:tcW w:w="20" w:type="dxa"/>
            <w:vAlign w:val="bottom"/>
            <w:shd w:val="clear" w:color="auto" w:fill="CCEEFF"/>
          </w:tcPr>
          <w:p>
            <w:pPr>
              <w:spacing w:after="0"/>
              <w:rPr>
                <w:sz w:val="19"/>
                <w:szCs w:val="19"/>
                <w:color w:val="auto"/>
              </w:rPr>
            </w:pPr>
          </w:p>
        </w:tc>
        <w:tc>
          <w:tcPr>
            <w:tcW w:w="8600" w:type="dxa"/>
            <w:vAlign w:val="bottom"/>
            <w:gridSpan w:val="2"/>
            <w:shd w:val="clear" w:color="auto" w:fill="CCEEFF"/>
          </w:tcPr>
          <w:p>
            <w:pPr>
              <w:ind w:left="200"/>
              <w:spacing w:after="0"/>
              <w:rPr>
                <w:sz w:val="20"/>
                <w:szCs w:val="20"/>
                <w:color w:val="auto"/>
              </w:rPr>
            </w:pPr>
            <w:r>
              <w:rPr>
                <w:rFonts w:ascii="Arial" w:cs="Arial" w:eastAsia="Arial" w:hAnsi="Arial"/>
                <w:sz w:val="17"/>
                <w:szCs w:val="17"/>
                <w:color w:val="auto"/>
              </w:rPr>
              <w:t>Income from unconsolidated affiliates</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4.1</w:t>
            </w:r>
          </w:p>
        </w:tc>
      </w:tr>
      <w:tr>
        <w:trPr>
          <w:trHeight w:val="218"/>
        </w:trPr>
        <w:tc>
          <w:tcPr>
            <w:tcW w:w="20" w:type="dxa"/>
            <w:vAlign w:val="bottom"/>
            <w:tcBorders>
              <w:bottom w:val="single" w:sz="8" w:color="CCEEFF"/>
            </w:tcBorders>
          </w:tcPr>
          <w:p>
            <w:pPr>
              <w:spacing w:after="0"/>
              <w:rPr>
                <w:sz w:val="18"/>
                <w:szCs w:val="18"/>
                <w:color w:val="auto"/>
              </w:rPr>
            </w:pPr>
          </w:p>
        </w:tc>
        <w:tc>
          <w:tcPr>
            <w:tcW w:w="8600" w:type="dxa"/>
            <w:vAlign w:val="bottom"/>
            <w:tcBorders>
              <w:bottom w:val="single" w:sz="8" w:color="CCEEFF"/>
            </w:tcBorders>
            <w:gridSpan w:val="2"/>
          </w:tcPr>
          <w:p>
            <w:pPr>
              <w:ind w:left="200"/>
              <w:spacing w:after="0"/>
              <w:rPr>
                <w:sz w:val="20"/>
                <w:szCs w:val="20"/>
                <w:color w:val="auto"/>
              </w:rPr>
            </w:pPr>
            <w:r>
              <w:rPr>
                <w:rFonts w:ascii="Arial" w:cs="Arial" w:eastAsia="Arial" w:hAnsi="Arial"/>
                <w:sz w:val="17"/>
                <w:szCs w:val="17"/>
                <w:color w:val="auto"/>
              </w:rPr>
              <w:t>Other</w:t>
            </w: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21.1</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(21.8)</w:t>
            </w:r>
          </w:p>
        </w:tc>
      </w:tr>
      <w:tr>
        <w:trPr>
          <w:trHeight w:val="213"/>
        </w:trPr>
        <w:tc>
          <w:tcPr>
            <w:tcW w:w="20" w:type="dxa"/>
            <w:vAlign w:val="bottom"/>
            <w:shd w:val="clear" w:color="auto" w:fill="CCEEFF"/>
          </w:tcPr>
          <w:p>
            <w:pPr>
              <w:spacing w:after="0"/>
              <w:rPr>
                <w:sz w:val="18"/>
                <w:szCs w:val="18"/>
                <w:color w:val="auto"/>
              </w:rPr>
            </w:pPr>
          </w:p>
        </w:tc>
        <w:tc>
          <w:tcPr>
            <w:tcW w:w="8600" w:type="dxa"/>
            <w:vAlign w:val="bottom"/>
            <w:gridSpan w:val="2"/>
            <w:shd w:val="clear" w:color="auto" w:fill="CCEEFF"/>
          </w:tcPr>
          <w:p>
            <w:pPr>
              <w:ind w:left="420"/>
              <w:spacing w:after="0"/>
              <w:rPr>
                <w:sz w:val="20"/>
                <w:szCs w:val="20"/>
                <w:color w:val="auto"/>
              </w:rPr>
            </w:pPr>
            <w:r>
              <w:rPr>
                <w:rFonts w:ascii="Arial" w:cs="Arial" w:eastAsia="Arial" w:hAnsi="Arial"/>
                <w:sz w:val="17"/>
                <w:szCs w:val="17"/>
                <w:color w:val="auto"/>
              </w:rPr>
              <w:t>Total other expenses</w:t>
            </w:r>
          </w:p>
        </w:tc>
        <w:tc>
          <w:tcPr>
            <w:tcW w:w="2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(105.0)</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(147.5)</w:t>
            </w:r>
          </w:p>
        </w:tc>
      </w:tr>
      <w:tr>
        <w:trPr>
          <w:trHeight w:val="211"/>
        </w:trPr>
        <w:tc>
          <w:tcPr>
            <w:tcW w:w="8620" w:type="dxa"/>
            <w:vAlign w:val="bottom"/>
            <w:gridSpan w:val="3"/>
          </w:tcPr>
          <w:p>
            <w:pPr>
              <w:ind w:left="20"/>
              <w:spacing w:after="0"/>
              <w:rPr>
                <w:sz w:val="20"/>
                <w:szCs w:val="20"/>
                <w:color w:val="auto"/>
              </w:rPr>
            </w:pPr>
            <w:r>
              <w:rPr>
                <w:rFonts w:ascii="Arial" w:cs="Arial" w:eastAsia="Arial" w:hAnsi="Arial"/>
                <w:sz w:val="17"/>
                <w:szCs w:val="17"/>
                <w:b w:val="1"/>
                <w:bCs w:val="1"/>
                <w:color w:val="auto"/>
              </w:rPr>
              <w:t>Income (loss) before income taxes</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111.5</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(708.1)</w:t>
            </w:r>
          </w:p>
        </w:tc>
      </w:tr>
      <w:tr>
        <w:trPr>
          <w:trHeight w:val="220"/>
        </w:trPr>
        <w:tc>
          <w:tcPr>
            <w:tcW w:w="8620" w:type="dxa"/>
            <w:vAlign w:val="bottom"/>
            <w:gridSpan w:val="3"/>
            <w:shd w:val="clear" w:color="auto" w:fill="CCEEFF"/>
          </w:tcPr>
          <w:p>
            <w:pPr>
              <w:ind w:left="20"/>
              <w:spacing w:after="0"/>
              <w:rPr>
                <w:sz w:val="20"/>
                <w:szCs w:val="20"/>
                <w:color w:val="auto"/>
              </w:rPr>
            </w:pPr>
            <w:r>
              <w:rPr>
                <w:rFonts w:ascii="Arial" w:cs="Arial" w:eastAsia="Arial" w:hAnsi="Arial"/>
                <w:sz w:val="17"/>
                <w:szCs w:val="17"/>
                <w:color w:val="auto"/>
              </w:rPr>
              <w:t>Income tax benefit (expense)</w:t>
            </w: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(20.6)</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99.5</w:t>
            </w:r>
          </w:p>
        </w:tc>
      </w:tr>
      <w:tr>
        <w:trPr>
          <w:trHeight w:val="211"/>
        </w:trPr>
        <w:tc>
          <w:tcPr>
            <w:tcW w:w="8620" w:type="dxa"/>
            <w:vAlign w:val="bottom"/>
            <w:gridSpan w:val="3"/>
          </w:tcPr>
          <w:p>
            <w:pPr>
              <w:ind w:left="20"/>
              <w:spacing w:after="0"/>
              <w:rPr>
                <w:sz w:val="20"/>
                <w:szCs w:val="20"/>
                <w:color w:val="auto"/>
              </w:rPr>
            </w:pPr>
            <w:r>
              <w:rPr>
                <w:rFonts w:ascii="Arial" w:cs="Arial" w:eastAsia="Arial" w:hAnsi="Arial"/>
                <w:sz w:val="17"/>
                <w:szCs w:val="17"/>
                <w:b w:val="1"/>
                <w:bCs w:val="1"/>
                <w:color w:val="auto"/>
              </w:rPr>
              <w:t>Net income (loss)</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90.9</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(608.6)</w:t>
            </w:r>
          </w:p>
        </w:tc>
      </w:tr>
      <w:tr>
        <w:trPr>
          <w:trHeight w:val="219"/>
        </w:trPr>
        <w:tc>
          <w:tcPr>
            <w:tcW w:w="8620" w:type="dxa"/>
            <w:vAlign w:val="bottom"/>
            <w:gridSpan w:val="3"/>
            <w:shd w:val="clear" w:color="auto" w:fill="CCEEFF"/>
          </w:tcPr>
          <w:p>
            <w:pPr>
              <w:ind w:left="20"/>
              <w:spacing w:after="0"/>
              <w:rPr>
                <w:sz w:val="20"/>
                <w:szCs w:val="20"/>
                <w:color w:val="auto"/>
              </w:rPr>
            </w:pPr>
            <w:r>
              <w:rPr>
                <w:rFonts w:ascii="Arial" w:cs="Arial" w:eastAsia="Arial" w:hAnsi="Arial"/>
                <w:sz w:val="17"/>
                <w:szCs w:val="17"/>
                <w:color w:val="auto"/>
              </w:rPr>
              <w:t>Less: Net loss attributable to non-controlling interest</w:t>
            </w: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0.1</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13"/>
        </w:trPr>
        <w:tc>
          <w:tcPr>
            <w:tcW w:w="8620" w:type="dxa"/>
            <w:vAlign w:val="bottom"/>
            <w:gridSpan w:val="3"/>
          </w:tcPr>
          <w:p>
            <w:pPr>
              <w:ind w:left="20"/>
              <w:spacing w:after="0"/>
              <w:rPr>
                <w:sz w:val="20"/>
                <w:szCs w:val="20"/>
                <w:color w:val="auto"/>
              </w:rPr>
            </w:pPr>
            <w:r>
              <w:rPr>
                <w:rFonts w:ascii="Arial" w:cs="Arial" w:eastAsia="Arial" w:hAnsi="Arial"/>
                <w:sz w:val="17"/>
                <w:szCs w:val="17"/>
                <w:b w:val="1"/>
                <w:bCs w:val="1"/>
                <w:color w:val="auto"/>
              </w:rPr>
              <w:t>Net income (loss) attributable to Penn National</w:t>
            </w:r>
          </w:p>
        </w:tc>
        <w:tc>
          <w:tcPr>
            <w:tcW w:w="28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91.0</w:t>
            </w:r>
          </w:p>
        </w:tc>
        <w:tc>
          <w:tcPr>
            <w:tcW w:w="100" w:type="dxa"/>
            <w:vAlign w:val="bottom"/>
          </w:tcPr>
          <w:p>
            <w:pPr>
              <w:spacing w:after="0"/>
              <w:rPr>
                <w:sz w:val="18"/>
                <w:szCs w:val="18"/>
                <w:color w:val="auto"/>
              </w:rPr>
            </w:pPr>
          </w:p>
        </w:tc>
        <w:tc>
          <w:tcPr>
            <w:tcW w:w="280" w:type="dxa"/>
            <w:vAlign w:val="bottom"/>
            <w:tcBorders>
              <w:bottom w:val="single" w:sz="8" w:color="auto"/>
            </w:tcBorders>
          </w:tcPr>
          <w:p>
            <w:pPr>
              <w:jc w:val="right"/>
              <w:ind w:right="94"/>
              <w:spacing w:after="0"/>
              <w:rPr>
                <w:sz w:val="20"/>
                <w:szCs w:val="20"/>
                <w:color w:val="auto"/>
              </w:rPr>
            </w:pPr>
            <w:r>
              <w:rPr>
                <w:rFonts w:ascii="Arial" w:cs="Arial" w:eastAsia="Arial" w:hAnsi="Arial"/>
                <w:sz w:val="17"/>
                <w:szCs w:val="17"/>
                <w:color w:val="auto"/>
                <w:w w:val="84"/>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(608.6)</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960" w:type="dxa"/>
            <w:vAlign w:val="bottom"/>
            <w:tcBorders>
              <w:bottom w:val="single" w:sz="8" w:color="CCEEFF"/>
            </w:tcBorders>
          </w:tcPr>
          <w:p>
            <w:pPr>
              <w:spacing w:after="0" w:line="20" w:lineRule="exact"/>
              <w:rPr>
                <w:sz w:val="1"/>
                <w:szCs w:val="1"/>
                <w:color w:val="auto"/>
              </w:rPr>
            </w:pPr>
          </w:p>
        </w:tc>
        <w:tc>
          <w:tcPr>
            <w:tcW w:w="66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224"/>
        </w:trPr>
        <w:tc>
          <w:tcPr>
            <w:tcW w:w="20" w:type="dxa"/>
            <w:vAlign w:val="bottom"/>
            <w:shd w:val="clear" w:color="auto" w:fill="CCEEFF"/>
          </w:tcPr>
          <w:p>
            <w:pPr>
              <w:spacing w:after="0"/>
              <w:rPr>
                <w:sz w:val="19"/>
                <w:szCs w:val="19"/>
                <w:color w:val="auto"/>
              </w:rPr>
            </w:pPr>
          </w:p>
        </w:tc>
        <w:tc>
          <w:tcPr>
            <w:tcW w:w="1960" w:type="dxa"/>
            <w:vAlign w:val="bottom"/>
            <w:shd w:val="clear" w:color="auto" w:fill="CCEEFF"/>
          </w:tcPr>
          <w:p>
            <w:pPr>
              <w:spacing w:after="0"/>
              <w:rPr>
                <w:sz w:val="19"/>
                <w:szCs w:val="19"/>
                <w:color w:val="auto"/>
              </w:rPr>
            </w:pPr>
          </w:p>
        </w:tc>
        <w:tc>
          <w:tcPr>
            <w:tcW w:w="66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219"/>
        </w:trPr>
        <w:tc>
          <w:tcPr>
            <w:tcW w:w="8620" w:type="dxa"/>
            <w:vAlign w:val="bottom"/>
            <w:gridSpan w:val="3"/>
          </w:tcPr>
          <w:p>
            <w:pPr>
              <w:ind w:left="20"/>
              <w:spacing w:after="0"/>
              <w:rPr>
                <w:sz w:val="20"/>
                <w:szCs w:val="20"/>
                <w:color w:val="auto"/>
              </w:rPr>
            </w:pPr>
            <w:r>
              <w:rPr>
                <w:rFonts w:ascii="Arial" w:cs="Arial" w:eastAsia="Arial" w:hAnsi="Arial"/>
                <w:sz w:val="17"/>
                <w:szCs w:val="17"/>
                <w:b w:val="1"/>
                <w:bCs w:val="1"/>
                <w:color w:val="auto"/>
              </w:rPr>
              <w:t>Comprehensive income (loss)</w:t>
            </w:r>
          </w:p>
        </w:tc>
        <w:tc>
          <w:tcPr>
            <w:tcW w:w="280" w:type="dxa"/>
            <w:vAlign w:val="bottom"/>
          </w:tcPr>
          <w:p>
            <w:pPr>
              <w:ind w:left="20"/>
              <w:spacing w:after="0"/>
              <w:rPr>
                <w:sz w:val="20"/>
                <w:szCs w:val="20"/>
                <w:color w:val="auto"/>
              </w:rPr>
            </w:pPr>
            <w:r>
              <w:rPr>
                <w:rFonts w:ascii="Arial" w:cs="Arial" w:eastAsia="Arial" w:hAnsi="Arial"/>
                <w:sz w:val="17"/>
                <w:szCs w:val="17"/>
                <w:color w:val="auto"/>
              </w:rPr>
              <w:t>$</w:t>
            </w:r>
          </w:p>
        </w:tc>
        <w:tc>
          <w:tcPr>
            <w:tcW w:w="980" w:type="dxa"/>
            <w:vAlign w:val="bottom"/>
          </w:tcPr>
          <w:p>
            <w:pPr>
              <w:jc w:val="right"/>
              <w:spacing w:after="0"/>
              <w:rPr>
                <w:sz w:val="20"/>
                <w:szCs w:val="20"/>
                <w:color w:val="auto"/>
              </w:rPr>
            </w:pPr>
            <w:r>
              <w:rPr>
                <w:rFonts w:ascii="Arial" w:cs="Arial" w:eastAsia="Arial" w:hAnsi="Arial"/>
                <w:sz w:val="17"/>
                <w:szCs w:val="17"/>
                <w:color w:val="auto"/>
              </w:rPr>
              <w:t>90.9</w:t>
            </w:r>
          </w:p>
        </w:tc>
        <w:tc>
          <w:tcPr>
            <w:tcW w:w="100" w:type="dxa"/>
            <w:vAlign w:val="bottom"/>
          </w:tcPr>
          <w:p>
            <w:pPr>
              <w:spacing w:after="0"/>
              <w:rPr>
                <w:sz w:val="19"/>
                <w:szCs w:val="19"/>
                <w:color w:val="auto"/>
              </w:rPr>
            </w:pPr>
          </w:p>
        </w:tc>
        <w:tc>
          <w:tcPr>
            <w:tcW w:w="280" w:type="dxa"/>
            <w:vAlign w:val="bottom"/>
          </w:tcPr>
          <w:p>
            <w:pPr>
              <w:jc w:val="right"/>
              <w:ind w:right="94"/>
              <w:spacing w:after="0"/>
              <w:rPr>
                <w:sz w:val="20"/>
                <w:szCs w:val="20"/>
                <w:color w:val="auto"/>
              </w:rPr>
            </w:pPr>
            <w:r>
              <w:rPr>
                <w:rFonts w:ascii="Arial" w:cs="Arial" w:eastAsia="Arial" w:hAnsi="Arial"/>
                <w:sz w:val="17"/>
                <w:szCs w:val="17"/>
                <w:color w:val="auto"/>
                <w:w w:val="84"/>
              </w:rPr>
              <w:t>$</w:t>
            </w:r>
          </w:p>
        </w:tc>
        <w:tc>
          <w:tcPr>
            <w:tcW w:w="980" w:type="dxa"/>
            <w:vAlign w:val="bottom"/>
          </w:tcPr>
          <w:p>
            <w:pPr>
              <w:jc w:val="right"/>
              <w:spacing w:after="0"/>
              <w:rPr>
                <w:sz w:val="20"/>
                <w:szCs w:val="20"/>
                <w:color w:val="auto"/>
              </w:rPr>
            </w:pPr>
            <w:r>
              <w:rPr>
                <w:rFonts w:ascii="Arial" w:cs="Arial" w:eastAsia="Arial" w:hAnsi="Arial"/>
                <w:sz w:val="17"/>
                <w:szCs w:val="17"/>
                <w:color w:val="auto"/>
              </w:rPr>
              <w:t>(608.6)</w:t>
            </w:r>
          </w:p>
        </w:tc>
      </w:tr>
      <w:tr>
        <w:trPr>
          <w:trHeight w:val="218"/>
        </w:trPr>
        <w:tc>
          <w:tcPr>
            <w:tcW w:w="8620" w:type="dxa"/>
            <w:vAlign w:val="bottom"/>
            <w:gridSpan w:val="3"/>
            <w:shd w:val="clear" w:color="auto" w:fill="CCEEFF"/>
          </w:tcPr>
          <w:p>
            <w:pPr>
              <w:ind w:left="20"/>
              <w:spacing w:after="0"/>
              <w:rPr>
                <w:sz w:val="20"/>
                <w:szCs w:val="20"/>
                <w:color w:val="auto"/>
              </w:rPr>
            </w:pPr>
            <w:r>
              <w:rPr>
                <w:rFonts w:ascii="Arial" w:cs="Arial" w:eastAsia="Arial" w:hAnsi="Arial"/>
                <w:sz w:val="17"/>
                <w:szCs w:val="17"/>
                <w:color w:val="auto"/>
              </w:rPr>
              <w:t>Less: Comprehensive loss attributable to non-controlling interest</w:t>
            </w:r>
          </w:p>
        </w:tc>
        <w:tc>
          <w:tcPr>
            <w:tcW w:w="2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0.1</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13"/>
        </w:trPr>
        <w:tc>
          <w:tcPr>
            <w:tcW w:w="8620" w:type="dxa"/>
            <w:vAlign w:val="bottom"/>
            <w:gridSpan w:val="3"/>
          </w:tcPr>
          <w:p>
            <w:pPr>
              <w:ind w:left="20"/>
              <w:spacing w:after="0"/>
              <w:rPr>
                <w:sz w:val="20"/>
                <w:szCs w:val="20"/>
                <w:color w:val="auto"/>
              </w:rPr>
            </w:pPr>
            <w:r>
              <w:rPr>
                <w:rFonts w:ascii="Arial" w:cs="Arial" w:eastAsia="Arial" w:hAnsi="Arial"/>
                <w:sz w:val="17"/>
                <w:szCs w:val="17"/>
                <w:b w:val="1"/>
                <w:bCs w:val="1"/>
                <w:color w:val="auto"/>
              </w:rPr>
              <w:t>Comprehensive income (loss) attributable to Penn National</w:t>
            </w:r>
          </w:p>
        </w:tc>
        <w:tc>
          <w:tcPr>
            <w:tcW w:w="28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91.0</w:t>
            </w:r>
          </w:p>
        </w:tc>
        <w:tc>
          <w:tcPr>
            <w:tcW w:w="100" w:type="dxa"/>
            <w:vAlign w:val="bottom"/>
          </w:tcPr>
          <w:p>
            <w:pPr>
              <w:spacing w:after="0"/>
              <w:rPr>
                <w:sz w:val="18"/>
                <w:szCs w:val="18"/>
                <w:color w:val="auto"/>
              </w:rPr>
            </w:pPr>
          </w:p>
        </w:tc>
        <w:tc>
          <w:tcPr>
            <w:tcW w:w="280" w:type="dxa"/>
            <w:vAlign w:val="bottom"/>
            <w:tcBorders>
              <w:bottom w:val="single" w:sz="8" w:color="auto"/>
            </w:tcBorders>
          </w:tcPr>
          <w:p>
            <w:pPr>
              <w:jc w:val="right"/>
              <w:ind w:right="94"/>
              <w:spacing w:after="0"/>
              <w:rPr>
                <w:sz w:val="20"/>
                <w:szCs w:val="20"/>
                <w:color w:val="auto"/>
              </w:rPr>
            </w:pPr>
            <w:r>
              <w:rPr>
                <w:rFonts w:ascii="Arial" w:cs="Arial" w:eastAsia="Arial" w:hAnsi="Arial"/>
                <w:sz w:val="17"/>
                <w:szCs w:val="17"/>
                <w:color w:val="auto"/>
                <w:w w:val="84"/>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(608.6)</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960" w:type="dxa"/>
            <w:vAlign w:val="bottom"/>
            <w:tcBorders>
              <w:bottom w:val="single" w:sz="8" w:color="CCEEFF"/>
            </w:tcBorders>
          </w:tcPr>
          <w:p>
            <w:pPr>
              <w:spacing w:after="0" w:line="20" w:lineRule="exact"/>
              <w:rPr>
                <w:sz w:val="1"/>
                <w:szCs w:val="1"/>
                <w:color w:val="auto"/>
              </w:rPr>
            </w:pPr>
          </w:p>
        </w:tc>
        <w:tc>
          <w:tcPr>
            <w:tcW w:w="66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224"/>
        </w:trPr>
        <w:tc>
          <w:tcPr>
            <w:tcW w:w="20" w:type="dxa"/>
            <w:vAlign w:val="bottom"/>
            <w:shd w:val="clear" w:color="auto" w:fill="CCEEFF"/>
          </w:tcPr>
          <w:p>
            <w:pPr>
              <w:spacing w:after="0"/>
              <w:rPr>
                <w:sz w:val="19"/>
                <w:szCs w:val="19"/>
                <w:color w:val="auto"/>
              </w:rPr>
            </w:pPr>
          </w:p>
        </w:tc>
        <w:tc>
          <w:tcPr>
            <w:tcW w:w="1960" w:type="dxa"/>
            <w:vAlign w:val="bottom"/>
            <w:shd w:val="clear" w:color="auto" w:fill="CCEEFF"/>
          </w:tcPr>
          <w:p>
            <w:pPr>
              <w:spacing w:after="0"/>
              <w:rPr>
                <w:sz w:val="19"/>
                <w:szCs w:val="19"/>
                <w:color w:val="auto"/>
              </w:rPr>
            </w:pPr>
          </w:p>
        </w:tc>
        <w:tc>
          <w:tcPr>
            <w:tcW w:w="66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219"/>
        </w:trPr>
        <w:tc>
          <w:tcPr>
            <w:tcW w:w="8620" w:type="dxa"/>
            <w:vAlign w:val="bottom"/>
            <w:gridSpan w:val="3"/>
          </w:tcPr>
          <w:p>
            <w:pPr>
              <w:ind w:left="20"/>
              <w:spacing w:after="0"/>
              <w:rPr>
                <w:sz w:val="20"/>
                <w:szCs w:val="20"/>
                <w:color w:val="auto"/>
              </w:rPr>
            </w:pPr>
            <w:r>
              <w:rPr>
                <w:rFonts w:ascii="Arial" w:cs="Arial" w:eastAsia="Arial" w:hAnsi="Arial"/>
                <w:sz w:val="17"/>
                <w:szCs w:val="17"/>
                <w:b w:val="1"/>
                <w:bCs w:val="1"/>
                <w:color w:val="auto"/>
              </w:rPr>
              <w:t>Earnings (loss) per share:</w:t>
            </w: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19"/>
        </w:trPr>
        <w:tc>
          <w:tcPr>
            <w:tcW w:w="20" w:type="dxa"/>
            <w:vAlign w:val="bottom"/>
            <w:shd w:val="clear" w:color="auto" w:fill="CCEEFF"/>
          </w:tcPr>
          <w:p>
            <w:pPr>
              <w:spacing w:after="0"/>
              <w:rPr>
                <w:sz w:val="19"/>
                <w:szCs w:val="19"/>
                <w:color w:val="auto"/>
              </w:rPr>
            </w:pPr>
          </w:p>
        </w:tc>
        <w:tc>
          <w:tcPr>
            <w:tcW w:w="8600" w:type="dxa"/>
            <w:vAlign w:val="bottom"/>
            <w:gridSpan w:val="2"/>
            <w:shd w:val="clear" w:color="auto" w:fill="CCEEFF"/>
          </w:tcPr>
          <w:p>
            <w:pPr>
              <w:ind w:left="200"/>
              <w:spacing w:after="0"/>
              <w:rPr>
                <w:sz w:val="20"/>
                <w:szCs w:val="20"/>
                <w:color w:val="auto"/>
              </w:rPr>
            </w:pPr>
            <w:r>
              <w:rPr>
                <w:rFonts w:ascii="Arial" w:cs="Arial" w:eastAsia="Arial" w:hAnsi="Arial"/>
                <w:sz w:val="17"/>
                <w:szCs w:val="17"/>
                <w:color w:val="auto"/>
              </w:rPr>
              <w:t>Basic earnings (loss) per share</w:t>
            </w:r>
          </w:p>
        </w:tc>
        <w:tc>
          <w:tcPr>
            <w:tcW w:w="280" w:type="dxa"/>
            <w:vAlign w:val="bottom"/>
            <w:shd w:val="clear" w:color="auto" w:fill="CCEEFF"/>
          </w:tcPr>
          <w:p>
            <w:pPr>
              <w:ind w:left="20"/>
              <w:spacing w:after="0"/>
              <w:rPr>
                <w:sz w:val="20"/>
                <w:szCs w:val="20"/>
                <w:color w:val="auto"/>
              </w:rPr>
            </w:pPr>
            <w:r>
              <w:rPr>
                <w:rFonts w:ascii="Arial" w:cs="Arial" w:eastAsia="Arial" w:hAnsi="Arial"/>
                <w:sz w:val="17"/>
                <w:szCs w:val="17"/>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0.58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4"/>
              <w:spacing w:after="0"/>
              <w:rPr>
                <w:sz w:val="20"/>
                <w:szCs w:val="20"/>
                <w:color w:val="auto"/>
              </w:rPr>
            </w:pPr>
            <w:r>
              <w:rPr>
                <w:rFonts w:ascii="Arial" w:cs="Arial" w:eastAsia="Arial" w:hAnsi="Arial"/>
                <w:sz w:val="17"/>
                <w:szCs w:val="17"/>
                <w:color w:val="auto"/>
                <w:w w:val="84"/>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(5.26)</w:t>
            </w:r>
          </w:p>
        </w:tc>
      </w:tr>
      <w:tr>
        <w:trPr>
          <w:trHeight w:val="218"/>
        </w:trPr>
        <w:tc>
          <w:tcPr>
            <w:tcW w:w="20" w:type="dxa"/>
            <w:vAlign w:val="bottom"/>
          </w:tcPr>
          <w:p>
            <w:pPr>
              <w:spacing w:after="0"/>
              <w:rPr>
                <w:sz w:val="18"/>
                <w:szCs w:val="18"/>
                <w:color w:val="auto"/>
              </w:rPr>
            </w:pPr>
          </w:p>
        </w:tc>
        <w:tc>
          <w:tcPr>
            <w:tcW w:w="8600" w:type="dxa"/>
            <w:vAlign w:val="bottom"/>
            <w:gridSpan w:val="2"/>
          </w:tcPr>
          <w:p>
            <w:pPr>
              <w:ind w:left="200"/>
              <w:spacing w:after="0"/>
              <w:rPr>
                <w:sz w:val="20"/>
                <w:szCs w:val="20"/>
                <w:color w:val="auto"/>
              </w:rPr>
            </w:pPr>
            <w:r>
              <w:rPr>
                <w:rFonts w:ascii="Arial" w:cs="Arial" w:eastAsia="Arial" w:hAnsi="Arial"/>
                <w:sz w:val="17"/>
                <w:szCs w:val="17"/>
                <w:color w:val="auto"/>
              </w:rPr>
              <w:t>Diluted earnings (loss) per share</w:t>
            </w:r>
          </w:p>
        </w:tc>
        <w:tc>
          <w:tcPr>
            <w:tcW w:w="280" w:type="dxa"/>
            <w:vAlign w:val="bottom"/>
          </w:tcPr>
          <w:p>
            <w:pPr>
              <w:ind w:left="20"/>
              <w:spacing w:after="0"/>
              <w:rPr>
                <w:sz w:val="20"/>
                <w:szCs w:val="20"/>
                <w:color w:val="auto"/>
              </w:rPr>
            </w:pPr>
            <w:r>
              <w:rPr>
                <w:rFonts w:ascii="Arial" w:cs="Arial" w:eastAsia="Arial" w:hAnsi="Arial"/>
                <w:sz w:val="17"/>
                <w:szCs w:val="17"/>
                <w:color w:val="auto"/>
              </w:rPr>
              <w:t>$</w:t>
            </w:r>
          </w:p>
        </w:tc>
        <w:tc>
          <w:tcPr>
            <w:tcW w:w="980" w:type="dxa"/>
            <w:vAlign w:val="bottom"/>
          </w:tcPr>
          <w:p>
            <w:pPr>
              <w:jc w:val="right"/>
              <w:spacing w:after="0"/>
              <w:rPr>
                <w:sz w:val="20"/>
                <w:szCs w:val="20"/>
                <w:color w:val="auto"/>
              </w:rPr>
            </w:pPr>
            <w:r>
              <w:rPr>
                <w:rFonts w:ascii="Arial" w:cs="Arial" w:eastAsia="Arial" w:hAnsi="Arial"/>
                <w:sz w:val="17"/>
                <w:szCs w:val="17"/>
                <w:color w:val="auto"/>
              </w:rPr>
              <w:t>0.55</w:t>
            </w:r>
          </w:p>
        </w:tc>
        <w:tc>
          <w:tcPr>
            <w:tcW w:w="100" w:type="dxa"/>
            <w:vAlign w:val="bottom"/>
          </w:tcPr>
          <w:p>
            <w:pPr>
              <w:spacing w:after="0"/>
              <w:rPr>
                <w:sz w:val="18"/>
                <w:szCs w:val="18"/>
                <w:color w:val="auto"/>
              </w:rPr>
            </w:pPr>
          </w:p>
        </w:tc>
        <w:tc>
          <w:tcPr>
            <w:tcW w:w="280" w:type="dxa"/>
            <w:vAlign w:val="bottom"/>
          </w:tcPr>
          <w:p>
            <w:pPr>
              <w:jc w:val="right"/>
              <w:ind w:right="94"/>
              <w:spacing w:after="0"/>
              <w:rPr>
                <w:sz w:val="20"/>
                <w:szCs w:val="20"/>
                <w:color w:val="auto"/>
              </w:rPr>
            </w:pPr>
            <w:r>
              <w:rPr>
                <w:rFonts w:ascii="Arial" w:cs="Arial" w:eastAsia="Arial" w:hAnsi="Arial"/>
                <w:sz w:val="17"/>
                <w:szCs w:val="17"/>
                <w:color w:val="auto"/>
                <w:w w:val="84"/>
              </w:rPr>
              <w:t>$</w:t>
            </w:r>
          </w:p>
        </w:tc>
        <w:tc>
          <w:tcPr>
            <w:tcW w:w="980" w:type="dxa"/>
            <w:vAlign w:val="bottom"/>
          </w:tcPr>
          <w:p>
            <w:pPr>
              <w:jc w:val="right"/>
              <w:spacing w:after="0"/>
              <w:rPr>
                <w:sz w:val="20"/>
                <w:szCs w:val="20"/>
                <w:color w:val="auto"/>
              </w:rPr>
            </w:pPr>
            <w:r>
              <w:rPr>
                <w:rFonts w:ascii="Arial" w:cs="Arial" w:eastAsia="Arial" w:hAnsi="Arial"/>
                <w:sz w:val="17"/>
                <w:szCs w:val="17"/>
                <w:color w:val="auto"/>
              </w:rPr>
              <w:t>(5.26)</w:t>
            </w:r>
          </w:p>
        </w:tc>
      </w:tr>
      <w:tr>
        <w:trPr>
          <w:trHeight w:val="259"/>
        </w:trPr>
        <w:tc>
          <w:tcPr>
            <w:tcW w:w="20" w:type="dxa"/>
            <w:vAlign w:val="bottom"/>
            <w:shd w:val="clear" w:color="auto" w:fill="CCEEFF"/>
          </w:tcPr>
          <w:p>
            <w:pPr>
              <w:spacing w:after="0"/>
              <w:rPr>
                <w:sz w:val="22"/>
                <w:szCs w:val="22"/>
                <w:color w:val="auto"/>
              </w:rPr>
            </w:pPr>
          </w:p>
        </w:tc>
        <w:tc>
          <w:tcPr>
            <w:tcW w:w="1960" w:type="dxa"/>
            <w:vAlign w:val="bottom"/>
            <w:shd w:val="clear" w:color="auto" w:fill="CCEEFF"/>
          </w:tcPr>
          <w:p>
            <w:pPr>
              <w:spacing w:after="0"/>
              <w:rPr>
                <w:sz w:val="22"/>
                <w:szCs w:val="22"/>
                <w:color w:val="auto"/>
              </w:rPr>
            </w:pPr>
          </w:p>
        </w:tc>
        <w:tc>
          <w:tcPr>
            <w:tcW w:w="664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r>
      <w:tr>
        <w:trPr>
          <w:trHeight w:val="218"/>
        </w:trPr>
        <w:tc>
          <w:tcPr>
            <w:tcW w:w="8620" w:type="dxa"/>
            <w:vAlign w:val="bottom"/>
            <w:gridSpan w:val="3"/>
          </w:tcPr>
          <w:p>
            <w:pPr>
              <w:ind w:left="20"/>
              <w:spacing w:after="0"/>
              <w:rPr>
                <w:sz w:val="20"/>
                <w:szCs w:val="20"/>
                <w:color w:val="auto"/>
              </w:rPr>
            </w:pPr>
            <w:r>
              <w:rPr>
                <w:rFonts w:ascii="Arial" w:cs="Arial" w:eastAsia="Arial" w:hAnsi="Arial"/>
                <w:sz w:val="17"/>
                <w:szCs w:val="17"/>
                <w:color w:val="auto"/>
              </w:rPr>
              <w:t>Weighted-average common shares outstanding—basic</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155.7</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115.7</w:t>
            </w:r>
          </w:p>
        </w:tc>
      </w:tr>
      <w:tr>
        <w:trPr>
          <w:trHeight w:val="220"/>
        </w:trPr>
        <w:tc>
          <w:tcPr>
            <w:tcW w:w="8620" w:type="dxa"/>
            <w:vAlign w:val="bottom"/>
            <w:gridSpan w:val="3"/>
            <w:shd w:val="clear" w:color="auto" w:fill="CCEEFF"/>
          </w:tcPr>
          <w:p>
            <w:pPr>
              <w:ind w:left="20"/>
              <w:spacing w:after="0"/>
              <w:rPr>
                <w:sz w:val="20"/>
                <w:szCs w:val="20"/>
                <w:color w:val="auto"/>
              </w:rPr>
            </w:pPr>
            <w:r>
              <w:rPr>
                <w:rFonts w:ascii="Arial" w:cs="Arial" w:eastAsia="Arial" w:hAnsi="Arial"/>
                <w:sz w:val="17"/>
                <w:szCs w:val="17"/>
                <w:color w:val="auto"/>
              </w:rPr>
              <w:t>Weighted-average common shares outstanding—diluted</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172.8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115.7</w:t>
            </w:r>
          </w:p>
        </w:tc>
      </w:tr>
    </w:tbl>
    <w:p>
      <w:pPr>
        <w:spacing w:after="0" w:line="11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See accompanying 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182245</wp:posOffset>
            </wp:positionV>
            <wp:extent cx="7164070" cy="419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 w:name="page5"/>
    <w:bookmarkEnd w:id="4"/>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333" w:lineRule="exact"/>
        <w:rPr>
          <w:sz w:val="20"/>
          <w:szCs w:val="20"/>
          <w:color w:val="auto"/>
        </w:rPr>
      </w:pPr>
    </w:p>
    <w:p>
      <w:pPr>
        <w:jc w:val="center"/>
        <w:spacing w:after="0" w:line="280" w:lineRule="auto"/>
        <w:rPr>
          <w:sz w:val="20"/>
          <w:szCs w:val="20"/>
          <w:color w:val="auto"/>
        </w:rPr>
      </w:pPr>
      <w:r>
        <w:rPr>
          <w:rFonts w:ascii="Arial" w:cs="Arial" w:eastAsia="Arial" w:hAnsi="Arial"/>
          <w:sz w:val="17"/>
          <w:szCs w:val="17"/>
          <w:b w:val="1"/>
          <w:bCs w:val="1"/>
          <w:color w:val="auto"/>
        </w:rPr>
        <w:t>PENN NATIONAL GAMING, INC. AND SUBSIDIARIES CONSOLIDATED STATEMENTS OF CHANGES IN STOCKHOLDERS’ EQUITY (UNAUDITED)</w:t>
      </w:r>
    </w:p>
    <w:p>
      <w:pPr>
        <w:spacing w:after="0" w:line="296" w:lineRule="exact"/>
        <w:rPr>
          <w:sz w:val="20"/>
          <w:szCs w:val="20"/>
          <w:color w:val="auto"/>
        </w:rPr>
      </w:pPr>
    </w:p>
    <w:p>
      <w:pPr>
        <w:ind w:left="5080"/>
        <w:spacing w:after="0"/>
        <w:rPr>
          <w:sz w:val="20"/>
          <w:szCs w:val="20"/>
          <w:color w:val="auto"/>
        </w:rPr>
      </w:pPr>
      <w:r>
        <w:rPr>
          <w:rFonts w:ascii="Arial" w:cs="Arial" w:eastAsia="Arial" w:hAnsi="Arial"/>
          <w:sz w:val="15"/>
          <w:szCs w:val="15"/>
          <w:b w:val="1"/>
          <w:bCs w:val="1"/>
          <w:color w:val="auto"/>
        </w:rPr>
        <w:t>Three Months Ended March 31, 2021 and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1287145</wp:posOffset>
            </wp:positionH>
            <wp:positionV relativeFrom="paragraph">
              <wp:posOffset>22225</wp:posOffset>
            </wp:positionV>
            <wp:extent cx="585343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853430" cy="8255"/>
                    </a:xfrm>
                    <a:prstGeom prst="rect">
                      <a:avLst/>
                    </a:prstGeom>
                    <a:noFill/>
                  </pic:spPr>
                </pic:pic>
              </a:graphicData>
            </a:graphic>
          </wp:anchor>
        </w:drawing>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4"/>
              </w:rPr>
              <w:t>Addi-</w:t>
            </w:r>
          </w:p>
        </w:tc>
        <w:tc>
          <w:tcPr>
            <w:tcW w:w="140" w:type="dxa"/>
            <w:vAlign w:val="bottom"/>
          </w:tcPr>
          <w:p>
            <w:pPr>
              <w:spacing w:after="0"/>
              <w:rPr>
                <w:sz w:val="14"/>
                <w:szCs w:val="14"/>
                <w:color w:val="auto"/>
              </w:rPr>
            </w:pPr>
          </w:p>
        </w:tc>
        <w:tc>
          <w:tcPr>
            <w:tcW w:w="86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Retained</w:t>
            </w:r>
          </w:p>
        </w:tc>
        <w:tc>
          <w:tcPr>
            <w:tcW w:w="100" w:type="dxa"/>
            <w:vAlign w:val="bottom"/>
          </w:tcPr>
          <w:p>
            <w:pPr>
              <w:spacing w:after="0"/>
              <w:rPr>
                <w:sz w:val="14"/>
                <w:szCs w:val="14"/>
                <w:color w:val="auto"/>
              </w:rPr>
            </w:pPr>
          </w:p>
        </w:tc>
        <w:tc>
          <w:tcPr>
            <w:tcW w:w="9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9"/>
              </w:rPr>
              <w:t>Total Penn</w:t>
            </w: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vMerge w:val="restart"/>
          </w:tcPr>
          <w:p>
            <w:pPr>
              <w:jc w:val="right"/>
              <w:ind w:right="21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5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gridSpan w:val="2"/>
          </w:tcPr>
          <w:p>
            <w:pPr>
              <w:jc w:val="center"/>
              <w:ind w:right="200"/>
              <w:spacing w:after="0" w:line="129" w:lineRule="exact"/>
              <w:rPr>
                <w:sz w:val="20"/>
                <w:szCs w:val="20"/>
                <w:color w:val="auto"/>
              </w:rPr>
            </w:pPr>
            <w:r>
              <w:rPr>
                <w:rFonts w:ascii="Arial" w:cs="Arial" w:eastAsia="Arial" w:hAnsi="Arial"/>
                <w:sz w:val="14"/>
                <w:szCs w:val="14"/>
                <w:b w:val="1"/>
                <w:bCs w:val="1"/>
                <w:color w:val="auto"/>
                <w:w w:val="90"/>
              </w:rPr>
              <w:t>National</w:t>
            </w:r>
          </w:p>
        </w:tc>
        <w:tc>
          <w:tcPr>
            <w:tcW w:w="120" w:type="dxa"/>
            <w:vAlign w:val="bottom"/>
          </w:tcPr>
          <w:p>
            <w:pPr>
              <w:spacing w:after="0"/>
              <w:rPr>
                <w:sz w:val="11"/>
                <w:szCs w:val="11"/>
                <w:color w:val="auto"/>
              </w:rPr>
            </w:pPr>
          </w:p>
        </w:tc>
        <w:tc>
          <w:tcPr>
            <w:tcW w:w="76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3"/>
              </w:rPr>
              <w:t>Non-</w:t>
            </w:r>
          </w:p>
        </w:tc>
        <w:tc>
          <w:tcPr>
            <w:tcW w:w="140" w:type="dxa"/>
            <w:vAlign w:val="bottom"/>
          </w:tcPr>
          <w:p>
            <w:pPr>
              <w:spacing w:after="0"/>
              <w:rPr>
                <w:sz w:val="11"/>
                <w:szCs w:val="11"/>
                <w:color w:val="auto"/>
              </w:rPr>
            </w:pPr>
          </w:p>
        </w:tc>
        <w:tc>
          <w:tcPr>
            <w:tcW w:w="7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5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520" w:type="dxa"/>
            <w:vAlign w:val="bottom"/>
            <w:gridSpan w:val="4"/>
            <w:vMerge w:val="restart"/>
          </w:tcPr>
          <w:p>
            <w:pPr>
              <w:jc w:val="right"/>
              <w:ind w:right="231"/>
              <w:spacing w:after="0"/>
              <w:rPr>
                <w:sz w:val="20"/>
                <w:szCs w:val="20"/>
                <w:color w:val="auto"/>
              </w:rPr>
            </w:pPr>
            <w:r>
              <w:rPr>
                <w:rFonts w:ascii="Arial" w:cs="Arial" w:eastAsia="Arial" w:hAnsi="Arial"/>
                <w:sz w:val="14"/>
                <w:szCs w:val="14"/>
                <w:b w:val="1"/>
                <w:bCs w:val="1"/>
                <w:color w:val="auto"/>
              </w:rPr>
              <w:t>Preferred Stock</w:t>
            </w:r>
          </w:p>
        </w:tc>
        <w:tc>
          <w:tcPr>
            <w:tcW w:w="100" w:type="dxa"/>
            <w:vAlign w:val="bottom"/>
            <w:vMerge w:val="restart"/>
          </w:tcPr>
          <w:p>
            <w:pPr>
              <w:spacing w:after="0"/>
              <w:rPr>
                <w:sz w:val="11"/>
                <w:szCs w:val="11"/>
                <w:color w:val="auto"/>
              </w:rPr>
            </w:pPr>
          </w:p>
        </w:tc>
        <w:tc>
          <w:tcPr>
            <w:tcW w:w="1900" w:type="dxa"/>
            <w:vAlign w:val="bottom"/>
            <w:gridSpan w:val="4"/>
            <w:vMerge w:val="restart"/>
          </w:tcPr>
          <w:p>
            <w:pPr>
              <w:jc w:val="right"/>
              <w:ind w:right="431"/>
              <w:spacing w:after="0"/>
              <w:rPr>
                <w:sz w:val="20"/>
                <w:szCs w:val="20"/>
                <w:color w:val="auto"/>
              </w:rPr>
            </w:pPr>
            <w:r>
              <w:rPr>
                <w:rFonts w:ascii="Arial" w:cs="Arial" w:eastAsia="Arial" w:hAnsi="Arial"/>
                <w:sz w:val="14"/>
                <w:szCs w:val="14"/>
                <w:b w:val="1"/>
                <w:bCs w:val="1"/>
                <w:color w:val="auto"/>
              </w:rPr>
              <w:t>Common Stock</w:t>
            </w:r>
          </w:p>
        </w:tc>
        <w:tc>
          <w:tcPr>
            <w:tcW w:w="100" w:type="dxa"/>
            <w:vAlign w:val="bottom"/>
            <w:vMerge w:val="restart"/>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gridSpan w:val="2"/>
          </w:tcPr>
          <w:p>
            <w:pPr>
              <w:jc w:val="center"/>
              <w:ind w:right="280"/>
              <w:spacing w:after="0" w:line="129" w:lineRule="exact"/>
              <w:rPr>
                <w:sz w:val="20"/>
                <w:szCs w:val="20"/>
                <w:color w:val="auto"/>
              </w:rPr>
            </w:pPr>
            <w:r>
              <w:rPr>
                <w:rFonts w:ascii="Arial" w:cs="Arial" w:eastAsia="Arial" w:hAnsi="Arial"/>
                <w:sz w:val="14"/>
                <w:szCs w:val="14"/>
                <w:b w:val="1"/>
                <w:bCs w:val="1"/>
                <w:color w:val="auto"/>
                <w:w w:val="85"/>
              </w:rPr>
              <w:t>tional</w:t>
            </w:r>
          </w:p>
        </w:tc>
        <w:tc>
          <w:tcPr>
            <w:tcW w:w="140" w:type="dxa"/>
            <w:vAlign w:val="bottom"/>
          </w:tcPr>
          <w:p>
            <w:pPr>
              <w:spacing w:after="0"/>
              <w:rPr>
                <w:sz w:val="11"/>
                <w:szCs w:val="11"/>
                <w:color w:val="auto"/>
              </w:rPr>
            </w:pPr>
          </w:p>
        </w:tc>
        <w:tc>
          <w:tcPr>
            <w:tcW w:w="860" w:type="dxa"/>
            <w:vAlign w:val="bottom"/>
            <w:gridSpan w:val="2"/>
          </w:tcPr>
          <w:p>
            <w:pPr>
              <w:ind w:left="40"/>
              <w:spacing w:after="0" w:line="129" w:lineRule="exact"/>
              <w:rPr>
                <w:sz w:val="20"/>
                <w:szCs w:val="20"/>
                <w:color w:val="auto"/>
              </w:rPr>
            </w:pPr>
            <w:r>
              <w:rPr>
                <w:rFonts w:ascii="Arial" w:cs="Arial" w:eastAsia="Arial" w:hAnsi="Arial"/>
                <w:sz w:val="14"/>
                <w:szCs w:val="14"/>
                <w:b w:val="1"/>
                <w:bCs w:val="1"/>
                <w:color w:val="auto"/>
              </w:rPr>
              <w:t>Earnings</w:t>
            </w:r>
          </w:p>
        </w:tc>
        <w:tc>
          <w:tcPr>
            <w:tcW w:w="100" w:type="dxa"/>
            <w:vAlign w:val="bottom"/>
          </w:tcPr>
          <w:p>
            <w:pPr>
              <w:spacing w:after="0"/>
              <w:rPr>
                <w:sz w:val="11"/>
                <w:szCs w:val="11"/>
                <w:color w:val="auto"/>
              </w:rPr>
            </w:pPr>
          </w:p>
        </w:tc>
        <w:tc>
          <w:tcPr>
            <w:tcW w:w="900" w:type="dxa"/>
            <w:vAlign w:val="bottom"/>
            <w:gridSpan w:val="2"/>
          </w:tcPr>
          <w:p>
            <w:pPr>
              <w:jc w:val="center"/>
              <w:ind w:right="200"/>
              <w:spacing w:after="0" w:line="129" w:lineRule="exact"/>
              <w:rPr>
                <w:sz w:val="20"/>
                <w:szCs w:val="20"/>
                <w:color w:val="auto"/>
              </w:rPr>
            </w:pPr>
            <w:r>
              <w:rPr>
                <w:rFonts w:ascii="Arial" w:cs="Arial" w:eastAsia="Arial" w:hAnsi="Arial"/>
                <w:sz w:val="14"/>
                <w:szCs w:val="14"/>
                <w:b w:val="1"/>
                <w:bCs w:val="1"/>
                <w:color w:val="auto"/>
                <w:w w:val="88"/>
              </w:rPr>
              <w:t>Stock-</w:t>
            </w:r>
          </w:p>
        </w:tc>
        <w:tc>
          <w:tcPr>
            <w:tcW w:w="120" w:type="dxa"/>
            <w:vAlign w:val="bottom"/>
          </w:tcPr>
          <w:p>
            <w:pPr>
              <w:spacing w:after="0"/>
              <w:rPr>
                <w:sz w:val="11"/>
                <w:szCs w:val="11"/>
                <w:color w:val="auto"/>
              </w:rPr>
            </w:pPr>
          </w:p>
        </w:tc>
        <w:tc>
          <w:tcPr>
            <w:tcW w:w="76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jc w:val="center"/>
              <w:ind w:right="52"/>
              <w:spacing w:after="0" w:line="129" w:lineRule="exact"/>
              <w:rPr>
                <w:sz w:val="20"/>
                <w:szCs w:val="20"/>
                <w:color w:val="auto"/>
              </w:rPr>
            </w:pPr>
            <w:r>
              <w:rPr>
                <w:rFonts w:ascii="Arial" w:cs="Arial" w:eastAsia="Arial" w:hAnsi="Arial"/>
                <w:sz w:val="14"/>
                <w:szCs w:val="14"/>
                <w:b w:val="1"/>
                <w:bCs w:val="1"/>
                <w:color w:val="auto"/>
                <w:w w:val="88"/>
              </w:rPr>
              <w:t>Stock-</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540" w:type="dxa"/>
            <w:vAlign w:val="bottom"/>
          </w:tcPr>
          <w:p>
            <w:pPr>
              <w:spacing w:after="0"/>
              <w:rPr>
                <w:sz w:val="8"/>
                <w:szCs w:val="8"/>
                <w:color w:val="auto"/>
              </w:rPr>
            </w:pPr>
          </w:p>
        </w:tc>
        <w:tc>
          <w:tcPr>
            <w:tcW w:w="460" w:type="dxa"/>
            <w:vAlign w:val="bottom"/>
          </w:tcPr>
          <w:p>
            <w:pPr>
              <w:spacing w:after="0"/>
              <w:rPr>
                <w:sz w:val="8"/>
                <w:szCs w:val="8"/>
                <w:color w:val="auto"/>
              </w:rPr>
            </w:pPr>
          </w:p>
        </w:tc>
        <w:tc>
          <w:tcPr>
            <w:tcW w:w="1520" w:type="dxa"/>
            <w:vAlign w:val="bottom"/>
            <w:tcBorders>
              <w:bottom w:val="single" w:sz="8" w:color="auto"/>
            </w:tcBorders>
            <w:gridSpan w:val="4"/>
            <w:vMerge w:val="continue"/>
          </w:tcPr>
          <w:p>
            <w:pPr>
              <w:spacing w:after="0"/>
              <w:rPr>
                <w:sz w:val="8"/>
                <w:szCs w:val="8"/>
                <w:color w:val="auto"/>
              </w:rPr>
            </w:pPr>
          </w:p>
        </w:tc>
        <w:tc>
          <w:tcPr>
            <w:tcW w:w="100" w:type="dxa"/>
            <w:vAlign w:val="bottom"/>
            <w:vMerge w:val="continue"/>
          </w:tcPr>
          <w:p>
            <w:pPr>
              <w:spacing w:after="0"/>
              <w:rPr>
                <w:sz w:val="8"/>
                <w:szCs w:val="8"/>
                <w:color w:val="auto"/>
              </w:rPr>
            </w:pPr>
          </w:p>
        </w:tc>
        <w:tc>
          <w:tcPr>
            <w:tcW w:w="1900" w:type="dxa"/>
            <w:vAlign w:val="bottom"/>
            <w:tcBorders>
              <w:bottom w:val="single" w:sz="8" w:color="auto"/>
            </w:tcBorders>
            <w:gridSpan w:val="4"/>
            <w:vMerge w:val="continue"/>
          </w:tcPr>
          <w:p>
            <w:pPr>
              <w:spacing w:after="0"/>
              <w:rPr>
                <w:sz w:val="8"/>
                <w:szCs w:val="8"/>
                <w:color w:val="auto"/>
              </w:rPr>
            </w:pPr>
          </w:p>
        </w:tc>
        <w:tc>
          <w:tcPr>
            <w:tcW w:w="10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820" w:type="dxa"/>
            <w:vAlign w:val="bottom"/>
            <w:gridSpan w:val="2"/>
          </w:tcPr>
          <w:p>
            <w:pPr>
              <w:ind w:left="40"/>
              <w:spacing w:after="0" w:line="97" w:lineRule="exact"/>
              <w:rPr>
                <w:sz w:val="20"/>
                <w:szCs w:val="20"/>
                <w:color w:val="auto"/>
              </w:rPr>
            </w:pPr>
            <w:r>
              <w:rPr>
                <w:rFonts w:ascii="Arial" w:cs="Arial" w:eastAsia="Arial" w:hAnsi="Arial"/>
                <w:sz w:val="11"/>
                <w:szCs w:val="11"/>
                <w:b w:val="1"/>
                <w:bCs w:val="1"/>
                <w:color w:val="auto"/>
              </w:rPr>
              <w:t>Treasury</w:t>
            </w:r>
          </w:p>
        </w:tc>
        <w:tc>
          <w:tcPr>
            <w:tcW w:w="140" w:type="dxa"/>
            <w:vAlign w:val="bottom"/>
          </w:tcPr>
          <w:p>
            <w:pPr>
              <w:spacing w:after="0"/>
              <w:rPr>
                <w:sz w:val="8"/>
                <w:szCs w:val="8"/>
                <w:color w:val="auto"/>
              </w:rPr>
            </w:pPr>
          </w:p>
        </w:tc>
        <w:tc>
          <w:tcPr>
            <w:tcW w:w="800" w:type="dxa"/>
            <w:vAlign w:val="bottom"/>
            <w:gridSpan w:val="2"/>
          </w:tcPr>
          <w:p>
            <w:pPr>
              <w:jc w:val="center"/>
              <w:ind w:right="280"/>
              <w:spacing w:after="0" w:line="97" w:lineRule="exact"/>
              <w:rPr>
                <w:sz w:val="20"/>
                <w:szCs w:val="20"/>
                <w:color w:val="auto"/>
              </w:rPr>
            </w:pPr>
            <w:r>
              <w:rPr>
                <w:rFonts w:ascii="Arial" w:cs="Arial" w:eastAsia="Arial" w:hAnsi="Arial"/>
                <w:sz w:val="11"/>
                <w:szCs w:val="11"/>
                <w:b w:val="1"/>
                <w:bCs w:val="1"/>
                <w:color w:val="auto"/>
              </w:rPr>
              <w:t>Paid-In</w:t>
            </w:r>
          </w:p>
        </w:tc>
        <w:tc>
          <w:tcPr>
            <w:tcW w:w="140" w:type="dxa"/>
            <w:vAlign w:val="bottom"/>
          </w:tcPr>
          <w:p>
            <w:pPr>
              <w:spacing w:after="0"/>
              <w:rPr>
                <w:sz w:val="8"/>
                <w:szCs w:val="8"/>
                <w:color w:val="auto"/>
              </w:rPr>
            </w:pPr>
          </w:p>
        </w:tc>
        <w:tc>
          <w:tcPr>
            <w:tcW w:w="860" w:type="dxa"/>
            <w:vAlign w:val="bottom"/>
            <w:gridSpan w:val="2"/>
          </w:tcPr>
          <w:p>
            <w:pPr>
              <w:ind w:left="60"/>
              <w:spacing w:after="0" w:line="97" w:lineRule="exact"/>
              <w:rPr>
                <w:sz w:val="20"/>
                <w:szCs w:val="20"/>
                <w:color w:val="auto"/>
              </w:rPr>
            </w:pPr>
            <w:r>
              <w:rPr>
                <w:rFonts w:ascii="Arial" w:cs="Arial" w:eastAsia="Arial" w:hAnsi="Arial"/>
                <w:sz w:val="11"/>
                <w:szCs w:val="11"/>
                <w:b w:val="1"/>
                <w:bCs w:val="1"/>
                <w:color w:val="auto"/>
              </w:rPr>
              <w:t>(Accum-</w:t>
            </w:r>
          </w:p>
        </w:tc>
        <w:tc>
          <w:tcPr>
            <w:tcW w:w="100" w:type="dxa"/>
            <w:vAlign w:val="bottom"/>
          </w:tcPr>
          <w:p>
            <w:pPr>
              <w:spacing w:after="0"/>
              <w:rPr>
                <w:sz w:val="8"/>
                <w:szCs w:val="8"/>
                <w:color w:val="auto"/>
              </w:rPr>
            </w:pPr>
          </w:p>
        </w:tc>
        <w:tc>
          <w:tcPr>
            <w:tcW w:w="900" w:type="dxa"/>
            <w:vAlign w:val="bottom"/>
            <w:gridSpan w:val="2"/>
          </w:tcPr>
          <w:p>
            <w:pPr>
              <w:jc w:val="center"/>
              <w:ind w:right="220"/>
              <w:spacing w:after="0" w:line="97" w:lineRule="exact"/>
              <w:rPr>
                <w:sz w:val="20"/>
                <w:szCs w:val="20"/>
                <w:color w:val="auto"/>
              </w:rPr>
            </w:pPr>
            <w:r>
              <w:rPr>
                <w:rFonts w:ascii="Arial" w:cs="Arial" w:eastAsia="Arial" w:hAnsi="Arial"/>
                <w:sz w:val="11"/>
                <w:szCs w:val="11"/>
                <w:b w:val="1"/>
                <w:bCs w:val="1"/>
                <w:color w:val="auto"/>
              </w:rPr>
              <w:t>holders’</w:t>
            </w:r>
          </w:p>
        </w:tc>
        <w:tc>
          <w:tcPr>
            <w:tcW w:w="120" w:type="dxa"/>
            <w:vAlign w:val="bottom"/>
          </w:tcPr>
          <w:p>
            <w:pPr>
              <w:spacing w:after="0"/>
              <w:rPr>
                <w:sz w:val="8"/>
                <w:szCs w:val="8"/>
                <w:color w:val="auto"/>
              </w:rPr>
            </w:pPr>
          </w:p>
        </w:tc>
        <w:tc>
          <w:tcPr>
            <w:tcW w:w="760" w:type="dxa"/>
            <w:vAlign w:val="bottom"/>
            <w:gridSpan w:val="2"/>
          </w:tcPr>
          <w:p>
            <w:pPr>
              <w:jc w:val="center"/>
              <w:ind w:right="220"/>
              <w:spacing w:after="0" w:line="97" w:lineRule="exact"/>
              <w:rPr>
                <w:sz w:val="20"/>
                <w:szCs w:val="20"/>
                <w:color w:val="auto"/>
              </w:rPr>
            </w:pPr>
            <w:r>
              <w:rPr>
                <w:rFonts w:ascii="Arial" w:cs="Arial" w:eastAsia="Arial" w:hAnsi="Arial"/>
                <w:sz w:val="11"/>
                <w:szCs w:val="11"/>
                <w:b w:val="1"/>
                <w:bCs w:val="1"/>
                <w:color w:val="auto"/>
              </w:rPr>
              <w:t>Control-</w:t>
            </w:r>
          </w:p>
        </w:tc>
        <w:tc>
          <w:tcPr>
            <w:tcW w:w="140" w:type="dxa"/>
            <w:vAlign w:val="bottom"/>
          </w:tcPr>
          <w:p>
            <w:pPr>
              <w:spacing w:after="0"/>
              <w:rPr>
                <w:sz w:val="8"/>
                <w:szCs w:val="8"/>
                <w:color w:val="auto"/>
              </w:rPr>
            </w:pPr>
          </w:p>
        </w:tc>
        <w:tc>
          <w:tcPr>
            <w:tcW w:w="700" w:type="dxa"/>
            <w:vAlign w:val="bottom"/>
          </w:tcPr>
          <w:p>
            <w:pPr>
              <w:jc w:val="center"/>
              <w:ind w:right="72"/>
              <w:spacing w:after="0" w:line="97" w:lineRule="exact"/>
              <w:rPr>
                <w:sz w:val="20"/>
                <w:szCs w:val="20"/>
                <w:color w:val="auto"/>
              </w:rPr>
            </w:pPr>
            <w:r>
              <w:rPr>
                <w:rFonts w:ascii="Arial" w:cs="Arial" w:eastAsia="Arial" w:hAnsi="Arial"/>
                <w:sz w:val="11"/>
                <w:szCs w:val="11"/>
                <w:b w:val="1"/>
                <w:bCs w:val="1"/>
                <w:color w:val="auto"/>
              </w:rPr>
              <w:t>holders’</w:t>
            </w:r>
          </w:p>
        </w:tc>
        <w:tc>
          <w:tcPr>
            <w:tcW w:w="0" w:type="dxa"/>
            <w:vAlign w:val="bottom"/>
          </w:tcPr>
          <w:p>
            <w:pPr>
              <w:spacing w:after="0"/>
              <w:rPr>
                <w:sz w:val="1"/>
                <w:szCs w:val="1"/>
                <w:color w:val="auto"/>
              </w:rPr>
            </w:pPr>
          </w:p>
        </w:tc>
      </w:tr>
      <w:tr>
        <w:trPr>
          <w:trHeight w:val="153"/>
        </w:trPr>
        <w:tc>
          <w:tcPr>
            <w:tcW w:w="2020" w:type="dxa"/>
            <w:vAlign w:val="bottom"/>
            <w:gridSpan w:val="3"/>
          </w:tcPr>
          <w:p>
            <w:pPr>
              <w:ind w:left="20"/>
              <w:spacing w:after="0"/>
              <w:rPr>
                <w:sz w:val="20"/>
                <w:szCs w:val="20"/>
                <w:color w:val="auto"/>
              </w:rPr>
            </w:pPr>
            <w:r>
              <w:rPr>
                <w:rFonts w:ascii="Arial" w:cs="Arial" w:eastAsia="Arial" w:hAnsi="Arial"/>
                <w:sz w:val="12"/>
                <w:szCs w:val="12"/>
                <w:b w:val="1"/>
                <w:bCs w:val="1"/>
                <w:i w:val="1"/>
                <w:iCs w:val="1"/>
                <w:color w:val="auto"/>
              </w:rPr>
              <w:t>(in millions, except share data)</w:t>
            </w:r>
          </w:p>
        </w:tc>
        <w:tc>
          <w:tcPr>
            <w:tcW w:w="760" w:type="dxa"/>
            <w:vAlign w:val="bottom"/>
            <w:gridSpan w:val="2"/>
          </w:tcPr>
          <w:p>
            <w:pPr>
              <w:ind w:left="140"/>
              <w:spacing w:after="0" w:line="153" w:lineRule="exact"/>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3"/>
                <w:szCs w:val="13"/>
                <w:color w:val="auto"/>
              </w:rPr>
            </w:pPr>
          </w:p>
        </w:tc>
        <w:tc>
          <w:tcPr>
            <w:tcW w:w="760" w:type="dxa"/>
            <w:vAlign w:val="bottom"/>
            <w:gridSpan w:val="2"/>
          </w:tcPr>
          <w:p>
            <w:pPr>
              <w:ind w:left="40"/>
              <w:spacing w:after="0" w:line="153" w:lineRule="exact"/>
              <w:rPr>
                <w:sz w:val="20"/>
                <w:szCs w:val="20"/>
                <w:color w:val="auto"/>
              </w:rPr>
            </w:pPr>
            <w:r>
              <w:rPr>
                <w:rFonts w:ascii="Arial" w:cs="Arial" w:eastAsia="Arial" w:hAnsi="Arial"/>
                <w:sz w:val="14"/>
                <w:szCs w:val="14"/>
                <w:b w:val="1"/>
                <w:bCs w:val="1"/>
                <w:color w:val="auto"/>
              </w:rPr>
              <w:t>Amount</w:t>
            </w:r>
          </w:p>
        </w:tc>
        <w:tc>
          <w:tcPr>
            <w:tcW w:w="1120" w:type="dxa"/>
            <w:vAlign w:val="bottom"/>
            <w:gridSpan w:val="2"/>
          </w:tcPr>
          <w:p>
            <w:pPr>
              <w:ind w:left="320"/>
              <w:spacing w:after="0" w:line="153" w:lineRule="exact"/>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13"/>
                <w:szCs w:val="13"/>
                <w:color w:val="auto"/>
              </w:rPr>
            </w:pPr>
          </w:p>
        </w:tc>
        <w:tc>
          <w:tcPr>
            <w:tcW w:w="760" w:type="dxa"/>
            <w:vAlign w:val="bottom"/>
            <w:gridSpan w:val="2"/>
          </w:tcPr>
          <w:p>
            <w:pPr>
              <w:ind w:left="20"/>
              <w:spacing w:after="0" w:line="153" w:lineRule="exact"/>
              <w:rPr>
                <w:sz w:val="20"/>
                <w:szCs w:val="20"/>
                <w:color w:val="auto"/>
              </w:rPr>
            </w:pPr>
            <w:r>
              <w:rPr>
                <w:rFonts w:ascii="Arial" w:cs="Arial" w:eastAsia="Arial" w:hAnsi="Arial"/>
                <w:sz w:val="14"/>
                <w:szCs w:val="14"/>
                <w:b w:val="1"/>
                <w:bCs w:val="1"/>
                <w:color w:val="auto"/>
              </w:rPr>
              <w:t>Amount</w:t>
            </w:r>
          </w:p>
        </w:tc>
        <w:tc>
          <w:tcPr>
            <w:tcW w:w="120" w:type="dxa"/>
            <w:vAlign w:val="bottom"/>
          </w:tcPr>
          <w:p>
            <w:pPr>
              <w:spacing w:after="0"/>
              <w:rPr>
                <w:sz w:val="13"/>
                <w:szCs w:val="13"/>
                <w:color w:val="auto"/>
              </w:rPr>
            </w:pPr>
          </w:p>
        </w:tc>
        <w:tc>
          <w:tcPr>
            <w:tcW w:w="820" w:type="dxa"/>
            <w:vAlign w:val="bottom"/>
            <w:gridSpan w:val="2"/>
          </w:tcPr>
          <w:p>
            <w:pPr>
              <w:ind w:left="140"/>
              <w:spacing w:after="0" w:line="153" w:lineRule="exact"/>
              <w:rPr>
                <w:sz w:val="20"/>
                <w:szCs w:val="20"/>
                <w:color w:val="auto"/>
              </w:rPr>
            </w:pPr>
            <w:r>
              <w:rPr>
                <w:rFonts w:ascii="Arial" w:cs="Arial" w:eastAsia="Arial" w:hAnsi="Arial"/>
                <w:sz w:val="14"/>
                <w:szCs w:val="14"/>
                <w:b w:val="1"/>
                <w:bCs w:val="1"/>
                <w:color w:val="auto"/>
              </w:rPr>
              <w:t>Stock</w:t>
            </w:r>
          </w:p>
        </w:tc>
        <w:tc>
          <w:tcPr>
            <w:tcW w:w="140" w:type="dxa"/>
            <w:vAlign w:val="bottom"/>
          </w:tcPr>
          <w:p>
            <w:pPr>
              <w:spacing w:after="0"/>
              <w:rPr>
                <w:sz w:val="13"/>
                <w:szCs w:val="13"/>
                <w:color w:val="auto"/>
              </w:rPr>
            </w:pPr>
          </w:p>
        </w:tc>
        <w:tc>
          <w:tcPr>
            <w:tcW w:w="800" w:type="dxa"/>
            <w:vAlign w:val="bottom"/>
            <w:gridSpan w:val="2"/>
          </w:tcPr>
          <w:p>
            <w:pPr>
              <w:jc w:val="center"/>
              <w:ind w:right="240"/>
              <w:spacing w:after="0" w:line="153" w:lineRule="exact"/>
              <w:rPr>
                <w:sz w:val="20"/>
                <w:szCs w:val="20"/>
                <w:color w:val="auto"/>
              </w:rPr>
            </w:pPr>
            <w:r>
              <w:rPr>
                <w:rFonts w:ascii="Arial" w:cs="Arial" w:eastAsia="Arial" w:hAnsi="Arial"/>
                <w:sz w:val="14"/>
                <w:szCs w:val="14"/>
                <w:b w:val="1"/>
                <w:bCs w:val="1"/>
                <w:color w:val="auto"/>
                <w:w w:val="94"/>
              </w:rPr>
              <w:t>Capital</w:t>
            </w:r>
          </w:p>
        </w:tc>
        <w:tc>
          <w:tcPr>
            <w:tcW w:w="1000" w:type="dxa"/>
            <w:vAlign w:val="bottom"/>
            <w:gridSpan w:val="3"/>
          </w:tcPr>
          <w:p>
            <w:pPr>
              <w:ind w:left="20"/>
              <w:spacing w:after="0" w:line="153" w:lineRule="exact"/>
              <w:rPr>
                <w:sz w:val="20"/>
                <w:szCs w:val="20"/>
                <w:color w:val="auto"/>
              </w:rPr>
            </w:pPr>
            <w:r>
              <w:rPr>
                <w:rFonts w:ascii="Arial" w:cs="Arial" w:eastAsia="Arial" w:hAnsi="Arial"/>
                <w:sz w:val="14"/>
                <w:szCs w:val="14"/>
                <w:b w:val="1"/>
                <w:bCs w:val="1"/>
                <w:color w:val="auto"/>
              </w:rPr>
              <w:t>ulated Deficit)</w:t>
            </w:r>
          </w:p>
        </w:tc>
        <w:tc>
          <w:tcPr>
            <w:tcW w:w="100" w:type="dxa"/>
            <w:vAlign w:val="bottom"/>
          </w:tcPr>
          <w:p>
            <w:pPr>
              <w:spacing w:after="0"/>
              <w:rPr>
                <w:sz w:val="13"/>
                <w:szCs w:val="13"/>
                <w:color w:val="auto"/>
              </w:rPr>
            </w:pPr>
          </w:p>
        </w:tc>
        <w:tc>
          <w:tcPr>
            <w:tcW w:w="900" w:type="dxa"/>
            <w:vAlign w:val="bottom"/>
            <w:gridSpan w:val="2"/>
          </w:tcPr>
          <w:p>
            <w:pPr>
              <w:jc w:val="center"/>
              <w:ind w:right="220"/>
              <w:spacing w:after="0" w:line="153" w:lineRule="exact"/>
              <w:rPr>
                <w:sz w:val="20"/>
                <w:szCs w:val="20"/>
                <w:color w:val="auto"/>
              </w:rPr>
            </w:pPr>
            <w:r>
              <w:rPr>
                <w:rFonts w:ascii="Arial" w:cs="Arial" w:eastAsia="Arial" w:hAnsi="Arial"/>
                <w:sz w:val="14"/>
                <w:szCs w:val="14"/>
                <w:b w:val="1"/>
                <w:bCs w:val="1"/>
                <w:color w:val="auto"/>
                <w:w w:val="93"/>
              </w:rPr>
              <w:t>Equity</w:t>
            </w:r>
          </w:p>
        </w:tc>
        <w:tc>
          <w:tcPr>
            <w:tcW w:w="880" w:type="dxa"/>
            <w:vAlign w:val="bottom"/>
            <w:gridSpan w:val="3"/>
          </w:tcPr>
          <w:p>
            <w:pPr>
              <w:jc w:val="center"/>
              <w:ind w:right="100"/>
              <w:spacing w:after="0" w:line="153" w:lineRule="exact"/>
              <w:rPr>
                <w:sz w:val="20"/>
                <w:szCs w:val="20"/>
                <w:color w:val="auto"/>
              </w:rPr>
            </w:pPr>
            <w:r>
              <w:rPr>
                <w:rFonts w:ascii="Arial" w:cs="Arial" w:eastAsia="Arial" w:hAnsi="Arial"/>
                <w:sz w:val="14"/>
                <w:szCs w:val="14"/>
                <w:b w:val="1"/>
                <w:bCs w:val="1"/>
                <w:color w:val="auto"/>
                <w:w w:val="88"/>
              </w:rPr>
              <w:t>ling Interest</w:t>
            </w:r>
          </w:p>
        </w:tc>
        <w:tc>
          <w:tcPr>
            <w:tcW w:w="140" w:type="dxa"/>
            <w:vAlign w:val="bottom"/>
          </w:tcPr>
          <w:p>
            <w:pPr>
              <w:spacing w:after="0"/>
              <w:rPr>
                <w:sz w:val="13"/>
                <w:szCs w:val="13"/>
                <w:color w:val="auto"/>
              </w:rPr>
            </w:pPr>
          </w:p>
        </w:tc>
        <w:tc>
          <w:tcPr>
            <w:tcW w:w="700" w:type="dxa"/>
            <w:vAlign w:val="bottom"/>
          </w:tcPr>
          <w:p>
            <w:pPr>
              <w:jc w:val="center"/>
              <w:ind w:right="72"/>
              <w:spacing w:after="0" w:line="153" w:lineRule="exact"/>
              <w:rPr>
                <w:sz w:val="20"/>
                <w:szCs w:val="20"/>
                <w:color w:val="auto"/>
              </w:rPr>
            </w:pPr>
            <w:r>
              <w:rPr>
                <w:rFonts w:ascii="Arial" w:cs="Arial" w:eastAsia="Arial" w:hAnsi="Arial"/>
                <w:sz w:val="14"/>
                <w:szCs w:val="14"/>
                <w:b w:val="1"/>
                <w:bCs w:val="1"/>
                <w:color w:val="auto"/>
                <w:w w:val="93"/>
              </w:rPr>
              <w:t>Equity</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540" w:type="dxa"/>
            <w:vAlign w:val="bottom"/>
            <w:tcBorders>
              <w:top w:val="single" w:sz="8" w:color="auto"/>
              <w:bottom w:val="single" w:sz="8" w:color="CCEEFF"/>
            </w:tcBorders>
          </w:tcPr>
          <w:p>
            <w:pPr>
              <w:spacing w:after="0" w:line="20" w:lineRule="exact"/>
              <w:rPr>
                <w:sz w:val="1"/>
                <w:szCs w:val="1"/>
                <w:color w:val="auto"/>
              </w:rPr>
            </w:pPr>
          </w:p>
        </w:tc>
        <w:tc>
          <w:tcPr>
            <w:tcW w:w="46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2020" w:type="dxa"/>
            <w:vAlign w:val="bottom"/>
            <w:gridSpan w:val="3"/>
            <w:shd w:val="clear" w:color="auto" w:fill="CCEEFF"/>
          </w:tcPr>
          <w:p>
            <w:pPr>
              <w:ind w:left="20"/>
              <w:spacing w:after="0"/>
              <w:rPr>
                <w:sz w:val="20"/>
                <w:szCs w:val="20"/>
                <w:color w:val="auto"/>
              </w:rPr>
            </w:pPr>
            <w:r>
              <w:rPr>
                <w:rFonts w:ascii="Arial" w:cs="Arial" w:eastAsia="Arial" w:hAnsi="Arial"/>
                <w:sz w:val="14"/>
                <w:szCs w:val="14"/>
                <w:color w:val="auto"/>
              </w:rPr>
              <w:t>Balance as of January 1, 2021</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883</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23.1</w:t>
            </w:r>
          </w:p>
        </w:tc>
        <w:tc>
          <w:tcPr>
            <w:tcW w:w="10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155,700,834</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20" w:type="dxa"/>
            <w:vAlign w:val="bottom"/>
            <w:shd w:val="clear" w:color="auto" w:fill="CCEEFF"/>
          </w:tcPr>
          <w:p>
            <w:pPr>
              <w:ind w:left="360"/>
              <w:spacing w:after="0"/>
              <w:rPr>
                <w:sz w:val="20"/>
                <w:szCs w:val="20"/>
                <w:color w:val="auto"/>
              </w:rPr>
            </w:pPr>
            <w:r>
              <w:rPr>
                <w:rFonts w:ascii="Arial" w:cs="Arial" w:eastAsia="Arial" w:hAnsi="Arial"/>
                <w:sz w:val="14"/>
                <w:szCs w:val="14"/>
                <w:color w:val="auto"/>
                <w:w w:val="92"/>
              </w:rPr>
              <w:t>(28.4)</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3,167.2</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(507.3)</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2,656.2</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shd w:val="clear" w:color="auto" w:fill="CCEEFF"/>
          </w:tcPr>
          <w:p>
            <w:pPr>
              <w:ind w:left="380"/>
              <w:spacing w:after="0"/>
              <w:rPr>
                <w:sz w:val="20"/>
                <w:szCs w:val="20"/>
                <w:color w:val="auto"/>
              </w:rPr>
            </w:pPr>
            <w:r>
              <w:rPr>
                <w:rFonts w:ascii="Arial" w:cs="Arial" w:eastAsia="Arial" w:hAnsi="Arial"/>
                <w:sz w:val="14"/>
                <w:szCs w:val="14"/>
                <w:color w:val="auto"/>
                <w:w w:val="90"/>
              </w:rPr>
              <w:t>(0.4)</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2,655.8</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000" w:type="dxa"/>
            <w:vAlign w:val="bottom"/>
            <w:gridSpan w:val="2"/>
          </w:tcPr>
          <w:p>
            <w:pPr>
              <w:ind w:left="100"/>
              <w:spacing w:after="0" w:line="129" w:lineRule="exact"/>
              <w:rPr>
                <w:sz w:val="20"/>
                <w:szCs w:val="20"/>
                <w:color w:val="auto"/>
              </w:rPr>
            </w:pPr>
            <w:r>
              <w:rPr>
                <w:rFonts w:ascii="Arial" w:cs="Arial" w:eastAsia="Arial" w:hAnsi="Arial"/>
                <w:sz w:val="14"/>
                <w:szCs w:val="14"/>
                <w:color w:val="auto"/>
              </w:rPr>
              <w:t>Share-based compensation</w:t>
            </w:r>
          </w:p>
        </w:tc>
        <w:tc>
          <w:tcPr>
            <w:tcW w:w="76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76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020" w:type="dxa"/>
            <w:vAlign w:val="bottom"/>
            <w:vMerge w:val="restart"/>
          </w:tcPr>
          <w:p>
            <w:pPr>
              <w:jc w:val="right"/>
              <w:spacing w:after="0"/>
              <w:rPr>
                <w:sz w:val="20"/>
                <w:szCs w:val="20"/>
                <w:color w:val="auto"/>
              </w:rPr>
            </w:pPr>
            <w:r>
              <w:rPr>
                <w:rFonts w:ascii="Arial" w:cs="Arial" w:eastAsia="Arial" w:hAnsi="Arial"/>
                <w:sz w:val="14"/>
                <w:szCs w:val="14"/>
                <w:color w:val="auto"/>
              </w:rPr>
              <w:t>478,107</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820" w:type="dxa"/>
            <w:vAlign w:val="bottom"/>
            <w:gridSpan w:val="2"/>
            <w:vMerge w:val="restart"/>
          </w:tcPr>
          <w:p>
            <w:pPr>
              <w:ind w:left="5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1"/>
                <w:szCs w:val="11"/>
                <w:color w:val="auto"/>
              </w:rPr>
            </w:pPr>
          </w:p>
        </w:tc>
        <w:tc>
          <w:tcPr>
            <w:tcW w:w="700" w:type="dxa"/>
            <w:vAlign w:val="bottom"/>
            <w:vMerge w:val="restart"/>
          </w:tcPr>
          <w:p>
            <w:pPr>
              <w:jc w:val="right"/>
              <w:spacing w:after="0"/>
              <w:rPr>
                <w:sz w:val="20"/>
                <w:szCs w:val="20"/>
                <w:color w:val="auto"/>
              </w:rPr>
            </w:pPr>
            <w:r>
              <w:rPr>
                <w:rFonts w:ascii="Arial" w:cs="Arial" w:eastAsia="Arial" w:hAnsi="Arial"/>
                <w:sz w:val="14"/>
                <w:szCs w:val="14"/>
                <w:color w:val="auto"/>
              </w:rPr>
              <w:t>4.0</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4.0</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gridSpan w:val="2"/>
            <w:vMerge w:val="restart"/>
          </w:tcPr>
          <w:p>
            <w:pPr>
              <w:ind w:left="4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1"/>
                <w:szCs w:val="11"/>
                <w:color w:val="auto"/>
              </w:rPr>
            </w:pPr>
          </w:p>
        </w:tc>
        <w:tc>
          <w:tcPr>
            <w:tcW w:w="700" w:type="dxa"/>
            <w:vAlign w:val="bottom"/>
            <w:vMerge w:val="restart"/>
          </w:tcPr>
          <w:p>
            <w:pPr>
              <w:jc w:val="right"/>
              <w:spacing w:after="0"/>
              <w:rPr>
                <w:sz w:val="20"/>
                <w:szCs w:val="20"/>
                <w:color w:val="auto"/>
              </w:rPr>
            </w:pPr>
            <w:r>
              <w:rPr>
                <w:rFonts w:ascii="Arial" w:cs="Arial" w:eastAsia="Arial" w:hAnsi="Arial"/>
                <w:sz w:val="14"/>
                <w:szCs w:val="14"/>
                <w:color w:val="auto"/>
              </w:rPr>
              <w:t>4.0</w:t>
            </w: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2000" w:type="dxa"/>
            <w:vAlign w:val="bottom"/>
            <w:gridSpan w:val="2"/>
          </w:tcPr>
          <w:p>
            <w:pPr>
              <w:ind w:left="100"/>
              <w:spacing w:after="0"/>
              <w:rPr>
                <w:sz w:val="20"/>
                <w:szCs w:val="20"/>
                <w:color w:val="auto"/>
              </w:rPr>
            </w:pPr>
            <w:r>
              <w:rPr>
                <w:rFonts w:ascii="Arial" w:cs="Arial" w:eastAsia="Arial" w:hAnsi="Arial"/>
                <w:sz w:val="14"/>
                <w:szCs w:val="14"/>
                <w:color w:val="auto"/>
              </w:rPr>
              <w:t>arrangements</w:t>
            </w:r>
          </w:p>
        </w:tc>
        <w:tc>
          <w:tcPr>
            <w:tcW w:w="76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gridSpan w:val="2"/>
            <w:vMerge w:val="continue"/>
          </w:tcPr>
          <w:p>
            <w:pPr>
              <w:spacing w:after="0"/>
              <w:rPr>
                <w:sz w:val="15"/>
                <w:szCs w:val="15"/>
                <w:color w:val="auto"/>
              </w:rPr>
            </w:pPr>
          </w:p>
        </w:tc>
        <w:tc>
          <w:tcPr>
            <w:tcW w:w="10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20" w:type="dxa"/>
            <w:vAlign w:val="bottom"/>
            <w:shd w:val="clear" w:color="auto" w:fill="CCEEFF"/>
          </w:tcPr>
          <w:p>
            <w:pPr>
              <w:spacing w:after="0"/>
              <w:rPr>
                <w:sz w:val="15"/>
                <w:szCs w:val="15"/>
                <w:color w:val="auto"/>
              </w:rPr>
            </w:pPr>
          </w:p>
        </w:tc>
        <w:tc>
          <w:tcPr>
            <w:tcW w:w="200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Share issuance (Note 13)</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w:t>
            </w:r>
          </w:p>
        </w:tc>
        <w:tc>
          <w:tcPr>
            <w:tcW w:w="10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5"/>
                <w:szCs w:val="15"/>
                <w:color w:val="auto"/>
              </w:rPr>
            </w:pPr>
          </w:p>
        </w:tc>
        <w:tc>
          <w:tcPr>
            <w:tcW w:w="820" w:type="dxa"/>
            <w:vAlign w:val="bottom"/>
            <w:gridSpan w:val="2"/>
            <w:shd w:val="clear" w:color="auto" w:fill="CCEEFF"/>
          </w:tcPr>
          <w:p>
            <w:pPr>
              <w:ind w:left="5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gridSpan w:val="2"/>
            <w:shd w:val="clear" w:color="auto" w:fill="CCEEFF"/>
          </w:tcPr>
          <w:p>
            <w:pPr>
              <w:ind w:left="4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000" w:type="dxa"/>
            <w:vAlign w:val="bottom"/>
            <w:gridSpan w:val="2"/>
          </w:tcPr>
          <w:p>
            <w:pPr>
              <w:ind w:left="100"/>
              <w:spacing w:after="0" w:line="129" w:lineRule="exact"/>
              <w:rPr>
                <w:sz w:val="20"/>
                <w:szCs w:val="20"/>
                <w:color w:val="auto"/>
              </w:rPr>
            </w:pPr>
            <w:r>
              <w:rPr>
                <w:rFonts w:ascii="Arial" w:cs="Arial" w:eastAsia="Arial" w:hAnsi="Arial"/>
                <w:sz w:val="14"/>
                <w:szCs w:val="14"/>
                <w:color w:val="auto"/>
              </w:rPr>
              <w:t>Conversion of Preferred Stock</w:t>
            </w:r>
          </w:p>
        </w:tc>
        <w:tc>
          <w:tcPr>
            <w:tcW w:w="660" w:type="dxa"/>
            <w:vAlign w:val="bottom"/>
            <w:vMerge w:val="restart"/>
          </w:tcPr>
          <w:p>
            <w:pPr>
              <w:jc w:val="right"/>
              <w:spacing w:after="0"/>
              <w:rPr>
                <w:sz w:val="20"/>
                <w:szCs w:val="20"/>
                <w:color w:val="auto"/>
              </w:rPr>
            </w:pPr>
            <w:r>
              <w:rPr>
                <w:rFonts w:ascii="Arial" w:cs="Arial" w:eastAsia="Arial" w:hAnsi="Arial"/>
                <w:sz w:val="14"/>
                <w:szCs w:val="14"/>
                <w:color w:val="auto"/>
              </w:rPr>
              <w:t>(151)</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vMerge w:val="restart"/>
          </w:tcPr>
          <w:p>
            <w:pPr>
              <w:jc w:val="right"/>
              <w:spacing w:after="0"/>
              <w:rPr>
                <w:sz w:val="20"/>
                <w:szCs w:val="20"/>
                <w:color w:val="auto"/>
              </w:rPr>
            </w:pPr>
            <w:r>
              <w:rPr>
                <w:rFonts w:ascii="Arial" w:cs="Arial" w:eastAsia="Arial" w:hAnsi="Arial"/>
                <w:sz w:val="14"/>
                <w:szCs w:val="14"/>
                <w:color w:val="auto"/>
              </w:rPr>
              <w:t>(4.0)</w:t>
            </w:r>
          </w:p>
        </w:tc>
        <w:tc>
          <w:tcPr>
            <w:tcW w:w="100" w:type="dxa"/>
            <w:vAlign w:val="bottom"/>
          </w:tcPr>
          <w:p>
            <w:pPr>
              <w:spacing w:after="0"/>
              <w:rPr>
                <w:sz w:val="11"/>
                <w:szCs w:val="11"/>
                <w:color w:val="auto"/>
              </w:rPr>
            </w:pPr>
          </w:p>
        </w:tc>
        <w:tc>
          <w:tcPr>
            <w:tcW w:w="1020" w:type="dxa"/>
            <w:vAlign w:val="bottom"/>
            <w:vMerge w:val="restart"/>
          </w:tcPr>
          <w:p>
            <w:pPr>
              <w:jc w:val="right"/>
              <w:spacing w:after="0"/>
              <w:rPr>
                <w:sz w:val="20"/>
                <w:szCs w:val="20"/>
                <w:color w:val="auto"/>
              </w:rPr>
            </w:pPr>
            <w:r>
              <w:rPr>
                <w:rFonts w:ascii="Arial" w:cs="Arial" w:eastAsia="Arial" w:hAnsi="Arial"/>
                <w:sz w:val="14"/>
                <w:szCs w:val="14"/>
                <w:color w:val="auto"/>
              </w:rPr>
              <w:t>151,200</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820" w:type="dxa"/>
            <w:vAlign w:val="bottom"/>
            <w:gridSpan w:val="2"/>
            <w:vMerge w:val="restart"/>
          </w:tcPr>
          <w:p>
            <w:pPr>
              <w:ind w:left="5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1"/>
                <w:szCs w:val="11"/>
                <w:color w:val="auto"/>
              </w:rPr>
            </w:pPr>
          </w:p>
        </w:tc>
        <w:tc>
          <w:tcPr>
            <w:tcW w:w="700" w:type="dxa"/>
            <w:vAlign w:val="bottom"/>
            <w:vMerge w:val="restart"/>
          </w:tcPr>
          <w:p>
            <w:pPr>
              <w:jc w:val="right"/>
              <w:spacing w:after="0"/>
              <w:rPr>
                <w:sz w:val="20"/>
                <w:szCs w:val="20"/>
                <w:color w:val="auto"/>
              </w:rPr>
            </w:pPr>
            <w:r>
              <w:rPr>
                <w:rFonts w:ascii="Arial" w:cs="Arial" w:eastAsia="Arial" w:hAnsi="Arial"/>
                <w:sz w:val="14"/>
                <w:szCs w:val="14"/>
                <w:color w:val="auto"/>
              </w:rPr>
              <w:t>4.0</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90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760" w:type="dxa"/>
            <w:vAlign w:val="bottom"/>
            <w:gridSpan w:val="2"/>
            <w:vMerge w:val="restart"/>
          </w:tcPr>
          <w:p>
            <w:pPr>
              <w:ind w:left="4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1"/>
                <w:szCs w:val="11"/>
                <w:color w:val="auto"/>
              </w:rPr>
            </w:pPr>
          </w:p>
        </w:tc>
        <w:tc>
          <w:tcPr>
            <w:tcW w:w="7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2000" w:type="dxa"/>
            <w:vAlign w:val="bottom"/>
            <w:gridSpan w:val="2"/>
          </w:tcPr>
          <w:p>
            <w:pPr>
              <w:ind w:left="100"/>
              <w:spacing w:after="0"/>
              <w:rPr>
                <w:sz w:val="20"/>
                <w:szCs w:val="20"/>
                <w:color w:val="auto"/>
              </w:rPr>
            </w:pPr>
            <w:r>
              <w:rPr>
                <w:rFonts w:ascii="Arial" w:cs="Arial" w:eastAsia="Arial" w:hAnsi="Arial"/>
                <w:sz w:val="14"/>
                <w:szCs w:val="14"/>
                <w:color w:val="auto"/>
              </w:rPr>
              <w:t>(Note 13)</w:t>
            </w:r>
          </w:p>
        </w:tc>
        <w:tc>
          <w:tcPr>
            <w:tcW w:w="66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shd w:val="clear" w:color="auto" w:fill="CCEEFF"/>
          </w:tcPr>
          <w:p>
            <w:pPr>
              <w:spacing w:after="0"/>
              <w:rPr>
                <w:sz w:val="15"/>
                <w:szCs w:val="15"/>
                <w:color w:val="auto"/>
              </w:rPr>
            </w:pPr>
          </w:p>
        </w:tc>
        <w:tc>
          <w:tcPr>
            <w:tcW w:w="200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Net income (loss)</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5"/>
                <w:szCs w:val="15"/>
                <w:color w:val="auto"/>
              </w:rPr>
            </w:pPr>
          </w:p>
        </w:tc>
        <w:tc>
          <w:tcPr>
            <w:tcW w:w="820" w:type="dxa"/>
            <w:vAlign w:val="bottom"/>
            <w:gridSpan w:val="2"/>
            <w:shd w:val="clear" w:color="auto" w:fill="CCEEFF"/>
          </w:tcPr>
          <w:p>
            <w:pPr>
              <w:ind w:left="5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91.0</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91.0</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ind w:left="380"/>
              <w:spacing w:after="0"/>
              <w:rPr>
                <w:sz w:val="20"/>
                <w:szCs w:val="20"/>
                <w:color w:val="auto"/>
              </w:rPr>
            </w:pPr>
            <w:r>
              <w:rPr>
                <w:rFonts w:ascii="Arial" w:cs="Arial" w:eastAsia="Arial" w:hAnsi="Arial"/>
                <w:sz w:val="14"/>
                <w:szCs w:val="14"/>
                <w:color w:val="auto"/>
                <w:w w:val="90"/>
              </w:rPr>
              <w:t>(0.1)</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90.9</w:t>
            </w:r>
          </w:p>
        </w:tc>
        <w:tc>
          <w:tcPr>
            <w:tcW w:w="0" w:type="dxa"/>
            <w:vAlign w:val="bottom"/>
          </w:tcPr>
          <w:p>
            <w:pPr>
              <w:spacing w:after="0"/>
              <w:rPr>
                <w:sz w:val="1"/>
                <w:szCs w:val="1"/>
                <w:color w:val="auto"/>
              </w:rPr>
            </w:pPr>
          </w:p>
        </w:tc>
      </w:tr>
      <w:tr>
        <w:trPr>
          <w:trHeight w:val="176"/>
        </w:trPr>
        <w:tc>
          <w:tcPr>
            <w:tcW w:w="2020" w:type="dxa"/>
            <w:vAlign w:val="bottom"/>
            <w:gridSpan w:val="3"/>
          </w:tcPr>
          <w:p>
            <w:pPr>
              <w:ind w:left="20"/>
              <w:spacing w:after="0"/>
              <w:rPr>
                <w:sz w:val="20"/>
                <w:szCs w:val="20"/>
                <w:color w:val="auto"/>
              </w:rPr>
            </w:pPr>
            <w:r>
              <w:rPr>
                <w:rFonts w:ascii="Arial" w:cs="Arial" w:eastAsia="Arial" w:hAnsi="Arial"/>
                <w:sz w:val="14"/>
                <w:szCs w:val="14"/>
                <w:color w:val="auto"/>
              </w:rPr>
              <w:t>Balance as of March 31, 2021</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775</w:t>
            </w:r>
          </w:p>
        </w:tc>
        <w:tc>
          <w:tcPr>
            <w:tcW w:w="100" w:type="dxa"/>
            <w:vAlign w:val="bottom"/>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24.2</w:t>
            </w:r>
          </w:p>
        </w:tc>
        <w:tc>
          <w:tcPr>
            <w:tcW w:w="100" w:type="dxa"/>
            <w:vAlign w:val="bottom"/>
          </w:tcPr>
          <w:p>
            <w:pPr>
              <w:spacing w:after="0"/>
              <w:rPr>
                <w:sz w:val="15"/>
                <w:szCs w:val="15"/>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156,330,141</w:t>
            </w:r>
          </w:p>
        </w:tc>
        <w:tc>
          <w:tcPr>
            <w:tcW w:w="10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1.6</w:t>
            </w:r>
          </w:p>
        </w:tc>
        <w:tc>
          <w:tcPr>
            <w:tcW w:w="10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720" w:type="dxa"/>
            <w:vAlign w:val="bottom"/>
            <w:tcBorders>
              <w:top w:val="single" w:sz="8" w:color="auto"/>
              <w:bottom w:val="single" w:sz="8" w:color="auto"/>
            </w:tcBorders>
          </w:tcPr>
          <w:p>
            <w:pPr>
              <w:ind w:left="360"/>
              <w:spacing w:after="0"/>
              <w:rPr>
                <w:sz w:val="20"/>
                <w:szCs w:val="20"/>
                <w:color w:val="auto"/>
              </w:rPr>
            </w:pPr>
            <w:r>
              <w:rPr>
                <w:rFonts w:ascii="Arial" w:cs="Arial" w:eastAsia="Arial" w:hAnsi="Arial"/>
                <w:sz w:val="14"/>
                <w:szCs w:val="14"/>
                <w:color w:val="auto"/>
                <w:w w:val="92"/>
              </w:rPr>
              <w:t>(28.4)</w:t>
            </w:r>
          </w:p>
        </w:tc>
        <w:tc>
          <w:tcPr>
            <w:tcW w:w="100" w:type="dxa"/>
            <w:vAlign w:val="bottom"/>
          </w:tcPr>
          <w:p>
            <w:pPr>
              <w:spacing w:after="0"/>
              <w:rPr>
                <w:sz w:val="15"/>
                <w:szCs w:val="15"/>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3,175.2</w:t>
            </w:r>
          </w:p>
        </w:tc>
        <w:tc>
          <w:tcPr>
            <w:tcW w:w="100" w:type="dxa"/>
            <w:vAlign w:val="bottom"/>
          </w:tcPr>
          <w:p>
            <w:pPr>
              <w:spacing w:after="0"/>
              <w:rPr>
                <w:sz w:val="15"/>
                <w:szCs w:val="15"/>
                <w:color w:val="auto"/>
              </w:rPr>
            </w:pPr>
          </w:p>
        </w:tc>
        <w:tc>
          <w:tcPr>
            <w:tcW w:w="1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(416.3)</w:t>
            </w:r>
          </w:p>
        </w:tc>
        <w:tc>
          <w:tcPr>
            <w:tcW w:w="120" w:type="dxa"/>
            <w:vAlign w:val="bottom"/>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2,756.3</w:t>
            </w:r>
          </w:p>
        </w:tc>
        <w:tc>
          <w:tcPr>
            <w:tcW w:w="10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tcBorders>
              <w:top w:val="single" w:sz="8" w:color="auto"/>
              <w:bottom w:val="single" w:sz="8" w:color="auto"/>
            </w:tcBorders>
          </w:tcPr>
          <w:p>
            <w:pPr>
              <w:ind w:left="380"/>
              <w:spacing w:after="0"/>
              <w:rPr>
                <w:sz w:val="20"/>
                <w:szCs w:val="20"/>
                <w:color w:val="auto"/>
              </w:rPr>
            </w:pPr>
            <w:r>
              <w:rPr>
                <w:rFonts w:ascii="Arial" w:cs="Arial" w:eastAsia="Arial" w:hAnsi="Arial"/>
                <w:sz w:val="14"/>
                <w:szCs w:val="14"/>
                <w:color w:val="auto"/>
                <w:w w:val="90"/>
              </w:rPr>
              <w:t>(0.5)</w:t>
            </w:r>
          </w:p>
        </w:tc>
        <w:tc>
          <w:tcPr>
            <w:tcW w:w="100" w:type="dxa"/>
            <w:vAlign w:val="bottom"/>
          </w:tcPr>
          <w:p>
            <w:pPr>
              <w:spacing w:after="0"/>
              <w:rPr>
                <w:sz w:val="15"/>
                <w:szCs w:val="15"/>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2,755.8</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54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20" w:type="dxa"/>
            <w:vAlign w:val="bottom"/>
            <w:shd w:val="clear" w:color="auto" w:fill="CCEEFF"/>
          </w:tcPr>
          <w:p>
            <w:pPr>
              <w:spacing w:after="0"/>
              <w:rPr>
                <w:sz w:val="14"/>
                <w:szCs w:val="14"/>
                <w:color w:val="auto"/>
              </w:rPr>
            </w:pPr>
          </w:p>
        </w:tc>
        <w:tc>
          <w:tcPr>
            <w:tcW w:w="154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7"/>
        </w:trPr>
        <w:tc>
          <w:tcPr>
            <w:tcW w:w="2020" w:type="dxa"/>
            <w:vAlign w:val="bottom"/>
            <w:gridSpan w:val="3"/>
          </w:tcPr>
          <w:p>
            <w:pPr>
              <w:ind w:left="20"/>
              <w:spacing w:after="0"/>
              <w:rPr>
                <w:sz w:val="20"/>
                <w:szCs w:val="20"/>
                <w:color w:val="auto"/>
              </w:rPr>
            </w:pPr>
            <w:r>
              <w:rPr>
                <w:rFonts w:ascii="Arial" w:cs="Arial" w:eastAsia="Arial" w:hAnsi="Arial"/>
                <w:sz w:val="14"/>
                <w:szCs w:val="14"/>
                <w:color w:val="auto"/>
              </w:rPr>
              <w:t>Balance as of January 1, 2020</w:t>
            </w:r>
          </w:p>
        </w:tc>
        <w:tc>
          <w:tcPr>
            <w:tcW w:w="7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115,958,259</w:t>
            </w:r>
          </w:p>
        </w:tc>
        <w:tc>
          <w:tcPr>
            <w:tcW w:w="10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1.2</w:t>
            </w:r>
          </w:p>
        </w:tc>
        <w:tc>
          <w:tcPr>
            <w:tcW w:w="10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20" w:type="dxa"/>
            <w:vAlign w:val="bottom"/>
          </w:tcPr>
          <w:p>
            <w:pPr>
              <w:ind w:left="360"/>
              <w:spacing w:after="0"/>
              <w:rPr>
                <w:sz w:val="20"/>
                <w:szCs w:val="20"/>
                <w:color w:val="auto"/>
              </w:rPr>
            </w:pPr>
            <w:r>
              <w:rPr>
                <w:rFonts w:ascii="Arial" w:cs="Arial" w:eastAsia="Arial" w:hAnsi="Arial"/>
                <w:sz w:val="14"/>
                <w:szCs w:val="14"/>
                <w:color w:val="auto"/>
                <w:w w:val="92"/>
              </w:rPr>
              <w:t>(28.4)</w:t>
            </w:r>
          </w:p>
        </w:tc>
        <w:tc>
          <w:tcPr>
            <w:tcW w:w="10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1,718.3</w:t>
            </w:r>
          </w:p>
        </w:tc>
        <w:tc>
          <w:tcPr>
            <w:tcW w:w="100" w:type="dxa"/>
            <w:vAlign w:val="bottom"/>
          </w:tcPr>
          <w:p>
            <w:pPr>
              <w:spacing w:after="0"/>
              <w:rPr>
                <w:sz w:val="15"/>
                <w:szCs w:val="15"/>
                <w:color w:val="auto"/>
              </w:rPr>
            </w:pPr>
          </w:p>
        </w:tc>
        <w:tc>
          <w:tcPr>
            <w:tcW w:w="140" w:type="dxa"/>
            <w:vAlign w:val="bottom"/>
          </w:tcPr>
          <w:p>
            <w:pPr>
              <w:ind w:left="20"/>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161.6</w:t>
            </w:r>
          </w:p>
        </w:tc>
        <w:tc>
          <w:tcPr>
            <w:tcW w:w="12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1,852.7</w:t>
            </w:r>
          </w:p>
        </w:tc>
        <w:tc>
          <w:tcPr>
            <w:tcW w:w="10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tcPr>
          <w:p>
            <w:pPr>
              <w:ind w:left="380"/>
              <w:spacing w:after="0"/>
              <w:rPr>
                <w:sz w:val="20"/>
                <w:szCs w:val="20"/>
                <w:color w:val="auto"/>
              </w:rPr>
            </w:pPr>
            <w:r>
              <w:rPr>
                <w:rFonts w:ascii="Arial" w:cs="Arial" w:eastAsia="Arial" w:hAnsi="Arial"/>
                <w:sz w:val="14"/>
                <w:szCs w:val="14"/>
                <w:color w:val="auto"/>
                <w:w w:val="90"/>
              </w:rPr>
              <w:t>(0.8)</w:t>
            </w:r>
          </w:p>
        </w:tc>
        <w:tc>
          <w:tcPr>
            <w:tcW w:w="10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1,851.9</w:t>
            </w:r>
          </w:p>
        </w:tc>
        <w:tc>
          <w:tcPr>
            <w:tcW w:w="0" w:type="dxa"/>
            <w:vAlign w:val="bottom"/>
          </w:tcPr>
          <w:p>
            <w:pPr>
              <w:spacing w:after="0"/>
              <w:rPr>
                <w:sz w:val="1"/>
                <w:szCs w:val="1"/>
                <w:color w:val="auto"/>
              </w:rPr>
            </w:pPr>
          </w:p>
        </w:tc>
      </w:tr>
      <w:tr>
        <w:trPr>
          <w:trHeight w:val="132"/>
        </w:trPr>
        <w:tc>
          <w:tcPr>
            <w:tcW w:w="20" w:type="dxa"/>
            <w:vAlign w:val="bottom"/>
            <w:shd w:val="clear" w:color="auto" w:fill="CCEEFF"/>
          </w:tcPr>
          <w:p>
            <w:pPr>
              <w:spacing w:after="0"/>
              <w:rPr>
                <w:sz w:val="11"/>
                <w:szCs w:val="11"/>
                <w:color w:val="auto"/>
              </w:rPr>
            </w:pPr>
          </w:p>
        </w:tc>
        <w:tc>
          <w:tcPr>
            <w:tcW w:w="2000" w:type="dxa"/>
            <w:vAlign w:val="bottom"/>
            <w:gridSpan w:val="2"/>
            <w:shd w:val="clear" w:color="auto" w:fill="CCEEFF"/>
          </w:tcPr>
          <w:p>
            <w:pPr>
              <w:ind w:left="100"/>
              <w:spacing w:after="0" w:line="132" w:lineRule="exact"/>
              <w:rPr>
                <w:sz w:val="20"/>
                <w:szCs w:val="20"/>
                <w:color w:val="auto"/>
              </w:rPr>
            </w:pPr>
            <w:r>
              <w:rPr>
                <w:rFonts w:ascii="Arial" w:cs="Arial" w:eastAsia="Arial" w:hAnsi="Arial"/>
                <w:sz w:val="14"/>
                <w:szCs w:val="14"/>
                <w:color w:val="auto"/>
              </w:rPr>
              <w:t>Share-based compensation</w:t>
            </w:r>
          </w:p>
        </w:tc>
        <w:tc>
          <w:tcPr>
            <w:tcW w:w="7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1"/>
                <w:szCs w:val="11"/>
                <w:color w:val="auto"/>
              </w:rPr>
            </w:pPr>
          </w:p>
        </w:tc>
        <w:tc>
          <w:tcPr>
            <w:tcW w:w="7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835,463</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1"/>
                <w:szCs w:val="11"/>
                <w:color w:val="auto"/>
              </w:rPr>
            </w:pPr>
          </w:p>
        </w:tc>
        <w:tc>
          <w:tcPr>
            <w:tcW w:w="820" w:type="dxa"/>
            <w:vAlign w:val="bottom"/>
            <w:gridSpan w:val="2"/>
            <w:vMerge w:val="restart"/>
            <w:shd w:val="clear" w:color="auto" w:fill="CCEEFF"/>
          </w:tcPr>
          <w:p>
            <w:pPr>
              <w:ind w:left="5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1"/>
                <w:szCs w:val="11"/>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10.6</w:t>
            </w: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1"/>
                <w:szCs w:val="11"/>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10.6</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gridSpan w:val="2"/>
            <w:vMerge w:val="restart"/>
            <w:shd w:val="clear" w:color="auto" w:fill="CCEEFF"/>
          </w:tcPr>
          <w:p>
            <w:pPr>
              <w:ind w:left="4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1"/>
                <w:szCs w:val="11"/>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10.6</w:t>
            </w:r>
          </w:p>
        </w:tc>
        <w:tc>
          <w:tcPr>
            <w:tcW w:w="0" w:type="dxa"/>
            <w:vAlign w:val="bottom"/>
          </w:tcPr>
          <w:p>
            <w:pPr>
              <w:spacing w:after="0"/>
              <w:rPr>
                <w:sz w:val="1"/>
                <w:szCs w:val="1"/>
                <w:color w:val="auto"/>
              </w:rPr>
            </w:pPr>
          </w:p>
        </w:tc>
      </w:tr>
      <w:tr>
        <w:trPr>
          <w:trHeight w:val="180"/>
        </w:trPr>
        <w:tc>
          <w:tcPr>
            <w:tcW w:w="20" w:type="dxa"/>
            <w:vAlign w:val="bottom"/>
            <w:shd w:val="clear" w:color="auto" w:fill="CCEEFF"/>
          </w:tcPr>
          <w:p>
            <w:pPr>
              <w:spacing w:after="0"/>
              <w:rPr>
                <w:sz w:val="15"/>
                <w:szCs w:val="15"/>
                <w:color w:val="auto"/>
              </w:rPr>
            </w:pPr>
          </w:p>
        </w:tc>
        <w:tc>
          <w:tcPr>
            <w:tcW w:w="200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arrangements</w:t>
            </w:r>
          </w:p>
        </w:tc>
        <w:tc>
          <w:tcPr>
            <w:tcW w:w="76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gridSpan w:val="2"/>
            <w:vMerge w:val="continue"/>
            <w:shd w:val="clear" w:color="auto" w:fill="CCEEFF"/>
          </w:tcPr>
          <w:p>
            <w:pPr>
              <w:spacing w:after="0"/>
              <w:rPr>
                <w:sz w:val="15"/>
                <w:szCs w:val="15"/>
                <w:color w:val="auto"/>
              </w:rPr>
            </w:pPr>
          </w:p>
        </w:tc>
        <w:tc>
          <w:tcPr>
            <w:tcW w:w="102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gridSpan w:val="2"/>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gridSpan w:val="2"/>
            <w:vMerge w:val="continue"/>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0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6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gridSpan w:val="2"/>
            <w:vMerge w:val="continue"/>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0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000" w:type="dxa"/>
            <w:vAlign w:val="bottom"/>
            <w:gridSpan w:val="2"/>
          </w:tcPr>
          <w:p>
            <w:pPr>
              <w:ind w:left="100"/>
              <w:spacing w:after="0" w:line="129" w:lineRule="exact"/>
              <w:rPr>
                <w:sz w:val="20"/>
                <w:szCs w:val="20"/>
                <w:color w:val="auto"/>
              </w:rPr>
            </w:pPr>
            <w:r>
              <w:rPr>
                <w:rFonts w:ascii="Arial" w:cs="Arial" w:eastAsia="Arial" w:hAnsi="Arial"/>
                <w:sz w:val="14"/>
                <w:szCs w:val="14"/>
                <w:color w:val="auto"/>
                <w:w w:val="91"/>
              </w:rPr>
              <w:t>Barstool Sports Investment (Note</w:t>
            </w:r>
          </w:p>
        </w:tc>
        <w:tc>
          <w:tcPr>
            <w:tcW w:w="660" w:type="dxa"/>
            <w:vAlign w:val="bottom"/>
            <w:vMerge w:val="restart"/>
          </w:tcPr>
          <w:p>
            <w:pPr>
              <w:jc w:val="right"/>
              <w:spacing w:after="0"/>
              <w:rPr>
                <w:sz w:val="20"/>
                <w:szCs w:val="20"/>
                <w:color w:val="auto"/>
              </w:rPr>
            </w:pPr>
            <w:r>
              <w:rPr>
                <w:rFonts w:ascii="Arial" w:cs="Arial" w:eastAsia="Arial" w:hAnsi="Arial"/>
                <w:sz w:val="14"/>
                <w:szCs w:val="14"/>
                <w:color w:val="auto"/>
              </w:rPr>
              <w:t>883</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vMerge w:val="restart"/>
          </w:tcPr>
          <w:p>
            <w:pPr>
              <w:jc w:val="right"/>
              <w:spacing w:after="0"/>
              <w:rPr>
                <w:sz w:val="20"/>
                <w:szCs w:val="20"/>
                <w:color w:val="auto"/>
              </w:rPr>
            </w:pPr>
            <w:r>
              <w:rPr>
                <w:rFonts w:ascii="Arial" w:cs="Arial" w:eastAsia="Arial" w:hAnsi="Arial"/>
                <w:sz w:val="14"/>
                <w:szCs w:val="14"/>
                <w:color w:val="auto"/>
              </w:rPr>
              <w:t>23.1</w:t>
            </w:r>
          </w:p>
        </w:tc>
        <w:tc>
          <w:tcPr>
            <w:tcW w:w="100" w:type="dxa"/>
            <w:vAlign w:val="bottom"/>
          </w:tcPr>
          <w:p>
            <w:pPr>
              <w:spacing w:after="0"/>
              <w:rPr>
                <w:sz w:val="11"/>
                <w:szCs w:val="11"/>
                <w:color w:val="auto"/>
              </w:rPr>
            </w:pPr>
          </w:p>
        </w:tc>
        <w:tc>
          <w:tcPr>
            <w:tcW w:w="112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76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820" w:type="dxa"/>
            <w:vAlign w:val="bottom"/>
            <w:gridSpan w:val="2"/>
            <w:vMerge w:val="restart"/>
          </w:tcPr>
          <w:p>
            <w:pPr>
              <w:ind w:left="5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1"/>
                <w:szCs w:val="11"/>
                <w:color w:val="auto"/>
              </w:rPr>
            </w:pPr>
          </w:p>
        </w:tc>
        <w:tc>
          <w:tcPr>
            <w:tcW w:w="80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1"/>
                <w:szCs w:val="11"/>
                <w:color w:val="auto"/>
              </w:rPr>
            </w:pPr>
          </w:p>
        </w:tc>
        <w:tc>
          <w:tcPr>
            <w:tcW w:w="86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23.1</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gridSpan w:val="2"/>
            <w:vMerge w:val="restart"/>
          </w:tcPr>
          <w:p>
            <w:pPr>
              <w:ind w:left="4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1"/>
                <w:szCs w:val="11"/>
                <w:color w:val="auto"/>
              </w:rPr>
            </w:pPr>
          </w:p>
        </w:tc>
        <w:tc>
          <w:tcPr>
            <w:tcW w:w="700" w:type="dxa"/>
            <w:vAlign w:val="bottom"/>
            <w:vMerge w:val="restart"/>
          </w:tcPr>
          <w:p>
            <w:pPr>
              <w:jc w:val="right"/>
              <w:spacing w:after="0"/>
              <w:rPr>
                <w:sz w:val="20"/>
                <w:szCs w:val="20"/>
                <w:color w:val="auto"/>
              </w:rPr>
            </w:pPr>
            <w:r>
              <w:rPr>
                <w:rFonts w:ascii="Arial" w:cs="Arial" w:eastAsia="Arial" w:hAnsi="Arial"/>
                <w:sz w:val="14"/>
                <w:szCs w:val="14"/>
                <w:color w:val="auto"/>
              </w:rPr>
              <w:t>23.1</w:t>
            </w:r>
          </w:p>
        </w:tc>
        <w:tc>
          <w:tcPr>
            <w:tcW w:w="0" w:type="dxa"/>
            <w:vAlign w:val="bottom"/>
          </w:tcPr>
          <w:p>
            <w:pPr>
              <w:spacing w:after="0"/>
              <w:rPr>
                <w:sz w:val="1"/>
                <w:szCs w:val="1"/>
                <w:color w:val="auto"/>
              </w:rPr>
            </w:pPr>
          </w:p>
        </w:tc>
      </w:tr>
      <w:tr>
        <w:trPr>
          <w:trHeight w:val="177"/>
        </w:trPr>
        <w:tc>
          <w:tcPr>
            <w:tcW w:w="1560" w:type="dxa"/>
            <w:vAlign w:val="bottom"/>
            <w:gridSpan w:val="2"/>
          </w:tcPr>
          <w:p>
            <w:pPr>
              <w:ind w:left="120"/>
              <w:spacing w:after="0"/>
              <w:rPr>
                <w:sz w:val="20"/>
                <w:szCs w:val="20"/>
                <w:color w:val="auto"/>
              </w:rPr>
            </w:pPr>
            <w:r>
              <w:rPr>
                <w:rFonts w:ascii="Arial" w:cs="Arial" w:eastAsia="Arial" w:hAnsi="Arial"/>
                <w:sz w:val="14"/>
                <w:szCs w:val="14"/>
                <w:color w:val="auto"/>
              </w:rPr>
              <w:t>10)</w:t>
            </w:r>
          </w:p>
        </w:tc>
        <w:tc>
          <w:tcPr>
            <w:tcW w:w="460" w:type="dxa"/>
            <w:vAlign w:val="bottom"/>
          </w:tcPr>
          <w:p>
            <w:pPr>
              <w:spacing w:after="0"/>
              <w:rPr>
                <w:sz w:val="15"/>
                <w:szCs w:val="15"/>
                <w:color w:val="auto"/>
              </w:rPr>
            </w:pPr>
          </w:p>
        </w:tc>
        <w:tc>
          <w:tcPr>
            <w:tcW w:w="66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32"/>
        </w:trPr>
        <w:tc>
          <w:tcPr>
            <w:tcW w:w="20" w:type="dxa"/>
            <w:vAlign w:val="bottom"/>
            <w:shd w:val="clear" w:color="auto" w:fill="CCEEFF"/>
          </w:tcPr>
          <w:p>
            <w:pPr>
              <w:spacing w:after="0"/>
              <w:rPr>
                <w:sz w:val="11"/>
                <w:szCs w:val="11"/>
                <w:color w:val="auto"/>
              </w:rPr>
            </w:pPr>
          </w:p>
        </w:tc>
        <w:tc>
          <w:tcPr>
            <w:tcW w:w="2000" w:type="dxa"/>
            <w:vAlign w:val="bottom"/>
            <w:gridSpan w:val="2"/>
            <w:shd w:val="clear" w:color="auto" w:fill="CCEEFF"/>
          </w:tcPr>
          <w:p>
            <w:pPr>
              <w:ind w:left="100"/>
              <w:spacing w:after="0" w:line="132" w:lineRule="exact"/>
              <w:rPr>
                <w:sz w:val="20"/>
                <w:szCs w:val="20"/>
                <w:color w:val="auto"/>
              </w:rPr>
            </w:pPr>
            <w:r>
              <w:rPr>
                <w:rFonts w:ascii="Arial" w:cs="Arial" w:eastAsia="Arial" w:hAnsi="Arial"/>
                <w:sz w:val="14"/>
                <w:szCs w:val="14"/>
                <w:color w:val="auto"/>
              </w:rPr>
              <w:t>Cumulative-effect adjustment</w:t>
            </w:r>
          </w:p>
        </w:tc>
        <w:tc>
          <w:tcPr>
            <w:tcW w:w="7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1"/>
                <w:szCs w:val="11"/>
                <w:color w:val="auto"/>
              </w:rPr>
            </w:pPr>
          </w:p>
        </w:tc>
        <w:tc>
          <w:tcPr>
            <w:tcW w:w="7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1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1"/>
                <w:szCs w:val="11"/>
                <w:color w:val="auto"/>
              </w:rPr>
            </w:pPr>
          </w:p>
        </w:tc>
        <w:tc>
          <w:tcPr>
            <w:tcW w:w="7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1"/>
                <w:szCs w:val="11"/>
                <w:color w:val="auto"/>
              </w:rPr>
            </w:pPr>
          </w:p>
        </w:tc>
        <w:tc>
          <w:tcPr>
            <w:tcW w:w="820" w:type="dxa"/>
            <w:vAlign w:val="bottom"/>
            <w:gridSpan w:val="2"/>
            <w:vMerge w:val="restart"/>
            <w:shd w:val="clear" w:color="auto" w:fill="CCEEFF"/>
          </w:tcPr>
          <w:p>
            <w:pPr>
              <w:ind w:left="5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1"/>
                <w:szCs w:val="11"/>
                <w:color w:val="auto"/>
              </w:rPr>
            </w:pPr>
          </w:p>
        </w:tc>
        <w:tc>
          <w:tcPr>
            <w:tcW w:w="8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1"/>
                <w:szCs w:val="11"/>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0.6</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0.6</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gridSpan w:val="2"/>
            <w:vMerge w:val="restart"/>
            <w:shd w:val="clear" w:color="auto" w:fill="CCEEFF"/>
          </w:tcPr>
          <w:p>
            <w:pPr>
              <w:ind w:left="4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1"/>
                <w:szCs w:val="11"/>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0.6</w:t>
            </w:r>
          </w:p>
        </w:tc>
        <w:tc>
          <w:tcPr>
            <w:tcW w:w="0" w:type="dxa"/>
            <w:vAlign w:val="bottom"/>
          </w:tcPr>
          <w:p>
            <w:pPr>
              <w:spacing w:after="0"/>
              <w:rPr>
                <w:sz w:val="1"/>
                <w:szCs w:val="1"/>
                <w:color w:val="auto"/>
              </w:rPr>
            </w:pPr>
          </w:p>
        </w:tc>
      </w:tr>
      <w:tr>
        <w:trPr>
          <w:trHeight w:val="180"/>
        </w:trPr>
        <w:tc>
          <w:tcPr>
            <w:tcW w:w="20" w:type="dxa"/>
            <w:vAlign w:val="bottom"/>
            <w:shd w:val="clear" w:color="auto" w:fill="CCEEFF"/>
          </w:tcPr>
          <w:p>
            <w:pPr>
              <w:spacing w:after="0"/>
              <w:rPr>
                <w:sz w:val="15"/>
                <w:szCs w:val="15"/>
                <w:color w:val="auto"/>
              </w:rPr>
            </w:pPr>
          </w:p>
        </w:tc>
        <w:tc>
          <w:tcPr>
            <w:tcW w:w="200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w w:val="97"/>
              </w:rPr>
              <w:t>upon adoption of ASU 2016-13</w:t>
            </w:r>
          </w:p>
        </w:tc>
        <w:tc>
          <w:tcPr>
            <w:tcW w:w="76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gridSpan w:val="2"/>
            <w:vMerge w:val="continue"/>
            <w:shd w:val="clear" w:color="auto" w:fill="CCEEFF"/>
          </w:tcPr>
          <w:p>
            <w:pPr>
              <w:spacing w:after="0"/>
              <w:rPr>
                <w:sz w:val="15"/>
                <w:szCs w:val="15"/>
                <w:color w:val="auto"/>
              </w:rPr>
            </w:pPr>
          </w:p>
        </w:tc>
        <w:tc>
          <w:tcPr>
            <w:tcW w:w="1120" w:type="dxa"/>
            <w:vAlign w:val="bottom"/>
            <w:gridSpan w:val="2"/>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gridSpan w:val="2"/>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gridSpan w:val="2"/>
            <w:vMerge w:val="continue"/>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0" w:type="dxa"/>
            <w:vAlign w:val="bottom"/>
            <w:gridSpan w:val="2"/>
            <w:vMerge w:val="continue"/>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40" w:type="dxa"/>
            <w:vAlign w:val="bottom"/>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gridSpan w:val="2"/>
            <w:vMerge w:val="continue"/>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0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2000" w:type="dxa"/>
            <w:vAlign w:val="bottom"/>
            <w:gridSpan w:val="2"/>
          </w:tcPr>
          <w:p>
            <w:pPr>
              <w:ind w:left="100"/>
              <w:spacing w:after="0"/>
              <w:rPr>
                <w:sz w:val="20"/>
                <w:szCs w:val="20"/>
                <w:color w:val="auto"/>
              </w:rPr>
            </w:pPr>
            <w:r>
              <w:rPr>
                <w:rFonts w:ascii="Arial" w:cs="Arial" w:eastAsia="Arial" w:hAnsi="Arial"/>
                <w:sz w:val="14"/>
                <w:szCs w:val="14"/>
                <w:color w:val="auto"/>
              </w:rPr>
              <w:t>Net Loss</w:t>
            </w:r>
          </w:p>
        </w:tc>
        <w:tc>
          <w:tcPr>
            <w:tcW w:w="7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1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820" w:type="dxa"/>
            <w:vAlign w:val="bottom"/>
            <w:gridSpan w:val="2"/>
          </w:tcPr>
          <w:p>
            <w:pPr>
              <w:ind w:left="5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(608.6)</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(608.6)</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gridSpan w:val="2"/>
          </w:tcPr>
          <w:p>
            <w:pPr>
              <w:ind w:left="4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(608.6)</w:t>
            </w:r>
          </w:p>
        </w:tc>
        <w:tc>
          <w:tcPr>
            <w:tcW w:w="0" w:type="dxa"/>
            <w:vAlign w:val="bottom"/>
          </w:tcPr>
          <w:p>
            <w:pPr>
              <w:spacing w:after="0"/>
              <w:rPr>
                <w:sz w:val="1"/>
                <w:szCs w:val="1"/>
                <w:color w:val="auto"/>
              </w:rPr>
            </w:pPr>
          </w:p>
        </w:tc>
      </w:tr>
      <w:tr>
        <w:trPr>
          <w:trHeight w:val="201"/>
        </w:trPr>
        <w:tc>
          <w:tcPr>
            <w:tcW w:w="2020" w:type="dxa"/>
            <w:vAlign w:val="bottom"/>
            <w:tcBorders>
              <w:top w:val="single" w:sz="8" w:color="CCEEFF"/>
              <w:bottom w:val="single" w:sz="8" w:color="CCEEFF"/>
            </w:tcBorders>
            <w:gridSpan w:val="3"/>
            <w:shd w:val="clear" w:color="auto" w:fill="CCEEFF"/>
          </w:tcPr>
          <w:p>
            <w:pPr>
              <w:ind w:left="20"/>
              <w:spacing w:after="0"/>
              <w:rPr>
                <w:sz w:val="20"/>
                <w:szCs w:val="20"/>
                <w:color w:val="auto"/>
              </w:rPr>
            </w:pPr>
            <w:r>
              <w:rPr>
                <w:rFonts w:ascii="Arial" w:cs="Arial" w:eastAsia="Arial" w:hAnsi="Arial"/>
                <w:sz w:val="14"/>
                <w:szCs w:val="14"/>
                <w:color w:val="auto"/>
              </w:rPr>
              <w:t>Balance as of March 31, 2020</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883</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23.1</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116,793,722</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20" w:type="dxa"/>
            <w:vAlign w:val="bottom"/>
            <w:tcBorders>
              <w:top w:val="single" w:sz="8" w:color="auto"/>
              <w:bottom w:val="single" w:sz="8" w:color="auto"/>
            </w:tcBorders>
            <w:shd w:val="clear" w:color="auto" w:fill="CCEEFF"/>
          </w:tcPr>
          <w:p>
            <w:pPr>
              <w:ind w:left="360"/>
              <w:spacing w:after="0"/>
              <w:rPr>
                <w:sz w:val="20"/>
                <w:szCs w:val="20"/>
                <w:color w:val="auto"/>
              </w:rPr>
            </w:pPr>
            <w:r>
              <w:rPr>
                <w:rFonts w:ascii="Arial" w:cs="Arial" w:eastAsia="Arial" w:hAnsi="Arial"/>
                <w:sz w:val="14"/>
                <w:szCs w:val="14"/>
                <w:color w:val="auto"/>
                <w:w w:val="92"/>
              </w:rPr>
              <w:t>(28.4)</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1,728.9</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(446.4)</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1,278.4</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tcBorders>
              <w:top w:val="single" w:sz="8" w:color="auto"/>
              <w:bottom w:val="single" w:sz="8" w:color="auto"/>
            </w:tcBorders>
            <w:shd w:val="clear" w:color="auto" w:fill="CCEEFF"/>
          </w:tcPr>
          <w:p>
            <w:pPr>
              <w:ind w:left="380"/>
              <w:spacing w:after="0"/>
              <w:rPr>
                <w:sz w:val="20"/>
                <w:szCs w:val="20"/>
                <w:color w:val="auto"/>
              </w:rPr>
            </w:pPr>
            <w:r>
              <w:rPr>
                <w:rFonts w:ascii="Arial" w:cs="Arial" w:eastAsia="Arial" w:hAnsi="Arial"/>
                <w:sz w:val="14"/>
                <w:szCs w:val="14"/>
                <w:color w:val="auto"/>
                <w:w w:val="90"/>
              </w:rPr>
              <w:t>(0.8)</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1,277.6</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See accompanying 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173990</wp:posOffset>
            </wp:positionV>
            <wp:extent cx="7164070" cy="419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5" w:name="page6"/>
    <w:bookmarkEnd w:id="5"/>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PENN NATIONAL GAMING, INC. AND SUBSIDIARIES</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CONSOLIDATED STATEMENTS OF CASH FLOWS</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(UNAUDITED)</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820" w:type="dxa"/>
            <w:vAlign w:val="bottom"/>
          </w:tcPr>
          <w:p>
            <w:pPr>
              <w:spacing w:after="0"/>
              <w:rPr>
                <w:sz w:val="16"/>
                <w:szCs w:val="16"/>
                <w:color w:val="auto"/>
              </w:rPr>
            </w:pPr>
          </w:p>
        </w:tc>
        <w:tc>
          <w:tcPr>
            <w:tcW w:w="2620" w:type="dxa"/>
            <w:vAlign w:val="bottom"/>
            <w:gridSpan w:val="5"/>
          </w:tcPr>
          <w:p>
            <w:pPr>
              <w:ind w:left="20"/>
              <w:spacing w:after="0"/>
              <w:rPr>
                <w:sz w:val="20"/>
                <w:szCs w:val="20"/>
                <w:color w:val="auto"/>
              </w:rPr>
            </w:pPr>
            <w:r>
              <w:rPr>
                <w:rFonts w:ascii="Arial" w:cs="Arial" w:eastAsia="Arial" w:hAnsi="Arial"/>
                <w:sz w:val="17"/>
                <w:szCs w:val="17"/>
                <w:b w:val="1"/>
                <w:bCs w:val="1"/>
                <w:color w:val="auto"/>
                <w:w w:val="92"/>
              </w:rPr>
              <w:t>For the three months ended March</w:t>
            </w:r>
          </w:p>
        </w:tc>
      </w:tr>
      <w:tr>
        <w:trPr>
          <w:trHeight w:val="219"/>
        </w:trPr>
        <w:tc>
          <w:tcPr>
            <w:tcW w:w="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8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gridSpan w:val="3"/>
          </w:tcPr>
          <w:p>
            <w:pPr>
              <w:jc w:val="right"/>
              <w:ind w:right="143"/>
              <w:spacing w:after="0"/>
              <w:rPr>
                <w:sz w:val="20"/>
                <w:szCs w:val="20"/>
                <w:color w:val="auto"/>
              </w:rPr>
            </w:pPr>
            <w:r>
              <w:rPr>
                <w:rFonts w:ascii="Arial" w:cs="Arial" w:eastAsia="Arial" w:hAnsi="Arial"/>
                <w:sz w:val="17"/>
                <w:szCs w:val="17"/>
                <w:b w:val="1"/>
                <w:bCs w:val="1"/>
                <w:color w:val="auto"/>
              </w:rPr>
              <w:t>31,</w:t>
            </w:r>
          </w:p>
        </w:tc>
        <w:tc>
          <w:tcPr>
            <w:tcW w:w="980" w:type="dxa"/>
            <w:vAlign w:val="bottom"/>
            <w:tcBorders>
              <w:bottom w:val="single" w:sz="8" w:color="auto"/>
            </w:tcBorders>
          </w:tcPr>
          <w:p>
            <w:pPr>
              <w:spacing w:after="0"/>
              <w:rPr>
                <w:sz w:val="19"/>
                <w:szCs w:val="19"/>
                <w:color w:val="auto"/>
              </w:rPr>
            </w:pPr>
          </w:p>
        </w:tc>
      </w:tr>
      <w:tr>
        <w:trPr>
          <w:trHeight w:val="160"/>
        </w:trPr>
        <w:tc>
          <w:tcPr>
            <w:tcW w:w="8620" w:type="dxa"/>
            <w:vAlign w:val="bottom"/>
            <w:gridSpan w:val="3"/>
          </w:tcPr>
          <w:p>
            <w:pPr>
              <w:ind w:left="20"/>
              <w:spacing w:after="0" w:line="161" w:lineRule="exact"/>
              <w:rPr>
                <w:sz w:val="20"/>
                <w:szCs w:val="20"/>
                <w:color w:val="auto"/>
              </w:rPr>
            </w:pPr>
            <w:r>
              <w:rPr>
                <w:rFonts w:ascii="Arial" w:cs="Arial" w:eastAsia="Arial" w:hAnsi="Arial"/>
                <w:sz w:val="15"/>
                <w:szCs w:val="15"/>
                <w:b w:val="1"/>
                <w:bCs w:val="1"/>
                <w:i w:val="1"/>
                <w:iCs w:val="1"/>
                <w:color w:val="auto"/>
              </w:rPr>
              <w:t>(in millions)</w:t>
            </w:r>
          </w:p>
        </w:tc>
        <w:tc>
          <w:tcPr>
            <w:tcW w:w="280" w:type="dxa"/>
            <w:vAlign w:val="bottom"/>
          </w:tcPr>
          <w:p>
            <w:pPr>
              <w:spacing w:after="0"/>
              <w:rPr>
                <w:sz w:val="13"/>
                <w:szCs w:val="13"/>
                <w:color w:val="auto"/>
              </w:rPr>
            </w:pPr>
          </w:p>
        </w:tc>
        <w:tc>
          <w:tcPr>
            <w:tcW w:w="980" w:type="dxa"/>
            <w:vAlign w:val="bottom"/>
          </w:tcPr>
          <w:p>
            <w:pPr>
              <w:jc w:val="right"/>
              <w:ind w:right="402"/>
              <w:spacing w:after="0" w:line="161" w:lineRule="exact"/>
              <w:rPr>
                <w:sz w:val="20"/>
                <w:szCs w:val="20"/>
                <w:color w:val="auto"/>
              </w:rPr>
            </w:pPr>
            <w:r>
              <w:rPr>
                <w:rFonts w:ascii="Arial" w:cs="Arial" w:eastAsia="Arial" w:hAnsi="Arial"/>
                <w:sz w:val="15"/>
                <w:szCs w:val="15"/>
                <w:b w:val="1"/>
                <w:bCs w:val="1"/>
                <w:color w:val="auto"/>
              </w:rPr>
              <w:t>2021</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80" w:type="dxa"/>
            <w:vAlign w:val="bottom"/>
          </w:tcPr>
          <w:p>
            <w:pPr>
              <w:jc w:val="right"/>
              <w:ind w:right="403"/>
              <w:spacing w:after="0" w:line="161" w:lineRule="exact"/>
              <w:rPr>
                <w:sz w:val="20"/>
                <w:szCs w:val="20"/>
                <w:color w:val="auto"/>
              </w:rPr>
            </w:pPr>
            <w:r>
              <w:rPr>
                <w:rFonts w:ascii="Arial" w:cs="Arial" w:eastAsia="Arial" w:hAnsi="Arial"/>
                <w:sz w:val="15"/>
                <w:szCs w:val="15"/>
                <w:b w:val="1"/>
                <w:bCs w:val="1"/>
                <w:color w:val="auto"/>
              </w:rPr>
              <w:t>2020</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780" w:type="dxa"/>
            <w:vAlign w:val="bottom"/>
            <w:tcBorders>
              <w:top w:val="single" w:sz="8" w:color="auto"/>
              <w:bottom w:val="single" w:sz="8" w:color="CCEEFF"/>
            </w:tcBorders>
          </w:tcPr>
          <w:p>
            <w:pPr>
              <w:spacing w:after="0" w:line="20" w:lineRule="exact"/>
              <w:rPr>
                <w:sz w:val="1"/>
                <w:szCs w:val="1"/>
                <w:color w:val="auto"/>
              </w:rPr>
            </w:pPr>
          </w:p>
        </w:tc>
        <w:tc>
          <w:tcPr>
            <w:tcW w:w="78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198"/>
        </w:trPr>
        <w:tc>
          <w:tcPr>
            <w:tcW w:w="8620" w:type="dxa"/>
            <w:vAlign w:val="bottom"/>
            <w:gridSpan w:val="3"/>
            <w:shd w:val="clear" w:color="auto" w:fill="CCEEFF"/>
          </w:tcPr>
          <w:p>
            <w:pPr>
              <w:ind w:left="20"/>
              <w:spacing w:after="0"/>
              <w:rPr>
                <w:sz w:val="20"/>
                <w:szCs w:val="20"/>
                <w:color w:val="auto"/>
              </w:rPr>
            </w:pPr>
            <w:r>
              <w:rPr>
                <w:rFonts w:ascii="Arial" w:cs="Arial" w:eastAsia="Arial" w:hAnsi="Arial"/>
                <w:sz w:val="15"/>
                <w:szCs w:val="15"/>
                <w:b w:val="1"/>
                <w:bCs w:val="1"/>
                <w:color w:val="auto"/>
              </w:rPr>
              <w:t>Operating activities</w:t>
            </w: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r>
      <w:tr>
        <w:trPr>
          <w:trHeight w:val="204"/>
        </w:trPr>
        <w:tc>
          <w:tcPr>
            <w:tcW w:w="20" w:type="dxa"/>
            <w:vAlign w:val="bottom"/>
          </w:tcPr>
          <w:p>
            <w:pPr>
              <w:spacing w:after="0"/>
              <w:rPr>
                <w:sz w:val="17"/>
                <w:szCs w:val="17"/>
                <w:color w:val="auto"/>
              </w:rPr>
            </w:pPr>
          </w:p>
        </w:tc>
        <w:tc>
          <w:tcPr>
            <w:tcW w:w="8600" w:type="dxa"/>
            <w:vAlign w:val="bottom"/>
            <w:gridSpan w:val="2"/>
          </w:tcPr>
          <w:p>
            <w:pPr>
              <w:ind w:left="120"/>
              <w:spacing w:after="0"/>
              <w:rPr>
                <w:sz w:val="20"/>
                <w:szCs w:val="20"/>
                <w:color w:val="auto"/>
              </w:rPr>
            </w:pPr>
            <w:r>
              <w:rPr>
                <w:rFonts w:ascii="Arial" w:cs="Arial" w:eastAsia="Arial" w:hAnsi="Arial"/>
                <w:sz w:val="15"/>
                <w:szCs w:val="15"/>
                <w:b w:val="1"/>
                <w:bCs w:val="1"/>
                <w:color w:val="auto"/>
              </w:rPr>
              <w:t>Net income (loss)</w:t>
            </w:r>
          </w:p>
        </w:tc>
        <w:tc>
          <w:tcPr>
            <w:tcW w:w="280" w:type="dxa"/>
            <w:vAlign w:val="bottom"/>
          </w:tcPr>
          <w:p>
            <w:pPr>
              <w:ind w:left="20"/>
              <w:spacing w:after="0"/>
              <w:rPr>
                <w:sz w:val="20"/>
                <w:szCs w:val="20"/>
                <w:color w:val="auto"/>
              </w:rPr>
            </w:pPr>
            <w:r>
              <w:rPr>
                <w:rFonts w:ascii="Arial" w:cs="Arial" w:eastAsia="Arial" w:hAnsi="Arial"/>
                <w:sz w:val="15"/>
                <w:szCs w:val="15"/>
                <w:color w:val="auto"/>
              </w:rPr>
              <w:t>$</w:t>
            </w:r>
          </w:p>
        </w:tc>
        <w:tc>
          <w:tcPr>
            <w:tcW w:w="980" w:type="dxa"/>
            <w:vAlign w:val="bottom"/>
          </w:tcPr>
          <w:p>
            <w:pPr>
              <w:jc w:val="right"/>
              <w:spacing w:after="0"/>
              <w:rPr>
                <w:sz w:val="20"/>
                <w:szCs w:val="20"/>
                <w:color w:val="auto"/>
              </w:rPr>
            </w:pPr>
            <w:r>
              <w:rPr>
                <w:rFonts w:ascii="Arial" w:cs="Arial" w:eastAsia="Arial" w:hAnsi="Arial"/>
                <w:sz w:val="15"/>
                <w:szCs w:val="15"/>
                <w:color w:val="auto"/>
              </w:rPr>
              <w:t>90.9</w:t>
            </w:r>
          </w:p>
        </w:tc>
        <w:tc>
          <w:tcPr>
            <w:tcW w:w="100" w:type="dxa"/>
            <w:vAlign w:val="bottom"/>
          </w:tcPr>
          <w:p>
            <w:pPr>
              <w:spacing w:after="0"/>
              <w:rPr>
                <w:sz w:val="17"/>
                <w:szCs w:val="17"/>
                <w:color w:val="auto"/>
              </w:rPr>
            </w:pPr>
          </w:p>
        </w:tc>
        <w:tc>
          <w:tcPr>
            <w:tcW w:w="280" w:type="dxa"/>
            <w:vAlign w:val="bottom"/>
          </w:tcPr>
          <w:p>
            <w:pPr>
              <w:jc w:val="right"/>
              <w:ind w:right="103"/>
              <w:spacing w:after="0"/>
              <w:rPr>
                <w:sz w:val="20"/>
                <w:szCs w:val="20"/>
                <w:color w:val="auto"/>
              </w:rPr>
            </w:pPr>
            <w:r>
              <w:rPr>
                <w:rFonts w:ascii="Arial" w:cs="Arial" w:eastAsia="Arial" w:hAnsi="Arial"/>
                <w:sz w:val="15"/>
                <w:szCs w:val="15"/>
                <w:color w:val="auto"/>
                <w:w w:val="95"/>
              </w:rPr>
              <w:t>$</w:t>
            </w:r>
          </w:p>
        </w:tc>
        <w:tc>
          <w:tcPr>
            <w:tcW w:w="980" w:type="dxa"/>
            <w:vAlign w:val="bottom"/>
          </w:tcPr>
          <w:p>
            <w:pPr>
              <w:jc w:val="right"/>
              <w:spacing w:after="0"/>
              <w:rPr>
                <w:sz w:val="20"/>
                <w:szCs w:val="20"/>
                <w:color w:val="auto"/>
              </w:rPr>
            </w:pPr>
            <w:r>
              <w:rPr>
                <w:rFonts w:ascii="Arial" w:cs="Arial" w:eastAsia="Arial" w:hAnsi="Arial"/>
                <w:sz w:val="15"/>
                <w:szCs w:val="15"/>
                <w:color w:val="auto"/>
              </w:rPr>
              <w:t>(608.6)</w:t>
            </w:r>
          </w:p>
        </w:tc>
      </w:tr>
      <w:tr>
        <w:trPr>
          <w:trHeight w:val="208"/>
        </w:trPr>
        <w:tc>
          <w:tcPr>
            <w:tcW w:w="20" w:type="dxa"/>
            <w:vAlign w:val="bottom"/>
            <w:shd w:val="clear" w:color="auto" w:fill="CCEEFF"/>
          </w:tcPr>
          <w:p>
            <w:pPr>
              <w:spacing w:after="0"/>
              <w:rPr>
                <w:sz w:val="18"/>
                <w:szCs w:val="18"/>
                <w:color w:val="auto"/>
              </w:rPr>
            </w:pPr>
          </w:p>
        </w:tc>
        <w:tc>
          <w:tcPr>
            <w:tcW w:w="8600" w:type="dxa"/>
            <w:vAlign w:val="bottom"/>
            <w:gridSpan w:val="2"/>
            <w:shd w:val="clear" w:color="auto" w:fill="CCEEFF"/>
          </w:tcPr>
          <w:p>
            <w:pPr>
              <w:ind w:left="120"/>
              <w:spacing w:after="0"/>
              <w:rPr>
                <w:sz w:val="20"/>
                <w:szCs w:val="20"/>
                <w:color w:val="auto"/>
              </w:rPr>
            </w:pPr>
            <w:r>
              <w:rPr>
                <w:rFonts w:ascii="Arial" w:cs="Arial" w:eastAsia="Arial" w:hAnsi="Arial"/>
                <w:sz w:val="15"/>
                <w:szCs w:val="15"/>
                <w:color w:val="auto"/>
              </w:rPr>
              <w:t>Adjustments to reconcile net income (loss) to net cash provided by (used in) operating activities:</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r>
      <w:tr>
        <w:trPr>
          <w:trHeight w:val="203"/>
        </w:trPr>
        <w:tc>
          <w:tcPr>
            <w:tcW w:w="20" w:type="dxa"/>
            <w:vAlign w:val="bottom"/>
          </w:tcPr>
          <w:p>
            <w:pPr>
              <w:spacing w:after="0"/>
              <w:rPr>
                <w:sz w:val="17"/>
                <w:szCs w:val="17"/>
                <w:color w:val="auto"/>
              </w:rPr>
            </w:pPr>
          </w:p>
        </w:tc>
        <w:tc>
          <w:tcPr>
            <w:tcW w:w="8600" w:type="dxa"/>
            <w:vAlign w:val="bottom"/>
            <w:gridSpan w:val="2"/>
          </w:tcPr>
          <w:p>
            <w:pPr>
              <w:ind w:left="300"/>
              <w:spacing w:after="0"/>
              <w:rPr>
                <w:sz w:val="20"/>
                <w:szCs w:val="20"/>
                <w:color w:val="auto"/>
              </w:rPr>
            </w:pPr>
            <w:r>
              <w:rPr>
                <w:rFonts w:ascii="Arial" w:cs="Arial" w:eastAsia="Arial" w:hAnsi="Arial"/>
                <w:sz w:val="15"/>
                <w:szCs w:val="15"/>
                <w:color w:val="auto"/>
              </w:rPr>
              <w:t>Depreciation and amortization</w:t>
            </w:r>
          </w:p>
        </w:tc>
        <w:tc>
          <w:tcPr>
            <w:tcW w:w="2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81.3</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95.7</w:t>
            </w:r>
          </w:p>
        </w:tc>
      </w:tr>
      <w:tr>
        <w:trPr>
          <w:trHeight w:val="209"/>
        </w:trPr>
        <w:tc>
          <w:tcPr>
            <w:tcW w:w="20" w:type="dxa"/>
            <w:vAlign w:val="bottom"/>
            <w:shd w:val="clear" w:color="auto" w:fill="CCEEFF"/>
          </w:tcPr>
          <w:p>
            <w:pPr>
              <w:spacing w:after="0"/>
              <w:rPr>
                <w:sz w:val="18"/>
                <w:szCs w:val="18"/>
                <w:color w:val="auto"/>
              </w:rPr>
            </w:pPr>
          </w:p>
        </w:tc>
        <w:tc>
          <w:tcPr>
            <w:tcW w:w="8600" w:type="dxa"/>
            <w:vAlign w:val="bottom"/>
            <w:gridSpan w:val="2"/>
            <w:shd w:val="clear" w:color="auto" w:fill="CCEEFF"/>
          </w:tcPr>
          <w:p>
            <w:pPr>
              <w:ind w:left="300"/>
              <w:spacing w:after="0"/>
              <w:rPr>
                <w:sz w:val="20"/>
                <w:szCs w:val="20"/>
                <w:color w:val="auto"/>
              </w:rPr>
            </w:pPr>
            <w:r>
              <w:rPr>
                <w:rFonts w:ascii="Arial" w:cs="Arial" w:eastAsia="Arial" w:hAnsi="Arial"/>
                <w:sz w:val="15"/>
                <w:szCs w:val="15"/>
                <w:color w:val="auto"/>
              </w:rPr>
              <w:t>Amortization of debt discount and debt issuance costs</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5.5</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2.0</w:t>
            </w:r>
          </w:p>
        </w:tc>
      </w:tr>
      <w:tr>
        <w:trPr>
          <w:trHeight w:val="203"/>
        </w:trPr>
        <w:tc>
          <w:tcPr>
            <w:tcW w:w="20" w:type="dxa"/>
            <w:vAlign w:val="bottom"/>
          </w:tcPr>
          <w:p>
            <w:pPr>
              <w:spacing w:after="0"/>
              <w:rPr>
                <w:sz w:val="17"/>
                <w:szCs w:val="17"/>
                <w:color w:val="auto"/>
              </w:rPr>
            </w:pPr>
          </w:p>
        </w:tc>
        <w:tc>
          <w:tcPr>
            <w:tcW w:w="8600" w:type="dxa"/>
            <w:vAlign w:val="bottom"/>
            <w:gridSpan w:val="2"/>
          </w:tcPr>
          <w:p>
            <w:pPr>
              <w:ind w:left="300"/>
              <w:spacing w:after="0"/>
              <w:rPr>
                <w:sz w:val="20"/>
                <w:szCs w:val="20"/>
                <w:color w:val="auto"/>
              </w:rPr>
            </w:pPr>
            <w:r>
              <w:rPr>
                <w:rFonts w:ascii="Arial" w:cs="Arial" w:eastAsia="Arial" w:hAnsi="Arial"/>
                <w:sz w:val="15"/>
                <w:szCs w:val="15"/>
                <w:color w:val="auto"/>
              </w:rPr>
              <w:t>Noncash operating lease expense</w:t>
            </w:r>
          </w:p>
        </w:tc>
        <w:tc>
          <w:tcPr>
            <w:tcW w:w="2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35.5</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22.0</w:t>
            </w:r>
          </w:p>
        </w:tc>
      </w:tr>
      <w:tr>
        <w:trPr>
          <w:trHeight w:val="209"/>
        </w:trPr>
        <w:tc>
          <w:tcPr>
            <w:tcW w:w="20" w:type="dxa"/>
            <w:vAlign w:val="bottom"/>
            <w:shd w:val="clear" w:color="auto" w:fill="CCEEFF"/>
          </w:tcPr>
          <w:p>
            <w:pPr>
              <w:spacing w:after="0"/>
              <w:rPr>
                <w:sz w:val="18"/>
                <w:szCs w:val="18"/>
                <w:color w:val="auto"/>
              </w:rPr>
            </w:pPr>
          </w:p>
        </w:tc>
        <w:tc>
          <w:tcPr>
            <w:tcW w:w="8600" w:type="dxa"/>
            <w:vAlign w:val="bottom"/>
            <w:gridSpan w:val="2"/>
            <w:shd w:val="clear" w:color="auto" w:fill="CCEEFF"/>
          </w:tcPr>
          <w:p>
            <w:pPr>
              <w:ind w:left="300"/>
              <w:spacing w:after="0"/>
              <w:rPr>
                <w:sz w:val="20"/>
                <w:szCs w:val="20"/>
                <w:color w:val="auto"/>
              </w:rPr>
            </w:pPr>
            <w:r>
              <w:rPr>
                <w:rFonts w:ascii="Arial" w:cs="Arial" w:eastAsia="Arial" w:hAnsi="Arial"/>
                <w:sz w:val="15"/>
                <w:szCs w:val="15"/>
                <w:color w:val="auto"/>
              </w:rPr>
              <w:t>Change in fair value of contingent purchase price</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(0.1)</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(2.2)</w:t>
            </w:r>
          </w:p>
        </w:tc>
      </w:tr>
      <w:tr>
        <w:trPr>
          <w:trHeight w:val="203"/>
        </w:trPr>
        <w:tc>
          <w:tcPr>
            <w:tcW w:w="20" w:type="dxa"/>
            <w:vAlign w:val="bottom"/>
          </w:tcPr>
          <w:p>
            <w:pPr>
              <w:spacing w:after="0"/>
              <w:rPr>
                <w:sz w:val="17"/>
                <w:szCs w:val="17"/>
                <w:color w:val="auto"/>
              </w:rPr>
            </w:pPr>
          </w:p>
        </w:tc>
        <w:tc>
          <w:tcPr>
            <w:tcW w:w="8600" w:type="dxa"/>
            <w:vAlign w:val="bottom"/>
            <w:gridSpan w:val="2"/>
          </w:tcPr>
          <w:p>
            <w:pPr>
              <w:ind w:left="300"/>
              <w:spacing w:after="0"/>
              <w:rPr>
                <w:sz w:val="20"/>
                <w:szCs w:val="20"/>
                <w:color w:val="auto"/>
              </w:rPr>
            </w:pPr>
            <w:r>
              <w:rPr>
                <w:rFonts w:ascii="Arial" w:cs="Arial" w:eastAsia="Arial" w:hAnsi="Arial"/>
                <w:sz w:val="15"/>
                <w:szCs w:val="15"/>
                <w:color w:val="auto"/>
              </w:rPr>
              <w:t>Holding (gain) loss on equity securities</w:t>
            </w:r>
          </w:p>
        </w:tc>
        <w:tc>
          <w:tcPr>
            <w:tcW w:w="2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(26.2)</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21.8</w:t>
            </w:r>
          </w:p>
        </w:tc>
      </w:tr>
      <w:tr>
        <w:trPr>
          <w:trHeight w:val="209"/>
        </w:trPr>
        <w:tc>
          <w:tcPr>
            <w:tcW w:w="20" w:type="dxa"/>
            <w:vAlign w:val="bottom"/>
            <w:shd w:val="clear" w:color="auto" w:fill="CCEEFF"/>
          </w:tcPr>
          <w:p>
            <w:pPr>
              <w:spacing w:after="0"/>
              <w:rPr>
                <w:sz w:val="18"/>
                <w:szCs w:val="18"/>
                <w:color w:val="auto"/>
              </w:rPr>
            </w:pPr>
          </w:p>
        </w:tc>
        <w:tc>
          <w:tcPr>
            <w:tcW w:w="8600" w:type="dxa"/>
            <w:vAlign w:val="bottom"/>
            <w:gridSpan w:val="2"/>
            <w:shd w:val="clear" w:color="auto" w:fill="CCEEFF"/>
          </w:tcPr>
          <w:p>
            <w:pPr>
              <w:ind w:left="300"/>
              <w:spacing w:after="0"/>
              <w:rPr>
                <w:sz w:val="20"/>
                <w:szCs w:val="20"/>
                <w:color w:val="auto"/>
              </w:rPr>
            </w:pPr>
            <w:r>
              <w:rPr>
                <w:rFonts w:ascii="Arial" w:cs="Arial" w:eastAsia="Arial" w:hAnsi="Arial"/>
                <w:sz w:val="15"/>
                <w:szCs w:val="15"/>
                <w:color w:val="auto"/>
              </w:rPr>
              <w:t>Change in fair value in puts/calls associated with our Barstool Sports investment</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4.6</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r>
      <w:tr>
        <w:trPr>
          <w:trHeight w:val="203"/>
        </w:trPr>
        <w:tc>
          <w:tcPr>
            <w:tcW w:w="20" w:type="dxa"/>
            <w:vAlign w:val="bottom"/>
          </w:tcPr>
          <w:p>
            <w:pPr>
              <w:spacing w:after="0"/>
              <w:rPr>
                <w:sz w:val="17"/>
                <w:szCs w:val="17"/>
                <w:color w:val="auto"/>
              </w:rPr>
            </w:pPr>
          </w:p>
        </w:tc>
        <w:tc>
          <w:tcPr>
            <w:tcW w:w="8600" w:type="dxa"/>
            <w:vAlign w:val="bottom"/>
            <w:gridSpan w:val="2"/>
          </w:tcPr>
          <w:p>
            <w:pPr>
              <w:ind w:left="300"/>
              <w:spacing w:after="0"/>
              <w:rPr>
                <w:sz w:val="20"/>
                <w:szCs w:val="20"/>
                <w:color w:val="auto"/>
              </w:rPr>
            </w:pPr>
            <w:r>
              <w:rPr>
                <w:rFonts w:ascii="Arial" w:cs="Arial" w:eastAsia="Arial" w:hAnsi="Arial"/>
                <w:sz w:val="15"/>
                <w:szCs w:val="15"/>
                <w:color w:val="auto"/>
              </w:rPr>
              <w:t>Loss (gain) on sale or disposal of property and equipment</w:t>
            </w:r>
          </w:p>
        </w:tc>
        <w:tc>
          <w:tcPr>
            <w:tcW w:w="2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(0.1)</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0.6</w:t>
            </w:r>
          </w:p>
        </w:tc>
      </w:tr>
      <w:tr>
        <w:trPr>
          <w:trHeight w:val="209"/>
        </w:trPr>
        <w:tc>
          <w:tcPr>
            <w:tcW w:w="20" w:type="dxa"/>
            <w:vAlign w:val="bottom"/>
            <w:shd w:val="clear" w:color="auto" w:fill="CCEEFF"/>
          </w:tcPr>
          <w:p>
            <w:pPr>
              <w:spacing w:after="0"/>
              <w:rPr>
                <w:sz w:val="18"/>
                <w:szCs w:val="18"/>
                <w:color w:val="auto"/>
              </w:rPr>
            </w:pPr>
          </w:p>
        </w:tc>
        <w:tc>
          <w:tcPr>
            <w:tcW w:w="8600" w:type="dxa"/>
            <w:vAlign w:val="bottom"/>
            <w:gridSpan w:val="2"/>
            <w:shd w:val="clear" w:color="auto" w:fill="CCEEFF"/>
          </w:tcPr>
          <w:p>
            <w:pPr>
              <w:ind w:left="300"/>
              <w:spacing w:after="0"/>
              <w:rPr>
                <w:sz w:val="20"/>
                <w:szCs w:val="20"/>
                <w:color w:val="auto"/>
              </w:rPr>
            </w:pPr>
            <w:r>
              <w:rPr>
                <w:rFonts w:ascii="Arial" w:cs="Arial" w:eastAsia="Arial" w:hAnsi="Arial"/>
                <w:sz w:val="15"/>
                <w:szCs w:val="15"/>
                <w:color w:val="auto"/>
              </w:rPr>
              <w:t>Income from unconsolidated affiliates</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(9.6)</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(4.1)</w:t>
            </w:r>
          </w:p>
        </w:tc>
      </w:tr>
      <w:tr>
        <w:trPr>
          <w:trHeight w:val="203"/>
        </w:trPr>
        <w:tc>
          <w:tcPr>
            <w:tcW w:w="20" w:type="dxa"/>
            <w:vAlign w:val="bottom"/>
          </w:tcPr>
          <w:p>
            <w:pPr>
              <w:spacing w:after="0"/>
              <w:rPr>
                <w:sz w:val="17"/>
                <w:szCs w:val="17"/>
                <w:color w:val="auto"/>
              </w:rPr>
            </w:pPr>
          </w:p>
        </w:tc>
        <w:tc>
          <w:tcPr>
            <w:tcW w:w="8600" w:type="dxa"/>
            <w:vAlign w:val="bottom"/>
            <w:gridSpan w:val="2"/>
          </w:tcPr>
          <w:p>
            <w:pPr>
              <w:ind w:left="300"/>
              <w:spacing w:after="0"/>
              <w:rPr>
                <w:sz w:val="20"/>
                <w:szCs w:val="20"/>
                <w:color w:val="auto"/>
              </w:rPr>
            </w:pPr>
            <w:r>
              <w:rPr>
                <w:rFonts w:ascii="Arial" w:cs="Arial" w:eastAsia="Arial" w:hAnsi="Arial"/>
                <w:sz w:val="15"/>
                <w:szCs w:val="15"/>
                <w:color w:val="auto"/>
              </w:rPr>
              <w:t>Return on investment from unconsolidated affiliates</w:t>
            </w:r>
          </w:p>
        </w:tc>
        <w:tc>
          <w:tcPr>
            <w:tcW w:w="2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5.5</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8.7</w:t>
            </w:r>
          </w:p>
        </w:tc>
      </w:tr>
      <w:tr>
        <w:trPr>
          <w:trHeight w:val="209"/>
        </w:trPr>
        <w:tc>
          <w:tcPr>
            <w:tcW w:w="20" w:type="dxa"/>
            <w:vAlign w:val="bottom"/>
            <w:shd w:val="clear" w:color="auto" w:fill="CCEEFF"/>
          </w:tcPr>
          <w:p>
            <w:pPr>
              <w:spacing w:after="0"/>
              <w:rPr>
                <w:sz w:val="18"/>
                <w:szCs w:val="18"/>
                <w:color w:val="auto"/>
              </w:rPr>
            </w:pPr>
          </w:p>
        </w:tc>
        <w:tc>
          <w:tcPr>
            <w:tcW w:w="8600" w:type="dxa"/>
            <w:vAlign w:val="bottom"/>
            <w:gridSpan w:val="2"/>
            <w:shd w:val="clear" w:color="auto" w:fill="CCEEFF"/>
          </w:tcPr>
          <w:p>
            <w:pPr>
              <w:ind w:left="300"/>
              <w:spacing w:after="0"/>
              <w:rPr>
                <w:sz w:val="20"/>
                <w:szCs w:val="20"/>
                <w:color w:val="auto"/>
              </w:rPr>
            </w:pPr>
            <w:r>
              <w:rPr>
                <w:rFonts w:ascii="Arial" w:cs="Arial" w:eastAsia="Arial" w:hAnsi="Arial"/>
                <w:sz w:val="15"/>
                <w:szCs w:val="15"/>
                <w:color w:val="auto"/>
              </w:rPr>
              <w:t>Deferred income taxes</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8.3</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(67.4)</w:t>
            </w:r>
          </w:p>
        </w:tc>
      </w:tr>
      <w:tr>
        <w:trPr>
          <w:trHeight w:val="203"/>
        </w:trPr>
        <w:tc>
          <w:tcPr>
            <w:tcW w:w="20" w:type="dxa"/>
            <w:vAlign w:val="bottom"/>
          </w:tcPr>
          <w:p>
            <w:pPr>
              <w:spacing w:after="0"/>
              <w:rPr>
                <w:sz w:val="17"/>
                <w:szCs w:val="17"/>
                <w:color w:val="auto"/>
              </w:rPr>
            </w:pPr>
          </w:p>
        </w:tc>
        <w:tc>
          <w:tcPr>
            <w:tcW w:w="8600" w:type="dxa"/>
            <w:vAlign w:val="bottom"/>
            <w:gridSpan w:val="2"/>
          </w:tcPr>
          <w:p>
            <w:pPr>
              <w:ind w:left="300"/>
              <w:spacing w:after="0"/>
              <w:rPr>
                <w:sz w:val="20"/>
                <w:szCs w:val="20"/>
                <w:color w:val="auto"/>
              </w:rPr>
            </w:pPr>
            <w:r>
              <w:rPr>
                <w:rFonts w:ascii="Arial" w:cs="Arial" w:eastAsia="Arial" w:hAnsi="Arial"/>
                <w:sz w:val="15"/>
                <w:szCs w:val="15"/>
                <w:color w:val="auto"/>
              </w:rPr>
              <w:t>Stock-based compensation</w:t>
            </w:r>
          </w:p>
        </w:tc>
        <w:tc>
          <w:tcPr>
            <w:tcW w:w="2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4.2</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6.0</w:t>
            </w:r>
          </w:p>
        </w:tc>
      </w:tr>
      <w:tr>
        <w:trPr>
          <w:trHeight w:val="209"/>
        </w:trPr>
        <w:tc>
          <w:tcPr>
            <w:tcW w:w="20" w:type="dxa"/>
            <w:vAlign w:val="bottom"/>
            <w:shd w:val="clear" w:color="auto" w:fill="CCEEFF"/>
          </w:tcPr>
          <w:p>
            <w:pPr>
              <w:spacing w:after="0"/>
              <w:rPr>
                <w:sz w:val="18"/>
                <w:szCs w:val="18"/>
                <w:color w:val="auto"/>
              </w:rPr>
            </w:pPr>
          </w:p>
        </w:tc>
        <w:tc>
          <w:tcPr>
            <w:tcW w:w="8600" w:type="dxa"/>
            <w:vAlign w:val="bottom"/>
            <w:gridSpan w:val="2"/>
            <w:shd w:val="clear" w:color="auto" w:fill="CCEEFF"/>
          </w:tcPr>
          <w:p>
            <w:pPr>
              <w:ind w:left="300"/>
              <w:spacing w:after="0"/>
              <w:rPr>
                <w:sz w:val="20"/>
                <w:szCs w:val="20"/>
                <w:color w:val="auto"/>
              </w:rPr>
            </w:pPr>
            <w:r>
              <w:rPr>
                <w:rFonts w:ascii="Arial" w:cs="Arial" w:eastAsia="Arial" w:hAnsi="Arial"/>
                <w:sz w:val="15"/>
                <w:szCs w:val="15"/>
                <w:color w:val="auto"/>
              </w:rPr>
              <w:t>Impairment losses</w:t>
            </w: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616.1</w:t>
            </w:r>
          </w:p>
        </w:tc>
      </w:tr>
      <w:tr>
        <w:trPr>
          <w:trHeight w:val="203"/>
        </w:trPr>
        <w:tc>
          <w:tcPr>
            <w:tcW w:w="20" w:type="dxa"/>
            <w:vAlign w:val="bottom"/>
          </w:tcPr>
          <w:p>
            <w:pPr>
              <w:spacing w:after="0"/>
              <w:rPr>
                <w:sz w:val="17"/>
                <w:szCs w:val="17"/>
                <w:color w:val="auto"/>
              </w:rPr>
            </w:pPr>
          </w:p>
        </w:tc>
        <w:tc>
          <w:tcPr>
            <w:tcW w:w="8600" w:type="dxa"/>
            <w:vAlign w:val="bottom"/>
            <w:gridSpan w:val="2"/>
          </w:tcPr>
          <w:p>
            <w:pPr>
              <w:ind w:left="300"/>
              <w:spacing w:after="0"/>
              <w:rPr>
                <w:sz w:val="20"/>
                <w:szCs w:val="20"/>
                <w:color w:val="auto"/>
              </w:rPr>
            </w:pPr>
            <w:r>
              <w:rPr>
                <w:rFonts w:ascii="Arial" w:cs="Arial" w:eastAsia="Arial" w:hAnsi="Arial"/>
                <w:sz w:val="15"/>
                <w:szCs w:val="15"/>
                <w:color w:val="auto"/>
              </w:rPr>
              <w:t>Changes in operating assets and liabilities, net of businesses acquired</w:t>
            </w: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09"/>
        </w:trPr>
        <w:tc>
          <w:tcPr>
            <w:tcW w:w="20" w:type="dxa"/>
            <w:vAlign w:val="bottom"/>
            <w:shd w:val="clear" w:color="auto" w:fill="CCEEFF"/>
          </w:tcPr>
          <w:p>
            <w:pPr>
              <w:spacing w:after="0"/>
              <w:rPr>
                <w:sz w:val="18"/>
                <w:szCs w:val="18"/>
                <w:color w:val="auto"/>
              </w:rPr>
            </w:pPr>
          </w:p>
        </w:tc>
        <w:tc>
          <w:tcPr>
            <w:tcW w:w="8600" w:type="dxa"/>
            <w:vAlign w:val="bottom"/>
            <w:gridSpan w:val="2"/>
            <w:shd w:val="clear" w:color="auto" w:fill="CCEEFF"/>
          </w:tcPr>
          <w:p>
            <w:pPr>
              <w:ind w:left="500"/>
              <w:spacing w:after="0"/>
              <w:rPr>
                <w:sz w:val="20"/>
                <w:szCs w:val="20"/>
                <w:color w:val="auto"/>
              </w:rPr>
            </w:pPr>
            <w:r>
              <w:rPr>
                <w:rFonts w:ascii="Arial" w:cs="Arial" w:eastAsia="Arial" w:hAnsi="Arial"/>
                <w:sz w:val="15"/>
                <w:szCs w:val="15"/>
                <w:color w:val="auto"/>
              </w:rPr>
              <w:t>Accounts receivable</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(41.1)</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39.3</w:t>
            </w:r>
          </w:p>
        </w:tc>
      </w:tr>
      <w:tr>
        <w:trPr>
          <w:trHeight w:val="203"/>
        </w:trPr>
        <w:tc>
          <w:tcPr>
            <w:tcW w:w="20" w:type="dxa"/>
            <w:vAlign w:val="bottom"/>
          </w:tcPr>
          <w:p>
            <w:pPr>
              <w:spacing w:after="0"/>
              <w:rPr>
                <w:sz w:val="17"/>
                <w:szCs w:val="17"/>
                <w:color w:val="auto"/>
              </w:rPr>
            </w:pPr>
          </w:p>
        </w:tc>
        <w:tc>
          <w:tcPr>
            <w:tcW w:w="8600" w:type="dxa"/>
            <w:vAlign w:val="bottom"/>
            <w:gridSpan w:val="2"/>
          </w:tcPr>
          <w:p>
            <w:pPr>
              <w:ind w:left="500"/>
              <w:spacing w:after="0"/>
              <w:rPr>
                <w:sz w:val="20"/>
                <w:szCs w:val="20"/>
                <w:color w:val="auto"/>
              </w:rPr>
            </w:pPr>
            <w:r>
              <w:rPr>
                <w:rFonts w:ascii="Arial" w:cs="Arial" w:eastAsia="Arial" w:hAnsi="Arial"/>
                <w:sz w:val="15"/>
                <w:szCs w:val="15"/>
                <w:color w:val="auto"/>
              </w:rPr>
              <w:t>Prepaid expenses and other current assets</w:t>
            </w:r>
          </w:p>
        </w:tc>
        <w:tc>
          <w:tcPr>
            <w:tcW w:w="2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(28.5)</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(4.3)</w:t>
            </w:r>
          </w:p>
        </w:tc>
      </w:tr>
      <w:tr>
        <w:trPr>
          <w:trHeight w:val="209"/>
        </w:trPr>
        <w:tc>
          <w:tcPr>
            <w:tcW w:w="20" w:type="dxa"/>
            <w:vAlign w:val="bottom"/>
            <w:shd w:val="clear" w:color="auto" w:fill="CCEEFF"/>
          </w:tcPr>
          <w:p>
            <w:pPr>
              <w:spacing w:after="0"/>
              <w:rPr>
                <w:sz w:val="18"/>
                <w:szCs w:val="18"/>
                <w:color w:val="auto"/>
              </w:rPr>
            </w:pPr>
          </w:p>
        </w:tc>
        <w:tc>
          <w:tcPr>
            <w:tcW w:w="8600" w:type="dxa"/>
            <w:vAlign w:val="bottom"/>
            <w:gridSpan w:val="2"/>
            <w:shd w:val="clear" w:color="auto" w:fill="CCEEFF"/>
          </w:tcPr>
          <w:p>
            <w:pPr>
              <w:ind w:left="500"/>
              <w:spacing w:after="0"/>
              <w:rPr>
                <w:sz w:val="20"/>
                <w:szCs w:val="20"/>
                <w:color w:val="auto"/>
              </w:rPr>
            </w:pPr>
            <w:r>
              <w:rPr>
                <w:rFonts w:ascii="Arial" w:cs="Arial" w:eastAsia="Arial" w:hAnsi="Arial"/>
                <w:sz w:val="15"/>
                <w:szCs w:val="15"/>
                <w:color w:val="auto"/>
              </w:rPr>
              <w:t>Other assets</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(1.6)</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6.5</w:t>
            </w:r>
          </w:p>
        </w:tc>
      </w:tr>
      <w:tr>
        <w:trPr>
          <w:trHeight w:val="203"/>
        </w:trPr>
        <w:tc>
          <w:tcPr>
            <w:tcW w:w="20" w:type="dxa"/>
            <w:vAlign w:val="bottom"/>
          </w:tcPr>
          <w:p>
            <w:pPr>
              <w:spacing w:after="0"/>
              <w:rPr>
                <w:sz w:val="17"/>
                <w:szCs w:val="17"/>
                <w:color w:val="auto"/>
              </w:rPr>
            </w:pPr>
          </w:p>
        </w:tc>
        <w:tc>
          <w:tcPr>
            <w:tcW w:w="8600" w:type="dxa"/>
            <w:vAlign w:val="bottom"/>
            <w:gridSpan w:val="2"/>
          </w:tcPr>
          <w:p>
            <w:pPr>
              <w:ind w:left="500"/>
              <w:spacing w:after="0"/>
              <w:rPr>
                <w:sz w:val="20"/>
                <w:szCs w:val="20"/>
                <w:color w:val="auto"/>
              </w:rPr>
            </w:pPr>
            <w:r>
              <w:rPr>
                <w:rFonts w:ascii="Arial" w:cs="Arial" w:eastAsia="Arial" w:hAnsi="Arial"/>
                <w:sz w:val="15"/>
                <w:szCs w:val="15"/>
                <w:color w:val="auto"/>
              </w:rPr>
              <w:t>Accounts payable</w:t>
            </w:r>
          </w:p>
        </w:tc>
        <w:tc>
          <w:tcPr>
            <w:tcW w:w="2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(10.6)</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29.1</w:t>
            </w:r>
          </w:p>
        </w:tc>
      </w:tr>
      <w:tr>
        <w:trPr>
          <w:trHeight w:val="209"/>
        </w:trPr>
        <w:tc>
          <w:tcPr>
            <w:tcW w:w="20" w:type="dxa"/>
            <w:vAlign w:val="bottom"/>
            <w:shd w:val="clear" w:color="auto" w:fill="CCEEFF"/>
          </w:tcPr>
          <w:p>
            <w:pPr>
              <w:spacing w:after="0"/>
              <w:rPr>
                <w:sz w:val="18"/>
                <w:szCs w:val="18"/>
                <w:color w:val="auto"/>
              </w:rPr>
            </w:pPr>
          </w:p>
        </w:tc>
        <w:tc>
          <w:tcPr>
            <w:tcW w:w="8600" w:type="dxa"/>
            <w:vAlign w:val="bottom"/>
            <w:gridSpan w:val="2"/>
            <w:shd w:val="clear" w:color="auto" w:fill="CCEEFF"/>
          </w:tcPr>
          <w:p>
            <w:pPr>
              <w:ind w:left="500"/>
              <w:spacing w:after="0"/>
              <w:rPr>
                <w:sz w:val="20"/>
                <w:szCs w:val="20"/>
                <w:color w:val="auto"/>
              </w:rPr>
            </w:pPr>
            <w:r>
              <w:rPr>
                <w:rFonts w:ascii="Arial" w:cs="Arial" w:eastAsia="Arial" w:hAnsi="Arial"/>
                <w:sz w:val="15"/>
                <w:szCs w:val="15"/>
                <w:color w:val="auto"/>
              </w:rPr>
              <w:t>Accrued expenses</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70.9</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(101.4)</w:t>
            </w:r>
          </w:p>
        </w:tc>
      </w:tr>
      <w:tr>
        <w:trPr>
          <w:trHeight w:val="203"/>
        </w:trPr>
        <w:tc>
          <w:tcPr>
            <w:tcW w:w="20" w:type="dxa"/>
            <w:vAlign w:val="bottom"/>
          </w:tcPr>
          <w:p>
            <w:pPr>
              <w:spacing w:after="0"/>
              <w:rPr>
                <w:sz w:val="17"/>
                <w:szCs w:val="17"/>
                <w:color w:val="auto"/>
              </w:rPr>
            </w:pPr>
          </w:p>
        </w:tc>
        <w:tc>
          <w:tcPr>
            <w:tcW w:w="8600" w:type="dxa"/>
            <w:vAlign w:val="bottom"/>
            <w:gridSpan w:val="2"/>
          </w:tcPr>
          <w:p>
            <w:pPr>
              <w:ind w:left="500"/>
              <w:spacing w:after="0"/>
              <w:rPr>
                <w:sz w:val="20"/>
                <w:szCs w:val="20"/>
                <w:color w:val="auto"/>
              </w:rPr>
            </w:pPr>
            <w:r>
              <w:rPr>
                <w:rFonts w:ascii="Arial" w:cs="Arial" w:eastAsia="Arial" w:hAnsi="Arial"/>
                <w:sz w:val="15"/>
                <w:szCs w:val="15"/>
                <w:color w:val="auto"/>
              </w:rPr>
              <w:t>Income taxes</w:t>
            </w:r>
          </w:p>
        </w:tc>
        <w:tc>
          <w:tcPr>
            <w:tcW w:w="2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20.2</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(31.7)</w:t>
            </w:r>
          </w:p>
        </w:tc>
      </w:tr>
      <w:tr>
        <w:trPr>
          <w:trHeight w:val="209"/>
        </w:trPr>
        <w:tc>
          <w:tcPr>
            <w:tcW w:w="20" w:type="dxa"/>
            <w:vAlign w:val="bottom"/>
            <w:shd w:val="clear" w:color="auto" w:fill="CCEEFF"/>
          </w:tcPr>
          <w:p>
            <w:pPr>
              <w:spacing w:after="0"/>
              <w:rPr>
                <w:sz w:val="18"/>
                <w:szCs w:val="18"/>
                <w:color w:val="auto"/>
              </w:rPr>
            </w:pPr>
          </w:p>
        </w:tc>
        <w:tc>
          <w:tcPr>
            <w:tcW w:w="8600" w:type="dxa"/>
            <w:vAlign w:val="bottom"/>
            <w:gridSpan w:val="2"/>
            <w:shd w:val="clear" w:color="auto" w:fill="CCEEFF"/>
          </w:tcPr>
          <w:p>
            <w:pPr>
              <w:ind w:left="500"/>
              <w:spacing w:after="0"/>
              <w:rPr>
                <w:sz w:val="20"/>
                <w:szCs w:val="20"/>
                <w:color w:val="auto"/>
              </w:rPr>
            </w:pPr>
            <w:r>
              <w:rPr>
                <w:rFonts w:ascii="Arial" w:cs="Arial" w:eastAsia="Arial" w:hAnsi="Arial"/>
                <w:sz w:val="15"/>
                <w:szCs w:val="15"/>
                <w:color w:val="auto"/>
              </w:rPr>
              <w:t>Operating lease liabilities</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(31.1)</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(31.4)</w:t>
            </w:r>
          </w:p>
        </w:tc>
      </w:tr>
      <w:tr>
        <w:trPr>
          <w:trHeight w:val="203"/>
        </w:trPr>
        <w:tc>
          <w:tcPr>
            <w:tcW w:w="20" w:type="dxa"/>
            <w:vAlign w:val="bottom"/>
            <w:tcBorders>
              <w:bottom w:val="single" w:sz="8" w:color="CCEEFF"/>
            </w:tcBorders>
          </w:tcPr>
          <w:p>
            <w:pPr>
              <w:spacing w:after="0"/>
              <w:rPr>
                <w:sz w:val="17"/>
                <w:szCs w:val="17"/>
                <w:color w:val="auto"/>
              </w:rPr>
            </w:pPr>
          </w:p>
        </w:tc>
        <w:tc>
          <w:tcPr>
            <w:tcW w:w="8600" w:type="dxa"/>
            <w:vAlign w:val="bottom"/>
            <w:tcBorders>
              <w:bottom w:val="single" w:sz="8" w:color="CCEEFF"/>
            </w:tcBorders>
            <w:gridSpan w:val="2"/>
          </w:tcPr>
          <w:p>
            <w:pPr>
              <w:ind w:left="500"/>
              <w:spacing w:after="0"/>
              <w:rPr>
                <w:sz w:val="20"/>
                <w:szCs w:val="20"/>
                <w:color w:val="auto"/>
              </w:rPr>
            </w:pPr>
            <w:r>
              <w:rPr>
                <w:rFonts w:ascii="Arial" w:cs="Arial" w:eastAsia="Arial" w:hAnsi="Arial"/>
                <w:sz w:val="15"/>
                <w:szCs w:val="15"/>
                <w:color w:val="auto"/>
              </w:rPr>
              <w:t>Other current and long-term liabilities</w:t>
            </w:r>
          </w:p>
        </w:tc>
        <w:tc>
          <w:tcPr>
            <w:tcW w:w="2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2.5</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(29.9)</w:t>
            </w:r>
          </w:p>
        </w:tc>
      </w:tr>
      <w:tr>
        <w:trPr>
          <w:trHeight w:val="202"/>
        </w:trPr>
        <w:tc>
          <w:tcPr>
            <w:tcW w:w="20" w:type="dxa"/>
            <w:vAlign w:val="bottom"/>
            <w:shd w:val="clear" w:color="auto" w:fill="CCEEFF"/>
          </w:tcPr>
          <w:p>
            <w:pPr>
              <w:spacing w:after="0"/>
              <w:rPr>
                <w:sz w:val="17"/>
                <w:szCs w:val="17"/>
                <w:color w:val="auto"/>
              </w:rPr>
            </w:pPr>
          </w:p>
        </w:tc>
        <w:tc>
          <w:tcPr>
            <w:tcW w:w="8600" w:type="dxa"/>
            <w:vAlign w:val="bottom"/>
            <w:gridSpan w:val="2"/>
            <w:shd w:val="clear" w:color="auto" w:fill="CCEEFF"/>
          </w:tcPr>
          <w:p>
            <w:pPr>
              <w:ind w:left="740"/>
              <w:spacing w:after="0"/>
              <w:rPr>
                <w:sz w:val="20"/>
                <w:szCs w:val="20"/>
                <w:color w:val="auto"/>
              </w:rPr>
            </w:pPr>
            <w:r>
              <w:rPr>
                <w:rFonts w:ascii="Arial" w:cs="Arial" w:eastAsia="Arial" w:hAnsi="Arial"/>
                <w:sz w:val="15"/>
                <w:szCs w:val="15"/>
                <w:color w:val="auto"/>
              </w:rPr>
              <w:t>Net cash provided by (used in) operating activities</w:t>
            </w:r>
          </w:p>
        </w:tc>
        <w:tc>
          <w:tcPr>
            <w:tcW w:w="28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180.5</w:t>
            </w:r>
          </w:p>
        </w:tc>
        <w:tc>
          <w:tcPr>
            <w:tcW w:w="10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(33.2)</w:t>
            </w:r>
          </w:p>
        </w:tc>
      </w:tr>
      <w:tr>
        <w:trPr>
          <w:trHeight w:val="184"/>
        </w:trPr>
        <w:tc>
          <w:tcPr>
            <w:tcW w:w="8620" w:type="dxa"/>
            <w:vAlign w:val="bottom"/>
            <w:gridSpan w:val="3"/>
          </w:tcPr>
          <w:p>
            <w:pPr>
              <w:ind w:left="20"/>
              <w:spacing w:after="0"/>
              <w:rPr>
                <w:sz w:val="20"/>
                <w:szCs w:val="20"/>
                <w:color w:val="auto"/>
              </w:rPr>
            </w:pPr>
            <w:r>
              <w:rPr>
                <w:rFonts w:ascii="Arial" w:cs="Arial" w:eastAsia="Arial" w:hAnsi="Arial"/>
                <w:sz w:val="15"/>
                <w:szCs w:val="15"/>
                <w:b w:val="1"/>
                <w:bCs w:val="1"/>
                <w:color w:val="auto"/>
              </w:rPr>
              <w:t>Investing activities</w:t>
            </w:r>
          </w:p>
        </w:tc>
        <w:tc>
          <w:tcPr>
            <w:tcW w:w="2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208"/>
        </w:trPr>
        <w:tc>
          <w:tcPr>
            <w:tcW w:w="20" w:type="dxa"/>
            <w:vAlign w:val="bottom"/>
            <w:shd w:val="clear" w:color="auto" w:fill="CCEEFF"/>
          </w:tcPr>
          <w:p>
            <w:pPr>
              <w:spacing w:after="0"/>
              <w:rPr>
                <w:sz w:val="18"/>
                <w:szCs w:val="18"/>
                <w:color w:val="auto"/>
              </w:rPr>
            </w:pPr>
          </w:p>
        </w:tc>
        <w:tc>
          <w:tcPr>
            <w:tcW w:w="8600" w:type="dxa"/>
            <w:vAlign w:val="bottom"/>
            <w:gridSpan w:val="2"/>
            <w:shd w:val="clear" w:color="auto" w:fill="CCEEFF"/>
          </w:tcPr>
          <w:p>
            <w:pPr>
              <w:ind w:left="300"/>
              <w:spacing w:after="0"/>
              <w:rPr>
                <w:sz w:val="20"/>
                <w:szCs w:val="20"/>
                <w:color w:val="auto"/>
              </w:rPr>
            </w:pPr>
            <w:r>
              <w:rPr>
                <w:rFonts w:ascii="Arial" w:cs="Arial" w:eastAsia="Arial" w:hAnsi="Arial"/>
                <w:sz w:val="15"/>
                <w:szCs w:val="15"/>
                <w:color w:val="auto"/>
              </w:rPr>
              <w:t>Capital expenditures</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(25.7)</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(42.8)</w:t>
            </w:r>
          </w:p>
        </w:tc>
      </w:tr>
      <w:tr>
        <w:trPr>
          <w:trHeight w:val="203"/>
        </w:trPr>
        <w:tc>
          <w:tcPr>
            <w:tcW w:w="20" w:type="dxa"/>
            <w:vAlign w:val="bottom"/>
          </w:tcPr>
          <w:p>
            <w:pPr>
              <w:spacing w:after="0"/>
              <w:rPr>
                <w:sz w:val="17"/>
                <w:szCs w:val="17"/>
                <w:color w:val="auto"/>
              </w:rPr>
            </w:pPr>
          </w:p>
        </w:tc>
        <w:tc>
          <w:tcPr>
            <w:tcW w:w="8600" w:type="dxa"/>
            <w:vAlign w:val="bottom"/>
            <w:gridSpan w:val="2"/>
          </w:tcPr>
          <w:p>
            <w:pPr>
              <w:ind w:left="300"/>
              <w:spacing w:after="0"/>
              <w:rPr>
                <w:sz w:val="20"/>
                <w:szCs w:val="20"/>
                <w:color w:val="auto"/>
              </w:rPr>
            </w:pPr>
            <w:r>
              <w:rPr>
                <w:rFonts w:ascii="Arial" w:cs="Arial" w:eastAsia="Arial" w:hAnsi="Arial"/>
                <w:sz w:val="15"/>
                <w:szCs w:val="15"/>
                <w:color w:val="auto"/>
              </w:rPr>
              <w:t>Consideration paid for Barstool Sports investment</w:t>
            </w:r>
          </w:p>
        </w:tc>
        <w:tc>
          <w:tcPr>
            <w:tcW w:w="280" w:type="dxa"/>
            <w:vAlign w:val="bottom"/>
          </w:tcPr>
          <w:p>
            <w:pPr>
              <w:spacing w:after="0"/>
              <w:rPr>
                <w:sz w:val="17"/>
                <w:szCs w:val="17"/>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2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(135.0)</w:t>
            </w:r>
          </w:p>
        </w:tc>
      </w:tr>
      <w:tr>
        <w:trPr>
          <w:trHeight w:val="209"/>
        </w:trPr>
        <w:tc>
          <w:tcPr>
            <w:tcW w:w="20" w:type="dxa"/>
            <w:vAlign w:val="bottom"/>
            <w:shd w:val="clear" w:color="auto" w:fill="CCEEFF"/>
          </w:tcPr>
          <w:p>
            <w:pPr>
              <w:spacing w:after="0"/>
              <w:rPr>
                <w:sz w:val="18"/>
                <w:szCs w:val="18"/>
                <w:color w:val="auto"/>
              </w:rPr>
            </w:pPr>
          </w:p>
        </w:tc>
        <w:tc>
          <w:tcPr>
            <w:tcW w:w="8600" w:type="dxa"/>
            <w:vAlign w:val="bottom"/>
            <w:gridSpan w:val="2"/>
            <w:shd w:val="clear" w:color="auto" w:fill="CCEEFF"/>
          </w:tcPr>
          <w:p>
            <w:pPr>
              <w:ind w:left="300"/>
              <w:spacing w:after="0"/>
              <w:rPr>
                <w:sz w:val="20"/>
                <w:szCs w:val="20"/>
                <w:color w:val="auto"/>
              </w:rPr>
            </w:pPr>
            <w:r>
              <w:rPr>
                <w:rFonts w:ascii="Arial" w:cs="Arial" w:eastAsia="Arial" w:hAnsi="Arial"/>
                <w:sz w:val="15"/>
                <w:szCs w:val="15"/>
                <w:color w:val="auto"/>
              </w:rPr>
              <w:t>Consideration paid for acquisitions of businesses, net of cash acquired</w:t>
            </w: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(3.0)</w:t>
            </w:r>
          </w:p>
        </w:tc>
      </w:tr>
      <w:tr>
        <w:trPr>
          <w:trHeight w:val="203"/>
        </w:trPr>
        <w:tc>
          <w:tcPr>
            <w:tcW w:w="20" w:type="dxa"/>
            <w:vAlign w:val="bottom"/>
            <w:tcBorders>
              <w:bottom w:val="single" w:sz="8" w:color="CCEEFF"/>
            </w:tcBorders>
          </w:tcPr>
          <w:p>
            <w:pPr>
              <w:spacing w:after="0"/>
              <w:rPr>
                <w:sz w:val="17"/>
                <w:szCs w:val="17"/>
                <w:color w:val="auto"/>
              </w:rPr>
            </w:pPr>
          </w:p>
        </w:tc>
        <w:tc>
          <w:tcPr>
            <w:tcW w:w="8600" w:type="dxa"/>
            <w:vAlign w:val="bottom"/>
            <w:tcBorders>
              <w:bottom w:val="single" w:sz="8" w:color="CCEEFF"/>
            </w:tcBorders>
            <w:gridSpan w:val="2"/>
          </w:tcPr>
          <w:p>
            <w:pPr>
              <w:ind w:left="300"/>
              <w:spacing w:after="0"/>
              <w:rPr>
                <w:sz w:val="20"/>
                <w:szCs w:val="20"/>
                <w:color w:val="auto"/>
              </w:rPr>
            </w:pPr>
            <w:r>
              <w:rPr>
                <w:rFonts w:ascii="Arial" w:cs="Arial" w:eastAsia="Arial" w:hAnsi="Arial"/>
                <w:sz w:val="15"/>
                <w:szCs w:val="15"/>
                <w:color w:val="auto"/>
              </w:rPr>
              <w:t>Other</w:t>
            </w:r>
          </w:p>
        </w:tc>
        <w:tc>
          <w:tcPr>
            <w:tcW w:w="2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(1.6)</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(2.6)</w:t>
            </w:r>
          </w:p>
        </w:tc>
      </w:tr>
      <w:tr>
        <w:trPr>
          <w:trHeight w:val="199"/>
        </w:trPr>
        <w:tc>
          <w:tcPr>
            <w:tcW w:w="20" w:type="dxa"/>
            <w:vAlign w:val="bottom"/>
            <w:shd w:val="clear" w:color="auto" w:fill="CCEEFF"/>
          </w:tcPr>
          <w:p>
            <w:pPr>
              <w:spacing w:after="0"/>
              <w:rPr>
                <w:sz w:val="17"/>
                <w:szCs w:val="17"/>
                <w:color w:val="auto"/>
              </w:rPr>
            </w:pPr>
          </w:p>
        </w:tc>
        <w:tc>
          <w:tcPr>
            <w:tcW w:w="8600" w:type="dxa"/>
            <w:vAlign w:val="bottom"/>
            <w:gridSpan w:val="2"/>
            <w:shd w:val="clear" w:color="auto" w:fill="CCEEFF"/>
          </w:tcPr>
          <w:p>
            <w:pPr>
              <w:ind w:left="740"/>
              <w:spacing w:after="0"/>
              <w:rPr>
                <w:sz w:val="20"/>
                <w:szCs w:val="20"/>
                <w:color w:val="auto"/>
              </w:rPr>
            </w:pPr>
            <w:r>
              <w:rPr>
                <w:rFonts w:ascii="Arial" w:cs="Arial" w:eastAsia="Arial" w:hAnsi="Arial"/>
                <w:sz w:val="15"/>
                <w:szCs w:val="15"/>
                <w:color w:val="auto"/>
              </w:rPr>
              <w:t>Net cash used in investing activities</w:t>
            </w:r>
          </w:p>
        </w:tc>
        <w:tc>
          <w:tcPr>
            <w:tcW w:w="28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(27.3)</w:t>
            </w:r>
          </w:p>
        </w:tc>
        <w:tc>
          <w:tcPr>
            <w:tcW w:w="10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(183.4)</w:t>
            </w:r>
          </w:p>
        </w:tc>
      </w:tr>
    </w:tbl>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173990</wp:posOffset>
            </wp:positionV>
            <wp:extent cx="7164070" cy="419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6" w:name="page7"/>
    <w:bookmarkEnd w:id="6"/>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820" w:type="dxa"/>
            <w:vAlign w:val="bottom"/>
          </w:tcPr>
          <w:p>
            <w:pPr>
              <w:spacing w:after="0"/>
              <w:rPr>
                <w:sz w:val="16"/>
                <w:szCs w:val="16"/>
                <w:color w:val="auto"/>
              </w:rPr>
            </w:pPr>
          </w:p>
        </w:tc>
        <w:tc>
          <w:tcPr>
            <w:tcW w:w="2620" w:type="dxa"/>
            <w:vAlign w:val="bottom"/>
            <w:gridSpan w:val="5"/>
          </w:tcPr>
          <w:p>
            <w:pPr>
              <w:ind w:left="20"/>
              <w:spacing w:after="0"/>
              <w:rPr>
                <w:sz w:val="20"/>
                <w:szCs w:val="20"/>
                <w:color w:val="auto"/>
              </w:rPr>
            </w:pPr>
            <w:r>
              <w:rPr>
                <w:rFonts w:ascii="Arial" w:cs="Arial" w:eastAsia="Arial" w:hAnsi="Arial"/>
                <w:sz w:val="17"/>
                <w:szCs w:val="17"/>
                <w:b w:val="1"/>
                <w:bCs w:val="1"/>
                <w:color w:val="auto"/>
                <w:w w:val="92"/>
              </w:rPr>
              <w:t>For the three months ended March</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8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gridSpan w:val="3"/>
          </w:tcPr>
          <w:p>
            <w:pPr>
              <w:jc w:val="right"/>
              <w:ind w:right="143"/>
              <w:spacing w:after="0"/>
              <w:rPr>
                <w:sz w:val="20"/>
                <w:szCs w:val="20"/>
                <w:color w:val="auto"/>
              </w:rPr>
            </w:pPr>
            <w:r>
              <w:rPr>
                <w:rFonts w:ascii="Arial" w:cs="Arial" w:eastAsia="Arial" w:hAnsi="Arial"/>
                <w:sz w:val="17"/>
                <w:szCs w:val="17"/>
                <w:b w:val="1"/>
                <w:bCs w:val="1"/>
                <w:color w:val="auto"/>
              </w:rPr>
              <w:t>31,</w:t>
            </w:r>
          </w:p>
        </w:tc>
        <w:tc>
          <w:tcPr>
            <w:tcW w:w="9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600" w:type="dxa"/>
            <w:vAlign w:val="bottom"/>
            <w:gridSpan w:val="2"/>
          </w:tcPr>
          <w:p>
            <w:pPr>
              <w:spacing w:after="0" w:line="161" w:lineRule="exact"/>
              <w:rPr>
                <w:sz w:val="20"/>
                <w:szCs w:val="20"/>
                <w:color w:val="auto"/>
              </w:rPr>
            </w:pPr>
            <w:r>
              <w:rPr>
                <w:rFonts w:ascii="Arial" w:cs="Arial" w:eastAsia="Arial" w:hAnsi="Arial"/>
                <w:sz w:val="15"/>
                <w:szCs w:val="15"/>
                <w:b w:val="1"/>
                <w:bCs w:val="1"/>
                <w:i w:val="1"/>
                <w:iCs w:val="1"/>
                <w:color w:val="auto"/>
              </w:rPr>
              <w:t>(in millions)</w:t>
            </w:r>
          </w:p>
        </w:tc>
        <w:tc>
          <w:tcPr>
            <w:tcW w:w="280" w:type="dxa"/>
            <w:vAlign w:val="bottom"/>
          </w:tcPr>
          <w:p>
            <w:pPr>
              <w:spacing w:after="0"/>
              <w:rPr>
                <w:sz w:val="13"/>
                <w:szCs w:val="13"/>
                <w:color w:val="auto"/>
              </w:rPr>
            </w:pPr>
          </w:p>
        </w:tc>
        <w:tc>
          <w:tcPr>
            <w:tcW w:w="980" w:type="dxa"/>
            <w:vAlign w:val="bottom"/>
          </w:tcPr>
          <w:p>
            <w:pPr>
              <w:jc w:val="right"/>
              <w:ind w:right="402"/>
              <w:spacing w:after="0" w:line="161" w:lineRule="exact"/>
              <w:rPr>
                <w:sz w:val="20"/>
                <w:szCs w:val="20"/>
                <w:color w:val="auto"/>
              </w:rPr>
            </w:pPr>
            <w:r>
              <w:rPr>
                <w:rFonts w:ascii="Arial" w:cs="Arial" w:eastAsia="Arial" w:hAnsi="Arial"/>
                <w:sz w:val="15"/>
                <w:szCs w:val="15"/>
                <w:b w:val="1"/>
                <w:bCs w:val="1"/>
                <w:color w:val="auto"/>
              </w:rPr>
              <w:t>2021</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80" w:type="dxa"/>
            <w:vAlign w:val="bottom"/>
          </w:tcPr>
          <w:p>
            <w:pPr>
              <w:jc w:val="right"/>
              <w:ind w:right="403"/>
              <w:spacing w:after="0" w:line="161" w:lineRule="exact"/>
              <w:rPr>
                <w:sz w:val="20"/>
                <w:szCs w:val="20"/>
                <w:color w:val="auto"/>
              </w:rPr>
            </w:pPr>
            <w:r>
              <w:rPr>
                <w:rFonts w:ascii="Arial" w:cs="Arial" w:eastAsia="Arial" w:hAnsi="Arial"/>
                <w:sz w:val="15"/>
                <w:szCs w:val="15"/>
                <w:b w:val="1"/>
                <w:bCs w:val="1"/>
                <w:color w:val="auto"/>
              </w:rPr>
              <w:t>2020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78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8600" w:type="dxa"/>
            <w:vAlign w:val="bottom"/>
            <w:gridSpan w:val="2"/>
            <w:vMerge w:val="restart"/>
          </w:tcPr>
          <w:p>
            <w:pPr>
              <w:spacing w:after="0"/>
              <w:rPr>
                <w:sz w:val="20"/>
                <w:szCs w:val="20"/>
                <w:color w:val="auto"/>
              </w:rPr>
            </w:pPr>
            <w:r>
              <w:rPr>
                <w:rFonts w:ascii="Arial" w:cs="Arial" w:eastAsia="Arial" w:hAnsi="Arial"/>
                <w:sz w:val="15"/>
                <w:szCs w:val="15"/>
                <w:b w:val="1"/>
                <w:bCs w:val="1"/>
                <w:color w:val="auto"/>
              </w:rPr>
              <w:t>Financing activities</w:t>
            </w: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20" w:type="dxa"/>
            <w:vAlign w:val="bottom"/>
            <w:vMerge w:val="continue"/>
          </w:tcPr>
          <w:p>
            <w:pPr>
              <w:spacing w:after="0"/>
              <w:rPr>
                <w:sz w:val="15"/>
                <w:szCs w:val="15"/>
                <w:color w:val="auto"/>
              </w:rPr>
            </w:pPr>
          </w:p>
        </w:tc>
        <w:tc>
          <w:tcPr>
            <w:tcW w:w="8600" w:type="dxa"/>
            <w:vAlign w:val="bottom"/>
            <w:gridSpan w:val="2"/>
            <w:vMerge w:val="continue"/>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8600" w:type="dxa"/>
            <w:vAlign w:val="bottom"/>
            <w:gridSpan w:val="2"/>
            <w:shd w:val="clear" w:color="auto" w:fill="CCEEFF"/>
          </w:tcPr>
          <w:p>
            <w:pPr>
              <w:ind w:left="300"/>
              <w:spacing w:after="0"/>
              <w:rPr>
                <w:sz w:val="20"/>
                <w:szCs w:val="20"/>
                <w:color w:val="auto"/>
              </w:rPr>
            </w:pPr>
            <w:r>
              <w:rPr>
                <w:rFonts w:ascii="Arial" w:cs="Arial" w:eastAsia="Arial" w:hAnsi="Arial"/>
                <w:sz w:val="15"/>
                <w:szCs w:val="15"/>
                <w:color w:val="auto"/>
              </w:rPr>
              <w:t>Proceeds from revolving credit facility</w:t>
            </w: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540.0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600" w:type="dxa"/>
            <w:vAlign w:val="bottom"/>
            <w:gridSpan w:val="2"/>
          </w:tcPr>
          <w:p>
            <w:pPr>
              <w:ind w:left="300"/>
              <w:spacing w:after="0"/>
              <w:rPr>
                <w:sz w:val="20"/>
                <w:szCs w:val="20"/>
                <w:color w:val="auto"/>
              </w:rPr>
            </w:pPr>
            <w:r>
              <w:rPr>
                <w:rFonts w:ascii="Arial" w:cs="Arial" w:eastAsia="Arial" w:hAnsi="Arial"/>
                <w:sz w:val="15"/>
                <w:szCs w:val="15"/>
                <w:color w:val="auto"/>
              </w:rPr>
              <w:t>Repayments on revolving credit facility</w:t>
            </w:r>
          </w:p>
        </w:tc>
        <w:tc>
          <w:tcPr>
            <w:tcW w:w="280" w:type="dxa"/>
            <w:vAlign w:val="bottom"/>
          </w:tcPr>
          <w:p>
            <w:pPr>
              <w:spacing w:after="0"/>
              <w:rPr>
                <w:sz w:val="17"/>
                <w:szCs w:val="17"/>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2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(10.0)</w:t>
            </w:r>
          </w:p>
        </w:tc>
        <w:tc>
          <w:tcPr>
            <w:tcW w:w="0" w:type="dxa"/>
            <w:vAlign w:val="bottom"/>
          </w:tcPr>
          <w:p>
            <w:pPr>
              <w:spacing w:after="0"/>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8600" w:type="dxa"/>
            <w:vAlign w:val="bottom"/>
            <w:gridSpan w:val="2"/>
            <w:shd w:val="clear" w:color="auto" w:fill="CCEEFF"/>
          </w:tcPr>
          <w:p>
            <w:pPr>
              <w:ind w:left="300"/>
              <w:spacing w:after="0"/>
              <w:rPr>
                <w:sz w:val="20"/>
                <w:szCs w:val="20"/>
                <w:color w:val="auto"/>
              </w:rPr>
            </w:pPr>
            <w:r>
              <w:rPr>
                <w:rFonts w:ascii="Arial" w:cs="Arial" w:eastAsia="Arial" w:hAnsi="Arial"/>
                <w:sz w:val="15"/>
                <w:szCs w:val="15"/>
                <w:color w:val="auto"/>
              </w:rPr>
              <w:t>Principal payments on long-term debt</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(16.1)</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600" w:type="dxa"/>
            <w:vAlign w:val="bottom"/>
            <w:gridSpan w:val="2"/>
          </w:tcPr>
          <w:p>
            <w:pPr>
              <w:ind w:left="300"/>
              <w:spacing w:after="0"/>
              <w:rPr>
                <w:sz w:val="20"/>
                <w:szCs w:val="20"/>
                <w:color w:val="auto"/>
              </w:rPr>
            </w:pPr>
            <w:r>
              <w:rPr>
                <w:rFonts w:ascii="Arial" w:cs="Arial" w:eastAsia="Arial" w:hAnsi="Arial"/>
                <w:sz w:val="15"/>
                <w:szCs w:val="15"/>
                <w:color w:val="auto"/>
              </w:rPr>
              <w:t>Proceeds from other long-term obligations</w:t>
            </w:r>
          </w:p>
        </w:tc>
        <w:tc>
          <w:tcPr>
            <w:tcW w:w="2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72.5</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8600" w:type="dxa"/>
            <w:vAlign w:val="bottom"/>
            <w:gridSpan w:val="2"/>
            <w:shd w:val="clear" w:color="auto" w:fill="CCEEFF"/>
          </w:tcPr>
          <w:p>
            <w:pPr>
              <w:ind w:left="300"/>
              <w:spacing w:after="0"/>
              <w:rPr>
                <w:sz w:val="20"/>
                <w:szCs w:val="20"/>
                <w:color w:val="auto"/>
              </w:rPr>
            </w:pPr>
            <w:r>
              <w:rPr>
                <w:rFonts w:ascii="Arial" w:cs="Arial" w:eastAsia="Arial" w:hAnsi="Arial"/>
                <w:sz w:val="15"/>
                <w:szCs w:val="15"/>
                <w:color w:val="auto"/>
              </w:rPr>
              <w:t>Payments of other long-term obligations</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(0.7)</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600" w:type="dxa"/>
            <w:vAlign w:val="bottom"/>
            <w:gridSpan w:val="2"/>
          </w:tcPr>
          <w:p>
            <w:pPr>
              <w:ind w:left="300"/>
              <w:spacing w:after="0"/>
              <w:rPr>
                <w:sz w:val="20"/>
                <w:szCs w:val="20"/>
                <w:color w:val="auto"/>
              </w:rPr>
            </w:pPr>
            <w:r>
              <w:rPr>
                <w:rFonts w:ascii="Arial" w:cs="Arial" w:eastAsia="Arial" w:hAnsi="Arial"/>
                <w:sz w:val="15"/>
                <w:szCs w:val="15"/>
                <w:color w:val="auto"/>
              </w:rPr>
              <w:t>Principal payments on financing obligations</w:t>
            </w:r>
          </w:p>
        </w:tc>
        <w:tc>
          <w:tcPr>
            <w:tcW w:w="2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(8.7)</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(13.5)</w:t>
            </w:r>
          </w:p>
        </w:tc>
        <w:tc>
          <w:tcPr>
            <w:tcW w:w="0" w:type="dxa"/>
            <w:vAlign w:val="bottom"/>
          </w:tcPr>
          <w:p>
            <w:pPr>
              <w:spacing w:after="0"/>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8600" w:type="dxa"/>
            <w:vAlign w:val="bottom"/>
            <w:gridSpan w:val="2"/>
            <w:shd w:val="clear" w:color="auto" w:fill="CCEEFF"/>
          </w:tcPr>
          <w:p>
            <w:pPr>
              <w:ind w:left="300"/>
              <w:spacing w:after="0"/>
              <w:rPr>
                <w:sz w:val="20"/>
                <w:szCs w:val="20"/>
                <w:color w:val="auto"/>
              </w:rPr>
            </w:pPr>
            <w:r>
              <w:rPr>
                <w:rFonts w:ascii="Arial" w:cs="Arial" w:eastAsia="Arial" w:hAnsi="Arial"/>
                <w:sz w:val="15"/>
                <w:szCs w:val="15"/>
                <w:color w:val="auto"/>
              </w:rPr>
              <w:t>Principal payments on finance leases</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(1.7)</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600" w:type="dxa"/>
            <w:vAlign w:val="bottom"/>
            <w:gridSpan w:val="2"/>
          </w:tcPr>
          <w:p>
            <w:pPr>
              <w:ind w:left="300"/>
              <w:spacing w:after="0"/>
              <w:rPr>
                <w:sz w:val="20"/>
                <w:szCs w:val="20"/>
                <w:color w:val="auto"/>
              </w:rPr>
            </w:pPr>
            <w:r>
              <w:rPr>
                <w:rFonts w:ascii="Arial" w:cs="Arial" w:eastAsia="Arial" w:hAnsi="Arial"/>
                <w:sz w:val="15"/>
                <w:szCs w:val="15"/>
                <w:color w:val="auto"/>
              </w:rPr>
              <w:t>Proceeds from exercise of options</w:t>
            </w:r>
          </w:p>
        </w:tc>
        <w:tc>
          <w:tcPr>
            <w:tcW w:w="2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5.7</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4.6</w:t>
            </w:r>
          </w:p>
        </w:tc>
        <w:tc>
          <w:tcPr>
            <w:tcW w:w="0" w:type="dxa"/>
            <w:vAlign w:val="bottom"/>
          </w:tcPr>
          <w:p>
            <w:pPr>
              <w:spacing w:after="0"/>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8600" w:type="dxa"/>
            <w:vAlign w:val="bottom"/>
            <w:gridSpan w:val="2"/>
            <w:shd w:val="clear" w:color="auto" w:fill="CCEEFF"/>
          </w:tcPr>
          <w:p>
            <w:pPr>
              <w:ind w:left="300"/>
              <w:spacing w:after="0"/>
              <w:rPr>
                <w:sz w:val="20"/>
                <w:szCs w:val="20"/>
                <w:color w:val="auto"/>
              </w:rPr>
            </w:pPr>
            <w:r>
              <w:rPr>
                <w:rFonts w:ascii="Arial" w:cs="Arial" w:eastAsia="Arial" w:hAnsi="Arial"/>
                <w:sz w:val="15"/>
                <w:szCs w:val="15"/>
                <w:color w:val="auto"/>
              </w:rPr>
              <w:t>Proceeds from insurance financing</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23.1</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15.7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600" w:type="dxa"/>
            <w:vAlign w:val="bottom"/>
            <w:gridSpan w:val="2"/>
          </w:tcPr>
          <w:p>
            <w:pPr>
              <w:ind w:left="300"/>
              <w:spacing w:after="0"/>
              <w:rPr>
                <w:sz w:val="20"/>
                <w:szCs w:val="20"/>
                <w:color w:val="auto"/>
              </w:rPr>
            </w:pPr>
            <w:r>
              <w:rPr>
                <w:rFonts w:ascii="Arial" w:cs="Arial" w:eastAsia="Arial" w:hAnsi="Arial"/>
                <w:sz w:val="15"/>
                <w:szCs w:val="15"/>
                <w:color w:val="auto"/>
              </w:rPr>
              <w:t>Payments on insurance financing</w:t>
            </w:r>
          </w:p>
        </w:tc>
        <w:tc>
          <w:tcPr>
            <w:tcW w:w="2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(9.2)</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(6.3)</w:t>
            </w:r>
          </w:p>
        </w:tc>
        <w:tc>
          <w:tcPr>
            <w:tcW w:w="0" w:type="dxa"/>
            <w:vAlign w:val="bottom"/>
          </w:tcPr>
          <w:p>
            <w:pPr>
              <w:spacing w:after="0"/>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8600" w:type="dxa"/>
            <w:vAlign w:val="bottom"/>
            <w:gridSpan w:val="2"/>
            <w:shd w:val="clear" w:color="auto" w:fill="CCEEFF"/>
          </w:tcPr>
          <w:p>
            <w:pPr>
              <w:ind w:left="300"/>
              <w:spacing w:after="0"/>
              <w:rPr>
                <w:sz w:val="20"/>
                <w:szCs w:val="20"/>
                <w:color w:val="auto"/>
              </w:rPr>
            </w:pPr>
            <w:r>
              <w:rPr>
                <w:rFonts w:ascii="Arial" w:cs="Arial" w:eastAsia="Arial" w:hAnsi="Arial"/>
                <w:sz w:val="15"/>
                <w:szCs w:val="15"/>
                <w:color w:val="auto"/>
              </w:rPr>
              <w:t>Other</w:t>
            </w:r>
          </w:p>
        </w:tc>
        <w:tc>
          <w:tcPr>
            <w:tcW w:w="2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(4.8)</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6"/>
        </w:trPr>
        <w:tc>
          <w:tcPr>
            <w:tcW w:w="20" w:type="dxa"/>
            <w:vAlign w:val="bottom"/>
            <w:tcBorders>
              <w:bottom w:val="single" w:sz="8" w:color="CCEEFF"/>
            </w:tcBorders>
          </w:tcPr>
          <w:p>
            <w:pPr>
              <w:spacing w:after="0"/>
              <w:rPr>
                <w:sz w:val="17"/>
                <w:szCs w:val="17"/>
                <w:color w:val="auto"/>
              </w:rPr>
            </w:pPr>
          </w:p>
        </w:tc>
        <w:tc>
          <w:tcPr>
            <w:tcW w:w="8600" w:type="dxa"/>
            <w:vAlign w:val="bottom"/>
            <w:tcBorders>
              <w:bottom w:val="single" w:sz="8" w:color="CCEEFF"/>
            </w:tcBorders>
            <w:gridSpan w:val="2"/>
          </w:tcPr>
          <w:p>
            <w:pPr>
              <w:ind w:left="740"/>
              <w:spacing w:after="0"/>
              <w:rPr>
                <w:sz w:val="20"/>
                <w:szCs w:val="20"/>
                <w:color w:val="auto"/>
              </w:rPr>
            </w:pPr>
            <w:r>
              <w:rPr>
                <w:rFonts w:ascii="Arial" w:cs="Arial" w:eastAsia="Arial" w:hAnsi="Arial"/>
                <w:sz w:val="15"/>
                <w:szCs w:val="15"/>
                <w:color w:val="auto"/>
              </w:rPr>
              <w:t>Net cash provided by financing activities</w:t>
            </w:r>
          </w:p>
        </w:tc>
        <w:tc>
          <w:tcPr>
            <w:tcW w:w="2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60.1</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508.8</w:t>
            </w:r>
          </w:p>
        </w:tc>
        <w:tc>
          <w:tcPr>
            <w:tcW w:w="0" w:type="dxa"/>
            <w:vAlign w:val="bottom"/>
          </w:tcPr>
          <w:p>
            <w:pPr>
              <w:spacing w:after="0"/>
              <w:rPr>
                <w:sz w:val="1"/>
                <w:szCs w:val="1"/>
                <w:color w:val="auto"/>
              </w:rPr>
            </w:pPr>
          </w:p>
        </w:tc>
      </w:tr>
      <w:tr>
        <w:trPr>
          <w:trHeight w:val="202"/>
        </w:trPr>
        <w:tc>
          <w:tcPr>
            <w:tcW w:w="20" w:type="dxa"/>
            <w:vAlign w:val="bottom"/>
            <w:shd w:val="clear" w:color="auto" w:fill="CCEEFF"/>
          </w:tcPr>
          <w:p>
            <w:pPr>
              <w:spacing w:after="0"/>
              <w:rPr>
                <w:sz w:val="17"/>
                <w:szCs w:val="17"/>
                <w:color w:val="auto"/>
              </w:rPr>
            </w:pPr>
          </w:p>
        </w:tc>
        <w:tc>
          <w:tcPr>
            <w:tcW w:w="860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Change in cash, cash equivalents, and restricted cash</w:t>
            </w: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213.3</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292.2</w:t>
            </w:r>
          </w:p>
        </w:tc>
        <w:tc>
          <w:tcPr>
            <w:tcW w:w="0" w:type="dxa"/>
            <w:vAlign w:val="bottom"/>
          </w:tcPr>
          <w:p>
            <w:pPr>
              <w:spacing w:after="0"/>
              <w:rPr>
                <w:sz w:val="1"/>
                <w:szCs w:val="1"/>
                <w:color w:val="auto"/>
              </w:rPr>
            </w:pPr>
          </w:p>
        </w:tc>
      </w:tr>
      <w:tr>
        <w:trPr>
          <w:trHeight w:val="203"/>
        </w:trPr>
        <w:tc>
          <w:tcPr>
            <w:tcW w:w="20" w:type="dxa"/>
            <w:vAlign w:val="bottom"/>
            <w:tcBorders>
              <w:bottom w:val="single" w:sz="8" w:color="CCEEFF"/>
            </w:tcBorders>
          </w:tcPr>
          <w:p>
            <w:pPr>
              <w:spacing w:after="0"/>
              <w:rPr>
                <w:sz w:val="17"/>
                <w:szCs w:val="17"/>
                <w:color w:val="auto"/>
              </w:rPr>
            </w:pPr>
          </w:p>
        </w:tc>
        <w:tc>
          <w:tcPr>
            <w:tcW w:w="8600" w:type="dxa"/>
            <w:vAlign w:val="bottom"/>
            <w:tcBorders>
              <w:bottom w:val="single" w:sz="8" w:color="CCEEFF"/>
            </w:tcBorders>
            <w:gridSpan w:val="2"/>
          </w:tcPr>
          <w:p>
            <w:pPr>
              <w:spacing w:after="0"/>
              <w:rPr>
                <w:sz w:val="20"/>
                <w:szCs w:val="20"/>
                <w:color w:val="auto"/>
              </w:rPr>
            </w:pPr>
            <w:r>
              <w:rPr>
                <w:rFonts w:ascii="Arial" w:cs="Arial" w:eastAsia="Arial" w:hAnsi="Arial"/>
                <w:sz w:val="15"/>
                <w:szCs w:val="15"/>
                <w:color w:val="auto"/>
              </w:rPr>
              <w:t>Cash, cash equivalents and restricted cash at the beginning of the year</w:t>
            </w:r>
          </w:p>
        </w:tc>
        <w:tc>
          <w:tcPr>
            <w:tcW w:w="2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1,870.4</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455.2</w:t>
            </w:r>
          </w:p>
        </w:tc>
        <w:tc>
          <w:tcPr>
            <w:tcW w:w="0" w:type="dxa"/>
            <w:vAlign w:val="bottom"/>
          </w:tcPr>
          <w:p>
            <w:pPr>
              <w:spacing w:after="0"/>
              <w:rPr>
                <w:sz w:val="1"/>
                <w:szCs w:val="1"/>
                <w:color w:val="auto"/>
              </w:rPr>
            </w:pPr>
          </w:p>
        </w:tc>
      </w:tr>
      <w:tr>
        <w:trPr>
          <w:trHeight w:val="227"/>
        </w:trPr>
        <w:tc>
          <w:tcPr>
            <w:tcW w:w="20" w:type="dxa"/>
            <w:vAlign w:val="bottom"/>
            <w:tcBorders>
              <w:bottom w:val="single" w:sz="8" w:color="CCEEFF"/>
            </w:tcBorders>
            <w:shd w:val="clear" w:color="auto" w:fill="CCEEFF"/>
          </w:tcPr>
          <w:p>
            <w:pPr>
              <w:spacing w:after="0"/>
              <w:rPr>
                <w:sz w:val="19"/>
                <w:szCs w:val="19"/>
                <w:color w:val="auto"/>
              </w:rPr>
            </w:pPr>
          </w:p>
        </w:tc>
        <w:tc>
          <w:tcPr>
            <w:tcW w:w="86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5"/>
                <w:szCs w:val="15"/>
                <w:color w:val="auto"/>
              </w:rPr>
              <w:t>Cash, cash equivalents and restricted cash at the end of the period</w:t>
            </w:r>
          </w:p>
        </w:tc>
        <w:tc>
          <w:tcPr>
            <w:tcW w:w="2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5"/>
                <w:szCs w:val="15"/>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2,083.7</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103"/>
              <w:spacing w:after="0"/>
              <w:rPr>
                <w:sz w:val="20"/>
                <w:szCs w:val="20"/>
                <w:color w:val="auto"/>
              </w:rPr>
            </w:pPr>
            <w:r>
              <w:rPr>
                <w:rFonts w:ascii="Arial" w:cs="Arial" w:eastAsia="Arial" w:hAnsi="Arial"/>
                <w:sz w:val="15"/>
                <w:szCs w:val="15"/>
                <w:color w:val="auto"/>
                <w:w w:val="95"/>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747.4</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78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8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2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78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8600" w:type="dxa"/>
            <w:vAlign w:val="bottom"/>
            <w:gridSpan w:val="2"/>
          </w:tcPr>
          <w:p>
            <w:pPr>
              <w:spacing w:after="0"/>
              <w:rPr>
                <w:sz w:val="20"/>
                <w:szCs w:val="20"/>
                <w:color w:val="auto"/>
              </w:rPr>
            </w:pPr>
            <w:r>
              <w:rPr>
                <w:rFonts w:ascii="Arial" w:cs="Arial" w:eastAsia="Arial" w:hAnsi="Arial"/>
                <w:sz w:val="15"/>
                <w:szCs w:val="15"/>
                <w:b w:val="1"/>
                <w:bCs w:val="1"/>
                <w:color w:val="auto"/>
              </w:rPr>
              <w:t>Reconciliation of cash, cash equivalents and restricted cash:</w:t>
            </w: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20" w:type="dxa"/>
            <w:vAlign w:val="bottom"/>
            <w:shd w:val="clear" w:color="auto" w:fill="CCEEFF"/>
          </w:tcPr>
          <w:p>
            <w:pPr>
              <w:spacing w:after="0"/>
              <w:rPr>
                <w:sz w:val="18"/>
                <w:szCs w:val="18"/>
                <w:color w:val="auto"/>
              </w:rPr>
            </w:pPr>
          </w:p>
        </w:tc>
        <w:tc>
          <w:tcPr>
            <w:tcW w:w="8600" w:type="dxa"/>
            <w:vAlign w:val="bottom"/>
            <w:gridSpan w:val="2"/>
            <w:shd w:val="clear" w:color="auto" w:fill="CCEEFF"/>
          </w:tcPr>
          <w:p>
            <w:pPr>
              <w:ind w:left="300"/>
              <w:spacing w:after="0"/>
              <w:rPr>
                <w:sz w:val="20"/>
                <w:szCs w:val="20"/>
                <w:color w:val="auto"/>
              </w:rPr>
            </w:pPr>
            <w:r>
              <w:rPr>
                <w:rFonts w:ascii="Arial" w:cs="Arial" w:eastAsia="Arial" w:hAnsi="Arial"/>
                <w:sz w:val="15"/>
                <w:szCs w:val="15"/>
                <w:color w:val="auto"/>
              </w:rPr>
              <w:t>Cash and cash equivalents</w:t>
            </w:r>
          </w:p>
        </w:tc>
        <w:tc>
          <w:tcPr>
            <w:tcW w:w="280" w:type="dxa"/>
            <w:vAlign w:val="bottom"/>
            <w:shd w:val="clear" w:color="auto" w:fill="CCEEFF"/>
          </w:tcPr>
          <w:p>
            <w:pPr>
              <w:ind w:left="20"/>
              <w:spacing w:after="0"/>
              <w:rPr>
                <w:sz w:val="20"/>
                <w:szCs w:val="20"/>
                <w:color w:val="auto"/>
              </w:rPr>
            </w:pPr>
            <w:r>
              <w:rPr>
                <w:rFonts w:ascii="Arial" w:cs="Arial" w:eastAsia="Arial" w:hAnsi="Arial"/>
                <w:sz w:val="15"/>
                <w:szCs w:val="15"/>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2,062.2</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03"/>
              <w:spacing w:after="0"/>
              <w:rPr>
                <w:sz w:val="20"/>
                <w:szCs w:val="20"/>
                <w:color w:val="auto"/>
              </w:rPr>
            </w:pPr>
            <w:r>
              <w:rPr>
                <w:rFonts w:ascii="Arial" w:cs="Arial" w:eastAsia="Arial" w:hAnsi="Arial"/>
                <w:sz w:val="15"/>
                <w:szCs w:val="15"/>
                <w:color w:val="auto"/>
                <w:w w:val="95"/>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730.7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600" w:type="dxa"/>
            <w:vAlign w:val="bottom"/>
            <w:gridSpan w:val="2"/>
          </w:tcPr>
          <w:p>
            <w:pPr>
              <w:ind w:left="300"/>
              <w:spacing w:after="0"/>
              <w:rPr>
                <w:sz w:val="20"/>
                <w:szCs w:val="20"/>
                <w:color w:val="auto"/>
              </w:rPr>
            </w:pPr>
            <w:r>
              <w:rPr>
                <w:rFonts w:ascii="Arial" w:cs="Arial" w:eastAsia="Arial" w:hAnsi="Arial"/>
                <w:sz w:val="15"/>
                <w:szCs w:val="15"/>
                <w:color w:val="auto"/>
              </w:rPr>
              <w:t>Restricted cash included in Other current assets</w:t>
            </w:r>
          </w:p>
        </w:tc>
        <w:tc>
          <w:tcPr>
            <w:tcW w:w="2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20.2</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14.4</w:t>
            </w:r>
          </w:p>
        </w:tc>
        <w:tc>
          <w:tcPr>
            <w:tcW w:w="0" w:type="dxa"/>
            <w:vAlign w:val="bottom"/>
          </w:tcPr>
          <w:p>
            <w:pPr>
              <w:spacing w:after="0"/>
              <w:rPr>
                <w:sz w:val="1"/>
                <w:szCs w:val="1"/>
                <w:color w:val="auto"/>
              </w:rPr>
            </w:pPr>
          </w:p>
        </w:tc>
      </w:tr>
      <w:tr>
        <w:trPr>
          <w:trHeight w:val="206"/>
        </w:trPr>
        <w:tc>
          <w:tcPr>
            <w:tcW w:w="20" w:type="dxa"/>
            <w:vAlign w:val="bottom"/>
            <w:shd w:val="clear" w:color="auto" w:fill="CCEEFF"/>
          </w:tcPr>
          <w:p>
            <w:pPr>
              <w:spacing w:after="0"/>
              <w:rPr>
                <w:sz w:val="17"/>
                <w:szCs w:val="17"/>
                <w:color w:val="auto"/>
              </w:rPr>
            </w:pPr>
          </w:p>
        </w:tc>
        <w:tc>
          <w:tcPr>
            <w:tcW w:w="8600" w:type="dxa"/>
            <w:vAlign w:val="bottom"/>
            <w:gridSpan w:val="2"/>
            <w:shd w:val="clear" w:color="auto" w:fill="CCEEFF"/>
          </w:tcPr>
          <w:p>
            <w:pPr>
              <w:ind w:left="300"/>
              <w:spacing w:after="0"/>
              <w:rPr>
                <w:sz w:val="20"/>
                <w:szCs w:val="20"/>
                <w:color w:val="auto"/>
              </w:rPr>
            </w:pPr>
            <w:r>
              <w:rPr>
                <w:rFonts w:ascii="Arial" w:cs="Arial" w:eastAsia="Arial" w:hAnsi="Arial"/>
                <w:sz w:val="15"/>
                <w:szCs w:val="15"/>
                <w:color w:val="auto"/>
              </w:rPr>
              <w:t>Restricted cash included in Other assets</w:t>
            </w:r>
          </w:p>
        </w:tc>
        <w:tc>
          <w:tcPr>
            <w:tcW w:w="28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1.3</w:t>
            </w:r>
          </w:p>
        </w:tc>
        <w:tc>
          <w:tcPr>
            <w:tcW w:w="10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600" w:type="dxa"/>
            <w:vAlign w:val="bottom"/>
            <w:gridSpan w:val="2"/>
          </w:tcPr>
          <w:p>
            <w:pPr>
              <w:ind w:left="300"/>
              <w:spacing w:after="0"/>
              <w:rPr>
                <w:sz w:val="20"/>
                <w:szCs w:val="20"/>
                <w:color w:val="auto"/>
              </w:rPr>
            </w:pPr>
            <w:r>
              <w:rPr>
                <w:rFonts w:ascii="Arial" w:cs="Arial" w:eastAsia="Arial" w:hAnsi="Arial"/>
                <w:sz w:val="15"/>
                <w:szCs w:val="15"/>
                <w:color w:val="auto"/>
              </w:rPr>
              <w:t>Total cash, cash equivalents and restricted cash</w:t>
            </w:r>
          </w:p>
        </w:tc>
        <w:tc>
          <w:tcPr>
            <w:tcW w:w="280" w:type="dxa"/>
            <w:vAlign w:val="bottom"/>
            <w:tcBorders>
              <w:bottom w:val="single" w:sz="8" w:color="auto"/>
            </w:tcBorders>
          </w:tcPr>
          <w:p>
            <w:pPr>
              <w:ind w:left="20"/>
              <w:spacing w:after="0"/>
              <w:rPr>
                <w:sz w:val="20"/>
                <w:szCs w:val="20"/>
                <w:color w:val="auto"/>
              </w:rPr>
            </w:pPr>
            <w:r>
              <w:rPr>
                <w:rFonts w:ascii="Arial" w:cs="Arial" w:eastAsia="Arial" w:hAnsi="Arial"/>
                <w:sz w:val="15"/>
                <w:szCs w:val="15"/>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2,083.7</w:t>
            </w:r>
          </w:p>
        </w:tc>
        <w:tc>
          <w:tcPr>
            <w:tcW w:w="100" w:type="dxa"/>
            <w:vAlign w:val="bottom"/>
          </w:tcPr>
          <w:p>
            <w:pPr>
              <w:spacing w:after="0"/>
              <w:rPr>
                <w:sz w:val="17"/>
                <w:szCs w:val="17"/>
                <w:color w:val="auto"/>
              </w:rPr>
            </w:pPr>
          </w:p>
        </w:tc>
        <w:tc>
          <w:tcPr>
            <w:tcW w:w="280" w:type="dxa"/>
            <w:vAlign w:val="bottom"/>
            <w:tcBorders>
              <w:bottom w:val="single" w:sz="8" w:color="auto"/>
            </w:tcBorders>
          </w:tcPr>
          <w:p>
            <w:pPr>
              <w:jc w:val="right"/>
              <w:ind w:right="103"/>
              <w:spacing w:after="0"/>
              <w:rPr>
                <w:sz w:val="20"/>
                <w:szCs w:val="20"/>
                <w:color w:val="auto"/>
              </w:rPr>
            </w:pPr>
            <w:r>
              <w:rPr>
                <w:rFonts w:ascii="Arial" w:cs="Arial" w:eastAsia="Arial" w:hAnsi="Arial"/>
                <w:sz w:val="15"/>
                <w:szCs w:val="15"/>
                <w:color w:val="auto"/>
                <w:w w:val="95"/>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747.4</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CCEEFF"/>
            </w:tcBorders>
          </w:tcPr>
          <w:p>
            <w:pPr>
              <w:spacing w:after="0" w:line="20" w:lineRule="exact"/>
              <w:rPr>
                <w:sz w:val="1"/>
                <w:szCs w:val="1"/>
                <w:color w:val="auto"/>
              </w:rPr>
            </w:pPr>
          </w:p>
        </w:tc>
        <w:tc>
          <w:tcPr>
            <w:tcW w:w="78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78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8600" w:type="dxa"/>
            <w:vAlign w:val="bottom"/>
            <w:gridSpan w:val="2"/>
          </w:tcPr>
          <w:p>
            <w:pPr>
              <w:spacing w:after="0"/>
              <w:rPr>
                <w:sz w:val="20"/>
                <w:szCs w:val="20"/>
                <w:color w:val="auto"/>
              </w:rPr>
            </w:pPr>
            <w:r>
              <w:rPr>
                <w:rFonts w:ascii="Arial" w:cs="Arial" w:eastAsia="Arial" w:hAnsi="Arial"/>
                <w:sz w:val="15"/>
                <w:szCs w:val="15"/>
                <w:b w:val="1"/>
                <w:bCs w:val="1"/>
                <w:color w:val="auto"/>
              </w:rPr>
              <w:t>Supplemental disclosure:</w:t>
            </w: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20" w:type="dxa"/>
            <w:vAlign w:val="bottom"/>
            <w:shd w:val="clear" w:color="auto" w:fill="CCEEFF"/>
          </w:tcPr>
          <w:p>
            <w:pPr>
              <w:spacing w:after="0"/>
              <w:rPr>
                <w:sz w:val="18"/>
                <w:szCs w:val="18"/>
                <w:color w:val="auto"/>
              </w:rPr>
            </w:pPr>
          </w:p>
        </w:tc>
        <w:tc>
          <w:tcPr>
            <w:tcW w:w="8600" w:type="dxa"/>
            <w:vAlign w:val="bottom"/>
            <w:gridSpan w:val="2"/>
            <w:shd w:val="clear" w:color="auto" w:fill="CCEEFF"/>
          </w:tcPr>
          <w:p>
            <w:pPr>
              <w:ind w:left="300"/>
              <w:spacing w:after="0"/>
              <w:rPr>
                <w:sz w:val="20"/>
                <w:szCs w:val="20"/>
                <w:color w:val="auto"/>
              </w:rPr>
            </w:pPr>
            <w:r>
              <w:rPr>
                <w:rFonts w:ascii="Arial" w:cs="Arial" w:eastAsia="Arial" w:hAnsi="Arial"/>
                <w:sz w:val="15"/>
                <w:szCs w:val="15"/>
                <w:color w:val="auto"/>
              </w:rPr>
              <w:t>Cash paid for interest, net of amounts capitalized</w:t>
            </w:r>
          </w:p>
        </w:tc>
        <w:tc>
          <w:tcPr>
            <w:tcW w:w="280" w:type="dxa"/>
            <w:vAlign w:val="bottom"/>
            <w:shd w:val="clear" w:color="auto" w:fill="CCEEFF"/>
          </w:tcPr>
          <w:p>
            <w:pPr>
              <w:ind w:left="20"/>
              <w:spacing w:after="0"/>
              <w:rPr>
                <w:sz w:val="20"/>
                <w:szCs w:val="20"/>
                <w:color w:val="auto"/>
              </w:rPr>
            </w:pPr>
            <w:r>
              <w:rPr>
                <w:rFonts w:ascii="Arial" w:cs="Arial" w:eastAsia="Arial" w:hAnsi="Arial"/>
                <w:sz w:val="15"/>
                <w:szCs w:val="15"/>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138.8</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03"/>
              <w:spacing w:after="0"/>
              <w:rPr>
                <w:sz w:val="20"/>
                <w:szCs w:val="20"/>
                <w:color w:val="auto"/>
              </w:rPr>
            </w:pPr>
            <w:r>
              <w:rPr>
                <w:rFonts w:ascii="Arial" w:cs="Arial" w:eastAsia="Arial" w:hAnsi="Arial"/>
                <w:sz w:val="15"/>
                <w:szCs w:val="15"/>
                <w:color w:val="auto"/>
                <w:w w:val="95"/>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135.6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600" w:type="dxa"/>
            <w:vAlign w:val="bottom"/>
            <w:gridSpan w:val="2"/>
          </w:tcPr>
          <w:p>
            <w:pPr>
              <w:ind w:left="300"/>
              <w:spacing w:after="0"/>
              <w:rPr>
                <w:sz w:val="20"/>
                <w:szCs w:val="20"/>
                <w:color w:val="auto"/>
              </w:rPr>
            </w:pPr>
            <w:r>
              <w:rPr>
                <w:rFonts w:ascii="Arial" w:cs="Arial" w:eastAsia="Arial" w:hAnsi="Arial"/>
                <w:sz w:val="15"/>
                <w:szCs w:val="15"/>
                <w:color w:val="auto"/>
              </w:rPr>
              <w:t>Cash refunds related to income taxes, net</w:t>
            </w:r>
          </w:p>
        </w:tc>
        <w:tc>
          <w:tcPr>
            <w:tcW w:w="280" w:type="dxa"/>
            <w:vAlign w:val="bottom"/>
          </w:tcPr>
          <w:p>
            <w:pPr>
              <w:ind w:left="20"/>
              <w:spacing w:after="0"/>
              <w:rPr>
                <w:sz w:val="20"/>
                <w:szCs w:val="20"/>
                <w:color w:val="auto"/>
              </w:rPr>
            </w:pPr>
            <w:r>
              <w:rPr>
                <w:rFonts w:ascii="Arial" w:cs="Arial" w:eastAsia="Arial" w:hAnsi="Arial"/>
                <w:sz w:val="15"/>
                <w:szCs w:val="15"/>
                <w:color w:val="auto"/>
              </w:rPr>
              <w:t>$</w:t>
            </w:r>
          </w:p>
        </w:tc>
        <w:tc>
          <w:tcPr>
            <w:tcW w:w="980" w:type="dxa"/>
            <w:vAlign w:val="bottom"/>
          </w:tcPr>
          <w:p>
            <w:pPr>
              <w:jc w:val="right"/>
              <w:spacing w:after="0"/>
              <w:rPr>
                <w:sz w:val="20"/>
                <w:szCs w:val="20"/>
                <w:color w:val="auto"/>
              </w:rPr>
            </w:pPr>
            <w:r>
              <w:rPr>
                <w:rFonts w:ascii="Arial" w:cs="Arial" w:eastAsia="Arial" w:hAnsi="Arial"/>
                <w:sz w:val="15"/>
                <w:szCs w:val="15"/>
                <w:color w:val="auto"/>
              </w:rPr>
              <w:t>(8.8)</w:t>
            </w:r>
          </w:p>
        </w:tc>
        <w:tc>
          <w:tcPr>
            <w:tcW w:w="100" w:type="dxa"/>
            <w:vAlign w:val="bottom"/>
          </w:tcPr>
          <w:p>
            <w:pPr>
              <w:spacing w:after="0"/>
              <w:rPr>
                <w:sz w:val="17"/>
                <w:szCs w:val="17"/>
                <w:color w:val="auto"/>
              </w:rPr>
            </w:pPr>
          </w:p>
        </w:tc>
        <w:tc>
          <w:tcPr>
            <w:tcW w:w="280" w:type="dxa"/>
            <w:vAlign w:val="bottom"/>
          </w:tcPr>
          <w:p>
            <w:pPr>
              <w:jc w:val="right"/>
              <w:ind w:right="103"/>
              <w:spacing w:after="0"/>
              <w:rPr>
                <w:sz w:val="20"/>
                <w:szCs w:val="20"/>
                <w:color w:val="auto"/>
              </w:rPr>
            </w:pPr>
            <w:r>
              <w:rPr>
                <w:rFonts w:ascii="Arial" w:cs="Arial" w:eastAsia="Arial" w:hAnsi="Arial"/>
                <w:sz w:val="15"/>
                <w:szCs w:val="15"/>
                <w:color w:val="auto"/>
                <w:w w:val="95"/>
              </w:rPr>
              <w:t>$</w:t>
            </w:r>
          </w:p>
        </w:tc>
        <w:tc>
          <w:tcPr>
            <w:tcW w:w="980" w:type="dxa"/>
            <w:vAlign w:val="bottom"/>
          </w:tcPr>
          <w:p>
            <w:pPr>
              <w:jc w:val="right"/>
              <w:spacing w:after="0"/>
              <w:rPr>
                <w:sz w:val="20"/>
                <w:szCs w:val="20"/>
                <w:color w:val="auto"/>
              </w:rPr>
            </w:pPr>
            <w:r>
              <w:rPr>
                <w:rFonts w:ascii="Arial" w:cs="Arial" w:eastAsia="Arial" w:hAnsi="Arial"/>
                <w:sz w:val="15"/>
                <w:szCs w:val="15"/>
                <w:color w:val="auto"/>
              </w:rPr>
              <w:t>(1.1)</w:t>
            </w:r>
          </w:p>
        </w:tc>
        <w:tc>
          <w:tcPr>
            <w:tcW w:w="0" w:type="dxa"/>
            <w:vAlign w:val="bottom"/>
          </w:tcPr>
          <w:p>
            <w:pPr>
              <w:spacing w:after="0"/>
              <w:rPr>
                <w:sz w:val="1"/>
                <w:szCs w:val="1"/>
                <w:color w:val="auto"/>
              </w:rPr>
            </w:pPr>
          </w:p>
        </w:tc>
      </w:tr>
      <w:tr>
        <w:trPr>
          <w:trHeight w:val="248"/>
        </w:trPr>
        <w:tc>
          <w:tcPr>
            <w:tcW w:w="2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78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8600" w:type="dxa"/>
            <w:vAlign w:val="bottom"/>
            <w:gridSpan w:val="2"/>
          </w:tcPr>
          <w:p>
            <w:pPr>
              <w:spacing w:after="0"/>
              <w:rPr>
                <w:sz w:val="20"/>
                <w:szCs w:val="20"/>
                <w:color w:val="auto"/>
              </w:rPr>
            </w:pPr>
            <w:r>
              <w:rPr>
                <w:rFonts w:ascii="Arial" w:cs="Arial" w:eastAsia="Arial" w:hAnsi="Arial"/>
                <w:sz w:val="15"/>
                <w:szCs w:val="15"/>
                <w:b w:val="1"/>
                <w:bCs w:val="1"/>
                <w:color w:val="auto"/>
              </w:rPr>
              <w:t>Non-cash investing and financing activities:</w:t>
            </w: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20" w:type="dxa"/>
            <w:vAlign w:val="bottom"/>
            <w:shd w:val="clear" w:color="auto" w:fill="CCEEFF"/>
          </w:tcPr>
          <w:p>
            <w:pPr>
              <w:spacing w:after="0"/>
              <w:rPr>
                <w:sz w:val="18"/>
                <w:szCs w:val="18"/>
                <w:color w:val="auto"/>
              </w:rPr>
            </w:pPr>
          </w:p>
        </w:tc>
        <w:tc>
          <w:tcPr>
            <w:tcW w:w="8600" w:type="dxa"/>
            <w:vAlign w:val="bottom"/>
            <w:gridSpan w:val="2"/>
            <w:shd w:val="clear" w:color="auto" w:fill="CCEEFF"/>
          </w:tcPr>
          <w:p>
            <w:pPr>
              <w:ind w:left="300"/>
              <w:spacing w:after="0"/>
              <w:rPr>
                <w:sz w:val="20"/>
                <w:szCs w:val="20"/>
                <w:color w:val="auto"/>
              </w:rPr>
            </w:pPr>
            <w:r>
              <w:rPr>
                <w:rFonts w:ascii="Arial" w:cs="Arial" w:eastAsia="Arial" w:hAnsi="Arial"/>
                <w:sz w:val="15"/>
                <w:szCs w:val="15"/>
                <w:color w:val="auto"/>
              </w:rPr>
              <w:t>Commencement of operating leases</w:t>
            </w:r>
          </w:p>
        </w:tc>
        <w:tc>
          <w:tcPr>
            <w:tcW w:w="280" w:type="dxa"/>
            <w:vAlign w:val="bottom"/>
            <w:shd w:val="clear" w:color="auto" w:fill="CCEEFF"/>
          </w:tcPr>
          <w:p>
            <w:pPr>
              <w:ind w:left="20"/>
              <w:spacing w:after="0"/>
              <w:rPr>
                <w:sz w:val="20"/>
                <w:szCs w:val="20"/>
                <w:color w:val="auto"/>
              </w:rPr>
            </w:pPr>
            <w:r>
              <w:rPr>
                <w:rFonts w:ascii="Arial" w:cs="Arial" w:eastAsia="Arial" w:hAnsi="Arial"/>
                <w:sz w:val="15"/>
                <w:szCs w:val="15"/>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5.7</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03"/>
              <w:spacing w:after="0"/>
              <w:rPr>
                <w:sz w:val="20"/>
                <w:szCs w:val="20"/>
                <w:color w:val="auto"/>
              </w:rPr>
            </w:pPr>
            <w:r>
              <w:rPr>
                <w:rFonts w:ascii="Arial" w:cs="Arial" w:eastAsia="Arial" w:hAnsi="Arial"/>
                <w:sz w:val="15"/>
                <w:szCs w:val="15"/>
                <w:color w:val="auto"/>
                <w:w w:val="95"/>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8600" w:type="dxa"/>
            <w:vAlign w:val="bottom"/>
            <w:gridSpan w:val="2"/>
          </w:tcPr>
          <w:p>
            <w:pPr>
              <w:ind w:left="300"/>
              <w:spacing w:after="0"/>
              <w:rPr>
                <w:sz w:val="20"/>
                <w:szCs w:val="20"/>
                <w:color w:val="auto"/>
              </w:rPr>
            </w:pPr>
            <w:r>
              <w:rPr>
                <w:rFonts w:ascii="Arial" w:cs="Arial" w:eastAsia="Arial" w:hAnsi="Arial"/>
                <w:sz w:val="15"/>
                <w:szCs w:val="15"/>
                <w:color w:val="auto"/>
              </w:rPr>
              <w:t>Accrued capital expenditures</w:t>
            </w:r>
          </w:p>
        </w:tc>
        <w:tc>
          <w:tcPr>
            <w:tcW w:w="280" w:type="dxa"/>
            <w:vAlign w:val="bottom"/>
          </w:tcPr>
          <w:p>
            <w:pPr>
              <w:ind w:left="20"/>
              <w:spacing w:after="0"/>
              <w:rPr>
                <w:sz w:val="20"/>
                <w:szCs w:val="20"/>
                <w:color w:val="auto"/>
              </w:rPr>
            </w:pPr>
            <w:r>
              <w:rPr>
                <w:rFonts w:ascii="Arial" w:cs="Arial" w:eastAsia="Arial" w:hAnsi="Arial"/>
                <w:sz w:val="15"/>
                <w:szCs w:val="15"/>
                <w:color w:val="auto"/>
              </w:rPr>
              <w:t>$</w:t>
            </w:r>
          </w:p>
        </w:tc>
        <w:tc>
          <w:tcPr>
            <w:tcW w:w="980" w:type="dxa"/>
            <w:vAlign w:val="bottom"/>
          </w:tcPr>
          <w:p>
            <w:pPr>
              <w:jc w:val="right"/>
              <w:spacing w:after="0"/>
              <w:rPr>
                <w:sz w:val="20"/>
                <w:szCs w:val="20"/>
                <w:color w:val="auto"/>
              </w:rPr>
            </w:pPr>
            <w:r>
              <w:rPr>
                <w:rFonts w:ascii="Arial" w:cs="Arial" w:eastAsia="Arial" w:hAnsi="Arial"/>
                <w:sz w:val="15"/>
                <w:szCs w:val="15"/>
                <w:color w:val="auto"/>
              </w:rPr>
              <w:t>15.6</w:t>
            </w:r>
          </w:p>
        </w:tc>
        <w:tc>
          <w:tcPr>
            <w:tcW w:w="100" w:type="dxa"/>
            <w:vAlign w:val="bottom"/>
          </w:tcPr>
          <w:p>
            <w:pPr>
              <w:spacing w:after="0"/>
              <w:rPr>
                <w:sz w:val="17"/>
                <w:szCs w:val="17"/>
                <w:color w:val="auto"/>
              </w:rPr>
            </w:pPr>
          </w:p>
        </w:tc>
        <w:tc>
          <w:tcPr>
            <w:tcW w:w="280" w:type="dxa"/>
            <w:vAlign w:val="bottom"/>
          </w:tcPr>
          <w:p>
            <w:pPr>
              <w:jc w:val="right"/>
              <w:ind w:right="103"/>
              <w:spacing w:after="0"/>
              <w:rPr>
                <w:sz w:val="20"/>
                <w:szCs w:val="20"/>
                <w:color w:val="auto"/>
              </w:rPr>
            </w:pPr>
            <w:r>
              <w:rPr>
                <w:rFonts w:ascii="Arial" w:cs="Arial" w:eastAsia="Arial" w:hAnsi="Arial"/>
                <w:sz w:val="15"/>
                <w:szCs w:val="15"/>
                <w:color w:val="auto"/>
                <w:w w:val="95"/>
              </w:rPr>
              <w:t>$</w:t>
            </w:r>
          </w:p>
        </w:tc>
        <w:tc>
          <w:tcPr>
            <w:tcW w:w="980" w:type="dxa"/>
            <w:vAlign w:val="bottom"/>
          </w:tcPr>
          <w:p>
            <w:pPr>
              <w:jc w:val="right"/>
              <w:spacing w:after="0"/>
              <w:rPr>
                <w:sz w:val="20"/>
                <w:szCs w:val="20"/>
                <w:color w:val="auto"/>
              </w:rPr>
            </w:pPr>
            <w:r>
              <w:rPr>
                <w:rFonts w:ascii="Arial" w:cs="Arial" w:eastAsia="Arial" w:hAnsi="Arial"/>
                <w:sz w:val="15"/>
                <w:szCs w:val="15"/>
                <w:color w:val="auto"/>
              </w:rPr>
              <w:t>7.4</w:t>
            </w:r>
          </w:p>
        </w:tc>
        <w:tc>
          <w:tcPr>
            <w:tcW w:w="0" w:type="dxa"/>
            <w:vAlign w:val="bottom"/>
          </w:tcPr>
          <w:p>
            <w:pPr>
              <w:spacing w:after="0"/>
              <w:rPr>
                <w:sz w:val="1"/>
                <w:szCs w:val="1"/>
                <w:color w:val="auto"/>
              </w:rPr>
            </w:pPr>
          </w:p>
        </w:tc>
      </w:tr>
    </w:tbl>
    <w:p>
      <w:pPr>
        <w:spacing w:after="0" w:line="7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See accompanying 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173990</wp:posOffset>
            </wp:positionV>
            <wp:extent cx="7164070" cy="419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7" w:name="page8"/>
    <w:bookmarkEnd w:id="7"/>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PENN NATIONAL GAMING, INC. AND SUBSIDIARIES</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(UNAUDITED)</w:t>
      </w:r>
    </w:p>
    <w:p>
      <w:pPr>
        <w:spacing w:after="0" w:line="22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1—Organization and Basis of Presentation</w:t>
      </w:r>
    </w:p>
    <w:p>
      <w:pPr>
        <w:spacing w:after="0" w:line="197" w:lineRule="exact"/>
        <w:rPr>
          <w:sz w:val="20"/>
          <w:szCs w:val="20"/>
          <w:color w:val="auto"/>
        </w:rPr>
      </w:pPr>
    </w:p>
    <w:p>
      <w:pPr>
        <w:ind w:firstLine="309"/>
        <w:spacing w:after="0" w:line="265" w:lineRule="auto"/>
        <w:rPr>
          <w:sz w:val="20"/>
          <w:szCs w:val="20"/>
          <w:color w:val="auto"/>
        </w:rPr>
      </w:pPr>
      <w:r>
        <w:rPr>
          <w:rFonts w:ascii="Arial" w:cs="Arial" w:eastAsia="Arial" w:hAnsi="Arial"/>
          <w:sz w:val="16"/>
          <w:szCs w:val="16"/>
          <w:b w:val="1"/>
          <w:bCs w:val="1"/>
          <w:i w:val="1"/>
          <w:iCs w:val="1"/>
          <w:color w:val="auto"/>
        </w:rPr>
        <w:t xml:space="preserve">Organization: </w:t>
      </w:r>
      <w:r>
        <w:rPr>
          <w:rFonts w:ascii="Arial" w:cs="Arial" w:eastAsia="Arial" w:hAnsi="Arial"/>
          <w:sz w:val="16"/>
          <w:szCs w:val="16"/>
          <w:color w:val="auto"/>
        </w:rPr>
        <w:t>Penn National Gaming, Inc., together with its subsidiaries (“Penn National,” the “Company,” “we,” “our,” or “us”), is a leading, diversified,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multi-jurisdictional owner and manager of gaming and racing properties, online gaming, retail and online sports betting operations, and video gaming terminal (“VGT”) operations. Our wholly-owned interactive division, Penn Interactive Ventures, LLC (“Penn Interactive”), operates retail sports betting across the Company’s portfolio, as well as online sports betting, online social casino, bingo and online casinos (“iGaming”). The Company holds a 36% (inclusive of 1% on a delayed basis) equity interest in Barstool Sports, Inc. (“Barstool Sports”), a leading digital sports, entertainment, lifestyle and media company, and entered into a strategic relationship with Barstool Sports, whereby Barstool Sports will exclusively promote the Company's land-based retail sportsbooks, iGaming products and online sports betting products, including the Barstool Sportsbook mobile app, to its national audience. We launched an online sports betting app called Barstool Sports in Pennsylvania, Michigan and Illinois. We also operate iGaming in Pennsylvania and Michigan. Our my</w:t>
      </w:r>
      <w:r>
        <w:rPr>
          <w:rFonts w:ascii="Arial" w:cs="Arial" w:eastAsia="Arial" w:hAnsi="Arial"/>
          <w:sz w:val="16"/>
          <w:szCs w:val="16"/>
          <w:b w:val="1"/>
          <w:bCs w:val="1"/>
          <w:color w:val="auto"/>
        </w:rPr>
        <w:t>choice</w:t>
      </w:r>
      <w:r>
        <w:rPr>
          <w:rFonts w:ascii="Arial" w:cs="Arial" w:eastAsia="Arial" w:hAnsi="Arial"/>
          <w:sz w:val="21"/>
          <w:szCs w:val="21"/>
          <w:color w:val="auto"/>
          <w:vertAlign w:val="superscript"/>
        </w:rPr>
        <w:t>®</w:t>
      </w:r>
      <w:r>
        <w:rPr>
          <w:rFonts w:ascii="Arial" w:cs="Arial" w:eastAsia="Arial" w:hAnsi="Arial"/>
          <w:sz w:val="16"/>
          <w:szCs w:val="16"/>
          <w:color w:val="auto"/>
        </w:rPr>
        <w:t xml:space="preserve"> customer loyalty program (the "my</w:t>
      </w:r>
      <w:r>
        <w:rPr>
          <w:rFonts w:ascii="Arial" w:cs="Arial" w:eastAsia="Arial" w:hAnsi="Arial"/>
          <w:sz w:val="16"/>
          <w:szCs w:val="16"/>
          <w:b w:val="1"/>
          <w:bCs w:val="1"/>
          <w:color w:val="auto"/>
        </w:rPr>
        <w:t>choice</w:t>
      </w:r>
      <w:r>
        <w:rPr>
          <w:rFonts w:ascii="Arial" w:cs="Arial" w:eastAsia="Arial" w:hAnsi="Arial"/>
          <w:sz w:val="16"/>
          <w:szCs w:val="16"/>
          <w:color w:val="auto"/>
        </w:rPr>
        <w:t xml:space="preserve"> program") currently has over 20 million members and provides such members with various benefits, including complimentary goods and/or services. The Company’s strategy continues to evolve from an owner and manager of gaming and racing properties into an omni-channel provider of retail and online gaming and sports betting entertainment.</w:t>
      </w:r>
    </w:p>
    <w:p>
      <w:pPr>
        <w:spacing w:after="0" w:line="138" w:lineRule="exact"/>
        <w:rPr>
          <w:sz w:val="20"/>
          <w:szCs w:val="20"/>
          <w:color w:val="auto"/>
        </w:rPr>
      </w:pPr>
    </w:p>
    <w:p>
      <w:pPr>
        <w:ind w:right="180" w:firstLine="309"/>
        <w:spacing w:after="0" w:line="259" w:lineRule="auto"/>
        <w:rPr>
          <w:rFonts w:ascii="Arial" w:cs="Arial" w:eastAsia="Arial" w:hAnsi="Arial"/>
          <w:sz w:val="17"/>
          <w:szCs w:val="17"/>
          <w:color w:val="auto"/>
        </w:rPr>
      </w:pPr>
      <w:r>
        <w:rPr>
          <w:rFonts w:ascii="Arial" w:cs="Arial" w:eastAsia="Arial" w:hAnsi="Arial"/>
          <w:sz w:val="17"/>
          <w:szCs w:val="17"/>
          <w:color w:val="auto"/>
        </w:rPr>
        <w:t xml:space="preserve">As of March 31, 2021, we owned, managed, or had ownership interests in 41 gaming and racing properties in 19 states and were licensed to offer live sports betting at our properties in Colorado, Illinois, Indiana, Iowa, Michigan, Mississippi, Nevada, Pennsylvania, and West Virginia. The majority of the real estate assets (i.e., land and buildings) used in our operations are subject to triple net master leases, the most significant of which are the Penn Master Lease and the Pinnacle Master Lease (as such terms are defined in </w:t>
      </w:r>
      <w:hyperlink w:anchor="page19">
        <w:r>
          <w:rPr>
            <w:rFonts w:ascii="Arial" w:cs="Arial" w:eastAsia="Arial" w:hAnsi="Arial"/>
            <w:sz w:val="17"/>
            <w:szCs w:val="17"/>
            <w:u w:val="single" w:color="auto"/>
            <w:color w:val="0000FF"/>
          </w:rPr>
          <w:t>Note 9, “Leases,”</w:t>
        </w:r>
        <w:r>
          <w:rPr>
            <w:rFonts w:ascii="Arial" w:cs="Arial" w:eastAsia="Arial" w:hAnsi="Arial"/>
            <w:sz w:val="17"/>
            <w:szCs w:val="17"/>
            <w:u w:val="single" w:color="auto"/>
            <w:color w:val="auto"/>
          </w:rPr>
          <w:t xml:space="preserve"> </w:t>
        </w:r>
      </w:hyperlink>
      <w:r>
        <w:rPr>
          <w:rFonts w:ascii="Arial" w:cs="Arial" w:eastAsia="Arial" w:hAnsi="Arial"/>
          <w:sz w:val="17"/>
          <w:szCs w:val="17"/>
          <w:color w:val="auto"/>
        </w:rPr>
        <w:t>and collectively referred to as the “Master Leases”), with Gaming and Leisure Properties, Inc. (Nasdaq: GLPI) (“GLPI”), a real estate investment trust (“REIT”).</w:t>
      </w:r>
    </w:p>
    <w:p>
      <w:pPr>
        <w:spacing w:after="0" w:line="144" w:lineRule="exact"/>
        <w:rPr>
          <w:sz w:val="20"/>
          <w:szCs w:val="20"/>
          <w:color w:val="auto"/>
        </w:rPr>
      </w:pPr>
    </w:p>
    <w:p>
      <w:pPr>
        <w:jc w:val="both"/>
        <w:ind w:right="140" w:firstLine="309"/>
        <w:spacing w:after="0" w:line="266" w:lineRule="auto"/>
        <w:rPr>
          <w:sz w:val="20"/>
          <w:szCs w:val="20"/>
          <w:color w:val="auto"/>
        </w:rPr>
      </w:pPr>
      <w:r>
        <w:rPr>
          <w:rFonts w:ascii="Arial" w:cs="Arial" w:eastAsia="Arial" w:hAnsi="Arial"/>
          <w:sz w:val="17"/>
          <w:szCs w:val="17"/>
          <w:b w:val="1"/>
          <w:bCs w:val="1"/>
          <w:i w:val="1"/>
          <w:iCs w:val="1"/>
          <w:color w:val="auto"/>
        </w:rPr>
        <w:t xml:space="preserve">Update on the Impact of the COVID-19 Pandemic: </w:t>
      </w:r>
      <w:r>
        <w:rPr>
          <w:rFonts w:ascii="Arial" w:cs="Arial" w:eastAsia="Arial" w:hAnsi="Arial"/>
          <w:sz w:val="17"/>
          <w:szCs w:val="17"/>
          <w:color w:val="auto"/>
        </w:rPr>
        <w:t>As of March 31, 2021, with the exception of Valley Race Park, all of our properties have reopened. Zia</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Park, which reopened on March 5, 2021, was subsequently ordered by the New Mexico State Health Department to temporarily close from April 8, 2021 through April 20, 2021.</w:t>
      </w:r>
    </w:p>
    <w:p>
      <w:pPr>
        <w:spacing w:after="0" w:line="149" w:lineRule="exact"/>
        <w:rPr>
          <w:sz w:val="20"/>
          <w:szCs w:val="20"/>
          <w:color w:val="auto"/>
        </w:rPr>
      </w:pPr>
    </w:p>
    <w:p>
      <w:pPr>
        <w:ind w:right="140" w:firstLine="309"/>
        <w:spacing w:after="0" w:line="283" w:lineRule="auto"/>
        <w:rPr>
          <w:sz w:val="20"/>
          <w:szCs w:val="20"/>
          <w:color w:val="auto"/>
        </w:rPr>
      </w:pPr>
      <w:r>
        <w:rPr>
          <w:rFonts w:ascii="Arial" w:cs="Arial" w:eastAsia="Arial" w:hAnsi="Arial"/>
          <w:sz w:val="16"/>
          <w:szCs w:val="16"/>
          <w:b w:val="1"/>
          <w:bCs w:val="1"/>
          <w:i w:val="1"/>
          <w:iCs w:val="1"/>
          <w:color w:val="auto"/>
        </w:rPr>
        <w:t xml:space="preserve">Basis of Presentation: </w:t>
      </w:r>
      <w:r>
        <w:rPr>
          <w:rFonts w:ascii="Arial" w:cs="Arial" w:eastAsia="Arial" w:hAnsi="Arial"/>
          <w:sz w:val="16"/>
          <w:szCs w:val="16"/>
          <w:color w:val="auto"/>
        </w:rPr>
        <w:t>The unaudited Consolidated Financial Statements of the Company have been prepared in accordance with generally accepted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accounting principles in the United States (“GAAP”) for interim financial information and with the rules and regulations of the U.S. Securities and Exchange Commission (the “SEC”). Accordingly, they do not include all of the information and notes required by GAAP for complete consolidated financial statements. In the opinion of management, all adjustments (consisting of normal recurring accruals) considered necessary for a fair presentation have been included.</w:t>
      </w:r>
    </w:p>
    <w:p>
      <w:pPr>
        <w:spacing w:after="0" w:line="125" w:lineRule="exact"/>
        <w:rPr>
          <w:sz w:val="20"/>
          <w:szCs w:val="20"/>
          <w:color w:val="auto"/>
        </w:rPr>
      </w:pPr>
    </w:p>
    <w:p>
      <w:pPr>
        <w:jc w:val="both"/>
        <w:ind w:right="140" w:firstLine="309"/>
        <w:spacing w:after="0" w:line="290" w:lineRule="auto"/>
        <w:rPr>
          <w:sz w:val="20"/>
          <w:szCs w:val="20"/>
          <w:color w:val="auto"/>
        </w:rPr>
      </w:pPr>
      <w:r>
        <w:rPr>
          <w:rFonts w:ascii="Arial" w:cs="Arial" w:eastAsia="Arial" w:hAnsi="Arial"/>
          <w:sz w:val="16"/>
          <w:szCs w:val="16"/>
          <w:color w:val="auto"/>
        </w:rPr>
        <w:t>Results of operations and cash flows for the interim periods presented herein are not necessarily indicative of the results that would be achieved during a full year of operations or in future periods. These unaudited Consolidated Financial Statements and notes thereto should be read in conjunction with the Consolidated Financial Statements and notes thereto included in the Company’s Annual Report on Form 10-K for the year ended December 31, 2020.</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2—Significant Accounting Policies</w:t>
      </w:r>
    </w:p>
    <w:p>
      <w:pPr>
        <w:spacing w:after="0" w:line="184" w:lineRule="exact"/>
        <w:rPr>
          <w:sz w:val="20"/>
          <w:szCs w:val="20"/>
          <w:color w:val="auto"/>
        </w:rPr>
      </w:pPr>
    </w:p>
    <w:p>
      <w:pPr>
        <w:ind w:right="200" w:firstLine="309"/>
        <w:spacing w:after="0" w:line="318" w:lineRule="auto"/>
        <w:rPr>
          <w:sz w:val="20"/>
          <w:szCs w:val="20"/>
          <w:color w:val="auto"/>
        </w:rPr>
      </w:pPr>
      <w:r>
        <w:rPr>
          <w:rFonts w:ascii="Arial" w:cs="Arial" w:eastAsia="Arial" w:hAnsi="Arial"/>
          <w:sz w:val="15"/>
          <w:szCs w:val="15"/>
          <w:b w:val="1"/>
          <w:bCs w:val="1"/>
          <w:i w:val="1"/>
          <w:iCs w:val="1"/>
          <w:color w:val="auto"/>
        </w:rPr>
        <w:t xml:space="preserve">Principles of Consolidation: </w:t>
      </w:r>
      <w:r>
        <w:rPr>
          <w:rFonts w:ascii="Arial" w:cs="Arial" w:eastAsia="Arial" w:hAnsi="Arial"/>
          <w:sz w:val="15"/>
          <w:szCs w:val="15"/>
          <w:color w:val="auto"/>
        </w:rPr>
        <w:t>The unaudited Consolidated Financial Statements include the accounts of Penn National Gaming, Inc. and its subsidiaries.</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Investments in and advances to unconsolidated affiliates that do not meet the consolidation criteria of the authoritative guidance for voting interest entities or variable interest entities (“VIEs”) are accounted for under the equity method. All intercompany accounts and transactions have been eliminated in consolidation.</w:t>
      </w:r>
    </w:p>
    <w:p>
      <w:pPr>
        <w:spacing w:after="0" w:line="114" w:lineRule="exact"/>
        <w:rPr>
          <w:sz w:val="20"/>
          <w:szCs w:val="20"/>
          <w:color w:val="auto"/>
        </w:rPr>
      </w:pPr>
    </w:p>
    <w:p>
      <w:pPr>
        <w:ind w:right="60" w:firstLine="309"/>
        <w:spacing w:after="0" w:line="290" w:lineRule="auto"/>
        <w:rPr>
          <w:sz w:val="20"/>
          <w:szCs w:val="20"/>
          <w:color w:val="auto"/>
        </w:rPr>
      </w:pPr>
      <w:r>
        <w:rPr>
          <w:rFonts w:ascii="Arial" w:cs="Arial" w:eastAsia="Arial" w:hAnsi="Arial"/>
          <w:sz w:val="16"/>
          <w:szCs w:val="16"/>
          <w:b w:val="1"/>
          <w:bCs w:val="1"/>
          <w:i w:val="1"/>
          <w:iCs w:val="1"/>
          <w:color w:val="auto"/>
        </w:rPr>
        <w:t xml:space="preserve">Use of Estimates: </w:t>
      </w:r>
      <w:r>
        <w:rPr>
          <w:rFonts w:ascii="Arial" w:cs="Arial" w:eastAsia="Arial" w:hAnsi="Arial"/>
          <w:sz w:val="16"/>
          <w:szCs w:val="16"/>
          <w:color w:val="auto"/>
        </w:rPr>
        <w:t>The preparation of unaudited Consolidated Financial Statements in conformity with GAAP requires management to make estimates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assumptions that affect (i) the reported amounts of assets and liabilities, (ii) the disclosure of contingent assets and liabilities at the date of the financial statements, and (iii) the reported amounts of revenues and expenses during the reporting period. Actual results may differ from those estimates.</w:t>
      </w: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173990</wp:posOffset>
            </wp:positionV>
            <wp:extent cx="7164070" cy="419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8" w:name="page9"/>
    <w:bookmarkEnd w:id="8"/>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339" w:lineRule="exact"/>
        <w:rPr>
          <w:sz w:val="20"/>
          <w:szCs w:val="20"/>
          <w:color w:val="auto"/>
        </w:rPr>
      </w:pPr>
    </w:p>
    <w:p>
      <w:pPr>
        <w:ind w:firstLine="309"/>
        <w:spacing w:after="0" w:line="318" w:lineRule="auto"/>
        <w:rPr>
          <w:rFonts w:ascii="Arial" w:cs="Arial" w:eastAsia="Arial" w:hAnsi="Arial"/>
          <w:sz w:val="15"/>
          <w:szCs w:val="15"/>
          <w:color w:val="0000FF"/>
        </w:rPr>
      </w:pPr>
      <w:r>
        <w:rPr>
          <w:rFonts w:ascii="Arial" w:cs="Arial" w:eastAsia="Arial" w:hAnsi="Arial"/>
          <w:sz w:val="15"/>
          <w:szCs w:val="15"/>
          <w:b w:val="1"/>
          <w:bCs w:val="1"/>
          <w:i w:val="1"/>
          <w:iCs w:val="1"/>
          <w:color w:val="auto"/>
        </w:rPr>
        <w:t xml:space="preserve">Segment Information: </w:t>
      </w:r>
      <w:r>
        <w:rPr>
          <w:rFonts w:ascii="Arial" w:cs="Arial" w:eastAsia="Arial" w:hAnsi="Arial"/>
          <w:sz w:val="15"/>
          <w:szCs w:val="15"/>
          <w:color w:val="auto"/>
        </w:rPr>
        <w:t>We view each of our gaming and racing properties as an operating segment with the exception of our two properties in Jackpot,</w:t>
      </w:r>
      <w:r>
        <w:rPr>
          <w:rFonts w:ascii="Arial" w:cs="Arial" w:eastAsia="Arial" w:hAnsi="Arial"/>
          <w:sz w:val="15"/>
          <w:szCs w:val="15"/>
          <w:b w:val="1"/>
          <w:bCs w:val="1"/>
          <w:i w:val="1"/>
          <w:iCs w:val="1"/>
          <w:color w:val="auto"/>
        </w:rPr>
        <w:t xml:space="preserve"> </w:t>
      </w:r>
      <w:hyperlink w:anchor="page29">
        <w:r>
          <w:rPr>
            <w:rFonts w:ascii="Arial" w:cs="Arial" w:eastAsia="Arial" w:hAnsi="Arial"/>
            <w:sz w:val="15"/>
            <w:szCs w:val="15"/>
            <w:color w:val="auto"/>
          </w:rPr>
          <w:t xml:space="preserve">Nevada, which we view as one operating segment. We consider our combined VGT operations, by state, to be separate operating segments. See </w:t>
        </w:r>
        <w:r>
          <w:rPr>
            <w:rFonts w:ascii="Arial" w:cs="Arial" w:eastAsia="Arial" w:hAnsi="Arial"/>
            <w:sz w:val="15"/>
            <w:szCs w:val="15"/>
            <w:u w:val="single" w:color="auto"/>
            <w:color w:val="0000FF"/>
          </w:rPr>
          <w:t>Note 16, “Segment</w:t>
        </w:r>
      </w:hyperlink>
      <w:r>
        <w:rPr>
          <w:rFonts w:ascii="Arial" w:cs="Arial" w:eastAsia="Arial" w:hAnsi="Arial"/>
          <w:sz w:val="15"/>
          <w:szCs w:val="15"/>
          <w:color w:val="auto"/>
        </w:rPr>
        <w:t xml:space="preserve"> </w:t>
      </w:r>
      <w:hyperlink w:anchor="page29">
        <w:r>
          <w:rPr>
            <w:rFonts w:ascii="Arial" w:cs="Arial" w:eastAsia="Arial" w:hAnsi="Arial"/>
            <w:sz w:val="15"/>
            <w:szCs w:val="15"/>
            <w:u w:val="single" w:color="auto"/>
            <w:color w:val="0000FF"/>
          </w:rPr>
          <w:t>Information,”</w:t>
        </w:r>
        <w:r>
          <w:rPr>
            <w:rFonts w:ascii="Arial" w:cs="Arial" w:eastAsia="Arial" w:hAnsi="Arial"/>
            <w:sz w:val="15"/>
            <w:szCs w:val="15"/>
            <w:color w:val="0000FF"/>
          </w:rPr>
          <w:t xml:space="preserve"> </w:t>
        </w:r>
        <w:r>
          <w:rPr>
            <w:rFonts w:ascii="Arial" w:cs="Arial" w:eastAsia="Arial" w:hAnsi="Arial"/>
            <w:sz w:val="15"/>
            <w:szCs w:val="15"/>
            <w:color w:val="000000"/>
          </w:rPr>
          <w:t>for further information. For financial reporting purposes, we aggregate our operating segments into the following four reportable segments:</w:t>
        </w:r>
      </w:hyperlink>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80" w:type="dxa"/>
            <w:vAlign w:val="bottom"/>
          </w:tcPr>
          <w:p>
            <w:pPr>
              <w:spacing w:after="0"/>
              <w:rPr>
                <w:sz w:val="14"/>
                <w:szCs w:val="14"/>
                <w:color w:val="auto"/>
              </w:rPr>
            </w:pPr>
          </w:p>
        </w:tc>
        <w:tc>
          <w:tcPr>
            <w:tcW w:w="3000" w:type="dxa"/>
            <w:vAlign w:val="bottom"/>
            <w:gridSpan w:val="2"/>
            <w:vMerge w:val="restart"/>
          </w:tcPr>
          <w:p>
            <w:pPr>
              <w:ind w:left="1180"/>
              <w:spacing w:after="0"/>
              <w:rPr>
                <w:sz w:val="20"/>
                <w:szCs w:val="20"/>
                <w:color w:val="auto"/>
              </w:rPr>
            </w:pPr>
            <w:r>
              <w:rPr>
                <w:rFonts w:ascii="Arial" w:cs="Arial" w:eastAsia="Arial" w:hAnsi="Arial"/>
                <w:sz w:val="14"/>
                <w:szCs w:val="14"/>
                <w:b w:val="1"/>
                <w:bCs w:val="1"/>
                <w:color w:val="auto"/>
              </w:rPr>
              <w:t>Location</w:t>
            </w:r>
          </w:p>
        </w:tc>
        <w:tc>
          <w:tcPr>
            <w:tcW w:w="2340" w:type="dxa"/>
            <w:vAlign w:val="bottom"/>
          </w:tcPr>
          <w:p>
            <w:pPr>
              <w:jc w:val="center"/>
              <w:spacing w:after="0"/>
              <w:rPr>
                <w:sz w:val="20"/>
                <w:szCs w:val="20"/>
                <w:color w:val="auto"/>
              </w:rPr>
            </w:pPr>
            <w:r>
              <w:rPr>
                <w:rFonts w:ascii="Arial" w:cs="Arial" w:eastAsia="Arial" w:hAnsi="Arial"/>
                <w:sz w:val="14"/>
                <w:szCs w:val="14"/>
                <w:b w:val="1"/>
                <w:bCs w:val="1"/>
                <w:color w:val="auto"/>
                <w:w w:val="86"/>
              </w:rPr>
              <w:t>Real Estate Assets Lease or Ownership</w:t>
            </w:r>
          </w:p>
        </w:tc>
        <w:tc>
          <w:tcPr>
            <w:tcW w:w="0" w:type="dxa"/>
            <w:vAlign w:val="bottom"/>
          </w:tcPr>
          <w:p>
            <w:pPr>
              <w:spacing w:after="0"/>
              <w:rPr>
                <w:sz w:val="1"/>
                <w:szCs w:val="1"/>
                <w:color w:val="auto"/>
              </w:rPr>
            </w:pPr>
          </w:p>
        </w:tc>
      </w:tr>
      <w:tr>
        <w:trPr>
          <w:trHeight w:val="179"/>
        </w:trPr>
        <w:tc>
          <w:tcPr>
            <w:tcW w:w="5880" w:type="dxa"/>
            <w:vAlign w:val="bottom"/>
          </w:tcPr>
          <w:p>
            <w:pPr>
              <w:spacing w:after="0"/>
              <w:rPr>
                <w:sz w:val="15"/>
                <w:szCs w:val="15"/>
                <w:color w:val="auto"/>
              </w:rPr>
            </w:pPr>
          </w:p>
        </w:tc>
        <w:tc>
          <w:tcPr>
            <w:tcW w:w="3000" w:type="dxa"/>
            <w:vAlign w:val="bottom"/>
            <w:gridSpan w:val="2"/>
            <w:vMerge w:val="continue"/>
          </w:tcPr>
          <w:p>
            <w:pPr>
              <w:spacing w:after="0"/>
              <w:rPr>
                <w:sz w:val="15"/>
                <w:szCs w:val="15"/>
                <w:color w:val="auto"/>
              </w:rPr>
            </w:pPr>
          </w:p>
        </w:tc>
        <w:tc>
          <w:tcPr>
            <w:tcW w:w="2340" w:type="dxa"/>
            <w:vAlign w:val="bottom"/>
          </w:tcPr>
          <w:p>
            <w:pPr>
              <w:jc w:val="center"/>
              <w:spacing w:after="0"/>
              <w:rPr>
                <w:sz w:val="20"/>
                <w:szCs w:val="20"/>
                <w:color w:val="auto"/>
              </w:rPr>
            </w:pPr>
            <w:r>
              <w:rPr>
                <w:rFonts w:ascii="Arial" w:cs="Arial" w:eastAsia="Arial" w:hAnsi="Arial"/>
                <w:sz w:val="14"/>
                <w:szCs w:val="14"/>
                <w:b w:val="1"/>
                <w:bCs w:val="1"/>
                <w:color w:val="auto"/>
                <w:w w:val="89"/>
              </w:rPr>
              <w:t>Structure</w:t>
            </w:r>
          </w:p>
        </w:tc>
        <w:tc>
          <w:tcPr>
            <w:tcW w:w="0" w:type="dxa"/>
            <w:vAlign w:val="bottom"/>
          </w:tcPr>
          <w:p>
            <w:pPr>
              <w:spacing w:after="0"/>
              <w:rPr>
                <w:sz w:val="1"/>
                <w:szCs w:val="1"/>
                <w:color w:val="auto"/>
              </w:rPr>
            </w:pPr>
          </w:p>
        </w:tc>
      </w:tr>
      <w:tr>
        <w:trPr>
          <w:trHeight w:val="162"/>
        </w:trPr>
        <w:tc>
          <w:tcPr>
            <w:tcW w:w="5880" w:type="dxa"/>
            <w:vAlign w:val="bottom"/>
            <w:tcBorders>
              <w:top w:val="single" w:sz="8" w:color="CCEEFF"/>
            </w:tcBorders>
            <w:shd w:val="clear" w:color="auto" w:fill="CCEEFF"/>
          </w:tcPr>
          <w:p>
            <w:pPr>
              <w:ind w:left="20"/>
              <w:spacing w:after="0" w:line="155" w:lineRule="exact"/>
              <w:rPr>
                <w:sz w:val="20"/>
                <w:szCs w:val="20"/>
                <w:color w:val="auto"/>
              </w:rPr>
            </w:pPr>
            <w:r>
              <w:rPr>
                <w:rFonts w:ascii="Arial" w:cs="Arial" w:eastAsia="Arial" w:hAnsi="Arial"/>
                <w:sz w:val="14"/>
                <w:szCs w:val="14"/>
                <w:b w:val="1"/>
                <w:bCs w:val="1"/>
                <w:i w:val="1"/>
                <w:iCs w:val="1"/>
                <w:color w:val="auto"/>
              </w:rPr>
              <w:t>Northeast segment</w:t>
            </w:r>
          </w:p>
        </w:tc>
        <w:tc>
          <w:tcPr>
            <w:tcW w:w="288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234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7"/>
        </w:trPr>
        <w:tc>
          <w:tcPr>
            <w:tcW w:w="5880" w:type="dxa"/>
            <w:vAlign w:val="bottom"/>
          </w:tcPr>
          <w:p>
            <w:pPr>
              <w:ind w:left="220"/>
              <w:spacing w:after="0"/>
              <w:rPr>
                <w:sz w:val="20"/>
                <w:szCs w:val="20"/>
                <w:color w:val="auto"/>
              </w:rPr>
            </w:pPr>
            <w:r>
              <w:rPr>
                <w:rFonts w:ascii="Arial" w:cs="Arial" w:eastAsia="Arial" w:hAnsi="Arial"/>
                <w:sz w:val="14"/>
                <w:szCs w:val="14"/>
                <w:color w:val="auto"/>
              </w:rPr>
              <w:t>Ameristar East Chicago</w:t>
            </w:r>
          </w:p>
        </w:tc>
        <w:tc>
          <w:tcPr>
            <w:tcW w:w="3000" w:type="dxa"/>
            <w:vAlign w:val="bottom"/>
            <w:gridSpan w:val="2"/>
          </w:tcPr>
          <w:p>
            <w:pPr>
              <w:ind w:left="20"/>
              <w:spacing w:after="0"/>
              <w:rPr>
                <w:sz w:val="20"/>
                <w:szCs w:val="20"/>
                <w:color w:val="auto"/>
              </w:rPr>
            </w:pPr>
            <w:r>
              <w:rPr>
                <w:rFonts w:ascii="Arial" w:cs="Arial" w:eastAsia="Arial" w:hAnsi="Arial"/>
                <w:sz w:val="14"/>
                <w:szCs w:val="14"/>
                <w:color w:val="auto"/>
              </w:rPr>
              <w:t>East Chicago, Indiana</w:t>
            </w:r>
          </w:p>
        </w:tc>
        <w:tc>
          <w:tcPr>
            <w:tcW w:w="2340" w:type="dxa"/>
            <w:vAlign w:val="bottom"/>
          </w:tcPr>
          <w:p>
            <w:pPr>
              <w:jc w:val="center"/>
              <w:spacing w:after="0"/>
              <w:rPr>
                <w:sz w:val="20"/>
                <w:szCs w:val="20"/>
                <w:color w:val="auto"/>
              </w:rPr>
            </w:pPr>
            <w:r>
              <w:rPr>
                <w:rFonts w:ascii="Arial" w:cs="Arial" w:eastAsia="Arial" w:hAnsi="Arial"/>
                <w:sz w:val="14"/>
                <w:szCs w:val="14"/>
                <w:color w:val="auto"/>
                <w:w w:val="87"/>
              </w:rPr>
              <w:t>Pinnacle Master Lease</w:t>
            </w:r>
          </w:p>
        </w:tc>
        <w:tc>
          <w:tcPr>
            <w:tcW w:w="0" w:type="dxa"/>
            <w:vAlign w:val="bottom"/>
          </w:tcPr>
          <w:p>
            <w:pPr>
              <w:spacing w:after="0"/>
              <w:rPr>
                <w:sz w:val="1"/>
                <w:szCs w:val="1"/>
                <w:color w:val="auto"/>
              </w:rPr>
            </w:pPr>
          </w:p>
        </w:tc>
      </w:tr>
      <w:tr>
        <w:trPr>
          <w:trHeight w:val="184"/>
        </w:trPr>
        <w:tc>
          <w:tcPr>
            <w:tcW w:w="58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Greektown Casino-Hotel</w:t>
            </w:r>
          </w:p>
        </w:tc>
        <w:tc>
          <w:tcPr>
            <w:tcW w:w="30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Detroit, Michigan</w:t>
            </w:r>
          </w:p>
        </w:tc>
        <w:tc>
          <w:tcPr>
            <w:tcW w:w="23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7"/>
              </w:rPr>
              <w:t>Greektown Lease</w:t>
            </w:r>
          </w:p>
        </w:tc>
        <w:tc>
          <w:tcPr>
            <w:tcW w:w="0" w:type="dxa"/>
            <w:vAlign w:val="bottom"/>
          </w:tcPr>
          <w:p>
            <w:pPr>
              <w:spacing w:after="0"/>
              <w:rPr>
                <w:sz w:val="1"/>
                <w:szCs w:val="1"/>
                <w:color w:val="auto"/>
              </w:rPr>
            </w:pPr>
          </w:p>
        </w:tc>
      </w:tr>
      <w:tr>
        <w:trPr>
          <w:trHeight w:val="177"/>
        </w:trPr>
        <w:tc>
          <w:tcPr>
            <w:tcW w:w="5880" w:type="dxa"/>
            <w:vAlign w:val="bottom"/>
          </w:tcPr>
          <w:p>
            <w:pPr>
              <w:ind w:left="220"/>
              <w:spacing w:after="0"/>
              <w:rPr>
                <w:sz w:val="20"/>
                <w:szCs w:val="20"/>
                <w:color w:val="auto"/>
              </w:rPr>
            </w:pPr>
            <w:r>
              <w:rPr>
                <w:rFonts w:ascii="Arial" w:cs="Arial" w:eastAsia="Arial" w:hAnsi="Arial"/>
                <w:sz w:val="14"/>
                <w:szCs w:val="14"/>
                <w:color w:val="auto"/>
              </w:rPr>
              <w:t>Hollywood Casino Bangor</w:t>
            </w:r>
          </w:p>
        </w:tc>
        <w:tc>
          <w:tcPr>
            <w:tcW w:w="3000" w:type="dxa"/>
            <w:vAlign w:val="bottom"/>
            <w:gridSpan w:val="2"/>
          </w:tcPr>
          <w:p>
            <w:pPr>
              <w:ind w:left="20"/>
              <w:spacing w:after="0"/>
              <w:rPr>
                <w:sz w:val="20"/>
                <w:szCs w:val="20"/>
                <w:color w:val="auto"/>
              </w:rPr>
            </w:pPr>
            <w:r>
              <w:rPr>
                <w:rFonts w:ascii="Arial" w:cs="Arial" w:eastAsia="Arial" w:hAnsi="Arial"/>
                <w:sz w:val="14"/>
                <w:szCs w:val="14"/>
                <w:color w:val="auto"/>
              </w:rPr>
              <w:t>Bangor, Maine</w:t>
            </w:r>
          </w:p>
        </w:tc>
        <w:tc>
          <w:tcPr>
            <w:tcW w:w="2340" w:type="dxa"/>
            <w:vAlign w:val="bottom"/>
          </w:tcPr>
          <w:p>
            <w:pPr>
              <w:jc w:val="center"/>
              <w:spacing w:after="0"/>
              <w:rPr>
                <w:sz w:val="20"/>
                <w:szCs w:val="20"/>
                <w:color w:val="auto"/>
              </w:rPr>
            </w:pPr>
            <w:r>
              <w:rPr>
                <w:rFonts w:ascii="Arial" w:cs="Arial" w:eastAsia="Arial" w:hAnsi="Arial"/>
                <w:sz w:val="14"/>
                <w:szCs w:val="14"/>
                <w:color w:val="auto"/>
                <w:w w:val="85"/>
              </w:rPr>
              <w:t>Penn Master Lease</w:t>
            </w:r>
          </w:p>
        </w:tc>
        <w:tc>
          <w:tcPr>
            <w:tcW w:w="0" w:type="dxa"/>
            <w:vAlign w:val="bottom"/>
          </w:tcPr>
          <w:p>
            <w:pPr>
              <w:spacing w:after="0"/>
              <w:rPr>
                <w:sz w:val="1"/>
                <w:szCs w:val="1"/>
                <w:color w:val="auto"/>
              </w:rPr>
            </w:pPr>
          </w:p>
        </w:tc>
      </w:tr>
      <w:tr>
        <w:trPr>
          <w:trHeight w:val="184"/>
        </w:trPr>
        <w:tc>
          <w:tcPr>
            <w:tcW w:w="58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Hollywood Casino at Charles Town Races</w:t>
            </w:r>
          </w:p>
        </w:tc>
        <w:tc>
          <w:tcPr>
            <w:tcW w:w="30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Charles Town, West Virginia</w:t>
            </w:r>
          </w:p>
        </w:tc>
        <w:tc>
          <w:tcPr>
            <w:tcW w:w="23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5"/>
              </w:rPr>
              <w:t>Penn Master Lease</w:t>
            </w:r>
          </w:p>
        </w:tc>
        <w:tc>
          <w:tcPr>
            <w:tcW w:w="0" w:type="dxa"/>
            <w:vAlign w:val="bottom"/>
          </w:tcPr>
          <w:p>
            <w:pPr>
              <w:spacing w:after="0"/>
              <w:rPr>
                <w:sz w:val="1"/>
                <w:szCs w:val="1"/>
                <w:color w:val="auto"/>
              </w:rPr>
            </w:pPr>
          </w:p>
        </w:tc>
      </w:tr>
      <w:tr>
        <w:trPr>
          <w:trHeight w:val="177"/>
        </w:trPr>
        <w:tc>
          <w:tcPr>
            <w:tcW w:w="5880" w:type="dxa"/>
            <w:vAlign w:val="bottom"/>
          </w:tcPr>
          <w:p>
            <w:pPr>
              <w:ind w:left="220"/>
              <w:spacing w:after="0"/>
              <w:rPr>
                <w:sz w:val="20"/>
                <w:szCs w:val="20"/>
                <w:color w:val="auto"/>
              </w:rPr>
            </w:pPr>
            <w:r>
              <w:rPr>
                <w:rFonts w:ascii="Arial" w:cs="Arial" w:eastAsia="Arial" w:hAnsi="Arial"/>
                <w:sz w:val="14"/>
                <w:szCs w:val="14"/>
                <w:color w:val="auto"/>
              </w:rPr>
              <w:t>Hollywood Casino Columbus</w:t>
            </w:r>
          </w:p>
        </w:tc>
        <w:tc>
          <w:tcPr>
            <w:tcW w:w="3000" w:type="dxa"/>
            <w:vAlign w:val="bottom"/>
            <w:gridSpan w:val="2"/>
          </w:tcPr>
          <w:p>
            <w:pPr>
              <w:ind w:left="20"/>
              <w:spacing w:after="0"/>
              <w:rPr>
                <w:sz w:val="20"/>
                <w:szCs w:val="20"/>
                <w:color w:val="auto"/>
              </w:rPr>
            </w:pPr>
            <w:r>
              <w:rPr>
                <w:rFonts w:ascii="Arial" w:cs="Arial" w:eastAsia="Arial" w:hAnsi="Arial"/>
                <w:sz w:val="14"/>
                <w:szCs w:val="14"/>
                <w:color w:val="auto"/>
              </w:rPr>
              <w:t>Columbus, Ohio</w:t>
            </w:r>
          </w:p>
        </w:tc>
        <w:tc>
          <w:tcPr>
            <w:tcW w:w="2340" w:type="dxa"/>
            <w:vAlign w:val="bottom"/>
          </w:tcPr>
          <w:p>
            <w:pPr>
              <w:jc w:val="center"/>
              <w:spacing w:after="0"/>
              <w:rPr>
                <w:sz w:val="20"/>
                <w:szCs w:val="20"/>
                <w:color w:val="auto"/>
              </w:rPr>
            </w:pPr>
            <w:r>
              <w:rPr>
                <w:rFonts w:ascii="Arial" w:cs="Arial" w:eastAsia="Arial" w:hAnsi="Arial"/>
                <w:sz w:val="14"/>
                <w:szCs w:val="14"/>
                <w:color w:val="auto"/>
                <w:w w:val="85"/>
              </w:rPr>
              <w:t>Penn Master Lease</w:t>
            </w:r>
          </w:p>
        </w:tc>
        <w:tc>
          <w:tcPr>
            <w:tcW w:w="0" w:type="dxa"/>
            <w:vAlign w:val="bottom"/>
          </w:tcPr>
          <w:p>
            <w:pPr>
              <w:spacing w:after="0"/>
              <w:rPr>
                <w:sz w:val="1"/>
                <w:szCs w:val="1"/>
                <w:color w:val="auto"/>
              </w:rPr>
            </w:pPr>
          </w:p>
        </w:tc>
      </w:tr>
      <w:tr>
        <w:trPr>
          <w:trHeight w:val="184"/>
        </w:trPr>
        <w:tc>
          <w:tcPr>
            <w:tcW w:w="58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Hollywood Casino Lawrenceburg</w:t>
            </w:r>
          </w:p>
        </w:tc>
        <w:tc>
          <w:tcPr>
            <w:tcW w:w="30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Lawrenceburg, Indiana</w:t>
            </w:r>
          </w:p>
        </w:tc>
        <w:tc>
          <w:tcPr>
            <w:tcW w:w="23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5"/>
              </w:rPr>
              <w:t>Penn Master Lease</w:t>
            </w:r>
          </w:p>
        </w:tc>
        <w:tc>
          <w:tcPr>
            <w:tcW w:w="0" w:type="dxa"/>
            <w:vAlign w:val="bottom"/>
          </w:tcPr>
          <w:p>
            <w:pPr>
              <w:spacing w:after="0"/>
              <w:rPr>
                <w:sz w:val="1"/>
                <w:szCs w:val="1"/>
                <w:color w:val="auto"/>
              </w:rPr>
            </w:pPr>
          </w:p>
        </w:tc>
      </w:tr>
      <w:tr>
        <w:trPr>
          <w:trHeight w:val="180"/>
        </w:trPr>
        <w:tc>
          <w:tcPr>
            <w:tcW w:w="5880" w:type="dxa"/>
            <w:vAlign w:val="bottom"/>
          </w:tcPr>
          <w:p>
            <w:pPr>
              <w:ind w:left="220"/>
              <w:spacing w:after="0" w:line="180" w:lineRule="exact"/>
              <w:rPr>
                <w:sz w:val="20"/>
                <w:szCs w:val="20"/>
                <w:color w:val="auto"/>
              </w:rPr>
            </w:pPr>
            <w:r>
              <w:rPr>
                <w:rFonts w:ascii="Arial" w:cs="Arial" w:eastAsia="Arial" w:hAnsi="Arial"/>
                <w:sz w:val="14"/>
                <w:szCs w:val="14"/>
                <w:color w:val="auto"/>
              </w:rPr>
              <w:t>Hollywood Casino at Penn National Race Course</w:t>
            </w:r>
            <w:r>
              <w:rPr>
                <w:rFonts w:ascii="Arial" w:cs="Arial" w:eastAsia="Arial" w:hAnsi="Arial"/>
                <w:sz w:val="17"/>
                <w:szCs w:val="17"/>
                <w:color w:val="auto"/>
                <w:vertAlign w:val="superscript"/>
              </w:rPr>
              <w:t>(1)</w:t>
            </w:r>
          </w:p>
        </w:tc>
        <w:tc>
          <w:tcPr>
            <w:tcW w:w="3000" w:type="dxa"/>
            <w:vAlign w:val="bottom"/>
            <w:gridSpan w:val="2"/>
          </w:tcPr>
          <w:p>
            <w:pPr>
              <w:ind w:left="20"/>
              <w:spacing w:after="0"/>
              <w:rPr>
                <w:sz w:val="20"/>
                <w:szCs w:val="20"/>
                <w:color w:val="auto"/>
              </w:rPr>
            </w:pPr>
            <w:r>
              <w:rPr>
                <w:rFonts w:ascii="Arial" w:cs="Arial" w:eastAsia="Arial" w:hAnsi="Arial"/>
                <w:sz w:val="14"/>
                <w:szCs w:val="14"/>
                <w:color w:val="auto"/>
              </w:rPr>
              <w:t>Grantville, Pennsylvania</w:t>
            </w:r>
          </w:p>
        </w:tc>
        <w:tc>
          <w:tcPr>
            <w:tcW w:w="2340" w:type="dxa"/>
            <w:vAlign w:val="bottom"/>
          </w:tcPr>
          <w:p>
            <w:pPr>
              <w:jc w:val="center"/>
              <w:spacing w:after="0"/>
              <w:rPr>
                <w:sz w:val="20"/>
                <w:szCs w:val="20"/>
                <w:color w:val="auto"/>
              </w:rPr>
            </w:pPr>
            <w:r>
              <w:rPr>
                <w:rFonts w:ascii="Arial" w:cs="Arial" w:eastAsia="Arial" w:hAnsi="Arial"/>
                <w:sz w:val="14"/>
                <w:szCs w:val="14"/>
                <w:color w:val="auto"/>
                <w:w w:val="85"/>
              </w:rPr>
              <w:t>Penn Master Lease</w:t>
            </w:r>
          </w:p>
        </w:tc>
        <w:tc>
          <w:tcPr>
            <w:tcW w:w="0" w:type="dxa"/>
            <w:vAlign w:val="bottom"/>
          </w:tcPr>
          <w:p>
            <w:pPr>
              <w:spacing w:after="0"/>
              <w:rPr>
                <w:sz w:val="1"/>
                <w:szCs w:val="1"/>
                <w:color w:val="auto"/>
              </w:rPr>
            </w:pPr>
          </w:p>
        </w:tc>
      </w:tr>
      <w:tr>
        <w:trPr>
          <w:trHeight w:val="180"/>
        </w:trPr>
        <w:tc>
          <w:tcPr>
            <w:tcW w:w="58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Hollywood Casino Toledo</w:t>
            </w:r>
          </w:p>
        </w:tc>
        <w:tc>
          <w:tcPr>
            <w:tcW w:w="30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Toledo, Ohio</w:t>
            </w:r>
          </w:p>
        </w:tc>
        <w:tc>
          <w:tcPr>
            <w:tcW w:w="23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5"/>
              </w:rPr>
              <w:t>Penn Master Lease</w:t>
            </w:r>
          </w:p>
        </w:tc>
        <w:tc>
          <w:tcPr>
            <w:tcW w:w="0" w:type="dxa"/>
            <w:vAlign w:val="bottom"/>
          </w:tcPr>
          <w:p>
            <w:pPr>
              <w:spacing w:after="0"/>
              <w:rPr>
                <w:sz w:val="1"/>
                <w:szCs w:val="1"/>
                <w:color w:val="auto"/>
              </w:rPr>
            </w:pPr>
          </w:p>
        </w:tc>
      </w:tr>
      <w:tr>
        <w:trPr>
          <w:trHeight w:val="177"/>
        </w:trPr>
        <w:tc>
          <w:tcPr>
            <w:tcW w:w="5880" w:type="dxa"/>
            <w:vAlign w:val="bottom"/>
          </w:tcPr>
          <w:p>
            <w:pPr>
              <w:ind w:left="220"/>
              <w:spacing w:after="0"/>
              <w:rPr>
                <w:sz w:val="20"/>
                <w:szCs w:val="20"/>
                <w:color w:val="auto"/>
              </w:rPr>
            </w:pPr>
            <w:r>
              <w:rPr>
                <w:rFonts w:ascii="Arial" w:cs="Arial" w:eastAsia="Arial" w:hAnsi="Arial"/>
                <w:sz w:val="14"/>
                <w:szCs w:val="14"/>
                <w:color w:val="auto"/>
              </w:rPr>
              <w:t>Hollywood Gaming at Dayton Raceway</w:t>
            </w:r>
          </w:p>
        </w:tc>
        <w:tc>
          <w:tcPr>
            <w:tcW w:w="3000" w:type="dxa"/>
            <w:vAlign w:val="bottom"/>
            <w:gridSpan w:val="2"/>
          </w:tcPr>
          <w:p>
            <w:pPr>
              <w:ind w:left="20"/>
              <w:spacing w:after="0"/>
              <w:rPr>
                <w:sz w:val="20"/>
                <w:szCs w:val="20"/>
                <w:color w:val="auto"/>
              </w:rPr>
            </w:pPr>
            <w:r>
              <w:rPr>
                <w:rFonts w:ascii="Arial" w:cs="Arial" w:eastAsia="Arial" w:hAnsi="Arial"/>
                <w:sz w:val="14"/>
                <w:szCs w:val="14"/>
                <w:color w:val="auto"/>
              </w:rPr>
              <w:t>Dayton, Ohio</w:t>
            </w:r>
          </w:p>
        </w:tc>
        <w:tc>
          <w:tcPr>
            <w:tcW w:w="2340" w:type="dxa"/>
            <w:vAlign w:val="bottom"/>
          </w:tcPr>
          <w:p>
            <w:pPr>
              <w:jc w:val="center"/>
              <w:spacing w:after="0"/>
              <w:rPr>
                <w:sz w:val="20"/>
                <w:szCs w:val="20"/>
                <w:color w:val="auto"/>
              </w:rPr>
            </w:pPr>
            <w:r>
              <w:rPr>
                <w:rFonts w:ascii="Arial" w:cs="Arial" w:eastAsia="Arial" w:hAnsi="Arial"/>
                <w:sz w:val="14"/>
                <w:szCs w:val="14"/>
                <w:color w:val="auto"/>
                <w:w w:val="85"/>
              </w:rPr>
              <w:t>Penn Master Lease</w:t>
            </w:r>
          </w:p>
        </w:tc>
        <w:tc>
          <w:tcPr>
            <w:tcW w:w="0" w:type="dxa"/>
            <w:vAlign w:val="bottom"/>
          </w:tcPr>
          <w:p>
            <w:pPr>
              <w:spacing w:after="0"/>
              <w:rPr>
                <w:sz w:val="1"/>
                <w:szCs w:val="1"/>
                <w:color w:val="auto"/>
              </w:rPr>
            </w:pPr>
          </w:p>
        </w:tc>
      </w:tr>
      <w:tr>
        <w:trPr>
          <w:trHeight w:val="184"/>
        </w:trPr>
        <w:tc>
          <w:tcPr>
            <w:tcW w:w="58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Hollywood Gaming at Mahoning Valley Race Course</w:t>
            </w:r>
          </w:p>
        </w:tc>
        <w:tc>
          <w:tcPr>
            <w:tcW w:w="30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Youngstown, Ohio</w:t>
            </w:r>
          </w:p>
        </w:tc>
        <w:tc>
          <w:tcPr>
            <w:tcW w:w="23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5"/>
              </w:rPr>
              <w:t>Penn Master Lease</w:t>
            </w:r>
          </w:p>
        </w:tc>
        <w:tc>
          <w:tcPr>
            <w:tcW w:w="0" w:type="dxa"/>
            <w:vAlign w:val="bottom"/>
          </w:tcPr>
          <w:p>
            <w:pPr>
              <w:spacing w:after="0"/>
              <w:rPr>
                <w:sz w:val="1"/>
                <w:szCs w:val="1"/>
                <w:color w:val="auto"/>
              </w:rPr>
            </w:pPr>
          </w:p>
        </w:tc>
      </w:tr>
      <w:tr>
        <w:trPr>
          <w:trHeight w:val="180"/>
        </w:trPr>
        <w:tc>
          <w:tcPr>
            <w:tcW w:w="5880" w:type="dxa"/>
            <w:vAlign w:val="bottom"/>
          </w:tcPr>
          <w:p>
            <w:pPr>
              <w:ind w:left="220"/>
              <w:spacing w:after="0" w:line="180" w:lineRule="exact"/>
              <w:rPr>
                <w:sz w:val="20"/>
                <w:szCs w:val="20"/>
                <w:color w:val="auto"/>
              </w:rPr>
            </w:pPr>
            <w:r>
              <w:rPr>
                <w:rFonts w:ascii="Arial" w:cs="Arial" w:eastAsia="Arial" w:hAnsi="Arial"/>
                <w:sz w:val="14"/>
                <w:szCs w:val="14"/>
                <w:color w:val="auto"/>
              </w:rPr>
              <w:t xml:space="preserve">Marquee by Penn </w:t>
            </w:r>
            <w:r>
              <w:rPr>
                <w:rFonts w:ascii="Arial" w:cs="Arial" w:eastAsia="Arial" w:hAnsi="Arial"/>
                <w:sz w:val="17"/>
                <w:szCs w:val="17"/>
                <w:color w:val="auto"/>
                <w:vertAlign w:val="superscript"/>
              </w:rPr>
              <w:t>(2)</w:t>
            </w:r>
          </w:p>
        </w:tc>
        <w:tc>
          <w:tcPr>
            <w:tcW w:w="3000" w:type="dxa"/>
            <w:vAlign w:val="bottom"/>
            <w:gridSpan w:val="2"/>
          </w:tcPr>
          <w:p>
            <w:pPr>
              <w:ind w:left="20"/>
              <w:spacing w:after="0"/>
              <w:rPr>
                <w:sz w:val="20"/>
                <w:szCs w:val="20"/>
                <w:color w:val="auto"/>
              </w:rPr>
            </w:pPr>
            <w:r>
              <w:rPr>
                <w:rFonts w:ascii="Arial" w:cs="Arial" w:eastAsia="Arial" w:hAnsi="Arial"/>
                <w:sz w:val="14"/>
                <w:szCs w:val="14"/>
                <w:color w:val="auto"/>
              </w:rPr>
              <w:t>Pennsylvania</w:t>
            </w:r>
          </w:p>
        </w:tc>
        <w:tc>
          <w:tcPr>
            <w:tcW w:w="2340" w:type="dxa"/>
            <w:vAlign w:val="bottom"/>
          </w:tcPr>
          <w:p>
            <w:pPr>
              <w:jc w:val="center"/>
              <w:spacing w:after="0"/>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180"/>
        </w:trPr>
        <w:tc>
          <w:tcPr>
            <w:tcW w:w="58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Meadows Racetrack and Casino</w:t>
            </w:r>
          </w:p>
        </w:tc>
        <w:tc>
          <w:tcPr>
            <w:tcW w:w="30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Washington, Pennsylvania</w:t>
            </w:r>
          </w:p>
        </w:tc>
        <w:tc>
          <w:tcPr>
            <w:tcW w:w="23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8"/>
              </w:rPr>
              <w:t>Meadows Lease</w:t>
            </w:r>
          </w:p>
        </w:tc>
        <w:tc>
          <w:tcPr>
            <w:tcW w:w="0" w:type="dxa"/>
            <w:vAlign w:val="bottom"/>
          </w:tcPr>
          <w:p>
            <w:pPr>
              <w:spacing w:after="0"/>
              <w:rPr>
                <w:sz w:val="1"/>
                <w:szCs w:val="1"/>
                <w:color w:val="auto"/>
              </w:rPr>
            </w:pPr>
          </w:p>
        </w:tc>
      </w:tr>
      <w:tr>
        <w:trPr>
          <w:trHeight w:val="177"/>
        </w:trPr>
        <w:tc>
          <w:tcPr>
            <w:tcW w:w="5880" w:type="dxa"/>
            <w:vAlign w:val="bottom"/>
          </w:tcPr>
          <w:p>
            <w:pPr>
              <w:ind w:left="220"/>
              <w:spacing w:after="0"/>
              <w:rPr>
                <w:sz w:val="20"/>
                <w:szCs w:val="20"/>
                <w:color w:val="auto"/>
              </w:rPr>
            </w:pPr>
            <w:r>
              <w:rPr>
                <w:rFonts w:ascii="Arial" w:cs="Arial" w:eastAsia="Arial" w:hAnsi="Arial"/>
                <w:sz w:val="14"/>
                <w:szCs w:val="14"/>
                <w:color w:val="auto"/>
              </w:rPr>
              <w:t>Plainridge Park Casino</w:t>
            </w:r>
          </w:p>
        </w:tc>
        <w:tc>
          <w:tcPr>
            <w:tcW w:w="3000" w:type="dxa"/>
            <w:vAlign w:val="bottom"/>
            <w:gridSpan w:val="2"/>
          </w:tcPr>
          <w:p>
            <w:pPr>
              <w:ind w:left="20"/>
              <w:spacing w:after="0"/>
              <w:rPr>
                <w:sz w:val="20"/>
                <w:szCs w:val="20"/>
                <w:color w:val="auto"/>
              </w:rPr>
            </w:pPr>
            <w:r>
              <w:rPr>
                <w:rFonts w:ascii="Arial" w:cs="Arial" w:eastAsia="Arial" w:hAnsi="Arial"/>
                <w:sz w:val="14"/>
                <w:szCs w:val="14"/>
                <w:color w:val="auto"/>
              </w:rPr>
              <w:t>Plainville, Massachusetts</w:t>
            </w:r>
          </w:p>
        </w:tc>
        <w:tc>
          <w:tcPr>
            <w:tcW w:w="2340" w:type="dxa"/>
            <w:vAlign w:val="bottom"/>
          </w:tcPr>
          <w:p>
            <w:pPr>
              <w:jc w:val="center"/>
              <w:spacing w:after="0"/>
              <w:rPr>
                <w:sz w:val="20"/>
                <w:szCs w:val="20"/>
                <w:color w:val="auto"/>
              </w:rPr>
            </w:pPr>
            <w:r>
              <w:rPr>
                <w:rFonts w:ascii="Arial" w:cs="Arial" w:eastAsia="Arial" w:hAnsi="Arial"/>
                <w:sz w:val="14"/>
                <w:szCs w:val="14"/>
                <w:color w:val="auto"/>
                <w:w w:val="87"/>
              </w:rPr>
              <w:t>Pinnacle Master Lease</w:t>
            </w:r>
          </w:p>
        </w:tc>
        <w:tc>
          <w:tcPr>
            <w:tcW w:w="0" w:type="dxa"/>
            <w:vAlign w:val="bottom"/>
          </w:tcPr>
          <w:p>
            <w:pPr>
              <w:spacing w:after="0"/>
              <w:rPr>
                <w:sz w:val="1"/>
                <w:szCs w:val="1"/>
                <w:color w:val="auto"/>
              </w:rPr>
            </w:pPr>
          </w:p>
        </w:tc>
      </w:tr>
      <w:tr>
        <w:trPr>
          <w:trHeight w:val="209"/>
        </w:trPr>
        <w:tc>
          <w:tcPr>
            <w:tcW w:w="5880" w:type="dxa"/>
            <w:vAlign w:val="bottom"/>
            <w:shd w:val="clear" w:color="auto" w:fill="CCEEFF"/>
          </w:tcPr>
          <w:p>
            <w:pPr>
              <w:spacing w:after="0"/>
              <w:rPr>
                <w:sz w:val="18"/>
                <w:szCs w:val="18"/>
                <w:color w:val="auto"/>
              </w:rPr>
            </w:pPr>
          </w:p>
        </w:tc>
        <w:tc>
          <w:tcPr>
            <w:tcW w:w="2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7"/>
        </w:trPr>
        <w:tc>
          <w:tcPr>
            <w:tcW w:w="588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South segment</w:t>
            </w:r>
          </w:p>
        </w:tc>
        <w:tc>
          <w:tcPr>
            <w:tcW w:w="2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5880" w:type="dxa"/>
            <w:vAlign w:val="bottom"/>
            <w:shd w:val="clear" w:color="auto" w:fill="CCEEFF"/>
          </w:tcPr>
          <w:p>
            <w:pPr>
              <w:ind w:left="220"/>
              <w:spacing w:after="0" w:line="184" w:lineRule="exact"/>
              <w:rPr>
                <w:sz w:val="20"/>
                <w:szCs w:val="20"/>
                <w:color w:val="auto"/>
              </w:rPr>
            </w:pPr>
            <w:r>
              <w:rPr>
                <w:rFonts w:ascii="Arial" w:cs="Arial" w:eastAsia="Arial" w:hAnsi="Arial"/>
                <w:sz w:val="14"/>
                <w:szCs w:val="14"/>
                <w:color w:val="auto"/>
              </w:rPr>
              <w:t>1</w:t>
            </w:r>
            <w:r>
              <w:rPr>
                <w:rFonts w:ascii="Arial" w:cs="Arial" w:eastAsia="Arial" w:hAnsi="Arial"/>
                <w:sz w:val="17"/>
                <w:szCs w:val="17"/>
                <w:color w:val="auto"/>
                <w:vertAlign w:val="superscript"/>
              </w:rPr>
              <w:t>st</w:t>
            </w:r>
            <w:r>
              <w:rPr>
                <w:rFonts w:ascii="Arial" w:cs="Arial" w:eastAsia="Arial" w:hAnsi="Arial"/>
                <w:sz w:val="14"/>
                <w:szCs w:val="14"/>
                <w:color w:val="auto"/>
              </w:rPr>
              <w:t xml:space="preserve"> Jackpot Casino</w:t>
            </w:r>
          </w:p>
        </w:tc>
        <w:tc>
          <w:tcPr>
            <w:tcW w:w="30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Tunica, Mississippi</w:t>
            </w:r>
          </w:p>
        </w:tc>
        <w:tc>
          <w:tcPr>
            <w:tcW w:w="23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5"/>
              </w:rPr>
              <w:t>Penn Master Lease</w:t>
            </w:r>
          </w:p>
        </w:tc>
        <w:tc>
          <w:tcPr>
            <w:tcW w:w="0" w:type="dxa"/>
            <w:vAlign w:val="bottom"/>
          </w:tcPr>
          <w:p>
            <w:pPr>
              <w:spacing w:after="0"/>
              <w:rPr>
                <w:sz w:val="1"/>
                <w:szCs w:val="1"/>
                <w:color w:val="auto"/>
              </w:rPr>
            </w:pPr>
          </w:p>
        </w:tc>
      </w:tr>
      <w:tr>
        <w:trPr>
          <w:trHeight w:val="177"/>
        </w:trPr>
        <w:tc>
          <w:tcPr>
            <w:tcW w:w="5880" w:type="dxa"/>
            <w:vAlign w:val="bottom"/>
          </w:tcPr>
          <w:p>
            <w:pPr>
              <w:ind w:left="220"/>
              <w:spacing w:after="0"/>
              <w:rPr>
                <w:sz w:val="20"/>
                <w:szCs w:val="20"/>
                <w:color w:val="auto"/>
              </w:rPr>
            </w:pPr>
            <w:r>
              <w:rPr>
                <w:rFonts w:ascii="Arial" w:cs="Arial" w:eastAsia="Arial" w:hAnsi="Arial"/>
                <w:sz w:val="14"/>
                <w:szCs w:val="14"/>
                <w:color w:val="auto"/>
              </w:rPr>
              <w:t>Ameristar Vicksburg</w:t>
            </w:r>
          </w:p>
        </w:tc>
        <w:tc>
          <w:tcPr>
            <w:tcW w:w="3000" w:type="dxa"/>
            <w:vAlign w:val="bottom"/>
            <w:gridSpan w:val="2"/>
          </w:tcPr>
          <w:p>
            <w:pPr>
              <w:ind w:left="20"/>
              <w:spacing w:after="0"/>
              <w:rPr>
                <w:sz w:val="20"/>
                <w:szCs w:val="20"/>
                <w:color w:val="auto"/>
              </w:rPr>
            </w:pPr>
            <w:r>
              <w:rPr>
                <w:rFonts w:ascii="Arial" w:cs="Arial" w:eastAsia="Arial" w:hAnsi="Arial"/>
                <w:sz w:val="14"/>
                <w:szCs w:val="14"/>
                <w:color w:val="auto"/>
              </w:rPr>
              <w:t>Vicksburg, Mississippi</w:t>
            </w:r>
          </w:p>
        </w:tc>
        <w:tc>
          <w:tcPr>
            <w:tcW w:w="2340" w:type="dxa"/>
            <w:vAlign w:val="bottom"/>
          </w:tcPr>
          <w:p>
            <w:pPr>
              <w:jc w:val="center"/>
              <w:spacing w:after="0"/>
              <w:rPr>
                <w:sz w:val="20"/>
                <w:szCs w:val="20"/>
                <w:color w:val="auto"/>
              </w:rPr>
            </w:pPr>
            <w:r>
              <w:rPr>
                <w:rFonts w:ascii="Arial" w:cs="Arial" w:eastAsia="Arial" w:hAnsi="Arial"/>
                <w:sz w:val="14"/>
                <w:szCs w:val="14"/>
                <w:color w:val="auto"/>
                <w:w w:val="87"/>
              </w:rPr>
              <w:t>Pinnacle Master Lease</w:t>
            </w:r>
          </w:p>
        </w:tc>
        <w:tc>
          <w:tcPr>
            <w:tcW w:w="0" w:type="dxa"/>
            <w:vAlign w:val="bottom"/>
          </w:tcPr>
          <w:p>
            <w:pPr>
              <w:spacing w:after="0"/>
              <w:rPr>
                <w:sz w:val="1"/>
                <w:szCs w:val="1"/>
                <w:color w:val="auto"/>
              </w:rPr>
            </w:pPr>
          </w:p>
        </w:tc>
      </w:tr>
      <w:tr>
        <w:trPr>
          <w:trHeight w:val="184"/>
        </w:trPr>
        <w:tc>
          <w:tcPr>
            <w:tcW w:w="58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Boomtown Biloxi</w:t>
            </w:r>
          </w:p>
        </w:tc>
        <w:tc>
          <w:tcPr>
            <w:tcW w:w="30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Biloxi, Mississippi</w:t>
            </w:r>
          </w:p>
        </w:tc>
        <w:tc>
          <w:tcPr>
            <w:tcW w:w="23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5"/>
              </w:rPr>
              <w:t>Penn Master Lease</w:t>
            </w:r>
          </w:p>
        </w:tc>
        <w:tc>
          <w:tcPr>
            <w:tcW w:w="0" w:type="dxa"/>
            <w:vAlign w:val="bottom"/>
          </w:tcPr>
          <w:p>
            <w:pPr>
              <w:spacing w:after="0"/>
              <w:rPr>
                <w:sz w:val="1"/>
                <w:szCs w:val="1"/>
                <w:color w:val="auto"/>
              </w:rPr>
            </w:pPr>
          </w:p>
        </w:tc>
      </w:tr>
      <w:tr>
        <w:trPr>
          <w:trHeight w:val="177"/>
        </w:trPr>
        <w:tc>
          <w:tcPr>
            <w:tcW w:w="5880" w:type="dxa"/>
            <w:vAlign w:val="bottom"/>
          </w:tcPr>
          <w:p>
            <w:pPr>
              <w:ind w:left="220"/>
              <w:spacing w:after="0"/>
              <w:rPr>
                <w:sz w:val="20"/>
                <w:szCs w:val="20"/>
                <w:color w:val="auto"/>
              </w:rPr>
            </w:pPr>
            <w:r>
              <w:rPr>
                <w:rFonts w:ascii="Arial" w:cs="Arial" w:eastAsia="Arial" w:hAnsi="Arial"/>
                <w:sz w:val="14"/>
                <w:szCs w:val="14"/>
                <w:color w:val="auto"/>
              </w:rPr>
              <w:t>Boomtown Bossier City</w:t>
            </w:r>
          </w:p>
        </w:tc>
        <w:tc>
          <w:tcPr>
            <w:tcW w:w="3000" w:type="dxa"/>
            <w:vAlign w:val="bottom"/>
            <w:gridSpan w:val="2"/>
          </w:tcPr>
          <w:p>
            <w:pPr>
              <w:ind w:left="20"/>
              <w:spacing w:after="0"/>
              <w:rPr>
                <w:sz w:val="20"/>
                <w:szCs w:val="20"/>
                <w:color w:val="auto"/>
              </w:rPr>
            </w:pPr>
            <w:r>
              <w:rPr>
                <w:rFonts w:ascii="Arial" w:cs="Arial" w:eastAsia="Arial" w:hAnsi="Arial"/>
                <w:sz w:val="14"/>
                <w:szCs w:val="14"/>
                <w:color w:val="auto"/>
              </w:rPr>
              <w:t>Bossier City, Louisiana</w:t>
            </w:r>
          </w:p>
        </w:tc>
        <w:tc>
          <w:tcPr>
            <w:tcW w:w="2340" w:type="dxa"/>
            <w:vAlign w:val="bottom"/>
          </w:tcPr>
          <w:p>
            <w:pPr>
              <w:jc w:val="center"/>
              <w:spacing w:after="0"/>
              <w:rPr>
                <w:sz w:val="20"/>
                <w:szCs w:val="20"/>
                <w:color w:val="auto"/>
              </w:rPr>
            </w:pPr>
            <w:r>
              <w:rPr>
                <w:rFonts w:ascii="Arial" w:cs="Arial" w:eastAsia="Arial" w:hAnsi="Arial"/>
                <w:sz w:val="14"/>
                <w:szCs w:val="14"/>
                <w:color w:val="auto"/>
                <w:w w:val="87"/>
              </w:rPr>
              <w:t>Pinnacle Master Lease</w:t>
            </w:r>
          </w:p>
        </w:tc>
        <w:tc>
          <w:tcPr>
            <w:tcW w:w="0" w:type="dxa"/>
            <w:vAlign w:val="bottom"/>
          </w:tcPr>
          <w:p>
            <w:pPr>
              <w:spacing w:after="0"/>
              <w:rPr>
                <w:sz w:val="1"/>
                <w:szCs w:val="1"/>
                <w:color w:val="auto"/>
              </w:rPr>
            </w:pPr>
          </w:p>
        </w:tc>
      </w:tr>
      <w:tr>
        <w:trPr>
          <w:trHeight w:val="184"/>
        </w:trPr>
        <w:tc>
          <w:tcPr>
            <w:tcW w:w="58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Boomtown New Orleans</w:t>
            </w:r>
          </w:p>
        </w:tc>
        <w:tc>
          <w:tcPr>
            <w:tcW w:w="30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New Orleans, Louisiana</w:t>
            </w:r>
          </w:p>
        </w:tc>
        <w:tc>
          <w:tcPr>
            <w:tcW w:w="23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7"/>
              </w:rPr>
              <w:t>Pinnacle Master Lease</w:t>
            </w:r>
          </w:p>
        </w:tc>
        <w:tc>
          <w:tcPr>
            <w:tcW w:w="0" w:type="dxa"/>
            <w:vAlign w:val="bottom"/>
          </w:tcPr>
          <w:p>
            <w:pPr>
              <w:spacing w:after="0"/>
              <w:rPr>
                <w:sz w:val="1"/>
                <w:szCs w:val="1"/>
                <w:color w:val="auto"/>
              </w:rPr>
            </w:pPr>
          </w:p>
        </w:tc>
      </w:tr>
      <w:tr>
        <w:trPr>
          <w:trHeight w:val="177"/>
        </w:trPr>
        <w:tc>
          <w:tcPr>
            <w:tcW w:w="5880" w:type="dxa"/>
            <w:vAlign w:val="bottom"/>
          </w:tcPr>
          <w:p>
            <w:pPr>
              <w:ind w:left="220"/>
              <w:spacing w:after="0"/>
              <w:rPr>
                <w:sz w:val="20"/>
                <w:szCs w:val="20"/>
                <w:color w:val="auto"/>
              </w:rPr>
            </w:pPr>
            <w:r>
              <w:rPr>
                <w:rFonts w:ascii="Arial" w:cs="Arial" w:eastAsia="Arial" w:hAnsi="Arial"/>
                <w:sz w:val="14"/>
                <w:szCs w:val="14"/>
                <w:color w:val="auto"/>
              </w:rPr>
              <w:t>Hollywood Casino Gulf Coast</w:t>
            </w:r>
          </w:p>
        </w:tc>
        <w:tc>
          <w:tcPr>
            <w:tcW w:w="3000" w:type="dxa"/>
            <w:vAlign w:val="bottom"/>
            <w:gridSpan w:val="2"/>
          </w:tcPr>
          <w:p>
            <w:pPr>
              <w:ind w:left="20"/>
              <w:spacing w:after="0"/>
              <w:rPr>
                <w:sz w:val="20"/>
                <w:szCs w:val="20"/>
                <w:color w:val="auto"/>
              </w:rPr>
            </w:pPr>
            <w:r>
              <w:rPr>
                <w:rFonts w:ascii="Arial" w:cs="Arial" w:eastAsia="Arial" w:hAnsi="Arial"/>
                <w:sz w:val="14"/>
                <w:szCs w:val="14"/>
                <w:color w:val="auto"/>
              </w:rPr>
              <w:t>Bay St. Louis, Mississippi</w:t>
            </w:r>
          </w:p>
        </w:tc>
        <w:tc>
          <w:tcPr>
            <w:tcW w:w="2340" w:type="dxa"/>
            <w:vAlign w:val="bottom"/>
          </w:tcPr>
          <w:p>
            <w:pPr>
              <w:jc w:val="center"/>
              <w:spacing w:after="0"/>
              <w:rPr>
                <w:sz w:val="20"/>
                <w:szCs w:val="20"/>
                <w:color w:val="auto"/>
              </w:rPr>
            </w:pPr>
            <w:r>
              <w:rPr>
                <w:rFonts w:ascii="Arial" w:cs="Arial" w:eastAsia="Arial" w:hAnsi="Arial"/>
                <w:sz w:val="14"/>
                <w:szCs w:val="14"/>
                <w:color w:val="auto"/>
                <w:w w:val="85"/>
              </w:rPr>
              <w:t>Penn Master Lease</w:t>
            </w:r>
          </w:p>
        </w:tc>
        <w:tc>
          <w:tcPr>
            <w:tcW w:w="0" w:type="dxa"/>
            <w:vAlign w:val="bottom"/>
          </w:tcPr>
          <w:p>
            <w:pPr>
              <w:spacing w:after="0"/>
              <w:rPr>
                <w:sz w:val="1"/>
                <w:szCs w:val="1"/>
                <w:color w:val="auto"/>
              </w:rPr>
            </w:pPr>
          </w:p>
        </w:tc>
      </w:tr>
      <w:tr>
        <w:trPr>
          <w:trHeight w:val="184"/>
        </w:trPr>
        <w:tc>
          <w:tcPr>
            <w:tcW w:w="58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Hollywood Casino Tunica</w:t>
            </w:r>
          </w:p>
        </w:tc>
        <w:tc>
          <w:tcPr>
            <w:tcW w:w="30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Tunica, Mississippi</w:t>
            </w:r>
          </w:p>
        </w:tc>
        <w:tc>
          <w:tcPr>
            <w:tcW w:w="23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5"/>
              </w:rPr>
              <w:t>Penn Master Lease</w:t>
            </w:r>
          </w:p>
        </w:tc>
        <w:tc>
          <w:tcPr>
            <w:tcW w:w="0" w:type="dxa"/>
            <w:vAlign w:val="bottom"/>
          </w:tcPr>
          <w:p>
            <w:pPr>
              <w:spacing w:after="0"/>
              <w:rPr>
                <w:sz w:val="1"/>
                <w:szCs w:val="1"/>
                <w:color w:val="auto"/>
              </w:rPr>
            </w:pPr>
          </w:p>
        </w:tc>
      </w:tr>
      <w:tr>
        <w:trPr>
          <w:trHeight w:val="177"/>
        </w:trPr>
        <w:tc>
          <w:tcPr>
            <w:tcW w:w="5880" w:type="dxa"/>
            <w:vAlign w:val="bottom"/>
          </w:tcPr>
          <w:p>
            <w:pPr>
              <w:ind w:left="220"/>
              <w:spacing w:after="0"/>
              <w:rPr>
                <w:sz w:val="20"/>
                <w:szCs w:val="20"/>
                <w:color w:val="auto"/>
              </w:rPr>
            </w:pPr>
            <w:r>
              <w:rPr>
                <w:rFonts w:ascii="Arial" w:cs="Arial" w:eastAsia="Arial" w:hAnsi="Arial"/>
                <w:sz w:val="14"/>
                <w:szCs w:val="14"/>
                <w:color w:val="auto"/>
              </w:rPr>
              <w:t>L’Auberge Baton Rouge</w:t>
            </w:r>
          </w:p>
        </w:tc>
        <w:tc>
          <w:tcPr>
            <w:tcW w:w="3000" w:type="dxa"/>
            <w:vAlign w:val="bottom"/>
            <w:gridSpan w:val="2"/>
          </w:tcPr>
          <w:p>
            <w:pPr>
              <w:ind w:left="20"/>
              <w:spacing w:after="0"/>
              <w:rPr>
                <w:sz w:val="20"/>
                <w:szCs w:val="20"/>
                <w:color w:val="auto"/>
              </w:rPr>
            </w:pPr>
            <w:r>
              <w:rPr>
                <w:rFonts w:ascii="Arial" w:cs="Arial" w:eastAsia="Arial" w:hAnsi="Arial"/>
                <w:sz w:val="14"/>
                <w:szCs w:val="14"/>
                <w:color w:val="auto"/>
              </w:rPr>
              <w:t>Baton Rouge, Louisiana</w:t>
            </w:r>
          </w:p>
        </w:tc>
        <w:tc>
          <w:tcPr>
            <w:tcW w:w="2340" w:type="dxa"/>
            <w:vAlign w:val="bottom"/>
          </w:tcPr>
          <w:p>
            <w:pPr>
              <w:jc w:val="center"/>
              <w:spacing w:after="0"/>
              <w:rPr>
                <w:sz w:val="20"/>
                <w:szCs w:val="20"/>
                <w:color w:val="auto"/>
              </w:rPr>
            </w:pPr>
            <w:r>
              <w:rPr>
                <w:rFonts w:ascii="Arial" w:cs="Arial" w:eastAsia="Arial" w:hAnsi="Arial"/>
                <w:sz w:val="14"/>
                <w:szCs w:val="14"/>
                <w:color w:val="auto"/>
                <w:w w:val="87"/>
              </w:rPr>
              <w:t>Pinnacle Master Lease</w:t>
            </w:r>
          </w:p>
        </w:tc>
        <w:tc>
          <w:tcPr>
            <w:tcW w:w="0" w:type="dxa"/>
            <w:vAlign w:val="bottom"/>
          </w:tcPr>
          <w:p>
            <w:pPr>
              <w:spacing w:after="0"/>
              <w:rPr>
                <w:sz w:val="1"/>
                <w:szCs w:val="1"/>
                <w:color w:val="auto"/>
              </w:rPr>
            </w:pPr>
          </w:p>
        </w:tc>
      </w:tr>
      <w:tr>
        <w:trPr>
          <w:trHeight w:val="184"/>
        </w:trPr>
        <w:tc>
          <w:tcPr>
            <w:tcW w:w="58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L’Auberge Lake Charles</w:t>
            </w:r>
          </w:p>
        </w:tc>
        <w:tc>
          <w:tcPr>
            <w:tcW w:w="30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Lake Charles, Louisiana</w:t>
            </w:r>
          </w:p>
        </w:tc>
        <w:tc>
          <w:tcPr>
            <w:tcW w:w="23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7"/>
              </w:rPr>
              <w:t>Pinnacle Master Lease</w:t>
            </w:r>
          </w:p>
        </w:tc>
        <w:tc>
          <w:tcPr>
            <w:tcW w:w="0" w:type="dxa"/>
            <w:vAlign w:val="bottom"/>
          </w:tcPr>
          <w:p>
            <w:pPr>
              <w:spacing w:after="0"/>
              <w:rPr>
                <w:sz w:val="1"/>
                <w:szCs w:val="1"/>
                <w:color w:val="auto"/>
              </w:rPr>
            </w:pPr>
          </w:p>
        </w:tc>
      </w:tr>
      <w:tr>
        <w:trPr>
          <w:trHeight w:val="177"/>
        </w:trPr>
        <w:tc>
          <w:tcPr>
            <w:tcW w:w="5880" w:type="dxa"/>
            <w:vAlign w:val="bottom"/>
          </w:tcPr>
          <w:p>
            <w:pPr>
              <w:ind w:left="220"/>
              <w:spacing w:after="0"/>
              <w:rPr>
                <w:sz w:val="20"/>
                <w:szCs w:val="20"/>
                <w:color w:val="auto"/>
              </w:rPr>
            </w:pPr>
            <w:r>
              <w:rPr>
                <w:rFonts w:ascii="Arial" w:cs="Arial" w:eastAsia="Arial" w:hAnsi="Arial"/>
                <w:sz w:val="14"/>
                <w:szCs w:val="14"/>
                <w:color w:val="auto"/>
              </w:rPr>
              <w:t>Margaritaville Resort Casino</w:t>
            </w:r>
          </w:p>
        </w:tc>
        <w:tc>
          <w:tcPr>
            <w:tcW w:w="3000" w:type="dxa"/>
            <w:vAlign w:val="bottom"/>
            <w:gridSpan w:val="2"/>
          </w:tcPr>
          <w:p>
            <w:pPr>
              <w:ind w:left="20"/>
              <w:spacing w:after="0"/>
              <w:rPr>
                <w:sz w:val="20"/>
                <w:szCs w:val="20"/>
                <w:color w:val="auto"/>
              </w:rPr>
            </w:pPr>
            <w:r>
              <w:rPr>
                <w:rFonts w:ascii="Arial" w:cs="Arial" w:eastAsia="Arial" w:hAnsi="Arial"/>
                <w:sz w:val="14"/>
                <w:szCs w:val="14"/>
                <w:color w:val="auto"/>
              </w:rPr>
              <w:t>Bossier City, Louisiana</w:t>
            </w:r>
          </w:p>
        </w:tc>
        <w:tc>
          <w:tcPr>
            <w:tcW w:w="2340" w:type="dxa"/>
            <w:vAlign w:val="bottom"/>
          </w:tcPr>
          <w:p>
            <w:pPr>
              <w:jc w:val="center"/>
              <w:spacing w:after="0"/>
              <w:rPr>
                <w:sz w:val="20"/>
                <w:szCs w:val="20"/>
                <w:color w:val="auto"/>
              </w:rPr>
            </w:pPr>
            <w:r>
              <w:rPr>
                <w:rFonts w:ascii="Arial" w:cs="Arial" w:eastAsia="Arial" w:hAnsi="Arial"/>
                <w:sz w:val="14"/>
                <w:szCs w:val="14"/>
                <w:color w:val="auto"/>
                <w:w w:val="90"/>
              </w:rPr>
              <w:t>Margaritaville Lease</w:t>
            </w:r>
          </w:p>
        </w:tc>
        <w:tc>
          <w:tcPr>
            <w:tcW w:w="0" w:type="dxa"/>
            <w:vAlign w:val="bottom"/>
          </w:tcPr>
          <w:p>
            <w:pPr>
              <w:spacing w:after="0"/>
              <w:rPr>
                <w:sz w:val="1"/>
                <w:szCs w:val="1"/>
                <w:color w:val="auto"/>
              </w:rPr>
            </w:pPr>
          </w:p>
        </w:tc>
      </w:tr>
      <w:tr>
        <w:trPr>
          <w:trHeight w:val="209"/>
        </w:trPr>
        <w:tc>
          <w:tcPr>
            <w:tcW w:w="5880" w:type="dxa"/>
            <w:vAlign w:val="bottom"/>
            <w:shd w:val="clear" w:color="auto" w:fill="CCEEFF"/>
          </w:tcPr>
          <w:p>
            <w:pPr>
              <w:spacing w:after="0"/>
              <w:rPr>
                <w:sz w:val="18"/>
                <w:szCs w:val="18"/>
                <w:color w:val="auto"/>
              </w:rPr>
            </w:pPr>
          </w:p>
        </w:tc>
        <w:tc>
          <w:tcPr>
            <w:tcW w:w="2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7"/>
        </w:trPr>
        <w:tc>
          <w:tcPr>
            <w:tcW w:w="588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West segment</w:t>
            </w:r>
          </w:p>
        </w:tc>
        <w:tc>
          <w:tcPr>
            <w:tcW w:w="2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58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Ameristar Black Hawk</w:t>
            </w:r>
          </w:p>
        </w:tc>
        <w:tc>
          <w:tcPr>
            <w:tcW w:w="30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Black Hawk, Colorado</w:t>
            </w:r>
          </w:p>
        </w:tc>
        <w:tc>
          <w:tcPr>
            <w:tcW w:w="23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7"/>
              </w:rPr>
              <w:t>Pinnacle Master Lease</w:t>
            </w:r>
          </w:p>
        </w:tc>
        <w:tc>
          <w:tcPr>
            <w:tcW w:w="0" w:type="dxa"/>
            <w:vAlign w:val="bottom"/>
          </w:tcPr>
          <w:p>
            <w:pPr>
              <w:spacing w:after="0"/>
              <w:rPr>
                <w:sz w:val="1"/>
                <w:szCs w:val="1"/>
                <w:color w:val="auto"/>
              </w:rPr>
            </w:pPr>
          </w:p>
        </w:tc>
      </w:tr>
      <w:tr>
        <w:trPr>
          <w:trHeight w:val="177"/>
        </w:trPr>
        <w:tc>
          <w:tcPr>
            <w:tcW w:w="5880" w:type="dxa"/>
            <w:vAlign w:val="bottom"/>
          </w:tcPr>
          <w:p>
            <w:pPr>
              <w:ind w:left="220"/>
              <w:spacing w:after="0"/>
              <w:rPr>
                <w:sz w:val="20"/>
                <w:szCs w:val="20"/>
                <w:color w:val="auto"/>
              </w:rPr>
            </w:pPr>
            <w:r>
              <w:rPr>
                <w:rFonts w:ascii="Arial" w:cs="Arial" w:eastAsia="Arial" w:hAnsi="Arial"/>
                <w:sz w:val="14"/>
                <w:szCs w:val="14"/>
                <w:color w:val="auto"/>
              </w:rPr>
              <w:t>Cactus Petes and Horseshu</w:t>
            </w:r>
          </w:p>
        </w:tc>
        <w:tc>
          <w:tcPr>
            <w:tcW w:w="3000" w:type="dxa"/>
            <w:vAlign w:val="bottom"/>
            <w:gridSpan w:val="2"/>
          </w:tcPr>
          <w:p>
            <w:pPr>
              <w:ind w:left="20"/>
              <w:spacing w:after="0"/>
              <w:rPr>
                <w:sz w:val="20"/>
                <w:szCs w:val="20"/>
                <w:color w:val="auto"/>
              </w:rPr>
            </w:pPr>
            <w:r>
              <w:rPr>
                <w:rFonts w:ascii="Arial" w:cs="Arial" w:eastAsia="Arial" w:hAnsi="Arial"/>
                <w:sz w:val="14"/>
                <w:szCs w:val="14"/>
                <w:color w:val="auto"/>
              </w:rPr>
              <w:t>Jackpot, Nevada</w:t>
            </w:r>
          </w:p>
        </w:tc>
        <w:tc>
          <w:tcPr>
            <w:tcW w:w="2340" w:type="dxa"/>
            <w:vAlign w:val="bottom"/>
          </w:tcPr>
          <w:p>
            <w:pPr>
              <w:jc w:val="center"/>
              <w:spacing w:after="0"/>
              <w:rPr>
                <w:sz w:val="20"/>
                <w:szCs w:val="20"/>
                <w:color w:val="auto"/>
              </w:rPr>
            </w:pPr>
            <w:r>
              <w:rPr>
                <w:rFonts w:ascii="Arial" w:cs="Arial" w:eastAsia="Arial" w:hAnsi="Arial"/>
                <w:sz w:val="14"/>
                <w:szCs w:val="14"/>
                <w:color w:val="auto"/>
                <w:w w:val="87"/>
              </w:rPr>
              <w:t>Pinnacle Master Lease</w:t>
            </w:r>
          </w:p>
        </w:tc>
        <w:tc>
          <w:tcPr>
            <w:tcW w:w="0" w:type="dxa"/>
            <w:vAlign w:val="bottom"/>
          </w:tcPr>
          <w:p>
            <w:pPr>
              <w:spacing w:after="0"/>
              <w:rPr>
                <w:sz w:val="1"/>
                <w:szCs w:val="1"/>
                <w:color w:val="auto"/>
              </w:rPr>
            </w:pPr>
          </w:p>
        </w:tc>
      </w:tr>
      <w:tr>
        <w:trPr>
          <w:trHeight w:val="184"/>
        </w:trPr>
        <w:tc>
          <w:tcPr>
            <w:tcW w:w="58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M Resort</w:t>
            </w:r>
          </w:p>
        </w:tc>
        <w:tc>
          <w:tcPr>
            <w:tcW w:w="30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Henderson, Nevada</w:t>
            </w:r>
          </w:p>
        </w:tc>
        <w:tc>
          <w:tcPr>
            <w:tcW w:w="23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5"/>
              </w:rPr>
              <w:t>Penn Master Lease</w:t>
            </w:r>
          </w:p>
        </w:tc>
        <w:tc>
          <w:tcPr>
            <w:tcW w:w="0" w:type="dxa"/>
            <w:vAlign w:val="bottom"/>
          </w:tcPr>
          <w:p>
            <w:pPr>
              <w:spacing w:after="0"/>
              <w:rPr>
                <w:sz w:val="1"/>
                <w:szCs w:val="1"/>
                <w:color w:val="auto"/>
              </w:rPr>
            </w:pPr>
          </w:p>
        </w:tc>
      </w:tr>
      <w:tr>
        <w:trPr>
          <w:trHeight w:val="177"/>
        </w:trPr>
        <w:tc>
          <w:tcPr>
            <w:tcW w:w="5880" w:type="dxa"/>
            <w:vAlign w:val="bottom"/>
          </w:tcPr>
          <w:p>
            <w:pPr>
              <w:ind w:left="220"/>
              <w:spacing w:after="0"/>
              <w:rPr>
                <w:sz w:val="20"/>
                <w:szCs w:val="20"/>
                <w:color w:val="auto"/>
              </w:rPr>
            </w:pPr>
            <w:r>
              <w:rPr>
                <w:rFonts w:ascii="Arial" w:cs="Arial" w:eastAsia="Arial" w:hAnsi="Arial"/>
                <w:sz w:val="14"/>
                <w:szCs w:val="14"/>
                <w:color w:val="auto"/>
              </w:rPr>
              <w:t>Tropicana Las Vegas</w:t>
            </w:r>
          </w:p>
        </w:tc>
        <w:tc>
          <w:tcPr>
            <w:tcW w:w="3000" w:type="dxa"/>
            <w:vAlign w:val="bottom"/>
            <w:gridSpan w:val="2"/>
          </w:tcPr>
          <w:p>
            <w:pPr>
              <w:ind w:left="20"/>
              <w:spacing w:after="0"/>
              <w:rPr>
                <w:sz w:val="20"/>
                <w:szCs w:val="20"/>
                <w:color w:val="auto"/>
              </w:rPr>
            </w:pPr>
            <w:r>
              <w:rPr>
                <w:rFonts w:ascii="Arial" w:cs="Arial" w:eastAsia="Arial" w:hAnsi="Arial"/>
                <w:sz w:val="14"/>
                <w:szCs w:val="14"/>
                <w:color w:val="auto"/>
              </w:rPr>
              <w:t>Las Vegas, Nevada</w:t>
            </w:r>
          </w:p>
        </w:tc>
        <w:tc>
          <w:tcPr>
            <w:tcW w:w="2340" w:type="dxa"/>
            <w:vAlign w:val="bottom"/>
          </w:tcPr>
          <w:p>
            <w:pPr>
              <w:jc w:val="center"/>
              <w:spacing w:after="0"/>
              <w:rPr>
                <w:sz w:val="20"/>
                <w:szCs w:val="20"/>
                <w:color w:val="auto"/>
              </w:rPr>
            </w:pPr>
            <w:r>
              <w:rPr>
                <w:rFonts w:ascii="Arial" w:cs="Arial" w:eastAsia="Arial" w:hAnsi="Arial"/>
                <w:sz w:val="14"/>
                <w:szCs w:val="14"/>
                <w:color w:val="auto"/>
                <w:w w:val="86"/>
              </w:rPr>
              <w:t>Tropicana Lease</w:t>
            </w:r>
          </w:p>
        </w:tc>
        <w:tc>
          <w:tcPr>
            <w:tcW w:w="0" w:type="dxa"/>
            <w:vAlign w:val="bottom"/>
          </w:tcPr>
          <w:p>
            <w:pPr>
              <w:spacing w:after="0"/>
              <w:rPr>
                <w:sz w:val="1"/>
                <w:szCs w:val="1"/>
                <w:color w:val="auto"/>
              </w:rPr>
            </w:pPr>
          </w:p>
        </w:tc>
      </w:tr>
      <w:tr>
        <w:trPr>
          <w:trHeight w:val="184"/>
        </w:trPr>
        <w:tc>
          <w:tcPr>
            <w:tcW w:w="58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Zia Park Casino</w:t>
            </w:r>
          </w:p>
        </w:tc>
        <w:tc>
          <w:tcPr>
            <w:tcW w:w="30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Hobbs, New Mexico</w:t>
            </w:r>
          </w:p>
        </w:tc>
        <w:tc>
          <w:tcPr>
            <w:tcW w:w="23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5"/>
              </w:rPr>
              <w:t>Penn Master Lease</w:t>
            </w:r>
          </w:p>
        </w:tc>
        <w:tc>
          <w:tcPr>
            <w:tcW w:w="0" w:type="dxa"/>
            <w:vAlign w:val="bottom"/>
          </w:tcPr>
          <w:p>
            <w:pPr>
              <w:spacing w:after="0"/>
              <w:rPr>
                <w:sz w:val="1"/>
                <w:szCs w:val="1"/>
                <w:color w:val="auto"/>
              </w:rPr>
            </w:pPr>
          </w:p>
        </w:tc>
      </w:tr>
      <w:tr>
        <w:trPr>
          <w:trHeight w:val="206"/>
        </w:trPr>
        <w:tc>
          <w:tcPr>
            <w:tcW w:w="5880" w:type="dxa"/>
            <w:vAlign w:val="bottom"/>
          </w:tcPr>
          <w:p>
            <w:pPr>
              <w:spacing w:after="0"/>
              <w:rPr>
                <w:sz w:val="17"/>
                <w:szCs w:val="17"/>
                <w:color w:val="auto"/>
              </w:rPr>
            </w:pPr>
          </w:p>
        </w:tc>
        <w:tc>
          <w:tcPr>
            <w:tcW w:w="2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0"/>
        </w:trPr>
        <w:tc>
          <w:tcPr>
            <w:tcW w:w="5880" w:type="dxa"/>
            <w:vAlign w:val="bottom"/>
            <w:shd w:val="clear" w:color="auto" w:fill="CCEEFF"/>
          </w:tcPr>
          <w:p>
            <w:pPr>
              <w:ind w:left="20"/>
              <w:spacing w:after="0"/>
              <w:rPr>
                <w:sz w:val="20"/>
                <w:szCs w:val="20"/>
                <w:color w:val="auto"/>
              </w:rPr>
            </w:pPr>
            <w:r>
              <w:rPr>
                <w:rFonts w:ascii="Arial" w:cs="Arial" w:eastAsia="Arial" w:hAnsi="Arial"/>
                <w:sz w:val="14"/>
                <w:szCs w:val="14"/>
                <w:b w:val="1"/>
                <w:bCs w:val="1"/>
                <w:i w:val="1"/>
                <w:iCs w:val="1"/>
                <w:color w:val="auto"/>
              </w:rPr>
              <w:t>Midwest segment</w:t>
            </w:r>
          </w:p>
        </w:tc>
        <w:tc>
          <w:tcPr>
            <w:tcW w:w="28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3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5880" w:type="dxa"/>
            <w:vAlign w:val="bottom"/>
          </w:tcPr>
          <w:p>
            <w:pPr>
              <w:ind w:left="220"/>
              <w:spacing w:after="0"/>
              <w:rPr>
                <w:sz w:val="20"/>
                <w:szCs w:val="20"/>
                <w:color w:val="auto"/>
              </w:rPr>
            </w:pPr>
            <w:r>
              <w:rPr>
                <w:rFonts w:ascii="Arial" w:cs="Arial" w:eastAsia="Arial" w:hAnsi="Arial"/>
                <w:sz w:val="14"/>
                <w:szCs w:val="14"/>
                <w:color w:val="auto"/>
              </w:rPr>
              <w:t>Ameristar Council Bluffs</w:t>
            </w:r>
          </w:p>
        </w:tc>
        <w:tc>
          <w:tcPr>
            <w:tcW w:w="3000" w:type="dxa"/>
            <w:vAlign w:val="bottom"/>
            <w:gridSpan w:val="2"/>
          </w:tcPr>
          <w:p>
            <w:pPr>
              <w:ind w:left="20"/>
              <w:spacing w:after="0"/>
              <w:rPr>
                <w:sz w:val="20"/>
                <w:szCs w:val="20"/>
                <w:color w:val="auto"/>
              </w:rPr>
            </w:pPr>
            <w:r>
              <w:rPr>
                <w:rFonts w:ascii="Arial" w:cs="Arial" w:eastAsia="Arial" w:hAnsi="Arial"/>
                <w:sz w:val="14"/>
                <w:szCs w:val="14"/>
                <w:color w:val="auto"/>
              </w:rPr>
              <w:t>Council Bluffs, Iowa</w:t>
            </w:r>
          </w:p>
        </w:tc>
        <w:tc>
          <w:tcPr>
            <w:tcW w:w="2340" w:type="dxa"/>
            <w:vAlign w:val="bottom"/>
          </w:tcPr>
          <w:p>
            <w:pPr>
              <w:jc w:val="center"/>
              <w:spacing w:after="0"/>
              <w:rPr>
                <w:sz w:val="20"/>
                <w:szCs w:val="20"/>
                <w:color w:val="auto"/>
              </w:rPr>
            </w:pPr>
            <w:r>
              <w:rPr>
                <w:rFonts w:ascii="Arial" w:cs="Arial" w:eastAsia="Arial" w:hAnsi="Arial"/>
                <w:sz w:val="14"/>
                <w:szCs w:val="14"/>
                <w:color w:val="auto"/>
                <w:w w:val="87"/>
              </w:rPr>
              <w:t>Pinnacle Master Lease</w:t>
            </w:r>
          </w:p>
        </w:tc>
        <w:tc>
          <w:tcPr>
            <w:tcW w:w="0" w:type="dxa"/>
            <w:vAlign w:val="bottom"/>
          </w:tcPr>
          <w:p>
            <w:pPr>
              <w:spacing w:after="0"/>
              <w:rPr>
                <w:sz w:val="1"/>
                <w:szCs w:val="1"/>
                <w:color w:val="auto"/>
              </w:rPr>
            </w:pPr>
          </w:p>
        </w:tc>
      </w:tr>
      <w:tr>
        <w:trPr>
          <w:trHeight w:val="184"/>
        </w:trPr>
        <w:tc>
          <w:tcPr>
            <w:tcW w:w="5880" w:type="dxa"/>
            <w:vAlign w:val="bottom"/>
            <w:shd w:val="clear" w:color="auto" w:fill="CCEEFF"/>
          </w:tcPr>
          <w:p>
            <w:pPr>
              <w:ind w:left="220"/>
              <w:spacing w:after="0" w:line="184" w:lineRule="exact"/>
              <w:rPr>
                <w:sz w:val="20"/>
                <w:szCs w:val="20"/>
                <w:color w:val="auto"/>
              </w:rPr>
            </w:pPr>
            <w:r>
              <w:rPr>
                <w:rFonts w:ascii="Arial" w:cs="Arial" w:eastAsia="Arial" w:hAnsi="Arial"/>
                <w:sz w:val="14"/>
                <w:szCs w:val="14"/>
                <w:color w:val="auto"/>
              </w:rPr>
              <w:t xml:space="preserve">Argosy Casino Alton </w:t>
            </w:r>
            <w:r>
              <w:rPr>
                <w:rFonts w:ascii="Arial" w:cs="Arial" w:eastAsia="Arial" w:hAnsi="Arial"/>
                <w:sz w:val="17"/>
                <w:szCs w:val="17"/>
                <w:color w:val="auto"/>
                <w:vertAlign w:val="superscript"/>
              </w:rPr>
              <w:t>(3)</w:t>
            </w:r>
          </w:p>
        </w:tc>
        <w:tc>
          <w:tcPr>
            <w:tcW w:w="30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Alton, Illinois</w:t>
            </w:r>
          </w:p>
        </w:tc>
        <w:tc>
          <w:tcPr>
            <w:tcW w:w="23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5"/>
              </w:rPr>
              <w:t>Penn Master Lease</w:t>
            </w:r>
          </w:p>
        </w:tc>
        <w:tc>
          <w:tcPr>
            <w:tcW w:w="0" w:type="dxa"/>
            <w:vAlign w:val="bottom"/>
          </w:tcPr>
          <w:p>
            <w:pPr>
              <w:spacing w:after="0"/>
              <w:rPr>
                <w:sz w:val="1"/>
                <w:szCs w:val="1"/>
                <w:color w:val="auto"/>
              </w:rPr>
            </w:pPr>
          </w:p>
        </w:tc>
      </w:tr>
      <w:tr>
        <w:trPr>
          <w:trHeight w:val="177"/>
        </w:trPr>
        <w:tc>
          <w:tcPr>
            <w:tcW w:w="5880" w:type="dxa"/>
            <w:vAlign w:val="bottom"/>
          </w:tcPr>
          <w:p>
            <w:pPr>
              <w:ind w:left="220"/>
              <w:spacing w:after="0"/>
              <w:rPr>
                <w:sz w:val="20"/>
                <w:szCs w:val="20"/>
                <w:color w:val="auto"/>
              </w:rPr>
            </w:pPr>
            <w:r>
              <w:rPr>
                <w:rFonts w:ascii="Arial" w:cs="Arial" w:eastAsia="Arial" w:hAnsi="Arial"/>
                <w:sz w:val="14"/>
                <w:szCs w:val="14"/>
                <w:color w:val="auto"/>
              </w:rPr>
              <w:t>Argosy Casino Riverside</w:t>
            </w:r>
          </w:p>
        </w:tc>
        <w:tc>
          <w:tcPr>
            <w:tcW w:w="3000" w:type="dxa"/>
            <w:vAlign w:val="bottom"/>
            <w:gridSpan w:val="2"/>
          </w:tcPr>
          <w:p>
            <w:pPr>
              <w:ind w:left="20"/>
              <w:spacing w:after="0"/>
              <w:rPr>
                <w:sz w:val="20"/>
                <w:szCs w:val="20"/>
                <w:color w:val="auto"/>
              </w:rPr>
            </w:pPr>
            <w:r>
              <w:rPr>
                <w:rFonts w:ascii="Arial" w:cs="Arial" w:eastAsia="Arial" w:hAnsi="Arial"/>
                <w:sz w:val="14"/>
                <w:szCs w:val="14"/>
                <w:color w:val="auto"/>
              </w:rPr>
              <w:t>Riverside, Missouri</w:t>
            </w:r>
          </w:p>
        </w:tc>
        <w:tc>
          <w:tcPr>
            <w:tcW w:w="2340" w:type="dxa"/>
            <w:vAlign w:val="bottom"/>
          </w:tcPr>
          <w:p>
            <w:pPr>
              <w:jc w:val="center"/>
              <w:spacing w:after="0"/>
              <w:rPr>
                <w:sz w:val="20"/>
                <w:szCs w:val="20"/>
                <w:color w:val="auto"/>
              </w:rPr>
            </w:pPr>
            <w:r>
              <w:rPr>
                <w:rFonts w:ascii="Arial" w:cs="Arial" w:eastAsia="Arial" w:hAnsi="Arial"/>
                <w:sz w:val="14"/>
                <w:szCs w:val="14"/>
                <w:color w:val="auto"/>
                <w:w w:val="85"/>
              </w:rPr>
              <w:t>Penn Master Lease</w:t>
            </w:r>
          </w:p>
        </w:tc>
        <w:tc>
          <w:tcPr>
            <w:tcW w:w="0" w:type="dxa"/>
            <w:vAlign w:val="bottom"/>
          </w:tcPr>
          <w:p>
            <w:pPr>
              <w:spacing w:after="0"/>
              <w:rPr>
                <w:sz w:val="1"/>
                <w:szCs w:val="1"/>
                <w:color w:val="auto"/>
              </w:rPr>
            </w:pPr>
          </w:p>
        </w:tc>
      </w:tr>
      <w:tr>
        <w:trPr>
          <w:trHeight w:val="184"/>
        </w:trPr>
        <w:tc>
          <w:tcPr>
            <w:tcW w:w="58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Hollywood Casino Aurora</w:t>
            </w:r>
          </w:p>
        </w:tc>
        <w:tc>
          <w:tcPr>
            <w:tcW w:w="30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Aurora, Illinois</w:t>
            </w:r>
          </w:p>
        </w:tc>
        <w:tc>
          <w:tcPr>
            <w:tcW w:w="23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5"/>
              </w:rPr>
              <w:t>Penn Master Lease</w:t>
            </w:r>
          </w:p>
        </w:tc>
        <w:tc>
          <w:tcPr>
            <w:tcW w:w="0" w:type="dxa"/>
            <w:vAlign w:val="bottom"/>
          </w:tcPr>
          <w:p>
            <w:pPr>
              <w:spacing w:after="0"/>
              <w:rPr>
                <w:sz w:val="1"/>
                <w:szCs w:val="1"/>
                <w:color w:val="auto"/>
              </w:rPr>
            </w:pPr>
          </w:p>
        </w:tc>
      </w:tr>
      <w:tr>
        <w:trPr>
          <w:trHeight w:val="177"/>
        </w:trPr>
        <w:tc>
          <w:tcPr>
            <w:tcW w:w="5880" w:type="dxa"/>
            <w:vAlign w:val="bottom"/>
          </w:tcPr>
          <w:p>
            <w:pPr>
              <w:ind w:left="220"/>
              <w:spacing w:after="0"/>
              <w:rPr>
                <w:sz w:val="20"/>
                <w:szCs w:val="20"/>
                <w:color w:val="auto"/>
              </w:rPr>
            </w:pPr>
            <w:r>
              <w:rPr>
                <w:rFonts w:ascii="Arial" w:cs="Arial" w:eastAsia="Arial" w:hAnsi="Arial"/>
                <w:sz w:val="14"/>
                <w:szCs w:val="14"/>
                <w:color w:val="auto"/>
              </w:rPr>
              <w:t>Hollywood Casino Joliet</w:t>
            </w:r>
          </w:p>
        </w:tc>
        <w:tc>
          <w:tcPr>
            <w:tcW w:w="3000" w:type="dxa"/>
            <w:vAlign w:val="bottom"/>
            <w:gridSpan w:val="2"/>
          </w:tcPr>
          <w:p>
            <w:pPr>
              <w:ind w:left="20"/>
              <w:spacing w:after="0"/>
              <w:rPr>
                <w:sz w:val="20"/>
                <w:szCs w:val="20"/>
                <w:color w:val="auto"/>
              </w:rPr>
            </w:pPr>
            <w:r>
              <w:rPr>
                <w:rFonts w:ascii="Arial" w:cs="Arial" w:eastAsia="Arial" w:hAnsi="Arial"/>
                <w:sz w:val="14"/>
                <w:szCs w:val="14"/>
                <w:color w:val="auto"/>
              </w:rPr>
              <w:t>Joliet, Illinois</w:t>
            </w:r>
          </w:p>
        </w:tc>
        <w:tc>
          <w:tcPr>
            <w:tcW w:w="2340" w:type="dxa"/>
            <w:vAlign w:val="bottom"/>
          </w:tcPr>
          <w:p>
            <w:pPr>
              <w:jc w:val="center"/>
              <w:spacing w:after="0"/>
              <w:rPr>
                <w:sz w:val="20"/>
                <w:szCs w:val="20"/>
                <w:color w:val="auto"/>
              </w:rPr>
            </w:pPr>
            <w:r>
              <w:rPr>
                <w:rFonts w:ascii="Arial" w:cs="Arial" w:eastAsia="Arial" w:hAnsi="Arial"/>
                <w:sz w:val="14"/>
                <w:szCs w:val="14"/>
                <w:color w:val="auto"/>
                <w:w w:val="85"/>
              </w:rPr>
              <w:t>Penn Master Lease</w:t>
            </w:r>
          </w:p>
        </w:tc>
        <w:tc>
          <w:tcPr>
            <w:tcW w:w="0" w:type="dxa"/>
            <w:vAlign w:val="bottom"/>
          </w:tcPr>
          <w:p>
            <w:pPr>
              <w:spacing w:after="0"/>
              <w:rPr>
                <w:sz w:val="1"/>
                <w:szCs w:val="1"/>
                <w:color w:val="auto"/>
              </w:rPr>
            </w:pPr>
          </w:p>
        </w:tc>
      </w:tr>
      <w:tr>
        <w:trPr>
          <w:trHeight w:val="184"/>
        </w:trPr>
        <w:tc>
          <w:tcPr>
            <w:tcW w:w="5880" w:type="dxa"/>
            <w:vAlign w:val="bottom"/>
            <w:shd w:val="clear" w:color="auto" w:fill="CCEEFF"/>
          </w:tcPr>
          <w:p>
            <w:pPr>
              <w:ind w:left="220"/>
              <w:spacing w:after="0" w:line="184" w:lineRule="exact"/>
              <w:rPr>
                <w:sz w:val="20"/>
                <w:szCs w:val="20"/>
                <w:color w:val="auto"/>
              </w:rPr>
            </w:pPr>
            <w:r>
              <w:rPr>
                <w:rFonts w:ascii="Arial" w:cs="Arial" w:eastAsia="Arial" w:hAnsi="Arial"/>
                <w:sz w:val="14"/>
                <w:szCs w:val="14"/>
                <w:color w:val="auto"/>
              </w:rPr>
              <w:t xml:space="preserve">Hollywood Casino at Kansas Speedway </w:t>
            </w:r>
            <w:r>
              <w:rPr>
                <w:rFonts w:ascii="Arial" w:cs="Arial" w:eastAsia="Arial" w:hAnsi="Arial"/>
                <w:sz w:val="17"/>
                <w:szCs w:val="17"/>
                <w:color w:val="auto"/>
                <w:vertAlign w:val="superscript"/>
              </w:rPr>
              <w:t>(4)</w:t>
            </w:r>
          </w:p>
        </w:tc>
        <w:tc>
          <w:tcPr>
            <w:tcW w:w="30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Kansas City, Kansas</w:t>
            </w:r>
          </w:p>
        </w:tc>
        <w:tc>
          <w:tcPr>
            <w:tcW w:w="23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Owned - JV</w:t>
            </w:r>
          </w:p>
        </w:tc>
        <w:tc>
          <w:tcPr>
            <w:tcW w:w="0" w:type="dxa"/>
            <w:vAlign w:val="bottom"/>
          </w:tcPr>
          <w:p>
            <w:pPr>
              <w:spacing w:after="0"/>
              <w:rPr>
                <w:sz w:val="1"/>
                <w:szCs w:val="1"/>
                <w:color w:val="auto"/>
              </w:rPr>
            </w:pPr>
          </w:p>
        </w:tc>
      </w:tr>
      <w:tr>
        <w:trPr>
          <w:trHeight w:val="177"/>
        </w:trPr>
        <w:tc>
          <w:tcPr>
            <w:tcW w:w="5880" w:type="dxa"/>
            <w:vAlign w:val="bottom"/>
          </w:tcPr>
          <w:p>
            <w:pPr>
              <w:ind w:left="220"/>
              <w:spacing w:after="0"/>
              <w:rPr>
                <w:sz w:val="20"/>
                <w:szCs w:val="20"/>
                <w:color w:val="auto"/>
              </w:rPr>
            </w:pPr>
            <w:r>
              <w:rPr>
                <w:rFonts w:ascii="Arial" w:cs="Arial" w:eastAsia="Arial" w:hAnsi="Arial"/>
                <w:sz w:val="14"/>
                <w:szCs w:val="14"/>
                <w:color w:val="auto"/>
              </w:rPr>
              <w:t>Hollywood Casino St. Louis</w:t>
            </w:r>
          </w:p>
        </w:tc>
        <w:tc>
          <w:tcPr>
            <w:tcW w:w="3000" w:type="dxa"/>
            <w:vAlign w:val="bottom"/>
            <w:gridSpan w:val="2"/>
          </w:tcPr>
          <w:p>
            <w:pPr>
              <w:ind w:left="20"/>
              <w:spacing w:after="0"/>
              <w:rPr>
                <w:sz w:val="20"/>
                <w:szCs w:val="20"/>
                <w:color w:val="auto"/>
              </w:rPr>
            </w:pPr>
            <w:r>
              <w:rPr>
                <w:rFonts w:ascii="Arial" w:cs="Arial" w:eastAsia="Arial" w:hAnsi="Arial"/>
                <w:sz w:val="14"/>
                <w:szCs w:val="14"/>
                <w:color w:val="auto"/>
              </w:rPr>
              <w:t>Maryland Heights, Missouri</w:t>
            </w:r>
          </w:p>
        </w:tc>
        <w:tc>
          <w:tcPr>
            <w:tcW w:w="2340" w:type="dxa"/>
            <w:vAlign w:val="bottom"/>
          </w:tcPr>
          <w:p>
            <w:pPr>
              <w:jc w:val="center"/>
              <w:spacing w:after="0"/>
              <w:rPr>
                <w:sz w:val="20"/>
                <w:szCs w:val="20"/>
                <w:color w:val="auto"/>
              </w:rPr>
            </w:pPr>
            <w:r>
              <w:rPr>
                <w:rFonts w:ascii="Arial" w:cs="Arial" w:eastAsia="Arial" w:hAnsi="Arial"/>
                <w:sz w:val="14"/>
                <w:szCs w:val="14"/>
                <w:color w:val="auto"/>
                <w:w w:val="85"/>
              </w:rPr>
              <w:t>Penn Master Lease</w:t>
            </w:r>
          </w:p>
        </w:tc>
        <w:tc>
          <w:tcPr>
            <w:tcW w:w="0" w:type="dxa"/>
            <w:vAlign w:val="bottom"/>
          </w:tcPr>
          <w:p>
            <w:pPr>
              <w:spacing w:after="0"/>
              <w:rPr>
                <w:sz w:val="1"/>
                <w:szCs w:val="1"/>
                <w:color w:val="auto"/>
              </w:rPr>
            </w:pPr>
          </w:p>
        </w:tc>
      </w:tr>
      <w:tr>
        <w:trPr>
          <w:trHeight w:val="184"/>
        </w:trPr>
        <w:tc>
          <w:tcPr>
            <w:tcW w:w="5880" w:type="dxa"/>
            <w:vAlign w:val="bottom"/>
            <w:shd w:val="clear" w:color="auto" w:fill="CCEEFF"/>
          </w:tcPr>
          <w:p>
            <w:pPr>
              <w:ind w:left="220"/>
              <w:spacing w:after="0" w:line="184" w:lineRule="exact"/>
              <w:rPr>
                <w:sz w:val="20"/>
                <w:szCs w:val="20"/>
                <w:color w:val="auto"/>
              </w:rPr>
            </w:pPr>
            <w:r>
              <w:rPr>
                <w:rFonts w:ascii="Arial" w:cs="Arial" w:eastAsia="Arial" w:hAnsi="Arial"/>
                <w:sz w:val="14"/>
                <w:szCs w:val="14"/>
                <w:color w:val="auto"/>
              </w:rPr>
              <w:t xml:space="preserve">Prairie State Gaming </w:t>
            </w:r>
            <w:r>
              <w:rPr>
                <w:rFonts w:ascii="Arial" w:cs="Arial" w:eastAsia="Arial" w:hAnsi="Arial"/>
                <w:sz w:val="17"/>
                <w:szCs w:val="17"/>
                <w:color w:val="auto"/>
                <w:vertAlign w:val="superscript"/>
              </w:rPr>
              <w:t>(2)</w:t>
            </w:r>
          </w:p>
        </w:tc>
        <w:tc>
          <w:tcPr>
            <w:tcW w:w="30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Illinois</w:t>
            </w:r>
          </w:p>
        </w:tc>
        <w:tc>
          <w:tcPr>
            <w:tcW w:w="234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174"/>
        </w:trPr>
        <w:tc>
          <w:tcPr>
            <w:tcW w:w="5880" w:type="dxa"/>
            <w:vAlign w:val="bottom"/>
          </w:tcPr>
          <w:p>
            <w:pPr>
              <w:ind w:left="220"/>
              <w:spacing w:after="0"/>
              <w:rPr>
                <w:sz w:val="20"/>
                <w:szCs w:val="20"/>
                <w:color w:val="auto"/>
              </w:rPr>
            </w:pPr>
            <w:r>
              <w:rPr>
                <w:rFonts w:ascii="Arial" w:cs="Arial" w:eastAsia="Arial" w:hAnsi="Arial"/>
                <w:sz w:val="14"/>
                <w:szCs w:val="14"/>
                <w:color w:val="auto"/>
              </w:rPr>
              <w:t>River City Casino</w:t>
            </w:r>
          </w:p>
        </w:tc>
        <w:tc>
          <w:tcPr>
            <w:tcW w:w="3000" w:type="dxa"/>
            <w:vAlign w:val="bottom"/>
            <w:gridSpan w:val="2"/>
          </w:tcPr>
          <w:p>
            <w:pPr>
              <w:ind w:left="20"/>
              <w:spacing w:after="0"/>
              <w:rPr>
                <w:sz w:val="20"/>
                <w:szCs w:val="20"/>
                <w:color w:val="auto"/>
              </w:rPr>
            </w:pPr>
            <w:r>
              <w:rPr>
                <w:rFonts w:ascii="Arial" w:cs="Arial" w:eastAsia="Arial" w:hAnsi="Arial"/>
                <w:sz w:val="14"/>
                <w:szCs w:val="14"/>
                <w:color w:val="auto"/>
              </w:rPr>
              <w:t>St. Louis, Missouri</w:t>
            </w:r>
          </w:p>
        </w:tc>
        <w:tc>
          <w:tcPr>
            <w:tcW w:w="2340" w:type="dxa"/>
            <w:vAlign w:val="bottom"/>
          </w:tcPr>
          <w:p>
            <w:pPr>
              <w:jc w:val="center"/>
              <w:spacing w:after="0"/>
              <w:rPr>
                <w:sz w:val="20"/>
                <w:szCs w:val="20"/>
                <w:color w:val="auto"/>
              </w:rPr>
            </w:pPr>
            <w:r>
              <w:rPr>
                <w:rFonts w:ascii="Arial" w:cs="Arial" w:eastAsia="Arial" w:hAnsi="Arial"/>
                <w:sz w:val="14"/>
                <w:szCs w:val="14"/>
                <w:color w:val="auto"/>
                <w:w w:val="87"/>
              </w:rPr>
              <w:t>Pinnacle Master Lease</w:t>
            </w:r>
          </w:p>
        </w:tc>
        <w:tc>
          <w:tcPr>
            <w:tcW w:w="0" w:type="dxa"/>
            <w:vAlign w:val="bottom"/>
          </w:tcPr>
          <w:p>
            <w:pPr>
              <w:spacing w:after="0"/>
              <w:rPr>
                <w:sz w:val="1"/>
                <w:szCs w:val="1"/>
                <w:color w:val="auto"/>
              </w:rPr>
            </w:pPr>
          </w:p>
        </w:tc>
      </w:tr>
    </w:tbl>
    <w:p>
      <w:pPr>
        <w:spacing w:after="0" w:line="121" w:lineRule="exact"/>
        <w:rPr>
          <w:sz w:val="20"/>
          <w:szCs w:val="20"/>
          <w:color w:val="auto"/>
        </w:rPr>
      </w:pPr>
    </w:p>
    <w:p>
      <w:pPr>
        <w:ind w:left="620" w:hanging="307"/>
        <w:spacing w:after="0"/>
        <w:tabs>
          <w:tab w:leader="none" w:pos="620" w:val="left"/>
        </w:tabs>
        <w:numPr>
          <w:ilvl w:val="0"/>
          <w:numId w:val="3"/>
        </w:numPr>
        <w:rPr>
          <w:rFonts w:ascii="Arial" w:cs="Arial" w:eastAsia="Arial" w:hAnsi="Arial"/>
          <w:sz w:val="12"/>
          <w:szCs w:val="12"/>
          <w:color w:val="auto"/>
        </w:rPr>
      </w:pPr>
      <w:r>
        <w:rPr>
          <w:rFonts w:ascii="Arial" w:cs="Arial" w:eastAsia="Arial" w:hAnsi="Arial"/>
          <w:sz w:val="12"/>
          <w:szCs w:val="12"/>
          <w:color w:val="auto"/>
        </w:rPr>
        <w:t>Our two Category 4 developments, Hollywood Casino York and Hollywood Casino Morgantown, are included with Hollywood Casino at Penn National Race Course.</w:t>
      </w:r>
    </w:p>
    <w:p>
      <w:pPr>
        <w:spacing w:after="0" w:line="55" w:lineRule="exact"/>
        <w:rPr>
          <w:rFonts w:ascii="Arial" w:cs="Arial" w:eastAsia="Arial" w:hAnsi="Arial"/>
          <w:sz w:val="12"/>
          <w:szCs w:val="12"/>
          <w:color w:val="auto"/>
        </w:rPr>
      </w:pPr>
    </w:p>
    <w:p>
      <w:pPr>
        <w:ind w:left="620" w:hanging="307"/>
        <w:spacing w:after="0"/>
        <w:tabs>
          <w:tab w:leader="none" w:pos="620" w:val="left"/>
        </w:tabs>
        <w:numPr>
          <w:ilvl w:val="0"/>
          <w:numId w:val="3"/>
        </w:numPr>
        <w:rPr>
          <w:rFonts w:ascii="Arial" w:cs="Arial" w:eastAsia="Arial" w:hAnsi="Arial"/>
          <w:sz w:val="12"/>
          <w:szCs w:val="12"/>
          <w:color w:val="auto"/>
        </w:rPr>
      </w:pPr>
      <w:r>
        <w:rPr>
          <w:rFonts w:ascii="Arial" w:cs="Arial" w:eastAsia="Arial" w:hAnsi="Arial"/>
          <w:sz w:val="12"/>
          <w:szCs w:val="12"/>
          <w:color w:val="auto"/>
        </w:rPr>
        <w:t>VGT route operations</w:t>
      </w:r>
    </w:p>
    <w:p>
      <w:pPr>
        <w:spacing w:after="0" w:line="55" w:lineRule="exact"/>
        <w:rPr>
          <w:rFonts w:ascii="Arial" w:cs="Arial" w:eastAsia="Arial" w:hAnsi="Arial"/>
          <w:sz w:val="12"/>
          <w:szCs w:val="12"/>
          <w:color w:val="auto"/>
        </w:rPr>
      </w:pPr>
    </w:p>
    <w:p>
      <w:pPr>
        <w:ind w:left="620" w:hanging="307"/>
        <w:spacing w:after="0"/>
        <w:tabs>
          <w:tab w:leader="none" w:pos="620" w:val="left"/>
        </w:tabs>
        <w:numPr>
          <w:ilvl w:val="0"/>
          <w:numId w:val="3"/>
        </w:numPr>
        <w:rPr>
          <w:rFonts w:ascii="Arial" w:cs="Arial" w:eastAsia="Arial" w:hAnsi="Arial"/>
          <w:sz w:val="12"/>
          <w:szCs w:val="12"/>
          <w:color w:val="auto"/>
        </w:rPr>
      </w:pPr>
      <w:r>
        <w:rPr>
          <w:rFonts w:ascii="Arial" w:cs="Arial" w:eastAsia="Arial" w:hAnsi="Arial"/>
          <w:sz w:val="12"/>
          <w:szCs w:val="12"/>
          <w:color w:val="auto"/>
        </w:rPr>
        <w:t>The riverboat is owned by us and not subject to the Penn Master Lease.</w:t>
      </w:r>
    </w:p>
    <w:p>
      <w:pPr>
        <w:spacing w:after="0" w:line="55" w:lineRule="exact"/>
        <w:rPr>
          <w:rFonts w:ascii="Arial" w:cs="Arial" w:eastAsia="Arial" w:hAnsi="Arial"/>
          <w:sz w:val="12"/>
          <w:szCs w:val="12"/>
          <w:color w:val="auto"/>
        </w:rPr>
      </w:pPr>
    </w:p>
    <w:p>
      <w:pPr>
        <w:ind w:left="620" w:hanging="307"/>
        <w:spacing w:after="0"/>
        <w:tabs>
          <w:tab w:leader="none" w:pos="620" w:val="left"/>
        </w:tabs>
        <w:numPr>
          <w:ilvl w:val="0"/>
          <w:numId w:val="3"/>
        </w:numPr>
        <w:rPr>
          <w:rFonts w:ascii="Arial" w:cs="Arial" w:eastAsia="Arial" w:hAnsi="Arial"/>
          <w:sz w:val="11"/>
          <w:szCs w:val="11"/>
          <w:color w:val="auto"/>
        </w:rPr>
      </w:pPr>
      <w:r>
        <w:rPr>
          <w:rFonts w:ascii="Arial" w:cs="Arial" w:eastAsia="Arial" w:hAnsi="Arial"/>
          <w:sz w:val="11"/>
          <w:szCs w:val="11"/>
          <w:color w:val="auto"/>
        </w:rPr>
        <w:t>Pursuant to a joint venture (“JV”) with NASCAR and includes the Company’s 50% investment in Kansas Entertainment, LLC (“Kansas Entertainment”), which owns Hollywood Casino at Kansas Speedway.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182245</wp:posOffset>
            </wp:positionV>
            <wp:extent cx="7164070" cy="419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9" w:name="page10"/>
    <w:bookmarkEnd w:id="9"/>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339" w:lineRule="exact"/>
        <w:rPr>
          <w:sz w:val="20"/>
          <w:szCs w:val="20"/>
          <w:color w:val="auto"/>
        </w:rPr>
      </w:pPr>
    </w:p>
    <w:p>
      <w:pPr>
        <w:ind w:right="220" w:firstLine="309"/>
        <w:spacing w:after="0" w:line="266" w:lineRule="auto"/>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Revenue Recognition: </w:t>
      </w:r>
      <w:r>
        <w:rPr>
          <w:rFonts w:ascii="Arial" w:cs="Arial" w:eastAsia="Arial" w:hAnsi="Arial"/>
          <w:sz w:val="17"/>
          <w:szCs w:val="17"/>
          <w:color w:val="auto"/>
        </w:rPr>
        <w:t>Our revenue from contracts with customers consists primarily of gaming wagers, food and beverage transactions, retail transactions,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 xml:space="preserve">hotel room sales, racing wagers, and sports betting wagers. See </w:t>
      </w:r>
      <w:hyperlink w:anchor="page12">
        <w:r>
          <w:rPr>
            <w:rFonts w:ascii="Arial" w:cs="Arial" w:eastAsia="Arial" w:hAnsi="Arial"/>
            <w:sz w:val="17"/>
            <w:szCs w:val="17"/>
            <w:u w:val="single" w:color="auto"/>
            <w:color w:val="0000FF"/>
          </w:rPr>
          <w:t>Note 5, “Revenue Disaggregation,”</w:t>
        </w:r>
        <w:r>
          <w:rPr>
            <w:rFonts w:ascii="Arial" w:cs="Arial" w:eastAsia="Arial" w:hAnsi="Arial"/>
            <w:sz w:val="17"/>
            <w:szCs w:val="17"/>
            <w:u w:val="single" w:color="auto"/>
            <w:color w:val="auto"/>
          </w:rPr>
          <w:t xml:space="preserve"> </w:t>
        </w:r>
      </w:hyperlink>
      <w:r>
        <w:rPr>
          <w:rFonts w:ascii="Arial" w:cs="Arial" w:eastAsia="Arial" w:hAnsi="Arial"/>
          <w:sz w:val="17"/>
          <w:szCs w:val="17"/>
          <w:color w:val="auto"/>
        </w:rPr>
        <w:t>for information on our revenue by type and geographic location.</w:t>
      </w:r>
    </w:p>
    <w:p>
      <w:pPr>
        <w:spacing w:after="0" w:line="13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Complimentaries Associated with Gaming Contracts</w:t>
      </w:r>
    </w:p>
    <w:p>
      <w:pPr>
        <w:spacing w:after="0" w:line="191" w:lineRule="exact"/>
        <w:rPr>
          <w:sz w:val="20"/>
          <w:szCs w:val="20"/>
          <w:color w:val="auto"/>
        </w:rPr>
      </w:pPr>
    </w:p>
    <w:p>
      <w:pPr>
        <w:ind w:right="100" w:firstLine="309"/>
        <w:spacing w:after="0" w:line="307" w:lineRule="auto"/>
        <w:rPr>
          <w:sz w:val="20"/>
          <w:szCs w:val="20"/>
          <w:color w:val="auto"/>
        </w:rPr>
      </w:pPr>
      <w:r>
        <w:rPr>
          <w:rFonts w:ascii="Arial" w:cs="Arial" w:eastAsia="Arial" w:hAnsi="Arial"/>
          <w:sz w:val="15"/>
          <w:szCs w:val="15"/>
          <w:color w:val="auto"/>
        </w:rPr>
        <w:t>Food, beverage, hotel, and other services furnished to patrons for free as an inducement to gamble or through the redemption of our customers’ loyalty points are recorded as food, beverage, hotel and other revenues, at their estimated standalone selling prices with an offset recorded as a reduction to gaming revenues. The cost of providing complimentary goods and services to patrons as an inducement to gamble as well as for the fulfillment of our loyalty point obligation is included in food, beverage, hotel and other expenses. Revenues recorded to food, beverage, hotel and other and offset to gaming revenues were as follows:</w:t>
      </w:r>
    </w:p>
    <w:p>
      <w:pPr>
        <w:spacing w:after="0" w:line="53" w:lineRule="exact"/>
        <w:rPr>
          <w:sz w:val="20"/>
          <w:szCs w:val="20"/>
          <w:color w:val="auto"/>
        </w:rPr>
      </w:pPr>
    </w:p>
    <w:p>
      <w:pPr>
        <w:ind w:left="8380"/>
        <w:spacing w:after="0"/>
        <w:rPr>
          <w:sz w:val="20"/>
          <w:szCs w:val="20"/>
          <w:color w:val="auto"/>
        </w:rPr>
      </w:pPr>
      <w:r>
        <w:rPr>
          <w:rFonts w:ascii="Arial" w:cs="Arial" w:eastAsia="Arial" w:hAnsi="Arial"/>
          <w:sz w:val="15"/>
          <w:szCs w:val="15"/>
          <w:b w:val="1"/>
          <w:bCs w:val="1"/>
          <w:color w:val="auto"/>
        </w:rPr>
        <w:t>For the three months ended March 31,</w:t>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8360" w:type="dxa"/>
            <w:vAlign w:val="bottom"/>
            <w:gridSpan w:val="3"/>
          </w:tcPr>
          <w:p>
            <w:pPr>
              <w:ind w:left="20"/>
              <w:spacing w:after="0"/>
              <w:rPr>
                <w:sz w:val="20"/>
                <w:szCs w:val="20"/>
                <w:color w:val="auto"/>
              </w:rPr>
            </w:pPr>
            <w:r>
              <w:rPr>
                <w:rFonts w:ascii="Arial" w:cs="Arial" w:eastAsia="Arial" w:hAnsi="Arial"/>
                <w:sz w:val="14"/>
                <w:szCs w:val="14"/>
                <w:b w:val="1"/>
                <w:bCs w:val="1"/>
                <w:i w:val="1"/>
                <w:iCs w:val="1"/>
                <w:color w:val="auto"/>
              </w:rPr>
              <w:t>(in millions)</w:t>
            </w:r>
          </w:p>
        </w:tc>
        <w:tc>
          <w:tcPr>
            <w:tcW w:w="32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tcPr>
          <w:p>
            <w:pPr>
              <w:jc w:val="right"/>
              <w:ind w:right="434"/>
              <w:spacing w:after="0" w:line="175" w:lineRule="exact"/>
              <w:rPr>
                <w:sz w:val="20"/>
                <w:szCs w:val="20"/>
                <w:color w:val="auto"/>
              </w:rPr>
            </w:pPr>
            <w:r>
              <w:rPr>
                <w:rFonts w:ascii="Arial" w:cs="Arial" w:eastAsia="Arial" w:hAnsi="Arial"/>
                <w:sz w:val="17"/>
                <w:szCs w:val="17"/>
                <w:b w:val="1"/>
                <w:bCs w:val="1"/>
                <w:color w:val="auto"/>
              </w:rPr>
              <w:t>2021</w:t>
            </w:r>
          </w:p>
        </w:tc>
        <w:tc>
          <w:tcPr>
            <w:tcW w:w="120" w:type="dxa"/>
            <w:vAlign w:val="bottom"/>
            <w:tcBorders>
              <w:top w:val="single" w:sz="8" w:color="auto"/>
            </w:tcBorders>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jc w:val="right"/>
              <w:ind w:right="434"/>
              <w:spacing w:after="0" w:line="175" w:lineRule="exact"/>
              <w:rPr>
                <w:sz w:val="20"/>
                <w:szCs w:val="20"/>
                <w:color w:val="auto"/>
              </w:rPr>
            </w:pPr>
            <w:r>
              <w:rPr>
                <w:rFonts w:ascii="Arial" w:cs="Arial" w:eastAsia="Arial" w:hAnsi="Arial"/>
                <w:sz w:val="17"/>
                <w:szCs w:val="17"/>
                <w:b w:val="1"/>
                <w:bCs w:val="1"/>
                <w:color w:val="auto"/>
              </w:rPr>
              <w:t>2020</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700" w:type="dxa"/>
            <w:vAlign w:val="bottom"/>
            <w:tcBorders>
              <w:top w:val="single" w:sz="8" w:color="auto"/>
              <w:bottom w:val="single" w:sz="8" w:color="CCEEFF"/>
            </w:tcBorders>
          </w:tcPr>
          <w:p>
            <w:pPr>
              <w:spacing w:after="0" w:line="20" w:lineRule="exact"/>
              <w:rPr>
                <w:sz w:val="1"/>
                <w:szCs w:val="1"/>
                <w:color w:val="auto"/>
              </w:rPr>
            </w:pPr>
          </w:p>
        </w:tc>
        <w:tc>
          <w:tcPr>
            <w:tcW w:w="764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211"/>
        </w:trPr>
        <w:tc>
          <w:tcPr>
            <w:tcW w:w="8360" w:type="dxa"/>
            <w:vAlign w:val="bottom"/>
            <w:gridSpan w:val="3"/>
            <w:shd w:val="clear" w:color="auto" w:fill="CCEEFF"/>
          </w:tcPr>
          <w:p>
            <w:pPr>
              <w:ind w:left="20"/>
              <w:spacing w:after="0"/>
              <w:rPr>
                <w:sz w:val="20"/>
                <w:szCs w:val="20"/>
                <w:color w:val="auto"/>
              </w:rPr>
            </w:pPr>
            <w:r>
              <w:rPr>
                <w:rFonts w:ascii="Arial" w:cs="Arial" w:eastAsia="Arial" w:hAnsi="Arial"/>
                <w:sz w:val="17"/>
                <w:szCs w:val="17"/>
                <w:color w:val="auto"/>
              </w:rPr>
              <w:t>Food and beverage</w:t>
            </w:r>
          </w:p>
        </w:tc>
        <w:tc>
          <w:tcPr>
            <w:tcW w:w="32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w w:val="84"/>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36.1</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w w:val="84"/>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54.0</w:t>
            </w:r>
          </w:p>
        </w:tc>
      </w:tr>
      <w:tr>
        <w:trPr>
          <w:trHeight w:val="218"/>
        </w:trPr>
        <w:tc>
          <w:tcPr>
            <w:tcW w:w="8360" w:type="dxa"/>
            <w:vAlign w:val="bottom"/>
            <w:gridSpan w:val="3"/>
          </w:tcPr>
          <w:p>
            <w:pPr>
              <w:ind w:left="20"/>
              <w:spacing w:after="0"/>
              <w:rPr>
                <w:sz w:val="20"/>
                <w:szCs w:val="20"/>
                <w:color w:val="auto"/>
              </w:rPr>
            </w:pPr>
            <w:r>
              <w:rPr>
                <w:rFonts w:ascii="Arial" w:cs="Arial" w:eastAsia="Arial" w:hAnsi="Arial"/>
                <w:sz w:val="17"/>
                <w:szCs w:val="17"/>
                <w:color w:val="auto"/>
              </w:rPr>
              <w:t>Hotel</w:t>
            </w: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26.4</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30.9</w:t>
            </w:r>
          </w:p>
        </w:tc>
      </w:tr>
      <w:tr>
        <w:trPr>
          <w:trHeight w:val="219"/>
        </w:trPr>
        <w:tc>
          <w:tcPr>
            <w:tcW w:w="8360" w:type="dxa"/>
            <w:vAlign w:val="bottom"/>
            <w:gridSpan w:val="3"/>
            <w:shd w:val="clear" w:color="auto" w:fill="CCEEFF"/>
          </w:tcPr>
          <w:p>
            <w:pPr>
              <w:ind w:left="20"/>
              <w:spacing w:after="0"/>
              <w:rPr>
                <w:sz w:val="20"/>
                <w:szCs w:val="20"/>
                <w:color w:val="auto"/>
              </w:rPr>
            </w:pPr>
            <w:r>
              <w:rPr>
                <w:rFonts w:ascii="Arial" w:cs="Arial" w:eastAsia="Arial" w:hAnsi="Arial"/>
                <w:sz w:val="17"/>
                <w:szCs w:val="17"/>
                <w:color w:val="auto"/>
              </w:rPr>
              <w:t>Other</w:t>
            </w: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1.9</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3.2</w:t>
            </w:r>
          </w:p>
        </w:tc>
      </w:tr>
      <w:tr>
        <w:trPr>
          <w:trHeight w:val="213"/>
        </w:trPr>
        <w:tc>
          <w:tcPr>
            <w:tcW w:w="8360" w:type="dxa"/>
            <w:vAlign w:val="bottom"/>
            <w:gridSpan w:val="3"/>
          </w:tcPr>
          <w:p>
            <w:pPr>
              <w:ind w:left="20"/>
              <w:spacing w:after="0"/>
              <w:rPr>
                <w:sz w:val="20"/>
                <w:szCs w:val="20"/>
                <w:color w:val="auto"/>
              </w:rPr>
            </w:pPr>
            <w:r>
              <w:rPr>
                <w:rFonts w:ascii="Arial" w:cs="Arial" w:eastAsia="Arial" w:hAnsi="Arial"/>
                <w:sz w:val="17"/>
                <w:szCs w:val="17"/>
                <w:color w:val="auto"/>
              </w:rPr>
              <w:t>Total complimentaries associated with gaming contracts</w:t>
            </w:r>
          </w:p>
        </w:tc>
        <w:tc>
          <w:tcPr>
            <w:tcW w:w="320" w:type="dxa"/>
            <w:vAlign w:val="bottom"/>
            <w:tcBorders>
              <w:bottom w:val="single" w:sz="8" w:color="auto"/>
            </w:tcBorders>
          </w:tcPr>
          <w:p>
            <w:pPr>
              <w:jc w:val="right"/>
              <w:ind w:right="134"/>
              <w:spacing w:after="0"/>
              <w:rPr>
                <w:sz w:val="20"/>
                <w:szCs w:val="20"/>
                <w:color w:val="auto"/>
              </w:rPr>
            </w:pPr>
            <w:r>
              <w:rPr>
                <w:rFonts w:ascii="Arial" w:cs="Arial" w:eastAsia="Arial" w:hAnsi="Arial"/>
                <w:sz w:val="17"/>
                <w:szCs w:val="17"/>
                <w:color w:val="auto"/>
                <w:w w:val="84"/>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64.4</w:t>
            </w:r>
          </w:p>
        </w:tc>
        <w:tc>
          <w:tcPr>
            <w:tcW w:w="120" w:type="dxa"/>
            <w:vAlign w:val="bottom"/>
          </w:tcPr>
          <w:p>
            <w:pPr>
              <w:spacing w:after="0"/>
              <w:rPr>
                <w:sz w:val="18"/>
                <w:szCs w:val="18"/>
                <w:color w:val="auto"/>
              </w:rPr>
            </w:pPr>
          </w:p>
        </w:tc>
        <w:tc>
          <w:tcPr>
            <w:tcW w:w="300" w:type="dxa"/>
            <w:vAlign w:val="bottom"/>
            <w:tcBorders>
              <w:bottom w:val="single" w:sz="8" w:color="auto"/>
            </w:tcBorders>
          </w:tcPr>
          <w:p>
            <w:pPr>
              <w:jc w:val="right"/>
              <w:ind w:right="114"/>
              <w:spacing w:after="0"/>
              <w:rPr>
                <w:sz w:val="20"/>
                <w:szCs w:val="20"/>
                <w:color w:val="auto"/>
              </w:rPr>
            </w:pPr>
            <w:r>
              <w:rPr>
                <w:rFonts w:ascii="Arial" w:cs="Arial" w:eastAsia="Arial" w:hAnsi="Arial"/>
                <w:sz w:val="17"/>
                <w:szCs w:val="17"/>
                <w:color w:val="auto"/>
                <w:w w:val="84"/>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88.1</w:t>
            </w:r>
          </w:p>
        </w:tc>
      </w:tr>
      <w:tr>
        <w:trPr>
          <w:trHeight w:val="20"/>
        </w:trPr>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6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4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Customer-related Liabilities</w:t>
      </w:r>
    </w:p>
    <w:p>
      <w:pPr>
        <w:spacing w:after="0" w:line="185" w:lineRule="exact"/>
        <w:rPr>
          <w:sz w:val="20"/>
          <w:szCs w:val="20"/>
          <w:color w:val="auto"/>
        </w:rPr>
      </w:pPr>
    </w:p>
    <w:p>
      <w:pPr>
        <w:ind w:right="100" w:firstLine="309"/>
        <w:spacing w:after="0" w:line="270" w:lineRule="auto"/>
        <w:rPr>
          <w:sz w:val="20"/>
          <w:szCs w:val="20"/>
          <w:color w:val="auto"/>
        </w:rPr>
      </w:pPr>
      <w:r>
        <w:rPr>
          <w:rFonts w:ascii="Arial" w:cs="Arial" w:eastAsia="Arial" w:hAnsi="Arial"/>
          <w:sz w:val="17"/>
          <w:szCs w:val="17"/>
          <w:color w:val="auto"/>
        </w:rPr>
        <w:t>The Company has three general types of liabilities related to contracts with customers: (i) the obligation associated with its my</w:t>
      </w:r>
      <w:r>
        <w:rPr>
          <w:rFonts w:ascii="Arial" w:cs="Arial" w:eastAsia="Arial" w:hAnsi="Arial"/>
          <w:sz w:val="17"/>
          <w:szCs w:val="17"/>
          <w:b w:val="1"/>
          <w:bCs w:val="1"/>
          <w:color w:val="auto"/>
        </w:rPr>
        <w:t>choice</w:t>
      </w:r>
      <w:r>
        <w:rPr>
          <w:rFonts w:ascii="Arial" w:cs="Arial" w:eastAsia="Arial" w:hAnsi="Arial"/>
          <w:sz w:val="17"/>
          <w:szCs w:val="17"/>
          <w:color w:val="auto"/>
        </w:rPr>
        <w:t xml:space="preserve"> program (loyalty points and tier status benefits), (ii) advance payments on goods and services yet to be provided and for unpaid wagers, and (iii) deferred revenue associated with third-party sports betting operators for online sports betting and related iGaming market access.</w:t>
      </w:r>
    </w:p>
    <w:p>
      <w:pPr>
        <w:spacing w:after="0" w:line="127" w:lineRule="exact"/>
        <w:rPr>
          <w:sz w:val="20"/>
          <w:szCs w:val="20"/>
          <w:color w:val="auto"/>
        </w:rPr>
      </w:pPr>
    </w:p>
    <w:p>
      <w:pPr>
        <w:ind w:right="20" w:firstLine="309"/>
        <w:spacing w:after="0" w:line="276" w:lineRule="auto"/>
        <w:rPr>
          <w:sz w:val="20"/>
          <w:szCs w:val="20"/>
          <w:color w:val="auto"/>
        </w:rPr>
      </w:pPr>
      <w:r>
        <w:rPr>
          <w:rFonts w:ascii="Arial" w:cs="Arial" w:eastAsia="Arial" w:hAnsi="Arial"/>
          <w:sz w:val="16"/>
          <w:szCs w:val="16"/>
          <w:color w:val="auto"/>
        </w:rPr>
        <w:t>Our my</w:t>
      </w:r>
      <w:r>
        <w:rPr>
          <w:rFonts w:ascii="Arial" w:cs="Arial" w:eastAsia="Arial" w:hAnsi="Arial"/>
          <w:sz w:val="16"/>
          <w:szCs w:val="16"/>
          <w:b w:val="1"/>
          <w:bCs w:val="1"/>
          <w:color w:val="auto"/>
        </w:rPr>
        <w:t>choice</w:t>
      </w:r>
      <w:r>
        <w:rPr>
          <w:rFonts w:ascii="Arial" w:cs="Arial" w:eastAsia="Arial" w:hAnsi="Arial"/>
          <w:sz w:val="16"/>
          <w:szCs w:val="16"/>
          <w:color w:val="auto"/>
        </w:rPr>
        <w:t xml:space="preserve"> program allows members to utilize their reward membership card to earn loyalty points that are redeemable for slot play and complimentaries, such as food and beverage at our restaurants, lodging at our hotels and products offered at our retail stores across the vast majority of our properties. In addition, members of the my</w:t>
      </w:r>
      <w:r>
        <w:rPr>
          <w:rFonts w:ascii="Arial" w:cs="Arial" w:eastAsia="Arial" w:hAnsi="Arial"/>
          <w:sz w:val="16"/>
          <w:szCs w:val="16"/>
          <w:b w:val="1"/>
          <w:bCs w:val="1"/>
          <w:color w:val="auto"/>
        </w:rPr>
        <w:t>choice</w:t>
      </w:r>
      <w:r>
        <w:rPr>
          <w:rFonts w:ascii="Arial" w:cs="Arial" w:eastAsia="Arial" w:hAnsi="Arial"/>
          <w:sz w:val="16"/>
          <w:szCs w:val="16"/>
          <w:color w:val="auto"/>
        </w:rPr>
        <w:t xml:space="preserve"> program earn credit toward tier status, which entitles them to receive certain other benefits, such as gifts. The obligation associated with our my</w:t>
      </w:r>
      <w:r>
        <w:rPr>
          <w:rFonts w:ascii="Arial" w:cs="Arial" w:eastAsia="Arial" w:hAnsi="Arial"/>
          <w:sz w:val="16"/>
          <w:szCs w:val="16"/>
          <w:b w:val="1"/>
          <w:bCs w:val="1"/>
          <w:color w:val="auto"/>
        </w:rPr>
        <w:t>choice</w:t>
      </w:r>
      <w:r>
        <w:rPr>
          <w:rFonts w:ascii="Arial" w:cs="Arial" w:eastAsia="Arial" w:hAnsi="Arial"/>
          <w:sz w:val="16"/>
          <w:szCs w:val="16"/>
          <w:color w:val="auto"/>
        </w:rPr>
        <w:t xml:space="preserve"> program, which is included in “Accrued expenses and other current liabilities” within our unaudited Consolidated Balance Sheets, was $39.0 million and $35.8 million as of March 31, 2021 and December 31, 2020, respectively, and consisted principally of the obligation associated with the loyalty points. Our loyalty point obligations are generally settled within six months of issuance; however, as a result of the COVID-19 pandemic and resulting temporary closures, loyalty point obligations may take longer to settle. Changes between the opening and closing balances primarily relate to the timing of our customers’ election to redeem loyalty points as well as the timing of when our customers receive their earned tier status benefits.</w:t>
      </w:r>
    </w:p>
    <w:p>
      <w:pPr>
        <w:spacing w:after="0" w:line="131" w:lineRule="exact"/>
        <w:rPr>
          <w:sz w:val="20"/>
          <w:szCs w:val="20"/>
          <w:color w:val="auto"/>
        </w:rPr>
      </w:pPr>
    </w:p>
    <w:p>
      <w:pPr>
        <w:jc w:val="both"/>
        <w:ind w:right="120" w:firstLine="309"/>
        <w:spacing w:after="0" w:line="292" w:lineRule="auto"/>
        <w:rPr>
          <w:sz w:val="20"/>
          <w:szCs w:val="20"/>
          <w:color w:val="auto"/>
        </w:rPr>
      </w:pPr>
      <w:r>
        <w:rPr>
          <w:rFonts w:ascii="Arial" w:cs="Arial" w:eastAsia="Arial" w:hAnsi="Arial"/>
          <w:sz w:val="15"/>
          <w:szCs w:val="15"/>
          <w:color w:val="auto"/>
        </w:rPr>
        <w:t>The Company’s advance payments on goods and services yet to be provided and for unpaid wagers primarily consist of the following: (i) deposits on rooms and convention space, (ii) money deposited on behalf of a customer in advance of their property visit (referred to as “safekeeping” or “front money”), (iii) money deposited in an online wallet not yet wagered or wagered and not yet withdrawn, (iv) outstanding tickets generated by slot machine play or pari-mutuel wagering,</w:t>
      </w:r>
    </w:p>
    <w:p>
      <w:pPr>
        <w:ind w:firstLine="3"/>
        <w:spacing w:after="0" w:line="255" w:lineRule="auto"/>
        <w:tabs>
          <w:tab w:leader="none" w:pos="243" w:val="left"/>
        </w:tabs>
        <w:numPr>
          <w:ilvl w:val="0"/>
          <w:numId w:val="4"/>
        </w:numPr>
        <w:rPr>
          <w:rFonts w:ascii="Arial" w:cs="Arial" w:eastAsia="Arial" w:hAnsi="Arial"/>
          <w:sz w:val="17"/>
          <w:szCs w:val="17"/>
          <w:color w:val="auto"/>
        </w:rPr>
      </w:pPr>
      <w:r>
        <w:rPr>
          <w:rFonts w:ascii="Arial" w:cs="Arial" w:eastAsia="Arial" w:hAnsi="Arial"/>
          <w:sz w:val="17"/>
          <w:szCs w:val="17"/>
          <w:color w:val="auto"/>
        </w:rPr>
        <w:t>outstanding chip liabilities, (vi) unclaimed jackpots, and (vii) gift cards redeemable at our properties. Unpaid wagers primarily relate to the Company’s obligation to settle outstanding slot tickets, pari-mutuel racing tickets, gaming chips with customers and future withdrawals from online wallets. Unpaid wagers generally represent obligations stemming from prior wagering events, of which revenue was previously recognized. The Company’s advance payments on goods and services yet to be provided and for unpaid wagers were $63.6 million and $47.1 million as of March 31, 2021 and December 31, 2020, respectively, of which $0.5 million was classified as long-term as of both March 31, 2021 and December 31, 2020. The current portion and long-term portion of our advance payments on goods and services yet to be provided and for unpaid wagers are included in “Accrued expenses and other current liabilities” and “Other long-term liabilities” within our unaudited Consolidated Balance Sheets, respectively.</w:t>
      </w:r>
    </w:p>
    <w:p>
      <w:pPr>
        <w:spacing w:after="0" w:line="160" w:lineRule="exact"/>
        <w:rPr>
          <w:sz w:val="20"/>
          <w:szCs w:val="20"/>
          <w:color w:val="auto"/>
        </w:rPr>
      </w:pPr>
    </w:p>
    <w:p>
      <w:pPr>
        <w:ind w:right="180" w:firstLine="309"/>
        <w:spacing w:after="0" w:line="307" w:lineRule="auto"/>
        <w:rPr>
          <w:sz w:val="20"/>
          <w:szCs w:val="20"/>
          <w:color w:val="auto"/>
        </w:rPr>
      </w:pPr>
      <w:r>
        <w:rPr>
          <w:rFonts w:ascii="Arial" w:cs="Arial" w:eastAsia="Arial" w:hAnsi="Arial"/>
          <w:sz w:val="15"/>
          <w:szCs w:val="15"/>
          <w:color w:val="auto"/>
        </w:rPr>
        <w:t>Penn Interactive enters into multi-year agreements with sports betting operators for online sports betting and related iGaming market access across our portfolio of properties, from which we received cash and equity securities, including ordinary shares and warrants, specific to two operator agreements. Deferred revenue associated with third-party sports betting operators for online sports betting and related iGaming market access, which is included in “Other long-term liabilities” within our unaudited Consolidated Balance Sheets, was $54.8 million and $52.7 million as of March 31, 2021 and December 31, 2020, respectively.</w:t>
      </w: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173990</wp:posOffset>
            </wp:positionV>
            <wp:extent cx="7164070" cy="419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0" w:name="page11"/>
    <w:bookmarkEnd w:id="10"/>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339" w:lineRule="exact"/>
        <w:rPr>
          <w:sz w:val="20"/>
          <w:szCs w:val="20"/>
          <w:color w:val="auto"/>
        </w:rPr>
      </w:pPr>
    </w:p>
    <w:p>
      <w:pPr>
        <w:ind w:right="60" w:firstLine="309"/>
        <w:spacing w:after="0" w:line="279" w:lineRule="auto"/>
        <w:rPr>
          <w:sz w:val="20"/>
          <w:szCs w:val="20"/>
          <w:color w:val="auto"/>
        </w:rPr>
      </w:pPr>
      <w:r>
        <w:rPr>
          <w:rFonts w:ascii="Arial" w:cs="Arial" w:eastAsia="Arial" w:hAnsi="Arial"/>
          <w:sz w:val="16"/>
          <w:szCs w:val="16"/>
          <w:b w:val="1"/>
          <w:bCs w:val="1"/>
          <w:i w:val="1"/>
          <w:iCs w:val="1"/>
          <w:color w:val="auto"/>
        </w:rPr>
        <w:t xml:space="preserve">Gaming and Racing Taxes: </w:t>
      </w:r>
      <w:r>
        <w:rPr>
          <w:rFonts w:ascii="Arial" w:cs="Arial" w:eastAsia="Arial" w:hAnsi="Arial"/>
          <w:sz w:val="16"/>
          <w:szCs w:val="16"/>
          <w:color w:val="auto"/>
        </w:rPr>
        <w:t>We are subject to gaming and pari-mutuel taxes based on gross gaming revenue and pari-mutuel revenue in the jurisdictions in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which we operate. The Company primarily recognizes gaming and pari-mutuel tax expense based on the statutorily required percentage of revenue that is required to be paid to state and local jurisdictions in the states where or in which the wagering occurs. For the three months ended March 31, 2021, these expenses, which were recorded in gaming expense within the unaudited Consolidated Statements of Operations and Comprehensive Income (Loss), were $417.9 million, respectively, as compared to $336.3 million for the three months ended March 31, 2020.</w:t>
      </w:r>
    </w:p>
    <w:p>
      <w:pPr>
        <w:spacing w:after="0" w:line="130" w:lineRule="exact"/>
        <w:rPr>
          <w:sz w:val="20"/>
          <w:szCs w:val="20"/>
          <w:color w:val="auto"/>
        </w:rPr>
      </w:pPr>
    </w:p>
    <w:p>
      <w:pPr>
        <w:ind w:right="320" w:firstLine="309"/>
        <w:spacing w:after="0" w:line="266" w:lineRule="auto"/>
        <w:rPr>
          <w:sz w:val="20"/>
          <w:szCs w:val="20"/>
          <w:color w:val="auto"/>
        </w:rPr>
      </w:pPr>
      <w:r>
        <w:rPr>
          <w:rFonts w:ascii="Arial" w:cs="Arial" w:eastAsia="Arial" w:hAnsi="Arial"/>
          <w:sz w:val="17"/>
          <w:szCs w:val="17"/>
          <w:b w:val="1"/>
          <w:bCs w:val="1"/>
          <w:i w:val="1"/>
          <w:iCs w:val="1"/>
          <w:color w:val="auto"/>
        </w:rPr>
        <w:t xml:space="preserve">Earnings Per Share: </w:t>
      </w:r>
      <w:r>
        <w:rPr>
          <w:rFonts w:ascii="Arial" w:cs="Arial" w:eastAsia="Arial" w:hAnsi="Arial"/>
          <w:sz w:val="17"/>
          <w:szCs w:val="17"/>
          <w:color w:val="auto"/>
        </w:rPr>
        <w:t>Basic earnings per share (“EPS”) is computed by dividing net income (loss) applicable to common stock by the weighted-average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number of common shares outstanding during the period. Diluted EPS reflects the additional dilution, if any, for all potentially-dilutive securities such as stock options, unvested restricted stock awards (“RSAs”), outstanding convertible preferred stock and convertible debt.</w:t>
      </w:r>
    </w:p>
    <w:p>
      <w:pPr>
        <w:spacing w:after="0" w:line="149" w:lineRule="exact"/>
        <w:rPr>
          <w:sz w:val="20"/>
          <w:szCs w:val="20"/>
          <w:color w:val="auto"/>
        </w:rPr>
      </w:pPr>
    </w:p>
    <w:p>
      <w:pPr>
        <w:ind w:right="140" w:firstLine="309"/>
        <w:spacing w:after="0" w:line="257" w:lineRule="auto"/>
        <w:rPr>
          <w:rFonts w:ascii="Arial" w:cs="Arial" w:eastAsia="Arial" w:hAnsi="Arial"/>
          <w:sz w:val="17"/>
          <w:szCs w:val="17"/>
          <w:color w:val="0000FF"/>
        </w:rPr>
      </w:pPr>
      <w:r>
        <w:rPr>
          <w:rFonts w:ascii="Arial" w:cs="Arial" w:eastAsia="Arial" w:hAnsi="Arial"/>
          <w:sz w:val="17"/>
          <w:szCs w:val="17"/>
          <w:color w:val="auto"/>
        </w:rPr>
        <w:t xml:space="preserve">Holders of the Company’s Series D Preferred Stock (as defined in </w:t>
      </w:r>
      <w:hyperlink w:anchor="page21">
        <w:r>
          <w:rPr>
            <w:rFonts w:ascii="Arial" w:cs="Arial" w:eastAsia="Arial" w:hAnsi="Arial"/>
            <w:sz w:val="17"/>
            <w:szCs w:val="17"/>
            <w:u w:val="single" w:color="auto"/>
            <w:color w:val="0000FF"/>
          </w:rPr>
          <w:t>Note 10, “Investments in and Advances to Unconsolidated Affiliates”</w:t>
        </w:r>
      </w:hyperlink>
      <w:r>
        <w:rPr>
          <w:rFonts w:ascii="Arial" w:cs="Arial" w:eastAsia="Arial" w:hAnsi="Arial"/>
          <w:sz w:val="17"/>
          <w:szCs w:val="17"/>
          <w:color w:val="auto"/>
        </w:rPr>
        <w:t xml:space="preserve">) are entitled to participate equally and ratably in all dividends and distributions paid to holders of Penn Common Stock irrespective of any vesting requirement. Accordingly, the Series D Preferred Stock shares are considered a participating security and the Company is required to apply the two-class method to consider the impact of the preferred shares on the calculation of basic and diluted EPS. The holders of the Company’s Series D Preferred Stock are not obligated to absorb losses; therefore, in reporting periods where the Company is in a net loss position, it does not apply the two-class method. In reporting periods where the Company is in a net </w:t>
      </w:r>
      <w:hyperlink w:anchor="page24">
        <w:r>
          <w:rPr>
            <w:rFonts w:ascii="Arial" w:cs="Arial" w:eastAsia="Arial" w:hAnsi="Arial"/>
            <w:sz w:val="17"/>
            <w:szCs w:val="17"/>
            <w:color w:val="auto"/>
          </w:rPr>
          <w:t xml:space="preserve">income position, the two-class method is applied by allocating all earnings during the period to common shares and preferred shares. See </w:t>
        </w:r>
        <w:r>
          <w:rPr>
            <w:rFonts w:ascii="Arial" w:cs="Arial" w:eastAsia="Arial" w:hAnsi="Arial"/>
            <w:sz w:val="17"/>
            <w:szCs w:val="17"/>
            <w:u w:val="single" w:color="auto"/>
            <w:color w:val="0000FF"/>
          </w:rPr>
          <w:t>Note 14, “Earnings</w:t>
        </w:r>
      </w:hyperlink>
      <w:r>
        <w:rPr>
          <w:rFonts w:ascii="Arial" w:cs="Arial" w:eastAsia="Arial" w:hAnsi="Arial"/>
          <w:sz w:val="17"/>
          <w:szCs w:val="17"/>
          <w:color w:val="auto"/>
        </w:rPr>
        <w:t xml:space="preserve"> </w:t>
      </w:r>
      <w:hyperlink w:anchor="page24">
        <w:r>
          <w:rPr>
            <w:rFonts w:ascii="Arial" w:cs="Arial" w:eastAsia="Arial" w:hAnsi="Arial"/>
            <w:sz w:val="17"/>
            <w:szCs w:val="17"/>
            <w:u w:val="single" w:color="auto"/>
            <w:color w:val="0000FF"/>
          </w:rPr>
          <w:t>(Loss) per Share,”</w:t>
        </w:r>
        <w:r>
          <w:rPr>
            <w:rFonts w:ascii="Arial" w:cs="Arial" w:eastAsia="Arial" w:hAnsi="Arial"/>
            <w:sz w:val="17"/>
            <w:szCs w:val="17"/>
            <w:color w:val="0000FF"/>
          </w:rPr>
          <w:t xml:space="preserve"> </w:t>
        </w:r>
        <w:r>
          <w:rPr>
            <w:rFonts w:ascii="Arial" w:cs="Arial" w:eastAsia="Arial" w:hAnsi="Arial"/>
            <w:sz w:val="17"/>
            <w:szCs w:val="17"/>
            <w:color w:val="000000"/>
          </w:rPr>
          <w:t>for more information.</w:t>
        </w:r>
      </w:hyperlink>
    </w:p>
    <w:p>
      <w:pPr>
        <w:spacing w:after="0" w:line="205" w:lineRule="exact"/>
        <w:rPr>
          <w:rFonts w:ascii="Arial" w:cs="Arial" w:eastAsia="Arial" w:hAnsi="Arial"/>
          <w:sz w:val="17"/>
          <w:szCs w:val="17"/>
          <w:color w:val="auto"/>
        </w:rPr>
      </w:pPr>
    </w:p>
    <w:p>
      <w:pPr>
        <w:spacing w:after="0"/>
        <w:rPr>
          <w:sz w:val="20"/>
          <w:szCs w:val="20"/>
          <w:color w:val="auto"/>
        </w:rPr>
      </w:pPr>
      <w:r>
        <w:rPr>
          <w:rFonts w:ascii="Arial" w:cs="Arial" w:eastAsia="Arial" w:hAnsi="Arial"/>
          <w:sz w:val="17"/>
          <w:szCs w:val="17"/>
          <w:b w:val="1"/>
          <w:bCs w:val="1"/>
          <w:color w:val="auto"/>
        </w:rPr>
        <w:t>Note 3—New Accounting Pronouncements</w:t>
      </w:r>
    </w:p>
    <w:p>
      <w:pPr>
        <w:spacing w:after="0" w:line="184" w:lineRule="exact"/>
        <w:rPr>
          <w:rFonts w:ascii="Arial" w:cs="Arial" w:eastAsia="Arial" w:hAnsi="Arial"/>
          <w:sz w:val="17"/>
          <w:szCs w:val="17"/>
          <w:color w:val="auto"/>
        </w:rPr>
      </w:pPr>
    </w:p>
    <w:p>
      <w:pPr>
        <w:spacing w:after="0"/>
        <w:rPr>
          <w:sz w:val="20"/>
          <w:szCs w:val="20"/>
          <w:color w:val="auto"/>
        </w:rPr>
      </w:pPr>
      <w:r>
        <w:rPr>
          <w:rFonts w:ascii="Arial" w:cs="Arial" w:eastAsia="Arial" w:hAnsi="Arial"/>
          <w:sz w:val="17"/>
          <w:szCs w:val="17"/>
          <w:b w:val="1"/>
          <w:bCs w:val="1"/>
          <w:i w:val="1"/>
          <w:iCs w:val="1"/>
          <w:color w:val="auto"/>
        </w:rPr>
        <w:t>Accounting Pronouncements to be Implemented</w:t>
      </w:r>
    </w:p>
    <w:p>
      <w:pPr>
        <w:spacing w:after="0" w:line="178" w:lineRule="exact"/>
        <w:rPr>
          <w:rFonts w:ascii="Arial" w:cs="Arial" w:eastAsia="Arial" w:hAnsi="Arial"/>
          <w:sz w:val="17"/>
          <w:szCs w:val="17"/>
          <w:color w:val="auto"/>
        </w:rPr>
      </w:pPr>
    </w:p>
    <w:p>
      <w:pPr>
        <w:ind w:firstLine="309"/>
        <w:spacing w:after="0" w:line="274" w:lineRule="auto"/>
        <w:rPr>
          <w:rFonts w:ascii="Arial" w:cs="Arial" w:eastAsia="Arial" w:hAnsi="Arial"/>
          <w:sz w:val="16"/>
          <w:szCs w:val="16"/>
          <w:color w:val="auto"/>
        </w:rPr>
      </w:pPr>
      <w:r>
        <w:rPr>
          <w:rFonts w:ascii="Arial" w:cs="Arial" w:eastAsia="Arial" w:hAnsi="Arial"/>
          <w:sz w:val="16"/>
          <w:szCs w:val="16"/>
          <w:color w:val="auto"/>
        </w:rPr>
        <w:t xml:space="preserve">In March 2020, the FASB issued ASU 2020-04, “Reference Rate Reform (Topic 848): Facilitation of the Effects of Reference Rate Reform on Financial Reporting” (“ASU 2020-04”). ASU 2020-04 provides an optional expedient and exceptions for applying GAAP to contracts, hedging relationships, and other transactions affected by reference rate reform if certain criteria are met. In response to the concerns about structural risks of interbank offered rates and, particularly, the risk of cessation of the London Interbank Offered Rate (referred to as “LIBOR”), regulators in several jurisdictions around the world have undertaken reference rate reform initiatives to identify alternative reference rates that are more observable or transaction-based and less susceptible to manipulation. ASU 2020-04 also provides companies with optional guidance to ease the potential accounting burden associated with transitioning away from reference rates that are expected to be discontinued. ASU 2020-04 can be adopted no later than December 1, 2022 with early adoption permitted. The interest rates associated with the Company’s borrowings under its Senior Secured Credit Facilities (as defined in </w:t>
      </w:r>
      <w:hyperlink w:anchor="page15">
        <w:r>
          <w:rPr>
            <w:rFonts w:ascii="Arial" w:cs="Arial" w:eastAsia="Arial" w:hAnsi="Arial"/>
            <w:sz w:val="16"/>
            <w:szCs w:val="16"/>
            <w:u w:val="single" w:color="auto"/>
            <w:color w:val="0000FF"/>
          </w:rPr>
          <w:t>Note 8, “Long-term Debt”</w:t>
        </w:r>
      </w:hyperlink>
      <w:r>
        <w:rPr>
          <w:rFonts w:ascii="Arial" w:cs="Arial" w:eastAsia="Arial" w:hAnsi="Arial"/>
          <w:sz w:val="16"/>
          <w:szCs w:val="16"/>
          <w:color w:val="auto"/>
        </w:rPr>
        <w:t>) are tied to LIBOR. The Company is currently evaluating the impact of the adoption of ASU 2020-04 on our Consolidated Financial Statements.</w:t>
      </w:r>
    </w:p>
    <w:p>
      <w:pPr>
        <w:spacing w:after="0" w:line="146" w:lineRule="exact"/>
        <w:rPr>
          <w:rFonts w:ascii="Arial" w:cs="Arial" w:eastAsia="Arial" w:hAnsi="Arial"/>
          <w:sz w:val="17"/>
          <w:szCs w:val="17"/>
          <w:color w:val="auto"/>
        </w:rPr>
      </w:pPr>
    </w:p>
    <w:p>
      <w:pPr>
        <w:ind w:firstLine="309"/>
        <w:spacing w:after="0" w:line="258" w:lineRule="auto"/>
        <w:rPr>
          <w:sz w:val="20"/>
          <w:szCs w:val="20"/>
          <w:color w:val="auto"/>
        </w:rPr>
      </w:pPr>
      <w:r>
        <w:rPr>
          <w:rFonts w:ascii="Arial" w:cs="Arial" w:eastAsia="Arial" w:hAnsi="Arial"/>
          <w:sz w:val="17"/>
          <w:szCs w:val="17"/>
          <w:color w:val="auto"/>
        </w:rPr>
        <w:t>In August 2020, The FASB issued ASU 2020-06, “Debt—Debt with Conversion and Other Options (Topic 470) and Derivatives and Hedging—Contracts in Entity’s Own Equity (Topic 814): Accounting for Convertible Instruments and Contracts in an Entity’s Own Equity” (“ASU 2020-06”). ASU 2020-06 eliminates the number of accounting models used to account for convertible debt instruments and convertible preferred stock. The update also amends the disclosure requirements for convertible instruments and EPS in an effort to increase financial reporting transparency. ASU 2020-06 will be effective for fiscal years beginning after December 15, 2021, including interim periods within those fiscal years. Early adoption is permitted. The Company is currently evaluating the impact of the adoption of ASU 2020-06 on our Consolidated Financial Statements.</w:t>
      </w:r>
    </w:p>
    <w:p>
      <w:pPr>
        <w:spacing w:after="0" w:line="144" w:lineRule="exact"/>
        <w:rPr>
          <w:rFonts w:ascii="Arial" w:cs="Arial" w:eastAsia="Arial" w:hAnsi="Arial"/>
          <w:sz w:val="17"/>
          <w:szCs w:val="17"/>
          <w:color w:val="auto"/>
        </w:rPr>
      </w:pPr>
    </w:p>
    <w:p>
      <w:pPr>
        <w:ind w:firstLine="309"/>
        <w:spacing w:after="0" w:line="266" w:lineRule="auto"/>
        <w:rPr>
          <w:sz w:val="20"/>
          <w:szCs w:val="20"/>
          <w:color w:val="auto"/>
        </w:rPr>
      </w:pPr>
      <w:r>
        <w:rPr>
          <w:rFonts w:ascii="Arial" w:cs="Arial" w:eastAsia="Arial" w:hAnsi="Arial"/>
          <w:sz w:val="17"/>
          <w:szCs w:val="17"/>
          <w:color w:val="auto"/>
        </w:rPr>
        <w:t>A variety of proposed or otherwise potential accounting standards are currently being studied by standard-setting organizations and certain regulatory agencies. Because of the tentative and preliminary nature of such proposed standards, we have not yet determined the effect, if any, that the implementation of such proposed standards would have on our Consolidated Financial Statements.</w:t>
      </w:r>
    </w:p>
    <w:p>
      <w:pPr>
        <w:spacing w:after="0" w:line="363" w:lineRule="exact"/>
        <w:rPr>
          <w:rFonts w:ascii="Arial" w:cs="Arial" w:eastAsia="Arial" w:hAnsi="Arial"/>
          <w:sz w:val="17"/>
          <w:szCs w:val="17"/>
          <w:color w:val="auto"/>
        </w:rPr>
      </w:pPr>
    </w:p>
    <w:p>
      <w:pPr>
        <w:spacing w:after="0"/>
        <w:rPr>
          <w:sz w:val="20"/>
          <w:szCs w:val="20"/>
          <w:color w:val="auto"/>
        </w:rPr>
      </w:pPr>
      <w:r>
        <w:rPr>
          <w:rFonts w:ascii="Arial" w:cs="Arial" w:eastAsia="Arial" w:hAnsi="Arial"/>
          <w:sz w:val="17"/>
          <w:szCs w:val="17"/>
          <w:b w:val="1"/>
          <w:bCs w:val="1"/>
          <w:color w:val="auto"/>
        </w:rPr>
        <w:t>Note 4—Hurricane Laura</w:t>
      </w:r>
    </w:p>
    <w:p>
      <w:pPr>
        <w:spacing w:after="0" w:line="249" w:lineRule="exact"/>
        <w:rPr>
          <w:rFonts w:ascii="Arial" w:cs="Arial" w:eastAsia="Arial" w:hAnsi="Arial"/>
          <w:sz w:val="17"/>
          <w:szCs w:val="17"/>
          <w:color w:val="auto"/>
        </w:rPr>
      </w:pPr>
    </w:p>
    <w:p>
      <w:pPr>
        <w:ind w:right="280" w:firstLine="309"/>
        <w:spacing w:after="0" w:line="290" w:lineRule="auto"/>
        <w:rPr>
          <w:sz w:val="20"/>
          <w:szCs w:val="20"/>
          <w:color w:val="auto"/>
        </w:rPr>
      </w:pPr>
      <w:r>
        <w:rPr>
          <w:rFonts w:ascii="Arial" w:cs="Arial" w:eastAsia="Arial" w:hAnsi="Arial"/>
          <w:sz w:val="16"/>
          <w:szCs w:val="16"/>
          <w:color w:val="auto"/>
        </w:rPr>
        <w:t>On August 27, 2020, Hurricane Laura made landfall in Lake Charles, Louisiana, which caused significant damage to our L’Auberge Lake Charles property and closure of the property for approximately two weeks. The Company maintains insurance, subject to certain deductibles and coinsurance, for the repair or replacement of assets that suffered loss and provides coverage for interruption to our business, including lost profits.</w:t>
      </w:r>
    </w:p>
    <w:p>
      <w:pPr>
        <w:spacing w:after="0" w:line="132" w:lineRule="exact"/>
        <w:rPr>
          <w:rFonts w:ascii="Arial" w:cs="Arial" w:eastAsia="Arial" w:hAnsi="Arial"/>
          <w:sz w:val="17"/>
          <w:szCs w:val="17"/>
          <w:color w:val="auto"/>
        </w:rPr>
      </w:pPr>
    </w:p>
    <w:p>
      <w:pPr>
        <w:ind w:right="260" w:firstLine="309"/>
        <w:spacing w:after="0" w:line="279" w:lineRule="auto"/>
        <w:rPr>
          <w:sz w:val="20"/>
          <w:szCs w:val="20"/>
          <w:color w:val="auto"/>
        </w:rPr>
      </w:pPr>
      <w:r>
        <w:rPr>
          <w:rFonts w:ascii="Arial" w:cs="Arial" w:eastAsia="Arial" w:hAnsi="Arial"/>
          <w:sz w:val="17"/>
          <w:szCs w:val="17"/>
          <w:color w:val="auto"/>
        </w:rPr>
        <w:t>The Company recorded a receivable relating to our estimate of repairs and maintenance costs which have been incurred and property and equipment which have been written off, and for which we deem the recovery of such costs and property and</w:t>
      </w:r>
    </w:p>
    <w:p>
      <w:pPr>
        <w:spacing w:after="0" w:line="200" w:lineRule="exact"/>
        <w:rPr>
          <w:rFonts w:ascii="Arial" w:cs="Arial" w:eastAsia="Arial" w:hAnsi="Arial"/>
          <w:sz w:val="17"/>
          <w:szCs w:val="17"/>
          <w:color w:val="auto"/>
        </w:rPr>
      </w:pPr>
    </w:p>
    <w:p>
      <w:pPr>
        <w:spacing w:after="0" w:line="287" w:lineRule="exact"/>
        <w:rPr>
          <w:rFonts w:ascii="Arial" w:cs="Arial" w:eastAsia="Arial" w:hAnsi="Arial"/>
          <w:sz w:val="17"/>
          <w:szCs w:val="17"/>
          <w:color w:val="auto"/>
        </w:rPr>
      </w:pPr>
    </w:p>
    <w:p>
      <w:pPr>
        <w:jc w:val="center"/>
        <w:spacing w:after="0"/>
        <w:rPr>
          <w:sz w:val="20"/>
          <w:szCs w:val="20"/>
          <w:color w:val="auto"/>
        </w:rPr>
      </w:pPr>
      <w:r>
        <w:rPr>
          <w:rFonts w:ascii="Arial" w:cs="Arial" w:eastAsia="Arial" w:hAnsi="Arial"/>
          <w:sz w:val="17"/>
          <w:szCs w:val="17"/>
          <w:color w:val="auto"/>
        </w:rPr>
        <w:t>9</w:t>
      </w:r>
    </w:p>
    <w:p>
      <w:pPr>
        <w:spacing w:after="0" w:line="20" w:lineRule="exact"/>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column">
              <wp:posOffset>-10160</wp:posOffset>
            </wp:positionH>
            <wp:positionV relativeFrom="paragraph">
              <wp:posOffset>173990</wp:posOffset>
            </wp:positionV>
            <wp:extent cx="7164070" cy="419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1" w:name="page12"/>
    <w:bookmarkEnd w:id="11"/>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339" w:lineRule="exact"/>
        <w:rPr>
          <w:sz w:val="20"/>
          <w:szCs w:val="20"/>
          <w:color w:val="auto"/>
        </w:rPr>
      </w:pPr>
    </w:p>
    <w:p>
      <w:pPr>
        <w:ind w:right="40"/>
        <w:spacing w:after="0" w:line="259" w:lineRule="auto"/>
        <w:rPr>
          <w:sz w:val="20"/>
          <w:szCs w:val="20"/>
          <w:color w:val="auto"/>
        </w:rPr>
      </w:pPr>
      <w:r>
        <w:rPr>
          <w:rFonts w:ascii="Arial" w:cs="Arial" w:eastAsia="Arial" w:hAnsi="Arial"/>
          <w:sz w:val="17"/>
          <w:szCs w:val="17"/>
          <w:color w:val="auto"/>
        </w:rPr>
        <w:t>equipment from our insurers to be probable. The insurance recovery receivable is included in “Receivables” within the unaudited Consolidated Balance Sheets. As we deem it is probable that the proceeds to be recovered from our insurers exceeds the total of our insurance recovery recorded and our insurers’ deductible and coinsurance, we did not record any loss associated with the impact of this natural disaster. Timing differences are likely to exist between the recognition of (i) impairment losses and capital expenditures made to repair or restore the assets and (ii) the receipt of insurance proceeds within the unaudited Consolidated Financial Statements.</w:t>
      </w:r>
    </w:p>
    <w:p>
      <w:pPr>
        <w:spacing w:after="0" w:line="144" w:lineRule="exact"/>
        <w:rPr>
          <w:sz w:val="20"/>
          <w:szCs w:val="20"/>
          <w:color w:val="auto"/>
        </w:rPr>
      </w:pPr>
    </w:p>
    <w:p>
      <w:pPr>
        <w:jc w:val="both"/>
        <w:ind w:firstLine="309"/>
        <w:spacing w:after="0" w:line="266" w:lineRule="auto"/>
        <w:rPr>
          <w:sz w:val="20"/>
          <w:szCs w:val="20"/>
          <w:color w:val="auto"/>
        </w:rPr>
      </w:pPr>
      <w:r>
        <w:rPr>
          <w:rFonts w:ascii="Arial" w:cs="Arial" w:eastAsia="Arial" w:hAnsi="Arial"/>
          <w:sz w:val="17"/>
          <w:szCs w:val="17"/>
          <w:color w:val="auto"/>
        </w:rPr>
        <w:t>As of March 31, 2021 and December 31, 2020, the amount of the receivable was $27.0 million and $23.0 million, respectively. During the three months ended March 31, 2021, no proceeds were received from our insurers and we identified an additional $4.0 million of costs related to our policy claim. We continue to be in the process of quantifying the claim amount under the policies to be submitted to our insurers.</w:t>
      </w:r>
    </w:p>
    <w:p>
      <w:pPr>
        <w:spacing w:after="0" w:line="149" w:lineRule="exact"/>
        <w:rPr>
          <w:sz w:val="20"/>
          <w:szCs w:val="20"/>
          <w:color w:val="auto"/>
        </w:rPr>
      </w:pPr>
    </w:p>
    <w:p>
      <w:pPr>
        <w:jc w:val="both"/>
        <w:ind w:right="80" w:firstLine="309"/>
        <w:spacing w:after="0" w:line="266" w:lineRule="auto"/>
        <w:rPr>
          <w:sz w:val="20"/>
          <w:szCs w:val="20"/>
          <w:color w:val="auto"/>
        </w:rPr>
      </w:pPr>
      <w:r>
        <w:rPr>
          <w:rFonts w:ascii="Arial" w:cs="Arial" w:eastAsia="Arial" w:hAnsi="Arial"/>
          <w:sz w:val="17"/>
          <w:szCs w:val="17"/>
          <w:color w:val="auto"/>
        </w:rPr>
        <w:t>We will record proceeds in excess of the recognized losses and lost profits under our business interruption insurance as a gain contingency in accordance with ASC 450, “Contingencies,” which we expect to recognize at the time of final settlement or when nonrefundable cash advances are made in a period subsequent to March 31, 2021.</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20" w:type="dxa"/>
            <w:vAlign w:val="bottom"/>
          </w:tcPr>
          <w:p>
            <w:pPr>
              <w:spacing w:after="0"/>
              <w:rPr>
                <w:sz w:val="18"/>
                <w:szCs w:val="18"/>
                <w:color w:val="auto"/>
              </w:rPr>
            </w:pPr>
          </w:p>
        </w:tc>
        <w:tc>
          <w:tcPr>
            <w:tcW w:w="7920" w:type="dxa"/>
            <w:vAlign w:val="bottom"/>
            <w:gridSpan w:val="2"/>
          </w:tcPr>
          <w:p>
            <w:pPr>
              <w:ind w:left="300"/>
              <w:spacing w:after="0"/>
              <w:rPr>
                <w:sz w:val="20"/>
                <w:szCs w:val="20"/>
                <w:color w:val="auto"/>
              </w:rPr>
            </w:pPr>
            <w:r>
              <w:rPr>
                <w:rFonts w:ascii="Arial" w:cs="Arial" w:eastAsia="Arial" w:hAnsi="Arial"/>
                <w:sz w:val="17"/>
                <w:szCs w:val="17"/>
                <w:color w:val="auto"/>
              </w:rPr>
              <w:t>The following table summarizes the financial impact of Hurricane Laura related matters:</w:t>
            </w:r>
          </w:p>
        </w:tc>
        <w:tc>
          <w:tcPr>
            <w:tcW w:w="2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363"/>
        </w:trPr>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80" w:type="dxa"/>
            <w:vAlign w:val="bottom"/>
            <w:gridSpan w:val="2"/>
          </w:tcPr>
          <w:p>
            <w:pPr>
              <w:ind w:left="140"/>
              <w:spacing w:after="0"/>
              <w:rPr>
                <w:sz w:val="20"/>
                <w:szCs w:val="20"/>
                <w:color w:val="auto"/>
              </w:rPr>
            </w:pPr>
            <w:r>
              <w:rPr>
                <w:rFonts w:ascii="Arial" w:cs="Arial" w:eastAsia="Arial" w:hAnsi="Arial"/>
                <w:sz w:val="17"/>
                <w:szCs w:val="17"/>
                <w:b w:val="1"/>
                <w:bCs w:val="1"/>
                <w:color w:val="auto"/>
              </w:rPr>
              <w:t>March 31,</w:t>
            </w:r>
          </w:p>
        </w:tc>
        <w:tc>
          <w:tcPr>
            <w:tcW w:w="220" w:type="dxa"/>
            <w:vAlign w:val="bottom"/>
          </w:tcPr>
          <w:p>
            <w:pPr>
              <w:spacing w:after="0"/>
              <w:rPr>
                <w:sz w:val="24"/>
                <w:szCs w:val="24"/>
                <w:color w:val="auto"/>
              </w:rPr>
            </w:pPr>
          </w:p>
        </w:tc>
        <w:tc>
          <w:tcPr>
            <w:tcW w:w="1460" w:type="dxa"/>
            <w:vAlign w:val="bottom"/>
          </w:tcPr>
          <w:p>
            <w:pPr>
              <w:jc w:val="right"/>
              <w:ind w:right="254"/>
              <w:spacing w:after="0"/>
              <w:rPr>
                <w:sz w:val="20"/>
                <w:szCs w:val="20"/>
                <w:color w:val="auto"/>
              </w:rPr>
            </w:pPr>
            <w:r>
              <w:rPr>
                <w:rFonts w:ascii="Arial" w:cs="Arial" w:eastAsia="Arial" w:hAnsi="Arial"/>
                <w:sz w:val="17"/>
                <w:szCs w:val="17"/>
                <w:b w:val="1"/>
                <w:bCs w:val="1"/>
                <w:color w:val="auto"/>
                <w:w w:val="99"/>
              </w:rPr>
              <w:t>December 31,</w:t>
            </w:r>
          </w:p>
        </w:tc>
      </w:tr>
      <w:tr>
        <w:trPr>
          <w:trHeight w:val="180"/>
        </w:trPr>
        <w:tc>
          <w:tcPr>
            <w:tcW w:w="7940" w:type="dxa"/>
            <w:vAlign w:val="bottom"/>
            <w:gridSpan w:val="3"/>
          </w:tcPr>
          <w:p>
            <w:pPr>
              <w:ind w:left="20"/>
              <w:spacing w:after="0"/>
              <w:rPr>
                <w:sz w:val="20"/>
                <w:szCs w:val="20"/>
                <w:color w:val="auto"/>
              </w:rPr>
            </w:pPr>
            <w:r>
              <w:rPr>
                <w:rFonts w:ascii="Arial" w:cs="Arial" w:eastAsia="Arial" w:hAnsi="Arial"/>
                <w:sz w:val="14"/>
                <w:szCs w:val="14"/>
                <w:b w:val="1"/>
                <w:bCs w:val="1"/>
                <w:i w:val="1"/>
                <w:iCs w:val="1"/>
                <w:color w:val="auto"/>
              </w:rPr>
              <w:t>(in millions)</w:t>
            </w:r>
          </w:p>
        </w:tc>
        <w:tc>
          <w:tcPr>
            <w:tcW w:w="240" w:type="dxa"/>
            <w:vAlign w:val="bottom"/>
          </w:tcPr>
          <w:p>
            <w:pPr>
              <w:spacing w:after="0"/>
              <w:rPr>
                <w:sz w:val="15"/>
                <w:szCs w:val="15"/>
                <w:color w:val="auto"/>
              </w:rPr>
            </w:pPr>
          </w:p>
        </w:tc>
        <w:tc>
          <w:tcPr>
            <w:tcW w:w="1280" w:type="dxa"/>
            <w:vAlign w:val="bottom"/>
          </w:tcPr>
          <w:p>
            <w:pPr>
              <w:jc w:val="right"/>
              <w:ind w:right="494"/>
              <w:spacing w:after="0" w:line="180" w:lineRule="exact"/>
              <w:rPr>
                <w:sz w:val="20"/>
                <w:szCs w:val="20"/>
                <w:color w:val="auto"/>
              </w:rPr>
            </w:pPr>
            <w:r>
              <w:rPr>
                <w:rFonts w:ascii="Arial" w:cs="Arial" w:eastAsia="Arial" w:hAnsi="Arial"/>
                <w:sz w:val="17"/>
                <w:szCs w:val="17"/>
                <w:b w:val="1"/>
                <w:bCs w:val="1"/>
                <w:color w:val="auto"/>
              </w:rPr>
              <w:t>2021</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60" w:type="dxa"/>
            <w:vAlign w:val="bottom"/>
          </w:tcPr>
          <w:p>
            <w:pPr>
              <w:jc w:val="right"/>
              <w:ind w:right="574"/>
              <w:spacing w:after="0" w:line="180" w:lineRule="exact"/>
              <w:rPr>
                <w:sz w:val="20"/>
                <w:szCs w:val="20"/>
                <w:color w:val="auto"/>
              </w:rPr>
            </w:pPr>
            <w:r>
              <w:rPr>
                <w:rFonts w:ascii="Arial" w:cs="Arial" w:eastAsia="Arial" w:hAnsi="Arial"/>
                <w:sz w:val="17"/>
                <w:szCs w:val="17"/>
                <w:b w:val="1"/>
                <w:bCs w:val="1"/>
                <w:color w:val="auto"/>
              </w:rPr>
              <w:t>2020</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700" w:type="dxa"/>
            <w:vAlign w:val="bottom"/>
            <w:tcBorders>
              <w:top w:val="single" w:sz="8" w:color="auto"/>
              <w:bottom w:val="single" w:sz="8" w:color="CCEEFF"/>
            </w:tcBorders>
          </w:tcPr>
          <w:p>
            <w:pPr>
              <w:spacing w:after="0" w:line="20" w:lineRule="exact"/>
              <w:rPr>
                <w:sz w:val="1"/>
                <w:szCs w:val="1"/>
                <w:color w:val="auto"/>
              </w:rPr>
            </w:pPr>
          </w:p>
        </w:tc>
        <w:tc>
          <w:tcPr>
            <w:tcW w:w="72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r>
        <w:trPr>
          <w:trHeight w:val="211"/>
        </w:trPr>
        <w:tc>
          <w:tcPr>
            <w:tcW w:w="7940" w:type="dxa"/>
            <w:vAlign w:val="bottom"/>
            <w:gridSpan w:val="3"/>
            <w:shd w:val="clear" w:color="auto" w:fill="CCEEFF"/>
          </w:tcPr>
          <w:p>
            <w:pPr>
              <w:ind w:left="20"/>
              <w:spacing w:after="0"/>
              <w:rPr>
                <w:sz w:val="20"/>
                <w:szCs w:val="20"/>
                <w:color w:val="auto"/>
              </w:rPr>
            </w:pPr>
            <w:r>
              <w:rPr>
                <w:rFonts w:ascii="Arial" w:cs="Arial" w:eastAsia="Arial" w:hAnsi="Arial"/>
                <w:sz w:val="17"/>
                <w:szCs w:val="17"/>
                <w:color w:val="auto"/>
              </w:rPr>
              <w:t>Insurance Proceeds</w:t>
            </w:r>
          </w:p>
        </w:tc>
        <w:tc>
          <w:tcPr>
            <w:tcW w:w="24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w w:val="84"/>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47.5</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w w:val="84"/>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47.5</w:t>
            </w:r>
          </w:p>
        </w:tc>
      </w:tr>
      <w:tr>
        <w:trPr>
          <w:trHeight w:val="218"/>
        </w:trPr>
        <w:tc>
          <w:tcPr>
            <w:tcW w:w="7940" w:type="dxa"/>
            <w:vAlign w:val="bottom"/>
            <w:gridSpan w:val="3"/>
          </w:tcPr>
          <w:p>
            <w:pPr>
              <w:ind w:left="20"/>
              <w:spacing w:after="0"/>
              <w:rPr>
                <w:sz w:val="20"/>
                <w:szCs w:val="20"/>
                <w:color w:val="auto"/>
              </w:rPr>
            </w:pPr>
            <w:r>
              <w:rPr>
                <w:rFonts w:ascii="Arial" w:cs="Arial" w:eastAsia="Arial" w:hAnsi="Arial"/>
                <w:sz w:val="17"/>
                <w:szCs w:val="17"/>
                <w:color w:val="auto"/>
              </w:rPr>
              <w:t>Deductible</w:t>
            </w:r>
          </w:p>
        </w:tc>
        <w:tc>
          <w:tcPr>
            <w:tcW w:w="240" w:type="dxa"/>
            <w:vAlign w:val="bottom"/>
          </w:tcPr>
          <w:p>
            <w:pPr>
              <w:jc w:val="right"/>
              <w:ind w:right="54"/>
              <w:spacing w:after="0"/>
              <w:rPr>
                <w:sz w:val="20"/>
                <w:szCs w:val="20"/>
                <w:color w:val="auto"/>
              </w:rPr>
            </w:pPr>
            <w:r>
              <w:rPr>
                <w:rFonts w:ascii="Arial" w:cs="Arial" w:eastAsia="Arial" w:hAnsi="Arial"/>
                <w:sz w:val="17"/>
                <w:szCs w:val="17"/>
                <w:color w:val="auto"/>
                <w:w w:val="84"/>
              </w:rPr>
              <w:t>$</w:t>
            </w:r>
          </w:p>
        </w:tc>
        <w:tc>
          <w:tcPr>
            <w:tcW w:w="1280" w:type="dxa"/>
            <w:vAlign w:val="bottom"/>
          </w:tcPr>
          <w:p>
            <w:pPr>
              <w:jc w:val="right"/>
              <w:spacing w:after="0"/>
              <w:rPr>
                <w:sz w:val="20"/>
                <w:szCs w:val="20"/>
                <w:color w:val="auto"/>
              </w:rPr>
            </w:pPr>
            <w:r>
              <w:rPr>
                <w:rFonts w:ascii="Arial" w:cs="Arial" w:eastAsia="Arial" w:hAnsi="Arial"/>
                <w:sz w:val="17"/>
                <w:szCs w:val="17"/>
                <w:color w:val="auto"/>
              </w:rPr>
              <w:t>15.0</w:t>
            </w:r>
          </w:p>
        </w:tc>
        <w:tc>
          <w:tcPr>
            <w:tcW w:w="100" w:type="dxa"/>
            <w:vAlign w:val="bottom"/>
          </w:tcPr>
          <w:p>
            <w:pPr>
              <w:spacing w:after="0"/>
              <w:rPr>
                <w:sz w:val="18"/>
                <w:szCs w:val="18"/>
                <w:color w:val="auto"/>
              </w:rPr>
            </w:pPr>
          </w:p>
        </w:tc>
        <w:tc>
          <w:tcPr>
            <w:tcW w:w="220" w:type="dxa"/>
            <w:vAlign w:val="bottom"/>
          </w:tcPr>
          <w:p>
            <w:pPr>
              <w:jc w:val="right"/>
              <w:ind w:right="34"/>
              <w:spacing w:after="0"/>
              <w:rPr>
                <w:sz w:val="20"/>
                <w:szCs w:val="20"/>
                <w:color w:val="auto"/>
              </w:rPr>
            </w:pPr>
            <w:r>
              <w:rPr>
                <w:rFonts w:ascii="Arial" w:cs="Arial" w:eastAsia="Arial" w:hAnsi="Arial"/>
                <w:sz w:val="17"/>
                <w:szCs w:val="17"/>
                <w:color w:val="auto"/>
                <w:w w:val="84"/>
              </w:rPr>
              <w:t>$</w:t>
            </w:r>
          </w:p>
        </w:tc>
        <w:tc>
          <w:tcPr>
            <w:tcW w:w="1460" w:type="dxa"/>
            <w:vAlign w:val="bottom"/>
          </w:tcPr>
          <w:p>
            <w:pPr>
              <w:jc w:val="right"/>
              <w:spacing w:after="0"/>
              <w:rPr>
                <w:sz w:val="20"/>
                <w:szCs w:val="20"/>
                <w:color w:val="auto"/>
              </w:rPr>
            </w:pPr>
            <w:r>
              <w:rPr>
                <w:rFonts w:ascii="Arial" w:cs="Arial" w:eastAsia="Arial" w:hAnsi="Arial"/>
                <w:sz w:val="17"/>
                <w:szCs w:val="17"/>
                <w:color w:val="auto"/>
              </w:rPr>
              <w:t>15.0</w:t>
            </w:r>
          </w:p>
        </w:tc>
      </w:tr>
      <w:tr>
        <w:trPr>
          <w:trHeight w:val="220"/>
        </w:trPr>
        <w:tc>
          <w:tcPr>
            <w:tcW w:w="7940" w:type="dxa"/>
            <w:vAlign w:val="bottom"/>
            <w:gridSpan w:val="3"/>
            <w:shd w:val="clear" w:color="auto" w:fill="CCEEFF"/>
          </w:tcPr>
          <w:p>
            <w:pPr>
              <w:ind w:left="20"/>
              <w:spacing w:after="0"/>
              <w:rPr>
                <w:sz w:val="20"/>
                <w:szCs w:val="20"/>
                <w:color w:val="auto"/>
              </w:rPr>
            </w:pPr>
            <w:r>
              <w:rPr>
                <w:rFonts w:ascii="Arial" w:cs="Arial" w:eastAsia="Arial" w:hAnsi="Arial"/>
                <w:sz w:val="17"/>
                <w:szCs w:val="17"/>
                <w:color w:val="auto"/>
              </w:rPr>
              <w:t>Coinsurance</w:t>
            </w:r>
          </w:p>
        </w:tc>
        <w:tc>
          <w:tcPr>
            <w:tcW w:w="24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w w:val="84"/>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w w:val="84"/>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w:t>
            </w:r>
          </w:p>
        </w:tc>
      </w:tr>
      <w:tr>
        <w:trPr>
          <w:trHeight w:val="218"/>
        </w:trPr>
        <w:tc>
          <w:tcPr>
            <w:tcW w:w="7940" w:type="dxa"/>
            <w:vAlign w:val="bottom"/>
            <w:gridSpan w:val="3"/>
          </w:tcPr>
          <w:p>
            <w:pPr>
              <w:ind w:left="20"/>
              <w:spacing w:after="0"/>
              <w:rPr>
                <w:sz w:val="20"/>
                <w:szCs w:val="20"/>
                <w:color w:val="auto"/>
              </w:rPr>
            </w:pPr>
            <w:r>
              <w:rPr>
                <w:rFonts w:ascii="Arial" w:cs="Arial" w:eastAsia="Arial" w:hAnsi="Arial"/>
                <w:sz w:val="17"/>
                <w:szCs w:val="17"/>
                <w:color w:val="auto"/>
              </w:rPr>
              <w:t>Clean-up and Restoration Costs</w:t>
            </w:r>
          </w:p>
        </w:tc>
        <w:tc>
          <w:tcPr>
            <w:tcW w:w="240" w:type="dxa"/>
            <w:vAlign w:val="bottom"/>
          </w:tcPr>
          <w:p>
            <w:pPr>
              <w:jc w:val="right"/>
              <w:ind w:right="54"/>
              <w:spacing w:after="0"/>
              <w:rPr>
                <w:sz w:val="20"/>
                <w:szCs w:val="20"/>
                <w:color w:val="auto"/>
              </w:rPr>
            </w:pPr>
            <w:r>
              <w:rPr>
                <w:rFonts w:ascii="Arial" w:cs="Arial" w:eastAsia="Arial" w:hAnsi="Arial"/>
                <w:sz w:val="17"/>
                <w:szCs w:val="17"/>
                <w:color w:val="auto"/>
                <w:w w:val="84"/>
              </w:rPr>
              <w:t>$</w:t>
            </w:r>
          </w:p>
        </w:tc>
        <w:tc>
          <w:tcPr>
            <w:tcW w:w="1280" w:type="dxa"/>
            <w:vAlign w:val="bottom"/>
          </w:tcPr>
          <w:p>
            <w:pPr>
              <w:jc w:val="right"/>
              <w:spacing w:after="0"/>
              <w:rPr>
                <w:sz w:val="20"/>
                <w:szCs w:val="20"/>
                <w:color w:val="auto"/>
              </w:rPr>
            </w:pPr>
            <w:r>
              <w:rPr>
                <w:rFonts w:ascii="Arial" w:cs="Arial" w:eastAsia="Arial" w:hAnsi="Arial"/>
                <w:sz w:val="17"/>
                <w:szCs w:val="17"/>
                <w:color w:val="auto"/>
              </w:rPr>
              <w:t>51.1</w:t>
            </w:r>
          </w:p>
        </w:tc>
        <w:tc>
          <w:tcPr>
            <w:tcW w:w="100" w:type="dxa"/>
            <w:vAlign w:val="bottom"/>
          </w:tcPr>
          <w:p>
            <w:pPr>
              <w:spacing w:after="0"/>
              <w:rPr>
                <w:sz w:val="18"/>
                <w:szCs w:val="18"/>
                <w:color w:val="auto"/>
              </w:rPr>
            </w:pPr>
          </w:p>
        </w:tc>
        <w:tc>
          <w:tcPr>
            <w:tcW w:w="220" w:type="dxa"/>
            <w:vAlign w:val="bottom"/>
          </w:tcPr>
          <w:p>
            <w:pPr>
              <w:jc w:val="right"/>
              <w:ind w:right="34"/>
              <w:spacing w:after="0"/>
              <w:rPr>
                <w:sz w:val="20"/>
                <w:szCs w:val="20"/>
                <w:color w:val="auto"/>
              </w:rPr>
            </w:pPr>
            <w:r>
              <w:rPr>
                <w:rFonts w:ascii="Arial" w:cs="Arial" w:eastAsia="Arial" w:hAnsi="Arial"/>
                <w:sz w:val="17"/>
                <w:szCs w:val="17"/>
                <w:color w:val="auto"/>
                <w:w w:val="84"/>
              </w:rPr>
              <w:t>$</w:t>
            </w:r>
          </w:p>
        </w:tc>
        <w:tc>
          <w:tcPr>
            <w:tcW w:w="1460" w:type="dxa"/>
            <w:vAlign w:val="bottom"/>
          </w:tcPr>
          <w:p>
            <w:pPr>
              <w:jc w:val="right"/>
              <w:spacing w:after="0"/>
              <w:rPr>
                <w:sz w:val="20"/>
                <w:szCs w:val="20"/>
                <w:color w:val="auto"/>
              </w:rPr>
            </w:pPr>
            <w:r>
              <w:rPr>
                <w:rFonts w:ascii="Arial" w:cs="Arial" w:eastAsia="Arial" w:hAnsi="Arial"/>
                <w:sz w:val="17"/>
                <w:szCs w:val="17"/>
                <w:color w:val="auto"/>
              </w:rPr>
              <w:t>47.1</w:t>
            </w:r>
          </w:p>
        </w:tc>
      </w:tr>
      <w:tr>
        <w:trPr>
          <w:trHeight w:val="220"/>
        </w:trPr>
        <w:tc>
          <w:tcPr>
            <w:tcW w:w="7940" w:type="dxa"/>
            <w:vAlign w:val="bottom"/>
            <w:gridSpan w:val="3"/>
            <w:shd w:val="clear" w:color="auto" w:fill="CCEEFF"/>
          </w:tcPr>
          <w:p>
            <w:pPr>
              <w:ind w:left="20"/>
              <w:spacing w:after="0"/>
              <w:rPr>
                <w:sz w:val="20"/>
                <w:szCs w:val="20"/>
                <w:color w:val="auto"/>
              </w:rPr>
            </w:pPr>
            <w:r>
              <w:rPr>
                <w:rFonts w:ascii="Arial" w:cs="Arial" w:eastAsia="Arial" w:hAnsi="Arial"/>
                <w:sz w:val="17"/>
                <w:szCs w:val="17"/>
                <w:color w:val="auto"/>
              </w:rPr>
              <w:t>Fixed Asset Write-off</w:t>
            </w:r>
          </w:p>
        </w:tc>
        <w:tc>
          <w:tcPr>
            <w:tcW w:w="24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w w:val="84"/>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w w:val="84"/>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23.2</w:t>
            </w:r>
          </w:p>
        </w:tc>
      </w:tr>
      <w:tr>
        <w:trPr>
          <w:trHeight w:val="218"/>
        </w:trPr>
        <w:tc>
          <w:tcPr>
            <w:tcW w:w="7940" w:type="dxa"/>
            <w:vAlign w:val="bottom"/>
            <w:gridSpan w:val="3"/>
          </w:tcPr>
          <w:p>
            <w:pPr>
              <w:ind w:left="20"/>
              <w:spacing w:after="0"/>
              <w:rPr>
                <w:sz w:val="20"/>
                <w:szCs w:val="20"/>
                <w:color w:val="auto"/>
              </w:rPr>
            </w:pPr>
            <w:r>
              <w:rPr>
                <w:rFonts w:ascii="Arial" w:cs="Arial" w:eastAsia="Arial" w:hAnsi="Arial"/>
                <w:sz w:val="17"/>
                <w:szCs w:val="17"/>
                <w:color w:val="auto"/>
              </w:rPr>
              <w:t>Inventory Write-off</w:t>
            </w:r>
          </w:p>
        </w:tc>
        <w:tc>
          <w:tcPr>
            <w:tcW w:w="240" w:type="dxa"/>
            <w:vAlign w:val="bottom"/>
          </w:tcPr>
          <w:p>
            <w:pPr>
              <w:jc w:val="right"/>
              <w:ind w:right="54"/>
              <w:spacing w:after="0"/>
              <w:rPr>
                <w:sz w:val="20"/>
                <w:szCs w:val="20"/>
                <w:color w:val="auto"/>
              </w:rPr>
            </w:pPr>
            <w:r>
              <w:rPr>
                <w:rFonts w:ascii="Arial" w:cs="Arial" w:eastAsia="Arial" w:hAnsi="Arial"/>
                <w:sz w:val="17"/>
                <w:szCs w:val="17"/>
                <w:color w:val="auto"/>
                <w:w w:val="84"/>
              </w:rPr>
              <w:t>$</w:t>
            </w:r>
          </w:p>
        </w:tc>
        <w:tc>
          <w:tcPr>
            <w:tcW w:w="1280" w:type="dxa"/>
            <w:vAlign w:val="bottom"/>
          </w:tcPr>
          <w:p>
            <w:pPr>
              <w:jc w:val="right"/>
              <w:spacing w:after="0"/>
              <w:rPr>
                <w:sz w:val="20"/>
                <w:szCs w:val="20"/>
                <w:color w:val="auto"/>
              </w:rPr>
            </w:pPr>
            <w:r>
              <w:rPr>
                <w:rFonts w:ascii="Arial" w:cs="Arial" w:eastAsia="Arial" w:hAnsi="Arial"/>
                <w:sz w:val="17"/>
                <w:szCs w:val="17"/>
                <w:color w:val="auto"/>
              </w:rPr>
              <w:t>0.2</w:t>
            </w:r>
          </w:p>
        </w:tc>
        <w:tc>
          <w:tcPr>
            <w:tcW w:w="100" w:type="dxa"/>
            <w:vAlign w:val="bottom"/>
          </w:tcPr>
          <w:p>
            <w:pPr>
              <w:spacing w:after="0"/>
              <w:rPr>
                <w:sz w:val="18"/>
                <w:szCs w:val="18"/>
                <w:color w:val="auto"/>
              </w:rPr>
            </w:pPr>
          </w:p>
        </w:tc>
        <w:tc>
          <w:tcPr>
            <w:tcW w:w="220" w:type="dxa"/>
            <w:vAlign w:val="bottom"/>
          </w:tcPr>
          <w:p>
            <w:pPr>
              <w:jc w:val="right"/>
              <w:ind w:right="34"/>
              <w:spacing w:after="0"/>
              <w:rPr>
                <w:sz w:val="20"/>
                <w:szCs w:val="20"/>
                <w:color w:val="auto"/>
              </w:rPr>
            </w:pPr>
            <w:r>
              <w:rPr>
                <w:rFonts w:ascii="Arial" w:cs="Arial" w:eastAsia="Arial" w:hAnsi="Arial"/>
                <w:sz w:val="17"/>
                <w:szCs w:val="17"/>
                <w:color w:val="auto"/>
                <w:w w:val="84"/>
              </w:rPr>
              <w:t>$</w:t>
            </w:r>
          </w:p>
        </w:tc>
        <w:tc>
          <w:tcPr>
            <w:tcW w:w="1460" w:type="dxa"/>
            <w:vAlign w:val="bottom"/>
          </w:tcPr>
          <w:p>
            <w:pPr>
              <w:jc w:val="right"/>
              <w:spacing w:after="0"/>
              <w:rPr>
                <w:sz w:val="20"/>
                <w:szCs w:val="20"/>
                <w:color w:val="auto"/>
              </w:rPr>
            </w:pPr>
            <w:r>
              <w:rPr>
                <w:rFonts w:ascii="Arial" w:cs="Arial" w:eastAsia="Arial" w:hAnsi="Arial"/>
                <w:sz w:val="17"/>
                <w:szCs w:val="17"/>
                <w:color w:val="auto"/>
              </w:rPr>
              <w:t>0.2</w:t>
            </w:r>
          </w:p>
        </w:tc>
      </w:tr>
      <w:tr>
        <w:trPr>
          <w:trHeight w:val="220"/>
        </w:trPr>
        <w:tc>
          <w:tcPr>
            <w:tcW w:w="7940" w:type="dxa"/>
            <w:vAlign w:val="bottom"/>
            <w:gridSpan w:val="3"/>
            <w:shd w:val="clear" w:color="auto" w:fill="CCEEFF"/>
          </w:tcPr>
          <w:p>
            <w:pPr>
              <w:ind w:left="20"/>
              <w:spacing w:after="0"/>
              <w:rPr>
                <w:sz w:val="20"/>
                <w:szCs w:val="20"/>
                <w:color w:val="auto"/>
              </w:rPr>
            </w:pPr>
            <w:r>
              <w:rPr>
                <w:rFonts w:ascii="Arial" w:cs="Arial" w:eastAsia="Arial" w:hAnsi="Arial"/>
                <w:sz w:val="17"/>
                <w:szCs w:val="17"/>
                <w:color w:val="auto"/>
              </w:rPr>
              <w:t>Insurance Receivable</w:t>
            </w:r>
          </w:p>
        </w:tc>
        <w:tc>
          <w:tcPr>
            <w:tcW w:w="24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w w:val="84"/>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w w:val="84"/>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23.0</w:t>
            </w:r>
          </w:p>
        </w:tc>
      </w:tr>
    </w:tbl>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5—Revenue Disaggregation</w:t>
      </w:r>
    </w:p>
    <w:p>
      <w:pPr>
        <w:spacing w:after="0" w:line="184" w:lineRule="exact"/>
        <w:rPr>
          <w:sz w:val="20"/>
          <w:szCs w:val="20"/>
          <w:color w:val="auto"/>
        </w:rPr>
      </w:pPr>
    </w:p>
    <w:p>
      <w:pPr>
        <w:ind w:left="320"/>
        <w:spacing w:after="0"/>
        <w:rPr>
          <w:sz w:val="20"/>
          <w:szCs w:val="20"/>
          <w:color w:val="auto"/>
        </w:rPr>
      </w:pPr>
      <w:r>
        <w:rPr>
          <w:rFonts w:ascii="Arial" w:cs="Arial" w:eastAsia="Arial" w:hAnsi="Arial"/>
          <w:sz w:val="15"/>
          <w:szCs w:val="15"/>
          <w:color w:val="auto"/>
        </w:rPr>
        <w:t>We generate revenues at our owned, managed or operated properties principally by providing the following types of services: (i) gaming, including iGaming;</w:t>
      </w:r>
    </w:p>
    <w:p>
      <w:pPr>
        <w:spacing w:after="0" w:line="45" w:lineRule="exact"/>
        <w:rPr>
          <w:sz w:val="20"/>
          <w:szCs w:val="20"/>
          <w:color w:val="auto"/>
        </w:rPr>
      </w:pPr>
    </w:p>
    <w:p>
      <w:pPr>
        <w:jc w:val="both"/>
        <w:ind w:right="100" w:firstLine="3"/>
        <w:spacing w:after="0" w:line="257" w:lineRule="auto"/>
        <w:tabs>
          <w:tab w:leader="none" w:pos="253" w:val="left"/>
        </w:tabs>
        <w:numPr>
          <w:ilvl w:val="0"/>
          <w:numId w:val="5"/>
        </w:numPr>
        <w:rPr>
          <w:rFonts w:ascii="Arial" w:cs="Arial" w:eastAsia="Arial" w:hAnsi="Arial"/>
          <w:sz w:val="17"/>
          <w:szCs w:val="17"/>
          <w:color w:val="auto"/>
        </w:rPr>
      </w:pPr>
      <w:r>
        <w:rPr>
          <w:rFonts w:ascii="Arial" w:cs="Arial" w:eastAsia="Arial" w:hAnsi="Arial"/>
          <w:sz w:val="17"/>
          <w:szCs w:val="17"/>
          <w:color w:val="auto"/>
        </w:rPr>
        <w:t xml:space="preserve">food and beverage; (iii) hotel; and (iv) other. Other revenues are principally comprised of ancillary gaming-related activities, such as commissions received on ATM transactions, racing, and Penn Interactive’s social gaming. In addition, we assess our revenues based on geographic location of the related properties, which is consistent with our reportable segments (see </w:t>
      </w:r>
      <w:hyperlink w:anchor="page29">
        <w:r>
          <w:rPr>
            <w:rFonts w:ascii="Arial" w:cs="Arial" w:eastAsia="Arial" w:hAnsi="Arial"/>
            <w:sz w:val="17"/>
            <w:szCs w:val="17"/>
            <w:u w:val="single" w:color="auto"/>
            <w:color w:val="0000FF"/>
          </w:rPr>
          <w:t>Note 16, “Segment Information,”</w:t>
        </w:r>
        <w:r>
          <w:rPr>
            <w:rFonts w:ascii="Arial" w:cs="Arial" w:eastAsia="Arial" w:hAnsi="Arial"/>
            <w:sz w:val="17"/>
            <w:szCs w:val="17"/>
            <w:u w:val="single" w:color="auto"/>
            <w:color w:val="auto"/>
          </w:rPr>
          <w:t xml:space="preserve"> </w:t>
        </w:r>
      </w:hyperlink>
      <w:r>
        <w:rPr>
          <w:rFonts w:ascii="Arial" w:cs="Arial" w:eastAsia="Arial" w:hAnsi="Arial"/>
          <w:sz w:val="17"/>
          <w:szCs w:val="17"/>
          <w:color w:val="auto"/>
        </w:rPr>
        <w:t>for further information). Our revenue disaggregation by type of revenue and geographic location was as follows:</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3580" w:type="dxa"/>
            <w:vAlign w:val="bottom"/>
            <w:tcBorders>
              <w:bottom w:val="single" w:sz="8" w:color="auto"/>
            </w:tcBorders>
            <w:gridSpan w:val="8"/>
          </w:tcPr>
          <w:p>
            <w:pPr>
              <w:ind w:left="180"/>
              <w:spacing w:after="0"/>
              <w:rPr>
                <w:sz w:val="20"/>
                <w:szCs w:val="20"/>
                <w:color w:val="auto"/>
              </w:rPr>
            </w:pPr>
            <w:r>
              <w:rPr>
                <w:rFonts w:ascii="Arial" w:cs="Arial" w:eastAsia="Arial" w:hAnsi="Arial"/>
                <w:sz w:val="17"/>
                <w:szCs w:val="17"/>
                <w:b w:val="1"/>
                <w:bCs w:val="1"/>
                <w:color w:val="auto"/>
                <w:w w:val="96"/>
              </w:rPr>
              <w:t>For the three months ended March 31, 2021</w:t>
            </w:r>
          </w:p>
        </w:tc>
        <w:tc>
          <w:tcPr>
            <w:tcW w:w="1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gridSpan w:val="2"/>
            <w:vMerge w:val="restart"/>
          </w:tcPr>
          <w:p>
            <w:pPr>
              <w:ind w:left="60"/>
              <w:spacing w:after="0"/>
              <w:rPr>
                <w:sz w:val="20"/>
                <w:szCs w:val="20"/>
                <w:color w:val="auto"/>
              </w:rPr>
            </w:pPr>
            <w:r>
              <w:rPr>
                <w:rFonts w:ascii="Arial" w:cs="Arial" w:eastAsia="Arial" w:hAnsi="Arial"/>
                <w:sz w:val="17"/>
                <w:szCs w:val="17"/>
                <w:b w:val="1"/>
                <w:bCs w:val="1"/>
                <w:color w:val="auto"/>
              </w:rPr>
              <w:t>Northeast</w:t>
            </w:r>
          </w:p>
        </w:tc>
        <w:tc>
          <w:tcPr>
            <w:tcW w:w="240" w:type="dxa"/>
            <w:vAlign w:val="bottom"/>
          </w:tcPr>
          <w:p>
            <w:pPr>
              <w:spacing w:after="0"/>
              <w:rPr>
                <w:sz w:val="14"/>
                <w:szCs w:val="14"/>
                <w:color w:val="auto"/>
              </w:rPr>
            </w:pPr>
          </w:p>
        </w:tc>
        <w:tc>
          <w:tcPr>
            <w:tcW w:w="1040" w:type="dxa"/>
            <w:vAlign w:val="bottom"/>
            <w:gridSpan w:val="2"/>
            <w:vMerge w:val="restart"/>
          </w:tcPr>
          <w:p>
            <w:pPr>
              <w:ind w:left="140"/>
              <w:spacing w:after="0"/>
              <w:rPr>
                <w:sz w:val="20"/>
                <w:szCs w:val="20"/>
                <w:color w:val="auto"/>
              </w:rPr>
            </w:pPr>
            <w:r>
              <w:rPr>
                <w:rFonts w:ascii="Arial" w:cs="Arial" w:eastAsia="Arial" w:hAnsi="Arial"/>
                <w:sz w:val="17"/>
                <w:szCs w:val="17"/>
                <w:b w:val="1"/>
                <w:bCs w:val="1"/>
                <w:color w:val="auto"/>
              </w:rPr>
              <w:t>South</w:t>
            </w:r>
          </w:p>
        </w:tc>
        <w:tc>
          <w:tcPr>
            <w:tcW w:w="260" w:type="dxa"/>
            <w:vAlign w:val="bottom"/>
          </w:tcPr>
          <w:p>
            <w:pPr>
              <w:spacing w:after="0"/>
              <w:rPr>
                <w:sz w:val="14"/>
                <w:szCs w:val="14"/>
                <w:color w:val="auto"/>
              </w:rPr>
            </w:pPr>
          </w:p>
        </w:tc>
        <w:tc>
          <w:tcPr>
            <w:tcW w:w="1020" w:type="dxa"/>
            <w:vAlign w:val="bottom"/>
            <w:gridSpan w:val="2"/>
            <w:vMerge w:val="restart"/>
          </w:tcPr>
          <w:p>
            <w:pPr>
              <w:ind w:left="160"/>
              <w:spacing w:after="0"/>
              <w:rPr>
                <w:sz w:val="20"/>
                <w:szCs w:val="20"/>
                <w:color w:val="auto"/>
              </w:rPr>
            </w:pPr>
            <w:r>
              <w:rPr>
                <w:rFonts w:ascii="Arial" w:cs="Arial" w:eastAsia="Arial" w:hAnsi="Arial"/>
                <w:sz w:val="17"/>
                <w:szCs w:val="17"/>
                <w:b w:val="1"/>
                <w:bCs w:val="1"/>
                <w:color w:val="auto"/>
              </w:rPr>
              <w:t>West</w:t>
            </w:r>
          </w:p>
        </w:tc>
        <w:tc>
          <w:tcPr>
            <w:tcW w:w="180" w:type="dxa"/>
            <w:vAlign w:val="bottom"/>
          </w:tcPr>
          <w:p>
            <w:pPr>
              <w:spacing w:after="0"/>
              <w:rPr>
                <w:sz w:val="14"/>
                <w:szCs w:val="14"/>
                <w:color w:val="auto"/>
              </w:rPr>
            </w:pPr>
          </w:p>
        </w:tc>
        <w:tc>
          <w:tcPr>
            <w:tcW w:w="1100" w:type="dxa"/>
            <w:vAlign w:val="bottom"/>
            <w:gridSpan w:val="2"/>
            <w:vMerge w:val="restart"/>
          </w:tcPr>
          <w:p>
            <w:pPr>
              <w:ind w:left="100"/>
              <w:spacing w:after="0"/>
              <w:rPr>
                <w:sz w:val="20"/>
                <w:szCs w:val="20"/>
                <w:color w:val="auto"/>
              </w:rPr>
            </w:pPr>
            <w:r>
              <w:rPr>
                <w:rFonts w:ascii="Arial" w:cs="Arial" w:eastAsia="Arial" w:hAnsi="Arial"/>
                <w:sz w:val="17"/>
                <w:szCs w:val="17"/>
                <w:b w:val="1"/>
                <w:bCs w:val="1"/>
                <w:color w:val="auto"/>
              </w:rPr>
              <w:t>Midwest</w:t>
            </w:r>
          </w:p>
        </w:tc>
        <w:tc>
          <w:tcPr>
            <w:tcW w:w="240" w:type="dxa"/>
            <w:vAlign w:val="bottom"/>
          </w:tcPr>
          <w:p>
            <w:pPr>
              <w:spacing w:after="0"/>
              <w:rPr>
                <w:sz w:val="14"/>
                <w:szCs w:val="14"/>
                <w:color w:val="auto"/>
              </w:rPr>
            </w:pPr>
          </w:p>
        </w:tc>
        <w:tc>
          <w:tcPr>
            <w:tcW w:w="1040" w:type="dxa"/>
            <w:vAlign w:val="bottom"/>
            <w:gridSpan w:val="2"/>
            <w:vMerge w:val="restart"/>
          </w:tcPr>
          <w:p>
            <w:pPr>
              <w:ind w:left="120"/>
              <w:spacing w:after="0"/>
              <w:rPr>
                <w:sz w:val="20"/>
                <w:szCs w:val="20"/>
                <w:color w:val="auto"/>
              </w:rPr>
            </w:pPr>
            <w:r>
              <w:rPr>
                <w:rFonts w:ascii="Arial" w:cs="Arial" w:eastAsia="Arial" w:hAnsi="Arial"/>
                <w:sz w:val="17"/>
                <w:szCs w:val="17"/>
                <w:b w:val="1"/>
                <w:bCs w:val="1"/>
                <w:color w:val="auto"/>
              </w:rPr>
              <w:t>Other</w:t>
            </w:r>
          </w:p>
        </w:tc>
        <w:tc>
          <w:tcPr>
            <w:tcW w:w="140" w:type="dxa"/>
            <w:vAlign w:val="bottom"/>
          </w:tcPr>
          <w:p>
            <w:pPr>
              <w:spacing w:after="0"/>
              <w:rPr>
                <w:sz w:val="14"/>
                <w:szCs w:val="14"/>
                <w:color w:val="auto"/>
              </w:rPr>
            </w:pPr>
          </w:p>
        </w:tc>
        <w:tc>
          <w:tcPr>
            <w:tcW w:w="1460" w:type="dxa"/>
            <w:vAlign w:val="bottom"/>
            <w:gridSpan w:val="2"/>
          </w:tcPr>
          <w:p>
            <w:pPr>
              <w:jc w:val="center"/>
              <w:ind w:right="240"/>
              <w:spacing w:after="0" w:line="162" w:lineRule="exact"/>
              <w:rPr>
                <w:sz w:val="20"/>
                <w:szCs w:val="20"/>
                <w:color w:val="auto"/>
              </w:rPr>
            </w:pPr>
            <w:r>
              <w:rPr>
                <w:rFonts w:ascii="Arial" w:cs="Arial" w:eastAsia="Arial" w:hAnsi="Arial"/>
                <w:sz w:val="17"/>
                <w:szCs w:val="17"/>
                <w:b w:val="1"/>
                <w:bCs w:val="1"/>
                <w:color w:val="auto"/>
                <w:w w:val="91"/>
              </w:rPr>
              <w:t>Intersegment</w:t>
            </w:r>
          </w:p>
        </w:tc>
        <w:tc>
          <w:tcPr>
            <w:tcW w:w="260" w:type="dxa"/>
            <w:vAlign w:val="bottom"/>
          </w:tcPr>
          <w:p>
            <w:pPr>
              <w:spacing w:after="0"/>
              <w:rPr>
                <w:sz w:val="14"/>
                <w:szCs w:val="14"/>
                <w:color w:val="auto"/>
              </w:rPr>
            </w:pPr>
          </w:p>
        </w:tc>
        <w:tc>
          <w:tcPr>
            <w:tcW w:w="940" w:type="dxa"/>
            <w:vAlign w:val="bottom"/>
            <w:gridSpan w:val="2"/>
            <w:vMerge w:val="restart"/>
          </w:tcPr>
          <w:p>
            <w:pPr>
              <w:ind w:left="140"/>
              <w:spacing w:after="0"/>
              <w:rPr>
                <w:sz w:val="20"/>
                <w:szCs w:val="20"/>
                <w:color w:val="auto"/>
              </w:rPr>
            </w:pPr>
            <w:r>
              <w:rPr>
                <w:rFonts w:ascii="Arial" w:cs="Arial" w:eastAsia="Arial" w:hAnsi="Arial"/>
                <w:sz w:val="17"/>
                <w:szCs w:val="17"/>
                <w:b w:val="1"/>
                <w:bCs w:val="1"/>
                <w:color w:val="auto"/>
              </w:rPr>
              <w:t>Total</w:t>
            </w:r>
          </w:p>
        </w:tc>
        <w:tc>
          <w:tcPr>
            <w:tcW w:w="0" w:type="dxa"/>
            <w:vAlign w:val="bottom"/>
          </w:tcPr>
          <w:p>
            <w:pPr>
              <w:spacing w:after="0"/>
              <w:rPr>
                <w:sz w:val="1"/>
                <w:szCs w:val="1"/>
                <w:color w:val="auto"/>
              </w:rPr>
            </w:pPr>
          </w:p>
        </w:tc>
      </w:tr>
      <w:tr>
        <w:trPr>
          <w:trHeight w:val="180"/>
        </w:trPr>
        <w:tc>
          <w:tcPr>
            <w:tcW w:w="2060" w:type="dxa"/>
            <w:vAlign w:val="bottom"/>
            <w:gridSpan w:val="3"/>
          </w:tcPr>
          <w:p>
            <w:pPr>
              <w:ind w:left="20"/>
              <w:spacing w:after="0"/>
              <w:rPr>
                <w:sz w:val="20"/>
                <w:szCs w:val="20"/>
                <w:color w:val="auto"/>
              </w:rPr>
            </w:pPr>
            <w:r>
              <w:rPr>
                <w:rFonts w:ascii="Arial" w:cs="Arial" w:eastAsia="Arial" w:hAnsi="Arial"/>
                <w:sz w:val="14"/>
                <w:szCs w:val="14"/>
                <w:b w:val="1"/>
                <w:bCs w:val="1"/>
                <w:i w:val="1"/>
                <w:iCs w:val="1"/>
                <w:color w:val="auto"/>
              </w:rPr>
              <w:t>(in millions)</w:t>
            </w:r>
          </w:p>
        </w:tc>
        <w:tc>
          <w:tcPr>
            <w:tcW w:w="160" w:type="dxa"/>
            <w:vAlign w:val="bottom"/>
          </w:tcPr>
          <w:p>
            <w:pPr>
              <w:spacing w:after="0"/>
              <w:rPr>
                <w:sz w:val="15"/>
                <w:szCs w:val="15"/>
                <w:color w:val="auto"/>
              </w:rPr>
            </w:pPr>
          </w:p>
        </w:tc>
        <w:tc>
          <w:tcPr>
            <w:tcW w:w="1100" w:type="dxa"/>
            <w:vAlign w:val="bottom"/>
            <w:gridSpan w:val="2"/>
            <w:vMerge w:val="continue"/>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gridSpan w:val="2"/>
            <w:vMerge w:val="continue"/>
          </w:tcPr>
          <w:p>
            <w:pPr>
              <w:spacing w:after="0"/>
              <w:rPr>
                <w:sz w:val="15"/>
                <w:szCs w:val="15"/>
                <w:color w:val="auto"/>
              </w:rPr>
            </w:pPr>
          </w:p>
        </w:tc>
        <w:tc>
          <w:tcPr>
            <w:tcW w:w="260" w:type="dxa"/>
            <w:vAlign w:val="bottom"/>
          </w:tcPr>
          <w:p>
            <w:pPr>
              <w:spacing w:after="0"/>
              <w:rPr>
                <w:sz w:val="15"/>
                <w:szCs w:val="15"/>
                <w:color w:val="auto"/>
              </w:rPr>
            </w:pPr>
          </w:p>
        </w:tc>
        <w:tc>
          <w:tcPr>
            <w:tcW w:w="102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gridSpan w:val="2"/>
            <w:vMerge w:val="continue"/>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460" w:type="dxa"/>
            <w:vAlign w:val="bottom"/>
            <w:gridSpan w:val="2"/>
          </w:tcPr>
          <w:p>
            <w:pPr>
              <w:jc w:val="center"/>
              <w:ind w:right="240"/>
              <w:spacing w:after="0" w:line="181" w:lineRule="exact"/>
              <w:rPr>
                <w:sz w:val="20"/>
                <w:szCs w:val="20"/>
                <w:color w:val="auto"/>
              </w:rPr>
            </w:pPr>
            <w:r>
              <w:rPr>
                <w:rFonts w:ascii="Arial" w:cs="Arial" w:eastAsia="Arial" w:hAnsi="Arial"/>
                <w:sz w:val="16"/>
                <w:szCs w:val="16"/>
                <w:b w:val="1"/>
                <w:bCs w:val="1"/>
                <w:color w:val="auto"/>
                <w:w w:val="94"/>
              </w:rPr>
              <w:t xml:space="preserve">Eliminations </w:t>
            </w:r>
            <w:r>
              <w:rPr>
                <w:rFonts w:ascii="Arial" w:cs="Arial" w:eastAsia="Arial" w:hAnsi="Arial"/>
                <w:sz w:val="20"/>
                <w:szCs w:val="20"/>
                <w:b w:val="1"/>
                <w:bCs w:val="1"/>
                <w:color w:val="auto"/>
                <w:w w:val="94"/>
                <w:vertAlign w:val="superscript"/>
              </w:rPr>
              <w:t>(1)</w:t>
            </w:r>
          </w:p>
        </w:tc>
        <w:tc>
          <w:tcPr>
            <w:tcW w:w="260" w:type="dxa"/>
            <w:vAlign w:val="bottom"/>
          </w:tcPr>
          <w:p>
            <w:pPr>
              <w:spacing w:after="0"/>
              <w:rPr>
                <w:sz w:val="15"/>
                <w:szCs w:val="15"/>
                <w:color w:val="auto"/>
              </w:rPr>
            </w:pPr>
          </w:p>
        </w:tc>
        <w:tc>
          <w:tcPr>
            <w:tcW w:w="9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700" w:type="dxa"/>
            <w:vAlign w:val="bottom"/>
            <w:tcBorders>
              <w:top w:val="single" w:sz="8" w:color="auto"/>
              <w:bottom w:val="single" w:sz="8" w:color="CCEEFF"/>
            </w:tcBorders>
          </w:tcPr>
          <w:p>
            <w:pPr>
              <w:spacing w:after="0" w:line="20" w:lineRule="exact"/>
              <w:rPr>
                <w:sz w:val="1"/>
                <w:szCs w:val="1"/>
                <w:color w:val="auto"/>
              </w:rPr>
            </w:pPr>
          </w:p>
        </w:tc>
        <w:tc>
          <w:tcPr>
            <w:tcW w:w="13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2060" w:type="dxa"/>
            <w:vAlign w:val="bottom"/>
            <w:gridSpan w:val="3"/>
            <w:shd w:val="clear" w:color="auto" w:fill="CCEEFF"/>
          </w:tcPr>
          <w:p>
            <w:pPr>
              <w:ind w:left="20"/>
              <w:spacing w:after="0"/>
              <w:rPr>
                <w:sz w:val="20"/>
                <w:szCs w:val="20"/>
                <w:color w:val="auto"/>
              </w:rPr>
            </w:pPr>
            <w:r>
              <w:rPr>
                <w:rFonts w:ascii="Arial" w:cs="Arial" w:eastAsia="Arial" w:hAnsi="Arial"/>
                <w:sz w:val="17"/>
                <w:szCs w:val="17"/>
                <w:b w:val="1"/>
                <w:bCs w:val="1"/>
                <w:color w:val="auto"/>
              </w:rPr>
              <w:t>Revenues:</w:t>
            </w: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2040" w:type="dxa"/>
            <w:vAlign w:val="bottom"/>
            <w:gridSpan w:val="2"/>
          </w:tcPr>
          <w:p>
            <w:pPr>
              <w:ind w:left="200"/>
              <w:spacing w:after="0"/>
              <w:rPr>
                <w:sz w:val="20"/>
                <w:szCs w:val="20"/>
                <w:color w:val="auto"/>
              </w:rPr>
            </w:pPr>
            <w:r>
              <w:rPr>
                <w:rFonts w:ascii="Arial" w:cs="Arial" w:eastAsia="Arial" w:hAnsi="Arial"/>
                <w:sz w:val="17"/>
                <w:szCs w:val="17"/>
                <w:color w:val="auto"/>
              </w:rPr>
              <w:t>Gaming</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000" w:type="dxa"/>
            <w:vAlign w:val="bottom"/>
          </w:tcPr>
          <w:p>
            <w:pPr>
              <w:jc w:val="right"/>
              <w:spacing w:after="0"/>
              <w:rPr>
                <w:sz w:val="20"/>
                <w:szCs w:val="20"/>
                <w:color w:val="auto"/>
              </w:rPr>
            </w:pPr>
            <w:r>
              <w:rPr>
                <w:rFonts w:ascii="Arial" w:cs="Arial" w:eastAsia="Arial" w:hAnsi="Arial"/>
                <w:sz w:val="17"/>
                <w:szCs w:val="17"/>
                <w:color w:val="auto"/>
              </w:rPr>
              <w:t>527.0</w:t>
            </w:r>
          </w:p>
        </w:tc>
        <w:tc>
          <w:tcPr>
            <w:tcW w:w="100" w:type="dxa"/>
            <w:vAlign w:val="bottom"/>
          </w:tcPr>
          <w:p>
            <w:pPr>
              <w:spacing w:after="0"/>
              <w:rPr>
                <w:sz w:val="18"/>
                <w:szCs w:val="18"/>
                <w:color w:val="auto"/>
              </w:rPr>
            </w:pPr>
          </w:p>
        </w:tc>
        <w:tc>
          <w:tcPr>
            <w:tcW w:w="240" w:type="dxa"/>
            <w:vAlign w:val="bottom"/>
          </w:tcPr>
          <w:p>
            <w:pPr>
              <w:jc w:val="right"/>
              <w:ind w:right="34"/>
              <w:spacing w:after="0"/>
              <w:rPr>
                <w:sz w:val="20"/>
                <w:szCs w:val="20"/>
                <w:color w:val="auto"/>
              </w:rPr>
            </w:pPr>
            <w:r>
              <w:rPr>
                <w:rFonts w:ascii="Arial" w:cs="Arial" w:eastAsia="Arial" w:hAnsi="Arial"/>
                <w:sz w:val="17"/>
                <w:szCs w:val="17"/>
                <w:color w:val="auto"/>
              </w:rPr>
              <w:t>$</w:t>
            </w:r>
          </w:p>
        </w:tc>
        <w:tc>
          <w:tcPr>
            <w:tcW w:w="940" w:type="dxa"/>
            <w:vAlign w:val="bottom"/>
          </w:tcPr>
          <w:p>
            <w:pPr>
              <w:jc w:val="right"/>
              <w:spacing w:after="0"/>
              <w:rPr>
                <w:sz w:val="20"/>
                <w:szCs w:val="20"/>
                <w:color w:val="auto"/>
              </w:rPr>
            </w:pPr>
            <w:r>
              <w:rPr>
                <w:rFonts w:ascii="Arial" w:cs="Arial" w:eastAsia="Arial" w:hAnsi="Arial"/>
                <w:sz w:val="17"/>
                <w:szCs w:val="17"/>
                <w:color w:val="auto"/>
              </w:rPr>
              <w:t>245.4</w:t>
            </w:r>
          </w:p>
        </w:tc>
        <w:tc>
          <w:tcPr>
            <w:tcW w:w="100" w:type="dxa"/>
            <w:vAlign w:val="bottom"/>
          </w:tcPr>
          <w:p>
            <w:pPr>
              <w:spacing w:after="0"/>
              <w:rPr>
                <w:sz w:val="18"/>
                <w:szCs w:val="18"/>
                <w:color w:val="auto"/>
              </w:rPr>
            </w:pPr>
          </w:p>
        </w:tc>
        <w:tc>
          <w:tcPr>
            <w:tcW w:w="260" w:type="dxa"/>
            <w:vAlign w:val="bottom"/>
          </w:tcPr>
          <w:p>
            <w:pPr>
              <w:jc w:val="right"/>
              <w:ind w:right="74"/>
              <w:spacing w:after="0"/>
              <w:rPr>
                <w:sz w:val="20"/>
                <w:szCs w:val="20"/>
                <w:color w:val="auto"/>
              </w:rPr>
            </w:pPr>
            <w:r>
              <w:rPr>
                <w:rFonts w:ascii="Arial" w:cs="Arial" w:eastAsia="Arial" w:hAnsi="Arial"/>
                <w:sz w:val="17"/>
                <w:szCs w:val="17"/>
                <w:color w:val="auto"/>
                <w:w w:val="84"/>
              </w:rPr>
              <w:t>$</w:t>
            </w:r>
          </w:p>
        </w:tc>
        <w:tc>
          <w:tcPr>
            <w:tcW w:w="920" w:type="dxa"/>
            <w:vAlign w:val="bottom"/>
          </w:tcPr>
          <w:p>
            <w:pPr>
              <w:jc w:val="right"/>
              <w:spacing w:after="0"/>
              <w:rPr>
                <w:sz w:val="20"/>
                <w:szCs w:val="20"/>
                <w:color w:val="auto"/>
              </w:rPr>
            </w:pPr>
            <w:r>
              <w:rPr>
                <w:rFonts w:ascii="Arial" w:cs="Arial" w:eastAsia="Arial" w:hAnsi="Arial"/>
                <w:sz w:val="17"/>
                <w:szCs w:val="17"/>
                <w:color w:val="auto"/>
              </w:rPr>
              <w:t>69.1</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000" w:type="dxa"/>
            <w:vAlign w:val="bottom"/>
          </w:tcPr>
          <w:p>
            <w:pPr>
              <w:jc w:val="right"/>
              <w:spacing w:after="0"/>
              <w:rPr>
                <w:sz w:val="20"/>
                <w:szCs w:val="20"/>
                <w:color w:val="auto"/>
              </w:rPr>
            </w:pPr>
            <w:r>
              <w:rPr>
                <w:rFonts w:ascii="Arial" w:cs="Arial" w:eastAsia="Arial" w:hAnsi="Arial"/>
                <w:sz w:val="17"/>
                <w:szCs w:val="17"/>
                <w:color w:val="auto"/>
              </w:rPr>
              <w:t>216.9</w:t>
            </w:r>
          </w:p>
        </w:tc>
        <w:tc>
          <w:tcPr>
            <w:tcW w:w="100" w:type="dxa"/>
            <w:vAlign w:val="bottom"/>
          </w:tcPr>
          <w:p>
            <w:pPr>
              <w:spacing w:after="0"/>
              <w:rPr>
                <w:sz w:val="18"/>
                <w:szCs w:val="18"/>
                <w:color w:val="auto"/>
              </w:rPr>
            </w:pPr>
          </w:p>
        </w:tc>
        <w:tc>
          <w:tcPr>
            <w:tcW w:w="240" w:type="dxa"/>
            <w:vAlign w:val="bottom"/>
          </w:tcPr>
          <w:p>
            <w:pPr>
              <w:jc w:val="right"/>
              <w:ind w:right="54"/>
              <w:spacing w:after="0"/>
              <w:rPr>
                <w:sz w:val="20"/>
                <w:szCs w:val="20"/>
                <w:color w:val="auto"/>
              </w:rPr>
            </w:pPr>
            <w:r>
              <w:rPr>
                <w:rFonts w:ascii="Arial" w:cs="Arial" w:eastAsia="Arial" w:hAnsi="Arial"/>
                <w:sz w:val="17"/>
                <w:szCs w:val="17"/>
                <w:color w:val="auto"/>
                <w:w w:val="84"/>
              </w:rPr>
              <w:t>$</w:t>
            </w:r>
          </w:p>
        </w:tc>
        <w:tc>
          <w:tcPr>
            <w:tcW w:w="940" w:type="dxa"/>
            <w:vAlign w:val="bottom"/>
          </w:tcPr>
          <w:p>
            <w:pPr>
              <w:jc w:val="right"/>
              <w:spacing w:after="0"/>
              <w:rPr>
                <w:sz w:val="20"/>
                <w:szCs w:val="20"/>
                <w:color w:val="auto"/>
              </w:rPr>
            </w:pPr>
            <w:r>
              <w:rPr>
                <w:rFonts w:ascii="Arial" w:cs="Arial" w:eastAsia="Arial" w:hAnsi="Arial"/>
                <w:sz w:val="17"/>
                <w:szCs w:val="17"/>
                <w:color w:val="auto"/>
              </w:rPr>
              <w:t>23.6</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460" w:type="dxa"/>
            <w:vAlign w:val="bottom"/>
            <w:gridSpan w:val="2"/>
          </w:tcPr>
          <w:p>
            <w:pPr>
              <w:ind w:left="1120"/>
              <w:spacing w:after="0"/>
              <w:rPr>
                <w:sz w:val="20"/>
                <w:szCs w:val="20"/>
                <w:color w:val="auto"/>
              </w:rPr>
            </w:pPr>
            <w:r>
              <w:rPr>
                <w:rFonts w:ascii="Arial" w:cs="Arial" w:eastAsia="Arial" w:hAnsi="Arial"/>
                <w:sz w:val="17"/>
                <w:szCs w:val="17"/>
                <w:color w:val="auto"/>
              </w:rPr>
              <w:t>—</w:t>
            </w:r>
          </w:p>
        </w:tc>
        <w:tc>
          <w:tcPr>
            <w:tcW w:w="260" w:type="dxa"/>
            <w:vAlign w:val="bottom"/>
          </w:tcPr>
          <w:p>
            <w:pPr>
              <w:jc w:val="right"/>
              <w:ind w:right="74"/>
              <w:spacing w:after="0"/>
              <w:rPr>
                <w:sz w:val="20"/>
                <w:szCs w:val="20"/>
                <w:color w:val="auto"/>
              </w:rPr>
            </w:pPr>
            <w:r>
              <w:rPr>
                <w:rFonts w:ascii="Arial" w:cs="Arial" w:eastAsia="Arial" w:hAnsi="Arial"/>
                <w:sz w:val="17"/>
                <w:szCs w:val="17"/>
                <w:color w:val="auto"/>
                <w:w w:val="84"/>
              </w:rPr>
              <w:t>$</w:t>
            </w:r>
          </w:p>
        </w:tc>
        <w:tc>
          <w:tcPr>
            <w:tcW w:w="920" w:type="dxa"/>
            <w:vAlign w:val="bottom"/>
          </w:tcPr>
          <w:p>
            <w:pPr>
              <w:jc w:val="right"/>
              <w:spacing w:after="0"/>
              <w:rPr>
                <w:sz w:val="20"/>
                <w:szCs w:val="20"/>
                <w:color w:val="auto"/>
              </w:rPr>
            </w:pPr>
            <w:r>
              <w:rPr>
                <w:rFonts w:ascii="Arial" w:cs="Arial" w:eastAsia="Arial" w:hAnsi="Arial"/>
                <w:sz w:val="17"/>
                <w:szCs w:val="17"/>
                <w:color w:val="auto"/>
              </w:rPr>
              <w:t>1,082.0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20" w:type="dxa"/>
            <w:vAlign w:val="bottom"/>
            <w:shd w:val="clear" w:color="auto" w:fill="CCEEFF"/>
          </w:tcPr>
          <w:p>
            <w:pPr>
              <w:spacing w:after="0"/>
              <w:rPr>
                <w:sz w:val="19"/>
                <w:szCs w:val="19"/>
                <w:color w:val="auto"/>
              </w:rPr>
            </w:pPr>
          </w:p>
        </w:tc>
        <w:tc>
          <w:tcPr>
            <w:tcW w:w="2040" w:type="dxa"/>
            <w:vAlign w:val="bottom"/>
            <w:gridSpan w:val="2"/>
            <w:shd w:val="clear" w:color="auto" w:fill="CCEEFF"/>
          </w:tcPr>
          <w:p>
            <w:pPr>
              <w:ind w:left="200"/>
              <w:spacing w:after="0"/>
              <w:rPr>
                <w:sz w:val="20"/>
                <w:szCs w:val="20"/>
                <w:color w:val="auto"/>
              </w:rPr>
            </w:pPr>
            <w:r>
              <w:rPr>
                <w:rFonts w:ascii="Arial" w:cs="Arial" w:eastAsia="Arial" w:hAnsi="Arial"/>
                <w:sz w:val="17"/>
                <w:szCs w:val="17"/>
                <w:color w:val="auto"/>
              </w:rPr>
              <w:t>Food and beverage</w:t>
            </w: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ind w:left="1120"/>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63.0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2040" w:type="dxa"/>
            <w:vAlign w:val="bottom"/>
            <w:gridSpan w:val="2"/>
          </w:tcPr>
          <w:p>
            <w:pPr>
              <w:ind w:left="200"/>
              <w:spacing w:after="0"/>
              <w:rPr>
                <w:sz w:val="20"/>
                <w:szCs w:val="20"/>
                <w:color w:val="auto"/>
              </w:rPr>
            </w:pPr>
            <w:r>
              <w:rPr>
                <w:rFonts w:ascii="Arial" w:cs="Arial" w:eastAsia="Arial" w:hAnsi="Arial"/>
                <w:sz w:val="17"/>
                <w:szCs w:val="17"/>
                <w:color w:val="auto"/>
              </w:rPr>
              <w:t>Hotel</w:t>
            </w: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5.8</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19.6</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12.5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5.9</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8"/>
                <w:szCs w:val="18"/>
                <w:color w:val="auto"/>
              </w:rPr>
            </w:pPr>
          </w:p>
        </w:tc>
        <w:tc>
          <w:tcPr>
            <w:tcW w:w="1460" w:type="dxa"/>
            <w:vAlign w:val="bottom"/>
            <w:gridSpan w:val="2"/>
          </w:tcPr>
          <w:p>
            <w:pPr>
              <w:ind w:left="1120"/>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43.8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2040" w:type="dxa"/>
            <w:vAlign w:val="bottom"/>
            <w:gridSpan w:val="2"/>
            <w:shd w:val="clear" w:color="auto" w:fill="CCEEFF"/>
          </w:tcPr>
          <w:p>
            <w:pPr>
              <w:ind w:left="200"/>
              <w:spacing w:after="0"/>
              <w:rPr>
                <w:sz w:val="20"/>
                <w:szCs w:val="20"/>
                <w:color w:val="auto"/>
              </w:rPr>
            </w:pPr>
            <w:r>
              <w:rPr>
                <w:rFonts w:ascii="Arial" w:cs="Arial" w:eastAsia="Arial" w:hAnsi="Arial"/>
                <w:sz w:val="17"/>
                <w:szCs w:val="17"/>
                <w:color w:val="auto"/>
              </w:rPr>
              <w:t>Other</w:t>
            </w:r>
          </w:p>
        </w:tc>
        <w:tc>
          <w:tcPr>
            <w:tcW w:w="1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17.2</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7.8</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3.1</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4.9</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64.2</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(11.1)</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86.1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040" w:type="dxa"/>
            <w:vAlign w:val="bottom"/>
            <w:gridSpan w:val="2"/>
          </w:tcPr>
          <w:p>
            <w:pPr>
              <w:ind w:left="420"/>
              <w:spacing w:after="0"/>
              <w:rPr>
                <w:sz w:val="20"/>
                <w:szCs w:val="20"/>
                <w:color w:val="auto"/>
              </w:rPr>
            </w:pPr>
            <w:r>
              <w:rPr>
                <w:rFonts w:ascii="Arial" w:cs="Arial" w:eastAsia="Arial" w:hAnsi="Arial"/>
                <w:sz w:val="17"/>
                <w:szCs w:val="17"/>
                <w:color w:val="auto"/>
              </w:rPr>
              <w:t>Total revenues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570.9</w:t>
            </w:r>
          </w:p>
        </w:tc>
        <w:tc>
          <w:tcPr>
            <w:tcW w:w="100" w:type="dxa"/>
            <w:vAlign w:val="bottom"/>
          </w:tcPr>
          <w:p>
            <w:pPr>
              <w:spacing w:after="0"/>
              <w:rPr>
                <w:sz w:val="18"/>
                <w:szCs w:val="18"/>
                <w:color w:val="auto"/>
              </w:rPr>
            </w:pPr>
          </w:p>
        </w:tc>
        <w:tc>
          <w:tcPr>
            <w:tcW w:w="240" w:type="dxa"/>
            <w:vAlign w:val="bottom"/>
            <w:tcBorders>
              <w:bottom w:val="single" w:sz="8" w:color="auto"/>
            </w:tcBorders>
          </w:tcPr>
          <w:p>
            <w:pPr>
              <w:jc w:val="right"/>
              <w:ind w:right="34"/>
              <w:spacing w:after="0"/>
              <w:rPr>
                <w:sz w:val="20"/>
                <w:szCs w:val="20"/>
                <w:color w:val="auto"/>
              </w:rPr>
            </w:pPr>
            <w:r>
              <w:rPr>
                <w:rFonts w:ascii="Arial" w:cs="Arial" w:eastAsia="Arial" w:hAnsi="Arial"/>
                <w:sz w:val="17"/>
                <w:szCs w:val="17"/>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295.9</w:t>
            </w:r>
          </w:p>
        </w:tc>
        <w:tc>
          <w:tcPr>
            <w:tcW w:w="100" w:type="dxa"/>
            <w:vAlign w:val="bottom"/>
          </w:tcPr>
          <w:p>
            <w:pPr>
              <w:spacing w:after="0"/>
              <w:rPr>
                <w:sz w:val="18"/>
                <w:szCs w:val="18"/>
                <w:color w:val="auto"/>
              </w:rPr>
            </w:pPr>
          </w:p>
        </w:tc>
        <w:tc>
          <w:tcPr>
            <w:tcW w:w="260" w:type="dxa"/>
            <w:vAlign w:val="bottom"/>
            <w:tcBorders>
              <w:bottom w:val="single" w:sz="8" w:color="auto"/>
            </w:tcBorders>
          </w:tcPr>
          <w:p>
            <w:pPr>
              <w:jc w:val="right"/>
              <w:ind w:right="74"/>
              <w:spacing w:after="0"/>
              <w:rPr>
                <w:sz w:val="20"/>
                <w:szCs w:val="20"/>
                <w:color w:val="auto"/>
              </w:rPr>
            </w:pPr>
            <w:r>
              <w:rPr>
                <w:rFonts w:ascii="Arial" w:cs="Arial" w:eastAsia="Arial" w:hAnsi="Arial"/>
                <w:sz w:val="17"/>
                <w:szCs w:val="17"/>
                <w:color w:val="auto"/>
                <w:w w:val="84"/>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96.6</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234.7</w:t>
            </w:r>
          </w:p>
        </w:tc>
        <w:tc>
          <w:tcPr>
            <w:tcW w:w="100" w:type="dxa"/>
            <w:vAlign w:val="bottom"/>
          </w:tcPr>
          <w:p>
            <w:pPr>
              <w:spacing w:after="0"/>
              <w:rPr>
                <w:sz w:val="18"/>
                <w:szCs w:val="18"/>
                <w:color w:val="auto"/>
              </w:rPr>
            </w:pPr>
          </w:p>
        </w:tc>
        <w:tc>
          <w:tcPr>
            <w:tcW w:w="240" w:type="dxa"/>
            <w:vAlign w:val="bottom"/>
            <w:tcBorders>
              <w:bottom w:val="single" w:sz="8" w:color="auto"/>
            </w:tcBorders>
          </w:tcPr>
          <w:p>
            <w:pPr>
              <w:jc w:val="right"/>
              <w:ind w:right="54"/>
              <w:spacing w:after="0"/>
              <w:rPr>
                <w:sz w:val="20"/>
                <w:szCs w:val="20"/>
                <w:color w:val="auto"/>
              </w:rPr>
            </w:pPr>
            <w:r>
              <w:rPr>
                <w:rFonts w:ascii="Arial" w:cs="Arial" w:eastAsia="Arial" w:hAnsi="Arial"/>
                <w:sz w:val="17"/>
                <w:szCs w:val="17"/>
                <w:color w:val="auto"/>
                <w:w w:val="84"/>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87.9</w:t>
            </w: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(11.1)</w:t>
            </w:r>
          </w:p>
        </w:tc>
        <w:tc>
          <w:tcPr>
            <w:tcW w:w="100" w:type="dxa"/>
            <w:vAlign w:val="bottom"/>
          </w:tcPr>
          <w:p>
            <w:pPr>
              <w:spacing w:after="0"/>
              <w:rPr>
                <w:sz w:val="18"/>
                <w:szCs w:val="18"/>
                <w:color w:val="auto"/>
              </w:rPr>
            </w:pPr>
          </w:p>
        </w:tc>
        <w:tc>
          <w:tcPr>
            <w:tcW w:w="260" w:type="dxa"/>
            <w:vAlign w:val="bottom"/>
            <w:tcBorders>
              <w:bottom w:val="single" w:sz="8" w:color="auto"/>
            </w:tcBorders>
          </w:tcPr>
          <w:p>
            <w:pPr>
              <w:jc w:val="right"/>
              <w:ind w:right="74"/>
              <w:spacing w:after="0"/>
              <w:rPr>
                <w:sz w:val="20"/>
                <w:szCs w:val="20"/>
                <w:color w:val="auto"/>
              </w:rPr>
            </w:pPr>
            <w:r>
              <w:rPr>
                <w:rFonts w:ascii="Arial" w:cs="Arial" w:eastAsia="Arial" w:hAnsi="Arial"/>
                <w:sz w:val="17"/>
                <w:szCs w:val="17"/>
                <w:color w:val="auto"/>
                <w:w w:val="84"/>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1,274.9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86"/>
        </w:trPr>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10</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8"/>
        </w:trPr>
        <w:tc>
          <w:tcPr>
            <w:tcW w:w="2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13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3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195"/>
        </w:trPr>
        <w:tc>
          <w:tcPr>
            <w:tcW w:w="2040" w:type="dxa"/>
            <w:vAlign w:val="bottom"/>
            <w:gridSpan w:val="4"/>
          </w:tcPr>
          <w:p>
            <w:pPr>
              <w:spacing w:after="0"/>
              <w:rPr>
                <w:rFonts w:ascii="Arial" w:cs="Arial" w:eastAsia="Arial" w:hAnsi="Arial"/>
                <w:sz w:val="17"/>
                <w:szCs w:val="17"/>
                <w:color w:val="0000FF"/>
              </w:rPr>
            </w:pPr>
            <w:hyperlink w:anchor="page1">
              <w:r>
                <w:rPr>
                  <w:rFonts w:ascii="Arial" w:cs="Arial" w:eastAsia="Arial" w:hAnsi="Arial"/>
                  <w:sz w:val="17"/>
                  <w:szCs w:val="17"/>
                  <w:color w:val="0000FF"/>
                </w:rPr>
                <w:t>Table of Contents</w:t>
              </w:r>
            </w:hyperlink>
          </w:p>
        </w:tc>
        <w:tc>
          <w:tcPr>
            <w:tcW w:w="1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91"/>
        </w:trPr>
        <w:tc>
          <w:tcPr>
            <w:tcW w:w="20" w:type="dxa"/>
            <w:vAlign w:val="bottom"/>
            <w:tcBorders>
              <w:top w:val="single" w:sz="8" w:color="0000FF"/>
            </w:tcBorders>
          </w:tcPr>
          <w:p>
            <w:pPr>
              <w:spacing w:after="0"/>
              <w:rPr>
                <w:sz w:val="24"/>
                <w:szCs w:val="24"/>
                <w:color w:val="auto"/>
              </w:rPr>
            </w:pPr>
          </w:p>
        </w:tc>
        <w:tc>
          <w:tcPr>
            <w:tcW w:w="700" w:type="dxa"/>
            <w:vAlign w:val="bottom"/>
            <w:tcBorders>
              <w:top w:val="single" w:sz="8" w:color="0000FF"/>
            </w:tcBorders>
          </w:tcPr>
          <w:p>
            <w:pPr>
              <w:spacing w:after="0"/>
              <w:rPr>
                <w:sz w:val="24"/>
                <w:szCs w:val="24"/>
                <w:color w:val="auto"/>
              </w:rPr>
            </w:pPr>
          </w:p>
        </w:tc>
        <w:tc>
          <w:tcPr>
            <w:tcW w:w="500" w:type="dxa"/>
            <w:vAlign w:val="bottom"/>
            <w:tcBorders>
              <w:top w:val="single" w:sz="8" w:color="0000FF"/>
            </w:tcBorders>
          </w:tcPr>
          <w:p>
            <w:pPr>
              <w:spacing w:after="0"/>
              <w:rPr>
                <w:sz w:val="24"/>
                <w:szCs w:val="24"/>
                <w:color w:val="auto"/>
              </w:rPr>
            </w:pPr>
          </w:p>
        </w:tc>
        <w:tc>
          <w:tcPr>
            <w:tcW w:w="8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580" w:type="dxa"/>
            <w:vAlign w:val="bottom"/>
            <w:tcBorders>
              <w:bottom w:val="single" w:sz="8" w:color="auto"/>
            </w:tcBorders>
            <w:gridSpan w:val="8"/>
          </w:tcPr>
          <w:p>
            <w:pPr>
              <w:ind w:left="180"/>
              <w:spacing w:after="0"/>
              <w:rPr>
                <w:sz w:val="20"/>
                <w:szCs w:val="20"/>
                <w:color w:val="auto"/>
              </w:rPr>
            </w:pPr>
            <w:r>
              <w:rPr>
                <w:rFonts w:ascii="Arial" w:cs="Arial" w:eastAsia="Arial" w:hAnsi="Arial"/>
                <w:sz w:val="17"/>
                <w:szCs w:val="17"/>
                <w:b w:val="1"/>
                <w:bCs w:val="1"/>
                <w:color w:val="auto"/>
                <w:w w:val="96"/>
              </w:rPr>
              <w:t>For the three months ended March 31, 2020</w:t>
            </w:r>
          </w:p>
        </w:tc>
        <w:tc>
          <w:tcPr>
            <w:tcW w:w="16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gridSpan w:val="2"/>
            <w:vMerge w:val="restart"/>
          </w:tcPr>
          <w:p>
            <w:pPr>
              <w:ind w:left="60"/>
              <w:spacing w:after="0"/>
              <w:rPr>
                <w:sz w:val="20"/>
                <w:szCs w:val="20"/>
                <w:color w:val="auto"/>
              </w:rPr>
            </w:pPr>
            <w:r>
              <w:rPr>
                <w:rFonts w:ascii="Arial" w:cs="Arial" w:eastAsia="Arial" w:hAnsi="Arial"/>
                <w:sz w:val="17"/>
                <w:szCs w:val="17"/>
                <w:b w:val="1"/>
                <w:bCs w:val="1"/>
                <w:color w:val="auto"/>
              </w:rPr>
              <w:t>Northeast</w:t>
            </w:r>
          </w:p>
        </w:tc>
        <w:tc>
          <w:tcPr>
            <w:tcW w:w="240" w:type="dxa"/>
            <w:vAlign w:val="bottom"/>
          </w:tcPr>
          <w:p>
            <w:pPr>
              <w:spacing w:after="0"/>
              <w:rPr>
                <w:sz w:val="14"/>
                <w:szCs w:val="14"/>
                <w:color w:val="auto"/>
              </w:rPr>
            </w:pPr>
          </w:p>
        </w:tc>
        <w:tc>
          <w:tcPr>
            <w:tcW w:w="1040" w:type="dxa"/>
            <w:vAlign w:val="bottom"/>
            <w:gridSpan w:val="2"/>
            <w:vMerge w:val="restart"/>
          </w:tcPr>
          <w:p>
            <w:pPr>
              <w:ind w:left="120"/>
              <w:spacing w:after="0"/>
              <w:rPr>
                <w:sz w:val="20"/>
                <w:szCs w:val="20"/>
                <w:color w:val="auto"/>
              </w:rPr>
            </w:pPr>
            <w:r>
              <w:rPr>
                <w:rFonts w:ascii="Arial" w:cs="Arial" w:eastAsia="Arial" w:hAnsi="Arial"/>
                <w:sz w:val="17"/>
                <w:szCs w:val="17"/>
                <w:b w:val="1"/>
                <w:bCs w:val="1"/>
                <w:color w:val="auto"/>
              </w:rPr>
              <w:t>South</w:t>
            </w:r>
          </w:p>
        </w:tc>
        <w:tc>
          <w:tcPr>
            <w:tcW w:w="240" w:type="dxa"/>
            <w:vAlign w:val="bottom"/>
          </w:tcPr>
          <w:p>
            <w:pPr>
              <w:spacing w:after="0"/>
              <w:rPr>
                <w:sz w:val="14"/>
                <w:szCs w:val="14"/>
                <w:color w:val="auto"/>
              </w:rPr>
            </w:pPr>
          </w:p>
        </w:tc>
        <w:tc>
          <w:tcPr>
            <w:tcW w:w="1020" w:type="dxa"/>
            <w:vAlign w:val="bottom"/>
            <w:gridSpan w:val="2"/>
            <w:vMerge w:val="restart"/>
          </w:tcPr>
          <w:p>
            <w:pPr>
              <w:ind w:left="160"/>
              <w:spacing w:after="0"/>
              <w:rPr>
                <w:sz w:val="20"/>
                <w:szCs w:val="20"/>
                <w:color w:val="auto"/>
              </w:rPr>
            </w:pPr>
            <w:r>
              <w:rPr>
                <w:rFonts w:ascii="Arial" w:cs="Arial" w:eastAsia="Arial" w:hAnsi="Arial"/>
                <w:sz w:val="17"/>
                <w:szCs w:val="17"/>
                <w:b w:val="1"/>
                <w:bCs w:val="1"/>
                <w:color w:val="auto"/>
              </w:rPr>
              <w:t>West</w:t>
            </w:r>
          </w:p>
        </w:tc>
        <w:tc>
          <w:tcPr>
            <w:tcW w:w="200" w:type="dxa"/>
            <w:vAlign w:val="bottom"/>
          </w:tcPr>
          <w:p>
            <w:pPr>
              <w:spacing w:after="0"/>
              <w:rPr>
                <w:sz w:val="14"/>
                <w:szCs w:val="14"/>
                <w:color w:val="auto"/>
              </w:rPr>
            </w:pPr>
          </w:p>
        </w:tc>
        <w:tc>
          <w:tcPr>
            <w:tcW w:w="1080" w:type="dxa"/>
            <w:vAlign w:val="bottom"/>
            <w:gridSpan w:val="2"/>
            <w:vMerge w:val="restart"/>
          </w:tcPr>
          <w:p>
            <w:pPr>
              <w:ind w:left="80"/>
              <w:spacing w:after="0"/>
              <w:rPr>
                <w:sz w:val="20"/>
                <w:szCs w:val="20"/>
                <w:color w:val="auto"/>
              </w:rPr>
            </w:pPr>
            <w:r>
              <w:rPr>
                <w:rFonts w:ascii="Arial" w:cs="Arial" w:eastAsia="Arial" w:hAnsi="Arial"/>
                <w:sz w:val="17"/>
                <w:szCs w:val="17"/>
                <w:b w:val="1"/>
                <w:bCs w:val="1"/>
                <w:color w:val="auto"/>
              </w:rPr>
              <w:t>Midwest</w:t>
            </w:r>
          </w:p>
        </w:tc>
        <w:tc>
          <w:tcPr>
            <w:tcW w:w="240" w:type="dxa"/>
            <w:vAlign w:val="bottom"/>
          </w:tcPr>
          <w:p>
            <w:pPr>
              <w:spacing w:after="0"/>
              <w:rPr>
                <w:sz w:val="14"/>
                <w:szCs w:val="14"/>
                <w:color w:val="auto"/>
              </w:rPr>
            </w:pPr>
          </w:p>
        </w:tc>
        <w:tc>
          <w:tcPr>
            <w:tcW w:w="1040" w:type="dxa"/>
            <w:vAlign w:val="bottom"/>
            <w:gridSpan w:val="2"/>
            <w:vMerge w:val="restart"/>
          </w:tcPr>
          <w:p>
            <w:pPr>
              <w:ind w:left="140"/>
              <w:spacing w:after="0"/>
              <w:rPr>
                <w:sz w:val="20"/>
                <w:szCs w:val="20"/>
                <w:color w:val="auto"/>
              </w:rPr>
            </w:pPr>
            <w:r>
              <w:rPr>
                <w:rFonts w:ascii="Arial" w:cs="Arial" w:eastAsia="Arial" w:hAnsi="Arial"/>
                <w:sz w:val="17"/>
                <w:szCs w:val="17"/>
                <w:b w:val="1"/>
                <w:bCs w:val="1"/>
                <w:color w:val="auto"/>
              </w:rPr>
              <w:t>Other</w:t>
            </w:r>
          </w:p>
        </w:tc>
        <w:tc>
          <w:tcPr>
            <w:tcW w:w="160" w:type="dxa"/>
            <w:vAlign w:val="bottom"/>
          </w:tcPr>
          <w:p>
            <w:pPr>
              <w:spacing w:after="0"/>
              <w:rPr>
                <w:sz w:val="14"/>
                <w:szCs w:val="14"/>
                <w:color w:val="auto"/>
              </w:rPr>
            </w:pPr>
          </w:p>
        </w:tc>
        <w:tc>
          <w:tcPr>
            <w:tcW w:w="1460" w:type="dxa"/>
            <w:vAlign w:val="bottom"/>
            <w:gridSpan w:val="2"/>
          </w:tcPr>
          <w:p>
            <w:pPr>
              <w:jc w:val="center"/>
              <w:ind w:right="280"/>
              <w:spacing w:after="0" w:line="162" w:lineRule="exact"/>
              <w:rPr>
                <w:sz w:val="20"/>
                <w:szCs w:val="20"/>
                <w:color w:val="auto"/>
              </w:rPr>
            </w:pPr>
            <w:r>
              <w:rPr>
                <w:rFonts w:ascii="Arial" w:cs="Arial" w:eastAsia="Arial" w:hAnsi="Arial"/>
                <w:sz w:val="17"/>
                <w:szCs w:val="17"/>
                <w:b w:val="1"/>
                <w:bCs w:val="1"/>
                <w:color w:val="auto"/>
                <w:w w:val="91"/>
              </w:rPr>
              <w:t>Intersegment</w:t>
            </w:r>
          </w:p>
        </w:tc>
        <w:tc>
          <w:tcPr>
            <w:tcW w:w="240" w:type="dxa"/>
            <w:vAlign w:val="bottom"/>
          </w:tcPr>
          <w:p>
            <w:pPr>
              <w:spacing w:after="0"/>
              <w:rPr>
                <w:sz w:val="14"/>
                <w:szCs w:val="14"/>
                <w:color w:val="auto"/>
              </w:rPr>
            </w:pPr>
          </w:p>
        </w:tc>
        <w:tc>
          <w:tcPr>
            <w:tcW w:w="920" w:type="dxa"/>
            <w:vAlign w:val="bottom"/>
            <w:vMerge w:val="restart"/>
          </w:tcPr>
          <w:p>
            <w:pPr>
              <w:jc w:val="right"/>
              <w:ind w:right="314"/>
              <w:spacing w:after="0"/>
              <w:rPr>
                <w:sz w:val="20"/>
                <w:szCs w:val="20"/>
                <w:color w:val="auto"/>
              </w:rPr>
            </w:pPr>
            <w:r>
              <w:rPr>
                <w:rFonts w:ascii="Arial" w:cs="Arial" w:eastAsia="Arial" w:hAnsi="Arial"/>
                <w:sz w:val="17"/>
                <w:szCs w:val="17"/>
                <w:b w:val="1"/>
                <w:bCs w:val="1"/>
                <w:color w:val="auto"/>
              </w:rPr>
              <w:t>Total</w:t>
            </w:r>
          </w:p>
        </w:tc>
        <w:tc>
          <w:tcPr>
            <w:tcW w:w="0" w:type="dxa"/>
            <w:vAlign w:val="bottom"/>
          </w:tcPr>
          <w:p>
            <w:pPr>
              <w:spacing w:after="0"/>
              <w:rPr>
                <w:sz w:val="1"/>
                <w:szCs w:val="1"/>
                <w:color w:val="auto"/>
              </w:rPr>
            </w:pPr>
          </w:p>
        </w:tc>
      </w:tr>
      <w:tr>
        <w:trPr>
          <w:trHeight w:val="180"/>
        </w:trPr>
        <w:tc>
          <w:tcPr>
            <w:tcW w:w="2040" w:type="dxa"/>
            <w:vAlign w:val="bottom"/>
            <w:gridSpan w:val="4"/>
          </w:tcPr>
          <w:p>
            <w:pPr>
              <w:ind w:left="20"/>
              <w:spacing w:after="0"/>
              <w:rPr>
                <w:sz w:val="20"/>
                <w:szCs w:val="20"/>
                <w:color w:val="auto"/>
              </w:rPr>
            </w:pPr>
            <w:r>
              <w:rPr>
                <w:rFonts w:ascii="Arial" w:cs="Arial" w:eastAsia="Arial" w:hAnsi="Arial"/>
                <w:sz w:val="14"/>
                <w:szCs w:val="14"/>
                <w:b w:val="1"/>
                <w:bCs w:val="1"/>
                <w:i w:val="1"/>
                <w:iCs w:val="1"/>
                <w:color w:val="auto"/>
              </w:rPr>
              <w:t>(in millions)</w:t>
            </w:r>
          </w:p>
        </w:tc>
        <w:tc>
          <w:tcPr>
            <w:tcW w:w="160" w:type="dxa"/>
            <w:vAlign w:val="bottom"/>
          </w:tcPr>
          <w:p>
            <w:pPr>
              <w:spacing w:after="0"/>
              <w:rPr>
                <w:sz w:val="15"/>
                <w:szCs w:val="15"/>
                <w:color w:val="auto"/>
              </w:rPr>
            </w:pPr>
          </w:p>
        </w:tc>
        <w:tc>
          <w:tcPr>
            <w:tcW w:w="1120" w:type="dxa"/>
            <w:vAlign w:val="bottom"/>
            <w:gridSpan w:val="2"/>
            <w:vMerge w:val="continue"/>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gridSpan w:val="2"/>
            <w:vMerge w:val="continue"/>
          </w:tcPr>
          <w:p>
            <w:pPr>
              <w:spacing w:after="0"/>
              <w:rPr>
                <w:sz w:val="15"/>
                <w:szCs w:val="15"/>
                <w:color w:val="auto"/>
              </w:rPr>
            </w:pPr>
          </w:p>
        </w:tc>
        <w:tc>
          <w:tcPr>
            <w:tcW w:w="240" w:type="dxa"/>
            <w:vAlign w:val="bottom"/>
          </w:tcPr>
          <w:p>
            <w:pPr>
              <w:spacing w:after="0"/>
              <w:rPr>
                <w:sz w:val="15"/>
                <w:szCs w:val="15"/>
                <w:color w:val="auto"/>
              </w:rPr>
            </w:pPr>
          </w:p>
        </w:tc>
        <w:tc>
          <w:tcPr>
            <w:tcW w:w="102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1080" w:type="dxa"/>
            <w:vAlign w:val="bottom"/>
            <w:gridSpan w:val="2"/>
            <w:vMerge w:val="continue"/>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1460" w:type="dxa"/>
            <w:vAlign w:val="bottom"/>
            <w:gridSpan w:val="2"/>
          </w:tcPr>
          <w:p>
            <w:pPr>
              <w:jc w:val="center"/>
              <w:ind w:right="280"/>
              <w:spacing w:after="0" w:line="181" w:lineRule="exact"/>
              <w:rPr>
                <w:sz w:val="20"/>
                <w:szCs w:val="20"/>
                <w:color w:val="auto"/>
              </w:rPr>
            </w:pPr>
            <w:r>
              <w:rPr>
                <w:rFonts w:ascii="Arial" w:cs="Arial" w:eastAsia="Arial" w:hAnsi="Arial"/>
                <w:sz w:val="16"/>
                <w:szCs w:val="16"/>
                <w:b w:val="1"/>
                <w:bCs w:val="1"/>
                <w:color w:val="auto"/>
                <w:w w:val="94"/>
              </w:rPr>
              <w:t xml:space="preserve">Eliminations </w:t>
            </w:r>
            <w:r>
              <w:rPr>
                <w:rFonts w:ascii="Arial" w:cs="Arial" w:eastAsia="Arial" w:hAnsi="Arial"/>
                <w:sz w:val="20"/>
                <w:szCs w:val="20"/>
                <w:b w:val="1"/>
                <w:bCs w:val="1"/>
                <w:color w:val="auto"/>
                <w:w w:val="94"/>
                <w:vertAlign w:val="superscript"/>
              </w:rPr>
              <w:t>(1)</w:t>
            </w:r>
          </w:p>
        </w:tc>
        <w:tc>
          <w:tcPr>
            <w:tcW w:w="240" w:type="dxa"/>
            <w:vAlign w:val="bottom"/>
          </w:tcPr>
          <w:p>
            <w:pPr>
              <w:spacing w:after="0"/>
              <w:rPr>
                <w:sz w:val="15"/>
                <w:szCs w:val="15"/>
                <w:color w:val="auto"/>
              </w:rPr>
            </w:pPr>
          </w:p>
        </w:tc>
        <w:tc>
          <w:tcPr>
            <w:tcW w:w="9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700" w:type="dxa"/>
            <w:vAlign w:val="bottom"/>
            <w:tcBorders>
              <w:top w:val="single" w:sz="8" w:color="auto"/>
              <w:bottom w:val="single" w:sz="8" w:color="CCEEFF"/>
            </w:tcBorders>
          </w:tcPr>
          <w:p>
            <w:pPr>
              <w:spacing w:after="0" w:line="20" w:lineRule="exact"/>
              <w:rPr>
                <w:sz w:val="1"/>
                <w:szCs w:val="1"/>
                <w:color w:val="auto"/>
              </w:rPr>
            </w:pPr>
          </w:p>
        </w:tc>
        <w:tc>
          <w:tcPr>
            <w:tcW w:w="50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2040" w:type="dxa"/>
            <w:vAlign w:val="bottom"/>
            <w:gridSpan w:val="4"/>
            <w:shd w:val="clear" w:color="auto" w:fill="CCEEFF"/>
          </w:tcPr>
          <w:p>
            <w:pPr>
              <w:ind w:left="20"/>
              <w:spacing w:after="0"/>
              <w:rPr>
                <w:sz w:val="20"/>
                <w:szCs w:val="20"/>
                <w:color w:val="auto"/>
              </w:rPr>
            </w:pPr>
            <w:r>
              <w:rPr>
                <w:rFonts w:ascii="Arial" w:cs="Arial" w:eastAsia="Arial" w:hAnsi="Arial"/>
                <w:sz w:val="17"/>
                <w:szCs w:val="17"/>
                <w:b w:val="1"/>
                <w:bCs w:val="1"/>
                <w:color w:val="auto"/>
              </w:rPr>
              <w:t>Revenues:</w:t>
            </w:r>
          </w:p>
        </w:tc>
        <w:tc>
          <w:tcPr>
            <w:tcW w:w="1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2020" w:type="dxa"/>
            <w:vAlign w:val="bottom"/>
            <w:gridSpan w:val="3"/>
          </w:tcPr>
          <w:p>
            <w:pPr>
              <w:ind w:left="200"/>
              <w:spacing w:after="0"/>
              <w:rPr>
                <w:sz w:val="20"/>
                <w:szCs w:val="20"/>
                <w:color w:val="auto"/>
              </w:rPr>
            </w:pPr>
            <w:r>
              <w:rPr>
                <w:rFonts w:ascii="Arial" w:cs="Arial" w:eastAsia="Arial" w:hAnsi="Arial"/>
                <w:sz w:val="17"/>
                <w:szCs w:val="17"/>
                <w:color w:val="auto"/>
              </w:rPr>
              <w:t>Gaming</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020" w:type="dxa"/>
            <w:vAlign w:val="bottom"/>
          </w:tcPr>
          <w:p>
            <w:pPr>
              <w:jc w:val="right"/>
              <w:spacing w:after="0"/>
              <w:rPr>
                <w:sz w:val="20"/>
                <w:szCs w:val="20"/>
                <w:color w:val="auto"/>
              </w:rPr>
            </w:pPr>
            <w:r>
              <w:rPr>
                <w:rFonts w:ascii="Arial" w:cs="Arial" w:eastAsia="Arial" w:hAnsi="Arial"/>
                <w:sz w:val="17"/>
                <w:szCs w:val="17"/>
                <w:color w:val="auto"/>
              </w:rPr>
              <w:t>458.7</w:t>
            </w:r>
          </w:p>
        </w:tc>
        <w:tc>
          <w:tcPr>
            <w:tcW w:w="100" w:type="dxa"/>
            <w:vAlign w:val="bottom"/>
          </w:tcPr>
          <w:p>
            <w:pPr>
              <w:spacing w:after="0"/>
              <w:rPr>
                <w:sz w:val="18"/>
                <w:szCs w:val="18"/>
                <w:color w:val="auto"/>
              </w:rPr>
            </w:pPr>
          </w:p>
        </w:tc>
        <w:tc>
          <w:tcPr>
            <w:tcW w:w="240" w:type="dxa"/>
            <w:vAlign w:val="bottom"/>
          </w:tcPr>
          <w:p>
            <w:pPr>
              <w:jc w:val="right"/>
              <w:ind w:right="54"/>
              <w:spacing w:after="0"/>
              <w:rPr>
                <w:sz w:val="20"/>
                <w:szCs w:val="20"/>
                <w:color w:val="auto"/>
              </w:rPr>
            </w:pPr>
            <w:r>
              <w:rPr>
                <w:rFonts w:ascii="Arial" w:cs="Arial" w:eastAsia="Arial" w:hAnsi="Arial"/>
                <w:sz w:val="17"/>
                <w:szCs w:val="17"/>
                <w:color w:val="auto"/>
                <w:w w:val="84"/>
              </w:rPr>
              <w:t>$</w:t>
            </w:r>
          </w:p>
        </w:tc>
        <w:tc>
          <w:tcPr>
            <w:tcW w:w="920" w:type="dxa"/>
            <w:vAlign w:val="bottom"/>
          </w:tcPr>
          <w:p>
            <w:pPr>
              <w:jc w:val="right"/>
              <w:spacing w:after="0"/>
              <w:rPr>
                <w:sz w:val="20"/>
                <w:szCs w:val="20"/>
                <w:color w:val="auto"/>
              </w:rPr>
            </w:pPr>
            <w:r>
              <w:rPr>
                <w:rFonts w:ascii="Arial" w:cs="Arial" w:eastAsia="Arial" w:hAnsi="Arial"/>
                <w:sz w:val="17"/>
                <w:szCs w:val="17"/>
                <w:color w:val="auto"/>
              </w:rPr>
              <w:t>168.6</w:t>
            </w:r>
          </w:p>
        </w:tc>
        <w:tc>
          <w:tcPr>
            <w:tcW w:w="120" w:type="dxa"/>
            <w:vAlign w:val="bottom"/>
          </w:tcPr>
          <w:p>
            <w:pPr>
              <w:spacing w:after="0"/>
              <w:rPr>
                <w:sz w:val="18"/>
                <w:szCs w:val="18"/>
                <w:color w:val="auto"/>
              </w:rPr>
            </w:pPr>
          </w:p>
        </w:tc>
        <w:tc>
          <w:tcPr>
            <w:tcW w:w="240" w:type="dxa"/>
            <w:vAlign w:val="bottom"/>
          </w:tcPr>
          <w:p>
            <w:pPr>
              <w:jc w:val="right"/>
              <w:ind w:right="54"/>
              <w:spacing w:after="0"/>
              <w:rPr>
                <w:sz w:val="20"/>
                <w:szCs w:val="20"/>
                <w:color w:val="auto"/>
              </w:rPr>
            </w:pPr>
            <w:r>
              <w:rPr>
                <w:rFonts w:ascii="Arial" w:cs="Arial" w:eastAsia="Arial" w:hAnsi="Arial"/>
                <w:sz w:val="17"/>
                <w:szCs w:val="17"/>
                <w:color w:val="auto"/>
                <w:w w:val="84"/>
              </w:rPr>
              <w:t>$</w:t>
            </w:r>
          </w:p>
        </w:tc>
        <w:tc>
          <w:tcPr>
            <w:tcW w:w="920" w:type="dxa"/>
            <w:vAlign w:val="bottom"/>
          </w:tcPr>
          <w:p>
            <w:pPr>
              <w:jc w:val="right"/>
              <w:spacing w:after="0"/>
              <w:rPr>
                <w:sz w:val="20"/>
                <w:szCs w:val="20"/>
                <w:color w:val="auto"/>
              </w:rPr>
            </w:pPr>
            <w:r>
              <w:rPr>
                <w:rFonts w:ascii="Arial" w:cs="Arial" w:eastAsia="Arial" w:hAnsi="Arial"/>
                <w:sz w:val="17"/>
                <w:szCs w:val="17"/>
                <w:color w:val="auto"/>
              </w:rPr>
              <w:t>71.9</w:t>
            </w:r>
          </w:p>
        </w:tc>
        <w:tc>
          <w:tcPr>
            <w:tcW w:w="10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7"/>
                <w:szCs w:val="17"/>
                <w:color w:val="auto"/>
              </w:rPr>
              <w:t>$</w:t>
            </w:r>
          </w:p>
        </w:tc>
        <w:tc>
          <w:tcPr>
            <w:tcW w:w="980" w:type="dxa"/>
            <w:vAlign w:val="bottom"/>
          </w:tcPr>
          <w:p>
            <w:pPr>
              <w:jc w:val="right"/>
              <w:spacing w:after="0"/>
              <w:rPr>
                <w:sz w:val="20"/>
                <w:szCs w:val="20"/>
                <w:color w:val="auto"/>
              </w:rPr>
            </w:pPr>
            <w:r>
              <w:rPr>
                <w:rFonts w:ascii="Arial" w:cs="Arial" w:eastAsia="Arial" w:hAnsi="Arial"/>
                <w:sz w:val="17"/>
                <w:szCs w:val="17"/>
                <w:color w:val="auto"/>
              </w:rPr>
              <w:t>196.2</w:t>
            </w:r>
          </w:p>
        </w:tc>
        <w:tc>
          <w:tcPr>
            <w:tcW w:w="100" w:type="dxa"/>
            <w:vAlign w:val="bottom"/>
          </w:tcPr>
          <w:p>
            <w:pPr>
              <w:spacing w:after="0"/>
              <w:rPr>
                <w:sz w:val="18"/>
                <w:szCs w:val="18"/>
                <w:color w:val="auto"/>
              </w:rPr>
            </w:pPr>
          </w:p>
        </w:tc>
        <w:tc>
          <w:tcPr>
            <w:tcW w:w="240" w:type="dxa"/>
            <w:vAlign w:val="bottom"/>
          </w:tcPr>
          <w:p>
            <w:pPr>
              <w:jc w:val="right"/>
              <w:ind w:right="54"/>
              <w:spacing w:after="0"/>
              <w:rPr>
                <w:sz w:val="20"/>
                <w:szCs w:val="20"/>
                <w:color w:val="auto"/>
              </w:rPr>
            </w:pPr>
            <w:r>
              <w:rPr>
                <w:rFonts w:ascii="Arial" w:cs="Arial" w:eastAsia="Arial" w:hAnsi="Arial"/>
                <w:sz w:val="17"/>
                <w:szCs w:val="17"/>
                <w:color w:val="auto"/>
                <w:w w:val="84"/>
              </w:rPr>
              <w:t>$</w:t>
            </w:r>
          </w:p>
        </w:tc>
        <w:tc>
          <w:tcPr>
            <w:tcW w:w="940" w:type="dxa"/>
            <w:vAlign w:val="bottom"/>
          </w:tcPr>
          <w:p>
            <w:pPr>
              <w:jc w:val="right"/>
              <w:spacing w:after="0"/>
              <w:rPr>
                <w:sz w:val="20"/>
                <w:szCs w:val="20"/>
                <w:color w:val="auto"/>
              </w:rPr>
            </w:pPr>
            <w:r>
              <w:rPr>
                <w:rFonts w:ascii="Arial" w:cs="Arial" w:eastAsia="Arial" w:hAnsi="Arial"/>
                <w:sz w:val="17"/>
                <w:szCs w:val="17"/>
                <w:color w:val="auto"/>
              </w:rPr>
              <w:t>7.6</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340" w:type="dxa"/>
            <w:vAlign w:val="bottom"/>
          </w:tcPr>
          <w:p>
            <w:pPr>
              <w:jc w:val="right"/>
              <w:spacing w:after="0"/>
              <w:rPr>
                <w:sz w:val="20"/>
                <w:szCs w:val="20"/>
                <w:color w:val="auto"/>
              </w:rPr>
            </w:pPr>
            <w:r>
              <w:rPr>
                <w:rFonts w:ascii="Arial" w:cs="Arial" w:eastAsia="Arial" w:hAnsi="Arial"/>
                <w:sz w:val="17"/>
                <w:szCs w:val="17"/>
                <w:color w:val="auto"/>
              </w:rPr>
              <w:t>(0.1)</w:t>
            </w:r>
          </w:p>
        </w:tc>
        <w:tc>
          <w:tcPr>
            <w:tcW w:w="120" w:type="dxa"/>
            <w:vAlign w:val="bottom"/>
          </w:tcPr>
          <w:p>
            <w:pPr>
              <w:spacing w:after="0"/>
              <w:rPr>
                <w:sz w:val="18"/>
                <w:szCs w:val="18"/>
                <w:color w:val="auto"/>
              </w:rPr>
            </w:pPr>
          </w:p>
        </w:tc>
        <w:tc>
          <w:tcPr>
            <w:tcW w:w="240" w:type="dxa"/>
            <w:vAlign w:val="bottom"/>
          </w:tcPr>
          <w:p>
            <w:pPr>
              <w:jc w:val="right"/>
              <w:ind w:right="54"/>
              <w:spacing w:after="0"/>
              <w:rPr>
                <w:sz w:val="20"/>
                <w:szCs w:val="20"/>
                <w:color w:val="auto"/>
              </w:rPr>
            </w:pPr>
            <w:r>
              <w:rPr>
                <w:rFonts w:ascii="Arial" w:cs="Arial" w:eastAsia="Arial" w:hAnsi="Arial"/>
                <w:sz w:val="17"/>
                <w:szCs w:val="17"/>
                <w:color w:val="auto"/>
                <w:w w:val="84"/>
              </w:rPr>
              <w:t>$</w:t>
            </w:r>
          </w:p>
        </w:tc>
        <w:tc>
          <w:tcPr>
            <w:tcW w:w="920" w:type="dxa"/>
            <w:vAlign w:val="bottom"/>
          </w:tcPr>
          <w:p>
            <w:pPr>
              <w:jc w:val="right"/>
              <w:spacing w:after="0"/>
              <w:rPr>
                <w:sz w:val="20"/>
                <w:szCs w:val="20"/>
                <w:color w:val="auto"/>
              </w:rPr>
            </w:pPr>
            <w:r>
              <w:rPr>
                <w:rFonts w:ascii="Arial" w:cs="Arial" w:eastAsia="Arial" w:hAnsi="Arial"/>
                <w:sz w:val="17"/>
                <w:szCs w:val="17"/>
                <w:color w:val="auto"/>
              </w:rPr>
              <w:t>902.9</w:t>
            </w:r>
          </w:p>
        </w:tc>
        <w:tc>
          <w:tcPr>
            <w:tcW w:w="0" w:type="dxa"/>
            <w:vAlign w:val="bottom"/>
          </w:tcPr>
          <w:p>
            <w:pPr>
              <w:spacing w:after="0"/>
              <w:rPr>
                <w:sz w:val="1"/>
                <w:szCs w:val="1"/>
                <w:color w:val="auto"/>
              </w:rPr>
            </w:pPr>
          </w:p>
        </w:tc>
      </w:tr>
      <w:tr>
        <w:trPr>
          <w:trHeight w:val="220"/>
        </w:trPr>
        <w:tc>
          <w:tcPr>
            <w:tcW w:w="20" w:type="dxa"/>
            <w:vAlign w:val="bottom"/>
            <w:shd w:val="clear" w:color="auto" w:fill="CCEEFF"/>
          </w:tcPr>
          <w:p>
            <w:pPr>
              <w:spacing w:after="0"/>
              <w:rPr>
                <w:sz w:val="19"/>
                <w:szCs w:val="19"/>
                <w:color w:val="auto"/>
              </w:rPr>
            </w:pPr>
          </w:p>
        </w:tc>
        <w:tc>
          <w:tcPr>
            <w:tcW w:w="2020" w:type="dxa"/>
            <w:vAlign w:val="bottom"/>
            <w:gridSpan w:val="3"/>
            <w:shd w:val="clear" w:color="auto" w:fill="CCEEFF"/>
          </w:tcPr>
          <w:p>
            <w:pPr>
              <w:ind w:left="200"/>
              <w:spacing w:after="0"/>
              <w:rPr>
                <w:sz w:val="20"/>
                <w:szCs w:val="20"/>
                <w:color w:val="auto"/>
              </w:rPr>
            </w:pPr>
            <w:r>
              <w:rPr>
                <w:rFonts w:ascii="Arial" w:cs="Arial" w:eastAsia="Arial" w:hAnsi="Arial"/>
                <w:sz w:val="17"/>
                <w:szCs w:val="17"/>
                <w:color w:val="auto"/>
              </w:rPr>
              <w:t>Food and beverage</w:t>
            </w: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29.7</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ind w:left="1100"/>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105.1</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2020" w:type="dxa"/>
            <w:vAlign w:val="bottom"/>
            <w:gridSpan w:val="3"/>
          </w:tcPr>
          <w:p>
            <w:pPr>
              <w:ind w:left="200"/>
              <w:spacing w:after="0"/>
              <w:rPr>
                <w:sz w:val="20"/>
                <w:szCs w:val="20"/>
                <w:color w:val="auto"/>
              </w:rPr>
            </w:pPr>
            <w:r>
              <w:rPr>
                <w:rFonts w:ascii="Arial" w:cs="Arial" w:eastAsia="Arial" w:hAnsi="Arial"/>
                <w:sz w:val="17"/>
                <w:szCs w:val="17"/>
                <w:color w:val="auto"/>
              </w:rPr>
              <w:t>Hotel</w:t>
            </w: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8.8</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17.8</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25.8</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8.2</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8"/>
                <w:szCs w:val="18"/>
                <w:color w:val="auto"/>
              </w:rPr>
            </w:pPr>
          </w:p>
        </w:tc>
        <w:tc>
          <w:tcPr>
            <w:tcW w:w="1460" w:type="dxa"/>
            <w:vAlign w:val="bottom"/>
            <w:gridSpan w:val="2"/>
          </w:tcPr>
          <w:p>
            <w:pPr>
              <w:ind w:left="1100"/>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60.6</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2020" w:type="dxa"/>
            <w:vAlign w:val="bottom"/>
            <w:gridSpan w:val="3"/>
            <w:shd w:val="clear" w:color="auto" w:fill="CCEEFF"/>
          </w:tcPr>
          <w:p>
            <w:pPr>
              <w:ind w:left="200"/>
              <w:spacing w:after="0"/>
              <w:rPr>
                <w:sz w:val="20"/>
                <w:szCs w:val="20"/>
                <w:color w:val="auto"/>
              </w:rPr>
            </w:pPr>
            <w:r>
              <w:rPr>
                <w:rFonts w:ascii="Arial" w:cs="Arial" w:eastAsia="Arial" w:hAnsi="Arial"/>
                <w:sz w:val="17"/>
                <w:szCs w:val="17"/>
                <w:color w:val="auto"/>
              </w:rPr>
              <w:t>Other</w:t>
            </w:r>
          </w:p>
        </w:tc>
        <w:tc>
          <w:tcPr>
            <w:tcW w:w="1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19.3</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7.2</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5.4</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5.9</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12.5</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(2.8)</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47.5</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020" w:type="dxa"/>
            <w:vAlign w:val="bottom"/>
            <w:gridSpan w:val="3"/>
          </w:tcPr>
          <w:p>
            <w:pPr>
              <w:ind w:left="420"/>
              <w:spacing w:after="0"/>
              <w:rPr>
                <w:sz w:val="20"/>
                <w:szCs w:val="20"/>
                <w:color w:val="auto"/>
              </w:rPr>
            </w:pPr>
            <w:r>
              <w:rPr>
                <w:rFonts w:ascii="Arial" w:cs="Arial" w:eastAsia="Arial" w:hAnsi="Arial"/>
                <w:sz w:val="17"/>
                <w:szCs w:val="17"/>
                <w:color w:val="auto"/>
              </w:rPr>
              <w:t>Total revenues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520.7</w:t>
            </w:r>
          </w:p>
        </w:tc>
        <w:tc>
          <w:tcPr>
            <w:tcW w:w="100" w:type="dxa"/>
            <w:vAlign w:val="bottom"/>
          </w:tcPr>
          <w:p>
            <w:pPr>
              <w:spacing w:after="0"/>
              <w:rPr>
                <w:sz w:val="18"/>
                <w:szCs w:val="18"/>
                <w:color w:val="auto"/>
              </w:rPr>
            </w:pPr>
          </w:p>
        </w:tc>
        <w:tc>
          <w:tcPr>
            <w:tcW w:w="240" w:type="dxa"/>
            <w:vAlign w:val="bottom"/>
            <w:tcBorders>
              <w:bottom w:val="single" w:sz="8" w:color="auto"/>
            </w:tcBorders>
          </w:tcPr>
          <w:p>
            <w:pPr>
              <w:jc w:val="right"/>
              <w:ind w:right="54"/>
              <w:spacing w:after="0"/>
              <w:rPr>
                <w:sz w:val="20"/>
                <w:szCs w:val="20"/>
                <w:color w:val="auto"/>
              </w:rPr>
            </w:pPr>
            <w:r>
              <w:rPr>
                <w:rFonts w:ascii="Arial" w:cs="Arial" w:eastAsia="Arial" w:hAnsi="Arial"/>
                <w:sz w:val="17"/>
                <w:szCs w:val="17"/>
                <w:color w:val="auto"/>
                <w:w w:val="84"/>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223.3</w:t>
            </w:r>
          </w:p>
        </w:tc>
        <w:tc>
          <w:tcPr>
            <w:tcW w:w="120" w:type="dxa"/>
            <w:vAlign w:val="bottom"/>
          </w:tcPr>
          <w:p>
            <w:pPr>
              <w:spacing w:after="0"/>
              <w:rPr>
                <w:sz w:val="18"/>
                <w:szCs w:val="18"/>
                <w:color w:val="auto"/>
              </w:rPr>
            </w:pPr>
          </w:p>
        </w:tc>
        <w:tc>
          <w:tcPr>
            <w:tcW w:w="240" w:type="dxa"/>
            <w:vAlign w:val="bottom"/>
            <w:tcBorders>
              <w:bottom w:val="single" w:sz="8" w:color="auto"/>
            </w:tcBorders>
          </w:tcPr>
          <w:p>
            <w:pPr>
              <w:jc w:val="right"/>
              <w:ind w:right="54"/>
              <w:spacing w:after="0"/>
              <w:rPr>
                <w:sz w:val="20"/>
                <w:szCs w:val="20"/>
                <w:color w:val="auto"/>
              </w:rPr>
            </w:pPr>
            <w:r>
              <w:rPr>
                <w:rFonts w:ascii="Arial" w:cs="Arial" w:eastAsia="Arial" w:hAnsi="Arial"/>
                <w:sz w:val="17"/>
                <w:szCs w:val="17"/>
                <w:color w:val="auto"/>
                <w:w w:val="84"/>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126.6</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228.1</w:t>
            </w:r>
          </w:p>
        </w:tc>
        <w:tc>
          <w:tcPr>
            <w:tcW w:w="100" w:type="dxa"/>
            <w:vAlign w:val="bottom"/>
          </w:tcPr>
          <w:p>
            <w:pPr>
              <w:spacing w:after="0"/>
              <w:rPr>
                <w:sz w:val="18"/>
                <w:szCs w:val="18"/>
                <w:color w:val="auto"/>
              </w:rPr>
            </w:pPr>
          </w:p>
        </w:tc>
        <w:tc>
          <w:tcPr>
            <w:tcW w:w="240" w:type="dxa"/>
            <w:vAlign w:val="bottom"/>
            <w:tcBorders>
              <w:bottom w:val="single" w:sz="8" w:color="auto"/>
            </w:tcBorders>
          </w:tcPr>
          <w:p>
            <w:pPr>
              <w:jc w:val="right"/>
              <w:ind w:right="54"/>
              <w:spacing w:after="0"/>
              <w:rPr>
                <w:sz w:val="20"/>
                <w:szCs w:val="20"/>
                <w:color w:val="auto"/>
              </w:rPr>
            </w:pPr>
            <w:r>
              <w:rPr>
                <w:rFonts w:ascii="Arial" w:cs="Arial" w:eastAsia="Arial" w:hAnsi="Arial"/>
                <w:sz w:val="17"/>
                <w:szCs w:val="17"/>
                <w:color w:val="auto"/>
                <w:w w:val="84"/>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20.3</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(2.9)</w:t>
            </w:r>
          </w:p>
        </w:tc>
        <w:tc>
          <w:tcPr>
            <w:tcW w:w="120" w:type="dxa"/>
            <w:vAlign w:val="bottom"/>
          </w:tcPr>
          <w:p>
            <w:pPr>
              <w:spacing w:after="0"/>
              <w:rPr>
                <w:sz w:val="18"/>
                <w:szCs w:val="18"/>
                <w:color w:val="auto"/>
              </w:rPr>
            </w:pPr>
          </w:p>
        </w:tc>
        <w:tc>
          <w:tcPr>
            <w:tcW w:w="240" w:type="dxa"/>
            <w:vAlign w:val="bottom"/>
            <w:tcBorders>
              <w:bottom w:val="single" w:sz="8" w:color="auto"/>
            </w:tcBorders>
          </w:tcPr>
          <w:p>
            <w:pPr>
              <w:jc w:val="right"/>
              <w:ind w:right="54"/>
              <w:spacing w:after="0"/>
              <w:rPr>
                <w:sz w:val="20"/>
                <w:szCs w:val="20"/>
                <w:color w:val="auto"/>
              </w:rPr>
            </w:pPr>
            <w:r>
              <w:rPr>
                <w:rFonts w:ascii="Arial" w:cs="Arial" w:eastAsia="Arial" w:hAnsi="Arial"/>
                <w:sz w:val="17"/>
                <w:szCs w:val="17"/>
                <w:color w:val="auto"/>
                <w:w w:val="84"/>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1,116.1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3" w:lineRule="exact"/>
        <w:rPr>
          <w:sz w:val="20"/>
          <w:szCs w:val="20"/>
          <w:color w:val="auto"/>
        </w:rPr>
      </w:pPr>
    </w:p>
    <w:p>
      <w:pPr>
        <w:ind w:left="640" w:hanging="327"/>
        <w:spacing w:after="0"/>
        <w:tabs>
          <w:tab w:leader="none" w:pos="640" w:val="left"/>
        </w:tabs>
        <w:numPr>
          <w:ilvl w:val="0"/>
          <w:numId w:val="6"/>
        </w:numPr>
        <w:rPr>
          <w:rFonts w:ascii="Arial" w:cs="Arial" w:eastAsia="Arial" w:hAnsi="Arial"/>
          <w:sz w:val="14"/>
          <w:szCs w:val="14"/>
          <w:color w:val="auto"/>
        </w:rPr>
      </w:pPr>
      <w:r>
        <w:rPr>
          <w:rFonts w:ascii="Arial" w:cs="Arial" w:eastAsia="Arial" w:hAnsi="Arial"/>
          <w:sz w:val="14"/>
          <w:szCs w:val="14"/>
          <w:color w:val="auto"/>
        </w:rPr>
        <w:t>Primarily represents the elimination of intersegment revenues associated with our internally-branded retail sportsbooks, which are operated by Penn Interactive.</w:t>
      </w: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6—Acquisitions and Dispositions</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Sam Houston Race Park and Valley Race Park</w:t>
      </w:r>
    </w:p>
    <w:p>
      <w:pPr>
        <w:spacing w:after="0" w:line="178" w:lineRule="exact"/>
        <w:rPr>
          <w:sz w:val="20"/>
          <w:szCs w:val="20"/>
          <w:color w:val="auto"/>
        </w:rPr>
      </w:pPr>
    </w:p>
    <w:p>
      <w:pPr>
        <w:ind w:firstLine="309"/>
        <w:spacing w:after="0" w:line="302" w:lineRule="auto"/>
        <w:rPr>
          <w:sz w:val="20"/>
          <w:szCs w:val="20"/>
          <w:color w:val="auto"/>
        </w:rPr>
      </w:pPr>
      <w:r>
        <w:rPr>
          <w:rFonts w:ascii="Arial" w:cs="Arial" w:eastAsia="Arial" w:hAnsi="Arial"/>
          <w:sz w:val="15"/>
          <w:szCs w:val="15"/>
          <w:color w:val="auto"/>
        </w:rPr>
        <w:t>On March 15, 2021, the Company entered into a purchase agreement with PM Texas Holdings, LLC for the purchase of the remaining 50% ownership interest in the Sam Houston Race Park in Houston, Texas, the Valley Race Park in Harlingen, Texas, and a license to operate a racetrack in Austin, Texas. The purchase price consisted of $56.0 million, comprised of $42.0 million in cash and $14.0 million of the Company's common equity, as well as a contingent consideration. The contingent consideration will be triggered in the event the State of Texas establishes a statutory framework authorizing land-based gaming or online gaming operations in the state prior to the ten-year anniversary of the closing date. The transaction is expected to close in the second quarter of 2021.</w:t>
      </w:r>
    </w:p>
    <w:p>
      <w:pPr>
        <w:spacing w:after="0" w:line="178" w:lineRule="exact"/>
        <w:rPr>
          <w:sz w:val="20"/>
          <w:szCs w:val="20"/>
          <w:color w:val="auto"/>
        </w:rPr>
      </w:pPr>
    </w:p>
    <w:p>
      <w:pPr>
        <w:ind w:left="320"/>
        <w:spacing w:after="0"/>
        <w:rPr>
          <w:sz w:val="20"/>
          <w:szCs w:val="20"/>
          <w:color w:val="auto"/>
        </w:rPr>
      </w:pPr>
      <w:r>
        <w:rPr>
          <w:rFonts w:ascii="Arial" w:cs="Arial" w:eastAsia="Arial" w:hAnsi="Arial"/>
          <w:sz w:val="17"/>
          <w:szCs w:val="17"/>
          <w:b w:val="1"/>
          <w:bCs w:val="1"/>
          <w:i w:val="1"/>
          <w:iCs w:val="1"/>
          <w:color w:val="auto"/>
        </w:rPr>
        <w:t>Tropicana Las Vegas</w:t>
      </w:r>
    </w:p>
    <w:p>
      <w:pPr>
        <w:spacing w:after="0" w:line="191" w:lineRule="exact"/>
        <w:rPr>
          <w:sz w:val="20"/>
          <w:szCs w:val="20"/>
          <w:color w:val="auto"/>
        </w:rPr>
      </w:pPr>
    </w:p>
    <w:p>
      <w:pPr>
        <w:ind w:right="80" w:firstLine="309"/>
        <w:spacing w:after="0" w:line="290" w:lineRule="auto"/>
        <w:rPr>
          <w:rFonts w:ascii="Arial" w:cs="Arial" w:eastAsia="Arial" w:hAnsi="Arial"/>
          <w:sz w:val="15"/>
          <w:szCs w:val="15"/>
          <w:color w:val="auto"/>
        </w:rPr>
      </w:pPr>
      <w:r>
        <w:rPr>
          <w:rFonts w:ascii="Arial" w:cs="Arial" w:eastAsia="Arial" w:hAnsi="Arial"/>
          <w:sz w:val="15"/>
          <w:szCs w:val="15"/>
          <w:color w:val="auto"/>
        </w:rPr>
        <w:t xml:space="preserve">On April 16, 2020, we sold the real estate assets associated with our Tropicana property to GLPI in exchange for rent credits of $307.5 million and utilized them to pay rent under our existing Master Leases and the Meadows Lease beginning in May 2020. Contemporaneous with the sale, the Company entered into the Tropicana Lease (as defined and discussed in </w:t>
      </w:r>
      <w:hyperlink w:anchor="page19">
        <w:r>
          <w:rPr>
            <w:rFonts w:ascii="Arial" w:cs="Arial" w:eastAsia="Arial" w:hAnsi="Arial"/>
            <w:sz w:val="15"/>
            <w:szCs w:val="15"/>
            <w:u w:val="single" w:color="auto"/>
            <w:color w:val="0000FF"/>
          </w:rPr>
          <w:t>Note 9, “Leases”</w:t>
        </w:r>
      </w:hyperlink>
      <w:r>
        <w:rPr>
          <w:rFonts w:ascii="Arial" w:cs="Arial" w:eastAsia="Arial" w:hAnsi="Arial"/>
          <w:sz w:val="15"/>
          <w:szCs w:val="15"/>
          <w:color w:val="auto"/>
        </w:rPr>
        <w:t>). Pursuant to the purchase agreement, GLPI would conduct a sale process with respect to both the real estate assets and the operations of Tropicana for up to 24 months (the “Sale Period”), with the Company receiving (i) 75% of the proceeds above</w:t>
      </w:r>
    </w:p>
    <w:p>
      <w:pPr>
        <w:spacing w:after="0" w:line="2" w:lineRule="exact"/>
        <w:rPr>
          <w:sz w:val="20"/>
          <w:szCs w:val="20"/>
          <w:color w:val="auto"/>
        </w:rPr>
      </w:pPr>
    </w:p>
    <w:p>
      <w:pPr>
        <w:ind w:right="260"/>
        <w:spacing w:after="0" w:line="298" w:lineRule="auto"/>
        <w:rPr>
          <w:sz w:val="20"/>
          <w:szCs w:val="20"/>
          <w:color w:val="auto"/>
        </w:rPr>
      </w:pPr>
      <w:r>
        <w:rPr>
          <w:rFonts w:ascii="Arial" w:cs="Arial" w:eastAsia="Arial" w:hAnsi="Arial"/>
          <w:sz w:val="16"/>
          <w:szCs w:val="16"/>
          <w:color w:val="auto"/>
        </w:rPr>
        <w:t>$307.5 million plus certain taxes, expenses and costs if an agreement for such sale is signed in the first 12 months of the Sale Period or (ii) 50% of the proceeds above $307.5 million plus certain taxes, expenses and costs if an agreement for such sale is signed in the remainder of the Sale Period.</w:t>
      </w:r>
    </w:p>
    <w:p>
      <w:pPr>
        <w:spacing w:after="0" w:line="112" w:lineRule="exact"/>
        <w:rPr>
          <w:sz w:val="20"/>
          <w:szCs w:val="20"/>
          <w:color w:val="auto"/>
        </w:rPr>
      </w:pPr>
    </w:p>
    <w:p>
      <w:pPr>
        <w:ind w:right="60" w:firstLine="309"/>
        <w:spacing w:after="0" w:line="259" w:lineRule="auto"/>
        <w:rPr>
          <w:sz w:val="20"/>
          <w:szCs w:val="20"/>
          <w:color w:val="auto"/>
        </w:rPr>
      </w:pPr>
      <w:r>
        <w:rPr>
          <w:rFonts w:ascii="Arial" w:cs="Arial" w:eastAsia="Arial" w:hAnsi="Arial"/>
          <w:sz w:val="17"/>
          <w:szCs w:val="17"/>
          <w:color w:val="auto"/>
        </w:rPr>
        <w:t>On April 13, 2021, GLPI announced that it entered into a binding term sheet with Bally’s Corporation (“Bally’s”) whereby Bally’s plans to acquire both GLPI’s non-land real estate assets and Penn’s outstanding equity interests in Tropicana Las Vegas Hotel and Casino, Inc., which has the gaming license and operates the Tropicana, for an aggregate cash acquisition price of $150.0 million. GLPI will retain ownership of the land and will concurrently enter into a 50-year ground lease with initial annual rent of $10.5 million. This transaction is expected to close in early 2022, subject to Penn, GLPI and Bally's entering into definitive agreements and regulatory approval.</w:t>
      </w:r>
    </w:p>
    <w:p>
      <w:pPr>
        <w:spacing w:after="0" w:line="144" w:lineRule="exact"/>
        <w:rPr>
          <w:sz w:val="20"/>
          <w:szCs w:val="20"/>
          <w:color w:val="auto"/>
        </w:rPr>
      </w:pPr>
    </w:p>
    <w:p>
      <w:pPr>
        <w:ind w:left="320"/>
        <w:spacing w:after="0"/>
        <w:rPr>
          <w:sz w:val="20"/>
          <w:szCs w:val="20"/>
          <w:color w:val="auto"/>
        </w:rPr>
      </w:pPr>
      <w:r>
        <w:rPr>
          <w:rFonts w:ascii="Arial" w:cs="Arial" w:eastAsia="Arial" w:hAnsi="Arial"/>
          <w:sz w:val="17"/>
          <w:szCs w:val="17"/>
          <w:b w:val="1"/>
          <w:bCs w:val="1"/>
          <w:i w:val="1"/>
          <w:iCs w:val="1"/>
          <w:color w:val="auto"/>
        </w:rPr>
        <w:t>Hollywood Casino Perryville</w:t>
      </w:r>
    </w:p>
    <w:p>
      <w:pPr>
        <w:spacing w:after="0" w:line="191" w:lineRule="exact"/>
        <w:rPr>
          <w:sz w:val="20"/>
          <w:szCs w:val="20"/>
          <w:color w:val="auto"/>
        </w:rPr>
      </w:pPr>
    </w:p>
    <w:p>
      <w:pPr>
        <w:ind w:right="180" w:firstLine="309"/>
        <w:spacing w:after="0" w:line="262" w:lineRule="auto"/>
        <w:rPr>
          <w:sz w:val="20"/>
          <w:szCs w:val="20"/>
          <w:color w:val="auto"/>
        </w:rPr>
      </w:pPr>
      <w:r>
        <w:rPr>
          <w:rFonts w:ascii="Arial" w:cs="Arial" w:eastAsia="Arial" w:hAnsi="Arial"/>
          <w:sz w:val="17"/>
          <w:szCs w:val="17"/>
          <w:color w:val="auto"/>
        </w:rPr>
        <w:t>On December 15, 2020, the Company entered into a definitive agreement with GLPI to purchase the operations of Hollywood Casino Perryville for $31.1 million. The transaction is expected to close early in the third quarter of 2021, subject to approval of the Maryland Lottery and Gaming Control Commission and other customary closing conditions. Simultaneous with the closing of the transaction, we would lease the real estate assets associated with Hollywood Casino Perryville from GLPI with initial annual rent of $7.8 million per year subject to escalation.</w:t>
      </w: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182245</wp:posOffset>
            </wp:positionV>
            <wp:extent cx="7164070" cy="419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13" w:name="page14"/>
    <w:bookmarkEnd w:id="13"/>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7—Goodwill and Other Intangible Assets</w:t>
      </w:r>
    </w:p>
    <w:p>
      <w:pPr>
        <w:spacing w:after="0" w:line="184" w:lineRule="exact"/>
        <w:rPr>
          <w:sz w:val="20"/>
          <w:szCs w:val="20"/>
          <w:color w:val="auto"/>
        </w:rPr>
      </w:pPr>
    </w:p>
    <w:p>
      <w:pPr>
        <w:ind w:left="320"/>
        <w:spacing w:after="0"/>
        <w:rPr>
          <w:sz w:val="20"/>
          <w:szCs w:val="20"/>
          <w:color w:val="auto"/>
        </w:rPr>
      </w:pPr>
      <w:r>
        <w:rPr>
          <w:rFonts w:ascii="Arial" w:cs="Arial" w:eastAsia="Arial" w:hAnsi="Arial"/>
          <w:sz w:val="17"/>
          <w:szCs w:val="17"/>
          <w:color w:val="auto"/>
        </w:rPr>
        <w:t>A reconciliation of goodwill and accumulated goodwill impairment losses, by reportable segment, is as follows: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240" w:type="dxa"/>
            <w:vAlign w:val="bottom"/>
            <w:gridSpan w:val="3"/>
          </w:tcPr>
          <w:p>
            <w:pPr>
              <w:ind w:left="20"/>
              <w:spacing w:after="0"/>
              <w:rPr>
                <w:sz w:val="20"/>
                <w:szCs w:val="20"/>
                <w:color w:val="auto"/>
              </w:rPr>
            </w:pPr>
            <w:r>
              <w:rPr>
                <w:rFonts w:ascii="Arial" w:cs="Arial" w:eastAsia="Arial" w:hAnsi="Arial"/>
                <w:sz w:val="14"/>
                <w:szCs w:val="14"/>
                <w:b w:val="1"/>
                <w:bCs w:val="1"/>
                <w:i w:val="1"/>
                <w:iCs w:val="1"/>
                <w:color w:val="auto"/>
              </w:rPr>
              <w:t>(in millions)</w:t>
            </w:r>
          </w:p>
        </w:tc>
        <w:tc>
          <w:tcPr>
            <w:tcW w:w="140" w:type="dxa"/>
            <w:vAlign w:val="bottom"/>
          </w:tcPr>
          <w:p>
            <w:pPr>
              <w:spacing w:after="0"/>
              <w:rPr>
                <w:sz w:val="16"/>
                <w:szCs w:val="16"/>
                <w:color w:val="auto"/>
              </w:rPr>
            </w:pPr>
          </w:p>
        </w:tc>
        <w:tc>
          <w:tcPr>
            <w:tcW w:w="1040" w:type="dxa"/>
            <w:vAlign w:val="bottom"/>
            <w:gridSpan w:val="2"/>
          </w:tcPr>
          <w:p>
            <w:pPr>
              <w:ind w:left="40"/>
              <w:spacing w:after="0"/>
              <w:rPr>
                <w:sz w:val="20"/>
                <w:szCs w:val="20"/>
                <w:color w:val="auto"/>
              </w:rPr>
            </w:pPr>
            <w:r>
              <w:rPr>
                <w:rFonts w:ascii="Arial" w:cs="Arial" w:eastAsia="Arial" w:hAnsi="Arial"/>
                <w:sz w:val="17"/>
                <w:szCs w:val="17"/>
                <w:b w:val="1"/>
                <w:bCs w:val="1"/>
                <w:color w:val="auto"/>
              </w:rPr>
              <w:t>Northeast</w:t>
            </w:r>
          </w:p>
        </w:tc>
        <w:tc>
          <w:tcPr>
            <w:tcW w:w="200" w:type="dxa"/>
            <w:vAlign w:val="bottom"/>
          </w:tcPr>
          <w:p>
            <w:pPr>
              <w:spacing w:after="0"/>
              <w:rPr>
                <w:sz w:val="16"/>
                <w:szCs w:val="16"/>
                <w:color w:val="auto"/>
              </w:rPr>
            </w:pPr>
          </w:p>
        </w:tc>
        <w:tc>
          <w:tcPr>
            <w:tcW w:w="960" w:type="dxa"/>
            <w:vAlign w:val="bottom"/>
            <w:gridSpan w:val="2"/>
          </w:tcPr>
          <w:p>
            <w:pPr>
              <w:ind w:left="120"/>
              <w:spacing w:after="0"/>
              <w:rPr>
                <w:sz w:val="20"/>
                <w:szCs w:val="20"/>
                <w:color w:val="auto"/>
              </w:rPr>
            </w:pPr>
            <w:r>
              <w:rPr>
                <w:rFonts w:ascii="Arial" w:cs="Arial" w:eastAsia="Arial" w:hAnsi="Arial"/>
                <w:sz w:val="17"/>
                <w:szCs w:val="17"/>
                <w:b w:val="1"/>
                <w:bCs w:val="1"/>
                <w:color w:val="auto"/>
              </w:rPr>
              <w:t>South</w:t>
            </w:r>
          </w:p>
        </w:tc>
        <w:tc>
          <w:tcPr>
            <w:tcW w:w="220" w:type="dxa"/>
            <w:vAlign w:val="bottom"/>
          </w:tcPr>
          <w:p>
            <w:pPr>
              <w:spacing w:after="0"/>
              <w:rPr>
                <w:sz w:val="16"/>
                <w:szCs w:val="16"/>
                <w:color w:val="auto"/>
              </w:rPr>
            </w:pPr>
          </w:p>
        </w:tc>
        <w:tc>
          <w:tcPr>
            <w:tcW w:w="940" w:type="dxa"/>
            <w:vAlign w:val="bottom"/>
            <w:gridSpan w:val="2"/>
          </w:tcPr>
          <w:p>
            <w:pPr>
              <w:ind w:left="120"/>
              <w:spacing w:after="0"/>
              <w:rPr>
                <w:sz w:val="20"/>
                <w:szCs w:val="20"/>
                <w:color w:val="auto"/>
              </w:rPr>
            </w:pPr>
            <w:r>
              <w:rPr>
                <w:rFonts w:ascii="Arial" w:cs="Arial" w:eastAsia="Arial" w:hAnsi="Arial"/>
                <w:sz w:val="17"/>
                <w:szCs w:val="17"/>
                <w:b w:val="1"/>
                <w:bCs w:val="1"/>
                <w:color w:val="auto"/>
              </w:rPr>
              <w:t>West</w:t>
            </w:r>
          </w:p>
        </w:tc>
        <w:tc>
          <w:tcPr>
            <w:tcW w:w="160" w:type="dxa"/>
            <w:vAlign w:val="bottom"/>
          </w:tcPr>
          <w:p>
            <w:pPr>
              <w:spacing w:after="0"/>
              <w:rPr>
                <w:sz w:val="16"/>
                <w:szCs w:val="16"/>
                <w:color w:val="auto"/>
              </w:rPr>
            </w:pPr>
          </w:p>
        </w:tc>
        <w:tc>
          <w:tcPr>
            <w:tcW w:w="1020" w:type="dxa"/>
            <w:vAlign w:val="bottom"/>
            <w:gridSpan w:val="2"/>
          </w:tcPr>
          <w:p>
            <w:pPr>
              <w:ind w:left="60"/>
              <w:spacing w:after="0"/>
              <w:rPr>
                <w:sz w:val="20"/>
                <w:szCs w:val="20"/>
                <w:color w:val="auto"/>
              </w:rPr>
            </w:pPr>
            <w:r>
              <w:rPr>
                <w:rFonts w:ascii="Arial" w:cs="Arial" w:eastAsia="Arial" w:hAnsi="Arial"/>
                <w:sz w:val="17"/>
                <w:szCs w:val="17"/>
                <w:b w:val="1"/>
                <w:bCs w:val="1"/>
                <w:color w:val="auto"/>
              </w:rPr>
              <w:t>Midwest</w:t>
            </w:r>
          </w:p>
        </w:tc>
        <w:tc>
          <w:tcPr>
            <w:tcW w:w="200" w:type="dxa"/>
            <w:vAlign w:val="bottom"/>
          </w:tcPr>
          <w:p>
            <w:pPr>
              <w:spacing w:after="0"/>
              <w:rPr>
                <w:sz w:val="16"/>
                <w:szCs w:val="16"/>
                <w:color w:val="auto"/>
              </w:rPr>
            </w:pPr>
          </w:p>
        </w:tc>
        <w:tc>
          <w:tcPr>
            <w:tcW w:w="960" w:type="dxa"/>
            <w:vAlign w:val="bottom"/>
            <w:gridSpan w:val="2"/>
          </w:tcPr>
          <w:p>
            <w:pPr>
              <w:ind w:left="100"/>
              <w:spacing w:after="0"/>
              <w:rPr>
                <w:sz w:val="20"/>
                <w:szCs w:val="20"/>
                <w:color w:val="auto"/>
              </w:rPr>
            </w:pPr>
            <w:r>
              <w:rPr>
                <w:rFonts w:ascii="Arial" w:cs="Arial" w:eastAsia="Arial" w:hAnsi="Arial"/>
                <w:sz w:val="17"/>
                <w:szCs w:val="17"/>
                <w:b w:val="1"/>
                <w:bCs w:val="1"/>
                <w:color w:val="auto"/>
              </w:rPr>
              <w:t>Other</w:t>
            </w:r>
          </w:p>
        </w:tc>
        <w:tc>
          <w:tcPr>
            <w:tcW w:w="220" w:type="dxa"/>
            <w:vAlign w:val="bottom"/>
          </w:tcPr>
          <w:p>
            <w:pPr>
              <w:spacing w:after="0"/>
              <w:rPr>
                <w:sz w:val="16"/>
                <w:szCs w:val="16"/>
                <w:color w:val="auto"/>
              </w:rPr>
            </w:pPr>
          </w:p>
        </w:tc>
        <w:tc>
          <w:tcPr>
            <w:tcW w:w="860" w:type="dxa"/>
            <w:vAlign w:val="bottom"/>
          </w:tcPr>
          <w:p>
            <w:pPr>
              <w:ind w:left="140"/>
              <w:spacing w:after="0"/>
              <w:rPr>
                <w:sz w:val="20"/>
                <w:szCs w:val="20"/>
                <w:color w:val="auto"/>
              </w:rPr>
            </w:pPr>
            <w:r>
              <w:rPr>
                <w:rFonts w:ascii="Arial" w:cs="Arial" w:eastAsia="Arial" w:hAnsi="Arial"/>
                <w:sz w:val="17"/>
                <w:szCs w:val="17"/>
                <w:b w:val="1"/>
                <w:bCs w:val="1"/>
                <w:color w:val="auto"/>
              </w:rPr>
              <w:t>Total</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700" w:type="dxa"/>
            <w:vAlign w:val="bottom"/>
            <w:tcBorders>
              <w:top w:val="single" w:sz="8" w:color="auto"/>
              <w:bottom w:val="single" w:sz="8" w:color="CCEEFF"/>
            </w:tcBorders>
          </w:tcPr>
          <w:p>
            <w:pPr>
              <w:spacing w:after="0" w:line="20" w:lineRule="exact"/>
              <w:rPr>
                <w:sz w:val="1"/>
                <w:szCs w:val="1"/>
                <w:color w:val="auto"/>
              </w:rPr>
            </w:pPr>
          </w:p>
        </w:tc>
        <w:tc>
          <w:tcPr>
            <w:tcW w:w="35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198"/>
        </w:trPr>
        <w:tc>
          <w:tcPr>
            <w:tcW w:w="4240" w:type="dxa"/>
            <w:vAlign w:val="bottom"/>
            <w:gridSpan w:val="3"/>
            <w:shd w:val="clear" w:color="auto" w:fill="CCEEFF"/>
          </w:tcPr>
          <w:p>
            <w:pPr>
              <w:ind w:left="20"/>
              <w:spacing w:after="0"/>
              <w:rPr>
                <w:sz w:val="20"/>
                <w:szCs w:val="20"/>
                <w:color w:val="auto"/>
              </w:rPr>
            </w:pPr>
            <w:r>
              <w:rPr>
                <w:rFonts w:ascii="Arial" w:cs="Arial" w:eastAsia="Arial" w:hAnsi="Arial"/>
                <w:sz w:val="17"/>
                <w:szCs w:val="17"/>
                <w:b w:val="1"/>
                <w:bCs w:val="1"/>
                <w:color w:val="auto"/>
              </w:rPr>
              <w:t>Balance as of December 31, 2020</w:t>
            </w: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r>
      <w:tr>
        <w:trPr>
          <w:trHeight w:val="218"/>
        </w:trPr>
        <w:tc>
          <w:tcPr>
            <w:tcW w:w="20" w:type="dxa"/>
            <w:vAlign w:val="bottom"/>
          </w:tcPr>
          <w:p>
            <w:pPr>
              <w:spacing w:after="0"/>
              <w:rPr>
                <w:sz w:val="18"/>
                <w:szCs w:val="18"/>
                <w:color w:val="auto"/>
              </w:rPr>
            </w:pPr>
          </w:p>
        </w:tc>
        <w:tc>
          <w:tcPr>
            <w:tcW w:w="4220" w:type="dxa"/>
            <w:vAlign w:val="bottom"/>
            <w:gridSpan w:val="2"/>
          </w:tcPr>
          <w:p>
            <w:pPr>
              <w:ind w:left="200"/>
              <w:spacing w:after="0"/>
              <w:rPr>
                <w:sz w:val="20"/>
                <w:szCs w:val="20"/>
                <w:color w:val="auto"/>
              </w:rPr>
            </w:pPr>
            <w:r>
              <w:rPr>
                <w:rFonts w:ascii="Arial" w:cs="Arial" w:eastAsia="Arial" w:hAnsi="Arial"/>
                <w:sz w:val="17"/>
                <w:szCs w:val="17"/>
                <w:color w:val="auto"/>
              </w:rPr>
              <w:t>Goodwill, gross</w:t>
            </w: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940" w:type="dxa"/>
            <w:vAlign w:val="bottom"/>
          </w:tcPr>
          <w:p>
            <w:pPr>
              <w:jc w:val="center"/>
              <w:ind w:left="314"/>
              <w:spacing w:after="0"/>
              <w:rPr>
                <w:sz w:val="20"/>
                <w:szCs w:val="20"/>
                <w:color w:val="auto"/>
              </w:rPr>
            </w:pPr>
            <w:r>
              <w:rPr>
                <w:rFonts w:ascii="Arial" w:cs="Arial" w:eastAsia="Arial" w:hAnsi="Arial"/>
                <w:sz w:val="17"/>
                <w:szCs w:val="17"/>
                <w:color w:val="auto"/>
                <w:w w:val="89"/>
              </w:rPr>
              <w:t>914.3</w:t>
            </w:r>
          </w:p>
        </w:tc>
        <w:tc>
          <w:tcPr>
            <w:tcW w:w="100" w:type="dxa"/>
            <w:vAlign w:val="bottom"/>
          </w:tcPr>
          <w:p>
            <w:pPr>
              <w:spacing w:after="0"/>
              <w:rPr>
                <w:sz w:val="18"/>
                <w:szCs w:val="18"/>
                <w:color w:val="auto"/>
              </w:rPr>
            </w:pPr>
          </w:p>
        </w:tc>
        <w:tc>
          <w:tcPr>
            <w:tcW w:w="200" w:type="dxa"/>
            <w:vAlign w:val="bottom"/>
          </w:tcPr>
          <w:p>
            <w:pPr>
              <w:jc w:val="right"/>
              <w:ind w:right="14"/>
              <w:spacing w:after="0"/>
              <w:rPr>
                <w:sz w:val="20"/>
                <w:szCs w:val="20"/>
                <w:color w:val="auto"/>
              </w:rPr>
            </w:pPr>
            <w:r>
              <w:rPr>
                <w:rFonts w:ascii="Arial" w:cs="Arial" w:eastAsia="Arial" w:hAnsi="Arial"/>
                <w:sz w:val="17"/>
                <w:szCs w:val="17"/>
                <w:color w:val="auto"/>
                <w:w w:val="84"/>
              </w:rPr>
              <w:t>$</w:t>
            </w:r>
          </w:p>
        </w:tc>
        <w:tc>
          <w:tcPr>
            <w:tcW w:w="860" w:type="dxa"/>
            <w:vAlign w:val="bottom"/>
          </w:tcPr>
          <w:p>
            <w:pPr>
              <w:ind w:left="400"/>
              <w:spacing w:after="0"/>
              <w:rPr>
                <w:sz w:val="20"/>
                <w:szCs w:val="20"/>
                <w:color w:val="auto"/>
              </w:rPr>
            </w:pPr>
            <w:r>
              <w:rPr>
                <w:rFonts w:ascii="Arial" w:cs="Arial" w:eastAsia="Arial" w:hAnsi="Arial"/>
                <w:sz w:val="17"/>
                <w:szCs w:val="17"/>
                <w:color w:val="auto"/>
              </w:rPr>
              <w:t>236.6</w:t>
            </w:r>
          </w:p>
        </w:tc>
        <w:tc>
          <w:tcPr>
            <w:tcW w:w="100" w:type="dxa"/>
            <w:vAlign w:val="bottom"/>
          </w:tcPr>
          <w:p>
            <w:pPr>
              <w:spacing w:after="0"/>
              <w:rPr>
                <w:sz w:val="18"/>
                <w:szCs w:val="18"/>
                <w:color w:val="auto"/>
              </w:rPr>
            </w:pPr>
          </w:p>
        </w:tc>
        <w:tc>
          <w:tcPr>
            <w:tcW w:w="220" w:type="dxa"/>
            <w:vAlign w:val="bottom"/>
          </w:tcPr>
          <w:p>
            <w:pPr>
              <w:jc w:val="right"/>
              <w:ind w:right="34"/>
              <w:spacing w:after="0"/>
              <w:rPr>
                <w:sz w:val="20"/>
                <w:szCs w:val="20"/>
                <w:color w:val="auto"/>
              </w:rPr>
            </w:pPr>
            <w:r>
              <w:rPr>
                <w:rFonts w:ascii="Arial" w:cs="Arial" w:eastAsia="Arial" w:hAnsi="Arial"/>
                <w:sz w:val="17"/>
                <w:szCs w:val="17"/>
                <w:color w:val="auto"/>
                <w:w w:val="84"/>
              </w:rPr>
              <w:t>$</w:t>
            </w:r>
          </w:p>
        </w:tc>
        <w:tc>
          <w:tcPr>
            <w:tcW w:w="840" w:type="dxa"/>
            <w:vAlign w:val="bottom"/>
          </w:tcPr>
          <w:p>
            <w:pPr>
              <w:ind w:left="380"/>
              <w:spacing w:after="0"/>
              <w:rPr>
                <w:sz w:val="20"/>
                <w:szCs w:val="20"/>
                <w:color w:val="auto"/>
              </w:rPr>
            </w:pPr>
            <w:r>
              <w:rPr>
                <w:rFonts w:ascii="Arial" w:cs="Arial" w:eastAsia="Arial" w:hAnsi="Arial"/>
                <w:sz w:val="17"/>
                <w:szCs w:val="17"/>
                <w:color w:val="auto"/>
              </w:rPr>
              <w:t>216.8</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1,116.7</w:t>
            </w:r>
          </w:p>
        </w:tc>
        <w:tc>
          <w:tcPr>
            <w:tcW w:w="120" w:type="dxa"/>
            <w:vAlign w:val="bottom"/>
          </w:tcPr>
          <w:p>
            <w:pPr>
              <w:spacing w:after="0"/>
              <w:rPr>
                <w:sz w:val="18"/>
                <w:szCs w:val="18"/>
                <w:color w:val="auto"/>
              </w:rPr>
            </w:pPr>
          </w:p>
        </w:tc>
        <w:tc>
          <w:tcPr>
            <w:tcW w:w="200" w:type="dxa"/>
            <w:vAlign w:val="bottom"/>
          </w:tcPr>
          <w:p>
            <w:pPr>
              <w:jc w:val="right"/>
              <w:ind w:right="14"/>
              <w:spacing w:after="0"/>
              <w:rPr>
                <w:sz w:val="20"/>
                <w:szCs w:val="20"/>
                <w:color w:val="auto"/>
              </w:rPr>
            </w:pPr>
            <w:r>
              <w:rPr>
                <w:rFonts w:ascii="Arial" w:cs="Arial" w:eastAsia="Arial" w:hAnsi="Arial"/>
                <w:sz w:val="17"/>
                <w:szCs w:val="17"/>
                <w:color w:val="auto"/>
                <w:w w:val="84"/>
              </w:rPr>
              <w:t>$</w:t>
            </w:r>
          </w:p>
        </w:tc>
        <w:tc>
          <w:tcPr>
            <w:tcW w:w="860" w:type="dxa"/>
            <w:vAlign w:val="bottom"/>
          </w:tcPr>
          <w:p>
            <w:pPr>
              <w:jc w:val="right"/>
              <w:spacing w:after="0"/>
              <w:rPr>
                <w:sz w:val="20"/>
                <w:szCs w:val="20"/>
                <w:color w:val="auto"/>
              </w:rPr>
            </w:pPr>
            <w:r>
              <w:rPr>
                <w:rFonts w:ascii="Arial" w:cs="Arial" w:eastAsia="Arial" w:hAnsi="Arial"/>
                <w:sz w:val="17"/>
                <w:szCs w:val="17"/>
                <w:color w:val="auto"/>
              </w:rPr>
              <w:t>155.5</w:t>
            </w:r>
          </w:p>
        </w:tc>
        <w:tc>
          <w:tcPr>
            <w:tcW w:w="100" w:type="dxa"/>
            <w:vAlign w:val="bottom"/>
          </w:tcPr>
          <w:p>
            <w:pPr>
              <w:spacing w:after="0"/>
              <w:rPr>
                <w:sz w:val="18"/>
                <w:szCs w:val="18"/>
                <w:color w:val="auto"/>
              </w:rPr>
            </w:pPr>
          </w:p>
        </w:tc>
        <w:tc>
          <w:tcPr>
            <w:tcW w:w="220" w:type="dxa"/>
            <w:vAlign w:val="bottom"/>
          </w:tcPr>
          <w:p>
            <w:pPr>
              <w:jc w:val="right"/>
              <w:ind w:right="34"/>
              <w:spacing w:after="0"/>
              <w:rPr>
                <w:sz w:val="20"/>
                <w:szCs w:val="20"/>
                <w:color w:val="auto"/>
              </w:rPr>
            </w:pPr>
            <w:r>
              <w:rPr>
                <w:rFonts w:ascii="Arial" w:cs="Arial" w:eastAsia="Arial" w:hAnsi="Arial"/>
                <w:sz w:val="17"/>
                <w:szCs w:val="17"/>
                <w:color w:val="auto"/>
                <w:w w:val="84"/>
              </w:rPr>
              <w:t>$</w:t>
            </w:r>
          </w:p>
        </w:tc>
        <w:tc>
          <w:tcPr>
            <w:tcW w:w="860" w:type="dxa"/>
            <w:vAlign w:val="bottom"/>
          </w:tcPr>
          <w:p>
            <w:pPr>
              <w:jc w:val="center"/>
              <w:ind w:left="114"/>
              <w:spacing w:after="0"/>
              <w:rPr>
                <w:sz w:val="20"/>
                <w:szCs w:val="20"/>
                <w:color w:val="auto"/>
              </w:rPr>
            </w:pPr>
            <w:r>
              <w:rPr>
                <w:rFonts w:ascii="Arial" w:cs="Arial" w:eastAsia="Arial" w:hAnsi="Arial"/>
                <w:sz w:val="17"/>
                <w:szCs w:val="17"/>
                <w:color w:val="auto"/>
                <w:w w:val="88"/>
              </w:rPr>
              <w:t>2,639.9</w:t>
            </w:r>
          </w:p>
        </w:tc>
      </w:tr>
      <w:tr>
        <w:trPr>
          <w:trHeight w:val="220"/>
        </w:trPr>
        <w:tc>
          <w:tcPr>
            <w:tcW w:w="20" w:type="dxa"/>
            <w:vAlign w:val="bottom"/>
            <w:shd w:val="clear" w:color="auto" w:fill="CCEEFF"/>
          </w:tcPr>
          <w:p>
            <w:pPr>
              <w:spacing w:after="0"/>
              <w:rPr>
                <w:sz w:val="19"/>
                <w:szCs w:val="19"/>
                <w:color w:val="auto"/>
              </w:rPr>
            </w:pPr>
          </w:p>
        </w:tc>
        <w:tc>
          <w:tcPr>
            <w:tcW w:w="4220" w:type="dxa"/>
            <w:vAlign w:val="bottom"/>
            <w:gridSpan w:val="2"/>
            <w:shd w:val="clear" w:color="auto" w:fill="CCEEFF"/>
          </w:tcPr>
          <w:p>
            <w:pPr>
              <w:ind w:left="200"/>
              <w:spacing w:after="0"/>
              <w:rPr>
                <w:sz w:val="20"/>
                <w:szCs w:val="20"/>
                <w:color w:val="auto"/>
              </w:rPr>
            </w:pPr>
            <w:r>
              <w:rPr>
                <w:rFonts w:ascii="Arial" w:cs="Arial" w:eastAsia="Arial" w:hAnsi="Arial"/>
                <w:sz w:val="17"/>
                <w:szCs w:val="17"/>
                <w:color w:val="auto"/>
              </w:rPr>
              <w:t>Accumulated goodwill impairment losses</w:t>
            </w:r>
          </w:p>
        </w:tc>
        <w:tc>
          <w:tcPr>
            <w:tcW w:w="1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center"/>
              <w:ind w:left="274"/>
              <w:spacing w:after="0"/>
              <w:rPr>
                <w:sz w:val="20"/>
                <w:szCs w:val="20"/>
                <w:color w:val="auto"/>
              </w:rPr>
            </w:pPr>
            <w:r>
              <w:rPr>
                <w:rFonts w:ascii="Arial" w:cs="Arial" w:eastAsia="Arial" w:hAnsi="Arial"/>
                <w:sz w:val="17"/>
                <w:szCs w:val="17"/>
                <w:color w:val="auto"/>
                <w:w w:val="92"/>
              </w:rPr>
              <w:t>(761.4)</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ind w:left="420"/>
              <w:spacing w:after="0"/>
              <w:rPr>
                <w:sz w:val="20"/>
                <w:szCs w:val="20"/>
                <w:color w:val="auto"/>
              </w:rPr>
            </w:pPr>
            <w:r>
              <w:rPr>
                <w:rFonts w:ascii="Arial" w:cs="Arial" w:eastAsia="Arial" w:hAnsi="Arial"/>
                <w:sz w:val="17"/>
                <w:szCs w:val="17"/>
                <w:color w:val="auto"/>
                <w:w w:val="94"/>
              </w:rPr>
              <w:t>(61.0)</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ind w:left="400"/>
              <w:spacing w:after="0"/>
              <w:rPr>
                <w:sz w:val="20"/>
                <w:szCs w:val="20"/>
                <w:color w:val="auto"/>
              </w:rPr>
            </w:pPr>
            <w:r>
              <w:rPr>
                <w:rFonts w:ascii="Arial" w:cs="Arial" w:eastAsia="Arial" w:hAnsi="Arial"/>
                <w:sz w:val="17"/>
                <w:szCs w:val="17"/>
                <w:color w:val="auto"/>
                <w:w w:val="94"/>
              </w:rPr>
              <w:t>(16.6)</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(556.1)</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(87.7)</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center"/>
              <w:ind w:left="74"/>
              <w:spacing w:after="0"/>
              <w:rPr>
                <w:sz w:val="20"/>
                <w:szCs w:val="20"/>
                <w:color w:val="auto"/>
              </w:rPr>
            </w:pPr>
            <w:r>
              <w:rPr>
                <w:rFonts w:ascii="Arial" w:cs="Arial" w:eastAsia="Arial" w:hAnsi="Arial"/>
                <w:sz w:val="17"/>
                <w:szCs w:val="17"/>
                <w:color w:val="auto"/>
                <w:w w:val="91"/>
              </w:rPr>
              <w:t>(1,482.8)</w:t>
            </w:r>
          </w:p>
        </w:tc>
      </w:tr>
      <w:tr>
        <w:trPr>
          <w:trHeight w:val="211"/>
        </w:trPr>
        <w:tc>
          <w:tcPr>
            <w:tcW w:w="20" w:type="dxa"/>
            <w:vAlign w:val="bottom"/>
          </w:tcPr>
          <w:p>
            <w:pPr>
              <w:spacing w:after="0"/>
              <w:rPr>
                <w:sz w:val="18"/>
                <w:szCs w:val="18"/>
                <w:color w:val="auto"/>
              </w:rPr>
            </w:pPr>
          </w:p>
        </w:tc>
        <w:tc>
          <w:tcPr>
            <w:tcW w:w="4220" w:type="dxa"/>
            <w:vAlign w:val="bottom"/>
            <w:gridSpan w:val="2"/>
          </w:tcPr>
          <w:p>
            <w:pPr>
              <w:ind w:left="420"/>
              <w:spacing w:after="0"/>
              <w:rPr>
                <w:sz w:val="20"/>
                <w:szCs w:val="20"/>
                <w:color w:val="auto"/>
              </w:rPr>
            </w:pPr>
            <w:r>
              <w:rPr>
                <w:rFonts w:ascii="Arial" w:cs="Arial" w:eastAsia="Arial" w:hAnsi="Arial"/>
                <w:sz w:val="17"/>
                <w:szCs w:val="17"/>
                <w:color w:val="auto"/>
              </w:rPr>
              <w:t>Goodwill, net</w:t>
            </w: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940" w:type="dxa"/>
            <w:vAlign w:val="bottom"/>
          </w:tcPr>
          <w:p>
            <w:pPr>
              <w:jc w:val="center"/>
              <w:ind w:left="314"/>
              <w:spacing w:after="0"/>
              <w:rPr>
                <w:sz w:val="20"/>
                <w:szCs w:val="20"/>
                <w:color w:val="auto"/>
              </w:rPr>
            </w:pPr>
            <w:r>
              <w:rPr>
                <w:rFonts w:ascii="Arial" w:cs="Arial" w:eastAsia="Arial" w:hAnsi="Arial"/>
                <w:sz w:val="17"/>
                <w:szCs w:val="17"/>
                <w:color w:val="auto"/>
                <w:w w:val="89"/>
              </w:rPr>
              <w:t>152.9</w:t>
            </w:r>
          </w:p>
        </w:tc>
        <w:tc>
          <w:tcPr>
            <w:tcW w:w="100" w:type="dxa"/>
            <w:vAlign w:val="bottom"/>
          </w:tcPr>
          <w:p>
            <w:pPr>
              <w:spacing w:after="0"/>
              <w:rPr>
                <w:sz w:val="18"/>
                <w:szCs w:val="18"/>
                <w:color w:val="auto"/>
              </w:rPr>
            </w:pPr>
          </w:p>
        </w:tc>
        <w:tc>
          <w:tcPr>
            <w:tcW w:w="200" w:type="dxa"/>
            <w:vAlign w:val="bottom"/>
          </w:tcPr>
          <w:p>
            <w:pPr>
              <w:jc w:val="right"/>
              <w:ind w:right="14"/>
              <w:spacing w:after="0"/>
              <w:rPr>
                <w:sz w:val="20"/>
                <w:szCs w:val="20"/>
                <w:color w:val="auto"/>
              </w:rPr>
            </w:pPr>
            <w:r>
              <w:rPr>
                <w:rFonts w:ascii="Arial" w:cs="Arial" w:eastAsia="Arial" w:hAnsi="Arial"/>
                <w:sz w:val="17"/>
                <w:szCs w:val="17"/>
                <w:color w:val="auto"/>
                <w:w w:val="84"/>
              </w:rPr>
              <w:t>$</w:t>
            </w:r>
          </w:p>
        </w:tc>
        <w:tc>
          <w:tcPr>
            <w:tcW w:w="860" w:type="dxa"/>
            <w:vAlign w:val="bottom"/>
          </w:tcPr>
          <w:p>
            <w:pPr>
              <w:ind w:left="400"/>
              <w:spacing w:after="0"/>
              <w:rPr>
                <w:sz w:val="20"/>
                <w:szCs w:val="20"/>
                <w:color w:val="auto"/>
              </w:rPr>
            </w:pPr>
            <w:r>
              <w:rPr>
                <w:rFonts w:ascii="Arial" w:cs="Arial" w:eastAsia="Arial" w:hAnsi="Arial"/>
                <w:sz w:val="17"/>
                <w:szCs w:val="17"/>
                <w:color w:val="auto"/>
              </w:rPr>
              <w:t>175.6</w:t>
            </w:r>
          </w:p>
        </w:tc>
        <w:tc>
          <w:tcPr>
            <w:tcW w:w="100" w:type="dxa"/>
            <w:vAlign w:val="bottom"/>
          </w:tcPr>
          <w:p>
            <w:pPr>
              <w:spacing w:after="0"/>
              <w:rPr>
                <w:sz w:val="18"/>
                <w:szCs w:val="18"/>
                <w:color w:val="auto"/>
              </w:rPr>
            </w:pPr>
          </w:p>
        </w:tc>
        <w:tc>
          <w:tcPr>
            <w:tcW w:w="220" w:type="dxa"/>
            <w:vAlign w:val="bottom"/>
          </w:tcPr>
          <w:p>
            <w:pPr>
              <w:jc w:val="right"/>
              <w:ind w:right="34"/>
              <w:spacing w:after="0"/>
              <w:rPr>
                <w:sz w:val="20"/>
                <w:szCs w:val="20"/>
                <w:color w:val="auto"/>
              </w:rPr>
            </w:pPr>
            <w:r>
              <w:rPr>
                <w:rFonts w:ascii="Arial" w:cs="Arial" w:eastAsia="Arial" w:hAnsi="Arial"/>
                <w:sz w:val="17"/>
                <w:szCs w:val="17"/>
                <w:color w:val="auto"/>
                <w:w w:val="84"/>
              </w:rPr>
              <w:t>$</w:t>
            </w:r>
          </w:p>
        </w:tc>
        <w:tc>
          <w:tcPr>
            <w:tcW w:w="840" w:type="dxa"/>
            <w:vAlign w:val="bottom"/>
          </w:tcPr>
          <w:p>
            <w:pPr>
              <w:ind w:left="380"/>
              <w:spacing w:after="0"/>
              <w:rPr>
                <w:sz w:val="20"/>
                <w:szCs w:val="20"/>
                <w:color w:val="auto"/>
              </w:rPr>
            </w:pPr>
            <w:r>
              <w:rPr>
                <w:rFonts w:ascii="Arial" w:cs="Arial" w:eastAsia="Arial" w:hAnsi="Arial"/>
                <w:sz w:val="17"/>
                <w:szCs w:val="17"/>
                <w:color w:val="auto"/>
              </w:rPr>
              <w:t>200.2</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560.6</w:t>
            </w:r>
          </w:p>
        </w:tc>
        <w:tc>
          <w:tcPr>
            <w:tcW w:w="120" w:type="dxa"/>
            <w:vAlign w:val="bottom"/>
          </w:tcPr>
          <w:p>
            <w:pPr>
              <w:spacing w:after="0"/>
              <w:rPr>
                <w:sz w:val="18"/>
                <w:szCs w:val="18"/>
                <w:color w:val="auto"/>
              </w:rPr>
            </w:pPr>
          </w:p>
        </w:tc>
        <w:tc>
          <w:tcPr>
            <w:tcW w:w="200" w:type="dxa"/>
            <w:vAlign w:val="bottom"/>
          </w:tcPr>
          <w:p>
            <w:pPr>
              <w:jc w:val="right"/>
              <w:ind w:right="14"/>
              <w:spacing w:after="0"/>
              <w:rPr>
                <w:sz w:val="20"/>
                <w:szCs w:val="20"/>
                <w:color w:val="auto"/>
              </w:rPr>
            </w:pPr>
            <w:r>
              <w:rPr>
                <w:rFonts w:ascii="Arial" w:cs="Arial" w:eastAsia="Arial" w:hAnsi="Arial"/>
                <w:sz w:val="17"/>
                <w:szCs w:val="17"/>
                <w:color w:val="auto"/>
                <w:w w:val="84"/>
              </w:rPr>
              <w:t>$</w:t>
            </w:r>
          </w:p>
        </w:tc>
        <w:tc>
          <w:tcPr>
            <w:tcW w:w="860" w:type="dxa"/>
            <w:vAlign w:val="bottom"/>
          </w:tcPr>
          <w:p>
            <w:pPr>
              <w:jc w:val="right"/>
              <w:spacing w:after="0"/>
              <w:rPr>
                <w:sz w:val="20"/>
                <w:szCs w:val="20"/>
                <w:color w:val="auto"/>
              </w:rPr>
            </w:pPr>
            <w:r>
              <w:rPr>
                <w:rFonts w:ascii="Arial" w:cs="Arial" w:eastAsia="Arial" w:hAnsi="Arial"/>
                <w:sz w:val="17"/>
                <w:szCs w:val="17"/>
                <w:color w:val="auto"/>
              </w:rPr>
              <w:t>67.8</w:t>
            </w:r>
          </w:p>
        </w:tc>
        <w:tc>
          <w:tcPr>
            <w:tcW w:w="100" w:type="dxa"/>
            <w:vAlign w:val="bottom"/>
          </w:tcPr>
          <w:p>
            <w:pPr>
              <w:spacing w:after="0"/>
              <w:rPr>
                <w:sz w:val="18"/>
                <w:szCs w:val="18"/>
                <w:color w:val="auto"/>
              </w:rPr>
            </w:pPr>
          </w:p>
        </w:tc>
        <w:tc>
          <w:tcPr>
            <w:tcW w:w="220" w:type="dxa"/>
            <w:vAlign w:val="bottom"/>
          </w:tcPr>
          <w:p>
            <w:pPr>
              <w:jc w:val="right"/>
              <w:ind w:right="34"/>
              <w:spacing w:after="0"/>
              <w:rPr>
                <w:sz w:val="20"/>
                <w:szCs w:val="20"/>
                <w:color w:val="auto"/>
              </w:rPr>
            </w:pPr>
            <w:r>
              <w:rPr>
                <w:rFonts w:ascii="Arial" w:cs="Arial" w:eastAsia="Arial" w:hAnsi="Arial"/>
                <w:sz w:val="17"/>
                <w:szCs w:val="17"/>
                <w:color w:val="auto"/>
                <w:w w:val="84"/>
              </w:rPr>
              <w:t>$</w:t>
            </w:r>
          </w:p>
        </w:tc>
        <w:tc>
          <w:tcPr>
            <w:tcW w:w="860" w:type="dxa"/>
            <w:vAlign w:val="bottom"/>
          </w:tcPr>
          <w:p>
            <w:pPr>
              <w:jc w:val="center"/>
              <w:ind w:left="114"/>
              <w:spacing w:after="0"/>
              <w:rPr>
                <w:sz w:val="20"/>
                <w:szCs w:val="20"/>
                <w:color w:val="auto"/>
              </w:rPr>
            </w:pPr>
            <w:r>
              <w:rPr>
                <w:rFonts w:ascii="Arial" w:cs="Arial" w:eastAsia="Arial" w:hAnsi="Arial"/>
                <w:sz w:val="17"/>
                <w:szCs w:val="17"/>
                <w:color w:val="auto"/>
                <w:w w:val="88"/>
              </w:rPr>
              <w:t>1,157.1</w:t>
            </w:r>
          </w:p>
        </w:tc>
      </w:tr>
      <w:tr>
        <w:trPr>
          <w:trHeight w:val="259"/>
        </w:trPr>
        <w:tc>
          <w:tcPr>
            <w:tcW w:w="20" w:type="dxa"/>
            <w:vAlign w:val="bottom"/>
            <w:shd w:val="clear" w:color="auto" w:fill="CCEEFF"/>
          </w:tcPr>
          <w:p>
            <w:pPr>
              <w:spacing w:after="0"/>
              <w:rPr>
                <w:sz w:val="22"/>
                <w:szCs w:val="22"/>
                <w:color w:val="auto"/>
              </w:rPr>
            </w:pPr>
          </w:p>
        </w:tc>
        <w:tc>
          <w:tcPr>
            <w:tcW w:w="700" w:type="dxa"/>
            <w:vAlign w:val="bottom"/>
            <w:shd w:val="clear" w:color="auto" w:fill="CCEEFF"/>
          </w:tcPr>
          <w:p>
            <w:pPr>
              <w:spacing w:after="0"/>
              <w:rPr>
                <w:sz w:val="22"/>
                <w:szCs w:val="22"/>
                <w:color w:val="auto"/>
              </w:rPr>
            </w:pPr>
          </w:p>
        </w:tc>
        <w:tc>
          <w:tcPr>
            <w:tcW w:w="35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8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r>
      <w:tr>
        <w:trPr>
          <w:trHeight w:val="219"/>
        </w:trPr>
        <w:tc>
          <w:tcPr>
            <w:tcW w:w="4240" w:type="dxa"/>
            <w:vAlign w:val="bottom"/>
            <w:gridSpan w:val="3"/>
          </w:tcPr>
          <w:p>
            <w:pPr>
              <w:ind w:left="20"/>
              <w:spacing w:after="0"/>
              <w:rPr>
                <w:sz w:val="20"/>
                <w:szCs w:val="20"/>
                <w:color w:val="auto"/>
              </w:rPr>
            </w:pPr>
            <w:r>
              <w:rPr>
                <w:rFonts w:ascii="Arial" w:cs="Arial" w:eastAsia="Arial" w:hAnsi="Arial"/>
                <w:sz w:val="17"/>
                <w:szCs w:val="17"/>
                <w:b w:val="1"/>
                <w:bCs w:val="1"/>
                <w:color w:val="auto"/>
              </w:rPr>
              <w:t>Balance as of March 31, 2021</w:t>
            </w:r>
          </w:p>
        </w:tc>
        <w:tc>
          <w:tcPr>
            <w:tcW w:w="1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219"/>
        </w:trPr>
        <w:tc>
          <w:tcPr>
            <w:tcW w:w="20" w:type="dxa"/>
            <w:vAlign w:val="bottom"/>
            <w:shd w:val="clear" w:color="auto" w:fill="CCEEFF"/>
          </w:tcPr>
          <w:p>
            <w:pPr>
              <w:spacing w:after="0"/>
              <w:rPr>
                <w:sz w:val="19"/>
                <w:szCs w:val="19"/>
                <w:color w:val="auto"/>
              </w:rPr>
            </w:pPr>
          </w:p>
        </w:tc>
        <w:tc>
          <w:tcPr>
            <w:tcW w:w="4220" w:type="dxa"/>
            <w:vAlign w:val="bottom"/>
            <w:gridSpan w:val="2"/>
            <w:shd w:val="clear" w:color="auto" w:fill="CCEEFF"/>
          </w:tcPr>
          <w:p>
            <w:pPr>
              <w:ind w:left="200"/>
              <w:spacing w:after="0"/>
              <w:rPr>
                <w:sz w:val="20"/>
                <w:szCs w:val="20"/>
                <w:color w:val="auto"/>
              </w:rPr>
            </w:pPr>
            <w:r>
              <w:rPr>
                <w:rFonts w:ascii="Arial" w:cs="Arial" w:eastAsia="Arial" w:hAnsi="Arial"/>
                <w:sz w:val="17"/>
                <w:szCs w:val="17"/>
                <w:color w:val="auto"/>
              </w:rPr>
              <w:t>Goodwill, gross</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40" w:type="dxa"/>
            <w:vAlign w:val="bottom"/>
            <w:shd w:val="clear" w:color="auto" w:fill="CCEEFF"/>
          </w:tcPr>
          <w:p>
            <w:pPr>
              <w:jc w:val="center"/>
              <w:ind w:left="314"/>
              <w:spacing w:after="0"/>
              <w:rPr>
                <w:sz w:val="20"/>
                <w:szCs w:val="20"/>
                <w:color w:val="auto"/>
              </w:rPr>
            </w:pPr>
            <w:r>
              <w:rPr>
                <w:rFonts w:ascii="Arial" w:cs="Arial" w:eastAsia="Arial" w:hAnsi="Arial"/>
                <w:sz w:val="17"/>
                <w:szCs w:val="17"/>
                <w:color w:val="auto"/>
                <w:w w:val="89"/>
              </w:rPr>
              <w:t>914.3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w w:val="84"/>
              </w:rPr>
              <w:t>$</w:t>
            </w:r>
          </w:p>
        </w:tc>
        <w:tc>
          <w:tcPr>
            <w:tcW w:w="860" w:type="dxa"/>
            <w:vAlign w:val="bottom"/>
            <w:shd w:val="clear" w:color="auto" w:fill="CCEEFF"/>
          </w:tcPr>
          <w:p>
            <w:pPr>
              <w:ind w:left="400"/>
              <w:spacing w:after="0"/>
              <w:rPr>
                <w:sz w:val="20"/>
                <w:szCs w:val="20"/>
                <w:color w:val="auto"/>
              </w:rPr>
            </w:pPr>
            <w:r>
              <w:rPr>
                <w:rFonts w:ascii="Arial" w:cs="Arial" w:eastAsia="Arial" w:hAnsi="Arial"/>
                <w:sz w:val="17"/>
                <w:szCs w:val="17"/>
                <w:color w:val="auto"/>
              </w:rPr>
              <w:t>236.6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w w:val="84"/>
              </w:rPr>
              <w:t>$</w:t>
            </w:r>
          </w:p>
        </w:tc>
        <w:tc>
          <w:tcPr>
            <w:tcW w:w="840" w:type="dxa"/>
            <w:vAlign w:val="bottom"/>
            <w:shd w:val="clear" w:color="auto" w:fill="CCEEFF"/>
          </w:tcPr>
          <w:p>
            <w:pPr>
              <w:ind w:left="380"/>
              <w:spacing w:after="0"/>
              <w:rPr>
                <w:sz w:val="20"/>
                <w:szCs w:val="20"/>
                <w:color w:val="auto"/>
              </w:rPr>
            </w:pPr>
            <w:r>
              <w:rPr>
                <w:rFonts w:ascii="Arial" w:cs="Arial" w:eastAsia="Arial" w:hAnsi="Arial"/>
                <w:sz w:val="17"/>
                <w:szCs w:val="17"/>
                <w:color w:val="auto"/>
              </w:rPr>
              <w:t>216.8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1,116.7</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w w:val="84"/>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155.5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w w:val="84"/>
              </w:rPr>
              <w:t>$</w:t>
            </w:r>
          </w:p>
        </w:tc>
        <w:tc>
          <w:tcPr>
            <w:tcW w:w="860" w:type="dxa"/>
            <w:vAlign w:val="bottom"/>
            <w:shd w:val="clear" w:color="auto" w:fill="CCEEFF"/>
          </w:tcPr>
          <w:p>
            <w:pPr>
              <w:jc w:val="center"/>
              <w:ind w:left="114"/>
              <w:spacing w:after="0"/>
              <w:rPr>
                <w:sz w:val="20"/>
                <w:szCs w:val="20"/>
                <w:color w:val="auto"/>
              </w:rPr>
            </w:pPr>
            <w:r>
              <w:rPr>
                <w:rFonts w:ascii="Arial" w:cs="Arial" w:eastAsia="Arial" w:hAnsi="Arial"/>
                <w:sz w:val="17"/>
                <w:szCs w:val="17"/>
                <w:color w:val="auto"/>
                <w:w w:val="88"/>
              </w:rPr>
              <w:t>2,639.9</w:t>
            </w:r>
          </w:p>
        </w:tc>
      </w:tr>
      <w:tr>
        <w:trPr>
          <w:trHeight w:val="218"/>
        </w:trPr>
        <w:tc>
          <w:tcPr>
            <w:tcW w:w="20" w:type="dxa"/>
            <w:vAlign w:val="bottom"/>
            <w:tcBorders>
              <w:bottom w:val="single" w:sz="8" w:color="CCEEFF"/>
            </w:tcBorders>
          </w:tcPr>
          <w:p>
            <w:pPr>
              <w:spacing w:after="0"/>
              <w:rPr>
                <w:sz w:val="18"/>
                <w:szCs w:val="18"/>
                <w:color w:val="auto"/>
              </w:rPr>
            </w:pPr>
          </w:p>
        </w:tc>
        <w:tc>
          <w:tcPr>
            <w:tcW w:w="4220" w:type="dxa"/>
            <w:vAlign w:val="bottom"/>
            <w:tcBorders>
              <w:bottom w:val="single" w:sz="8" w:color="CCEEFF"/>
            </w:tcBorders>
            <w:gridSpan w:val="2"/>
          </w:tcPr>
          <w:p>
            <w:pPr>
              <w:ind w:left="200"/>
              <w:spacing w:after="0"/>
              <w:rPr>
                <w:sz w:val="20"/>
                <w:szCs w:val="20"/>
                <w:color w:val="auto"/>
              </w:rPr>
            </w:pPr>
            <w:r>
              <w:rPr>
                <w:rFonts w:ascii="Arial" w:cs="Arial" w:eastAsia="Arial" w:hAnsi="Arial"/>
                <w:sz w:val="17"/>
                <w:szCs w:val="17"/>
                <w:color w:val="auto"/>
              </w:rPr>
              <w:t>Accumulated goodwill impairment losses</w:t>
            </w:r>
          </w:p>
        </w:tc>
        <w:tc>
          <w:tcPr>
            <w:tcW w:w="1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center"/>
              <w:ind w:left="274"/>
              <w:spacing w:after="0"/>
              <w:rPr>
                <w:sz w:val="20"/>
                <w:szCs w:val="20"/>
                <w:color w:val="auto"/>
              </w:rPr>
            </w:pPr>
            <w:r>
              <w:rPr>
                <w:rFonts w:ascii="Arial" w:cs="Arial" w:eastAsia="Arial" w:hAnsi="Arial"/>
                <w:sz w:val="17"/>
                <w:szCs w:val="17"/>
                <w:color w:val="auto"/>
                <w:w w:val="92"/>
              </w:rPr>
              <w:t>(761.4)</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ind w:left="420"/>
              <w:spacing w:after="0"/>
              <w:rPr>
                <w:sz w:val="20"/>
                <w:szCs w:val="20"/>
                <w:color w:val="auto"/>
              </w:rPr>
            </w:pPr>
            <w:r>
              <w:rPr>
                <w:rFonts w:ascii="Arial" w:cs="Arial" w:eastAsia="Arial" w:hAnsi="Arial"/>
                <w:sz w:val="17"/>
                <w:szCs w:val="17"/>
                <w:color w:val="auto"/>
                <w:w w:val="94"/>
              </w:rPr>
              <w:t>(61.0)</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ind w:left="400"/>
              <w:spacing w:after="0"/>
              <w:rPr>
                <w:sz w:val="20"/>
                <w:szCs w:val="20"/>
                <w:color w:val="auto"/>
              </w:rPr>
            </w:pPr>
            <w:r>
              <w:rPr>
                <w:rFonts w:ascii="Arial" w:cs="Arial" w:eastAsia="Arial" w:hAnsi="Arial"/>
                <w:sz w:val="17"/>
                <w:szCs w:val="17"/>
                <w:color w:val="auto"/>
                <w:w w:val="94"/>
              </w:rPr>
              <w:t>(16.6)</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(556.1)</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(87.7)</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center"/>
              <w:ind w:left="74"/>
              <w:spacing w:after="0"/>
              <w:rPr>
                <w:sz w:val="20"/>
                <w:szCs w:val="20"/>
                <w:color w:val="auto"/>
              </w:rPr>
            </w:pPr>
            <w:r>
              <w:rPr>
                <w:rFonts w:ascii="Arial" w:cs="Arial" w:eastAsia="Arial" w:hAnsi="Arial"/>
                <w:sz w:val="17"/>
                <w:szCs w:val="17"/>
                <w:color w:val="auto"/>
                <w:w w:val="91"/>
              </w:rPr>
              <w:t>(1,482.8)</w:t>
            </w:r>
          </w:p>
        </w:tc>
      </w:tr>
      <w:tr>
        <w:trPr>
          <w:trHeight w:val="238"/>
        </w:trPr>
        <w:tc>
          <w:tcPr>
            <w:tcW w:w="20" w:type="dxa"/>
            <w:vAlign w:val="bottom"/>
            <w:tcBorders>
              <w:bottom w:val="single" w:sz="8" w:color="CCEEFF"/>
            </w:tcBorders>
            <w:shd w:val="clear" w:color="auto" w:fill="CCEEFF"/>
          </w:tcPr>
          <w:p>
            <w:pPr>
              <w:spacing w:after="0"/>
              <w:rPr>
                <w:sz w:val="20"/>
                <w:szCs w:val="20"/>
                <w:color w:val="auto"/>
              </w:rPr>
            </w:pPr>
          </w:p>
        </w:tc>
        <w:tc>
          <w:tcPr>
            <w:tcW w:w="4220" w:type="dxa"/>
            <w:vAlign w:val="bottom"/>
            <w:tcBorders>
              <w:bottom w:val="single" w:sz="8" w:color="CCEEFF"/>
            </w:tcBorders>
            <w:gridSpan w:val="2"/>
            <w:shd w:val="clear" w:color="auto" w:fill="CCEEFF"/>
          </w:tcPr>
          <w:p>
            <w:pPr>
              <w:ind w:left="420"/>
              <w:spacing w:after="0"/>
              <w:rPr>
                <w:sz w:val="20"/>
                <w:szCs w:val="20"/>
                <w:color w:val="auto"/>
              </w:rPr>
            </w:pPr>
            <w:r>
              <w:rPr>
                <w:rFonts w:ascii="Arial" w:cs="Arial" w:eastAsia="Arial" w:hAnsi="Arial"/>
                <w:sz w:val="17"/>
                <w:szCs w:val="17"/>
                <w:color w:val="auto"/>
              </w:rPr>
              <w:t>Goodwill, net</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40" w:type="dxa"/>
            <w:vAlign w:val="bottom"/>
            <w:tcBorders>
              <w:bottom w:val="single" w:sz="8" w:color="auto"/>
            </w:tcBorders>
            <w:shd w:val="clear" w:color="auto" w:fill="CCEEFF"/>
          </w:tcPr>
          <w:p>
            <w:pPr>
              <w:jc w:val="center"/>
              <w:ind w:left="314"/>
              <w:spacing w:after="0"/>
              <w:rPr>
                <w:sz w:val="20"/>
                <w:szCs w:val="20"/>
                <w:color w:val="auto"/>
              </w:rPr>
            </w:pPr>
            <w:r>
              <w:rPr>
                <w:rFonts w:ascii="Arial" w:cs="Arial" w:eastAsia="Arial" w:hAnsi="Arial"/>
                <w:sz w:val="17"/>
                <w:szCs w:val="17"/>
                <w:color w:val="auto"/>
                <w:w w:val="89"/>
              </w:rPr>
              <w:t>152.9</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7"/>
                <w:szCs w:val="17"/>
                <w:color w:val="auto"/>
                <w:w w:val="84"/>
              </w:rPr>
              <w:t>$</w:t>
            </w:r>
          </w:p>
        </w:tc>
        <w:tc>
          <w:tcPr>
            <w:tcW w:w="860" w:type="dxa"/>
            <w:vAlign w:val="bottom"/>
            <w:tcBorders>
              <w:bottom w:val="single" w:sz="8" w:color="auto"/>
            </w:tcBorders>
            <w:shd w:val="clear" w:color="auto" w:fill="CCEEFF"/>
          </w:tcPr>
          <w:p>
            <w:pPr>
              <w:ind w:left="400"/>
              <w:spacing w:after="0"/>
              <w:rPr>
                <w:sz w:val="20"/>
                <w:szCs w:val="20"/>
                <w:color w:val="auto"/>
              </w:rPr>
            </w:pPr>
            <w:r>
              <w:rPr>
                <w:rFonts w:ascii="Arial" w:cs="Arial" w:eastAsia="Arial" w:hAnsi="Arial"/>
                <w:sz w:val="17"/>
                <w:szCs w:val="17"/>
                <w:color w:val="auto"/>
              </w:rPr>
              <w:t>175.6</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7"/>
                <w:szCs w:val="17"/>
                <w:color w:val="auto"/>
                <w:w w:val="84"/>
              </w:rPr>
              <w:t>$</w:t>
            </w:r>
          </w:p>
        </w:tc>
        <w:tc>
          <w:tcPr>
            <w:tcW w:w="840" w:type="dxa"/>
            <w:vAlign w:val="bottom"/>
            <w:tcBorders>
              <w:bottom w:val="single" w:sz="8" w:color="auto"/>
            </w:tcBorders>
            <w:shd w:val="clear" w:color="auto" w:fill="CCEEFF"/>
          </w:tcPr>
          <w:p>
            <w:pPr>
              <w:ind w:left="380"/>
              <w:spacing w:after="0"/>
              <w:rPr>
                <w:sz w:val="20"/>
                <w:szCs w:val="20"/>
                <w:color w:val="auto"/>
              </w:rPr>
            </w:pPr>
            <w:r>
              <w:rPr>
                <w:rFonts w:ascii="Arial" w:cs="Arial" w:eastAsia="Arial" w:hAnsi="Arial"/>
                <w:sz w:val="17"/>
                <w:szCs w:val="17"/>
                <w:color w:val="auto"/>
              </w:rPr>
              <w:t>200.2</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560.6</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7"/>
                <w:szCs w:val="17"/>
                <w:color w:val="auto"/>
                <w:w w:val="84"/>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67.8</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7"/>
                <w:szCs w:val="17"/>
                <w:color w:val="auto"/>
                <w:w w:val="84"/>
              </w:rPr>
              <w:t>$</w:t>
            </w:r>
          </w:p>
        </w:tc>
        <w:tc>
          <w:tcPr>
            <w:tcW w:w="860" w:type="dxa"/>
            <w:vAlign w:val="bottom"/>
            <w:tcBorders>
              <w:bottom w:val="single" w:sz="8" w:color="auto"/>
            </w:tcBorders>
            <w:shd w:val="clear" w:color="auto" w:fill="CCEEFF"/>
          </w:tcPr>
          <w:p>
            <w:pPr>
              <w:jc w:val="center"/>
              <w:ind w:left="114"/>
              <w:spacing w:after="0"/>
              <w:rPr>
                <w:sz w:val="20"/>
                <w:szCs w:val="20"/>
                <w:color w:val="auto"/>
              </w:rPr>
            </w:pPr>
            <w:r>
              <w:rPr>
                <w:rFonts w:ascii="Arial" w:cs="Arial" w:eastAsia="Arial" w:hAnsi="Arial"/>
                <w:sz w:val="17"/>
                <w:szCs w:val="17"/>
                <w:color w:val="auto"/>
                <w:w w:val="88"/>
              </w:rPr>
              <w:t>1,157.1</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35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r>
    </w:tbl>
    <w:p>
      <w:pPr>
        <w:spacing w:after="0" w:line="220"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There were no impairment charges recorded to goodwill during the three months ended March 31, 2021.</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2020 Assessment for Impairment</w:t>
      </w:r>
    </w:p>
    <w:p>
      <w:pPr>
        <w:spacing w:after="0" w:line="191" w:lineRule="exact"/>
        <w:rPr>
          <w:sz w:val="20"/>
          <w:szCs w:val="20"/>
          <w:color w:val="auto"/>
        </w:rPr>
      </w:pPr>
    </w:p>
    <w:p>
      <w:pPr>
        <w:ind w:right="40" w:firstLine="309"/>
        <w:spacing w:after="0" w:line="277" w:lineRule="auto"/>
        <w:rPr>
          <w:sz w:val="20"/>
          <w:szCs w:val="20"/>
          <w:color w:val="auto"/>
        </w:rPr>
      </w:pPr>
      <w:r>
        <w:rPr>
          <w:rFonts w:ascii="Arial" w:cs="Arial" w:eastAsia="Arial" w:hAnsi="Arial"/>
          <w:sz w:val="16"/>
          <w:szCs w:val="16"/>
          <w:color w:val="auto"/>
        </w:rPr>
        <w:t>During the first quarter of 2020, we identified an indicator of impairment on our goodwill and other intangible assets due to the COVID-19 pandemic. As a result of the COVID-19 pandemic, we revised our cash flow projections to reflect the current economic environment, including the uncertainty surrounding the nature, timing and extent of reopening our gaming properties. As a result of the interim assessment for impairment, during the first quarter of 2020, we recognized impairments on our goodwill, gaming licenses, and trademarks of $113.0 million, $437.0 million, and $61.5 million, respectively. The estimated fair values of the reporting units were determined through a combination of a discounted cash flow model and a market-based approach, which utilized Level 3 inputs. The estimated fair values of the gaming licenses and trademarks were determined by using discounted cash flow models, which utilized Level 3 inputs.</w:t>
      </w:r>
    </w:p>
    <w:p>
      <w:pPr>
        <w:spacing w:after="0" w:line="131" w:lineRule="exact"/>
        <w:rPr>
          <w:sz w:val="20"/>
          <w:szCs w:val="20"/>
          <w:color w:val="auto"/>
        </w:rPr>
      </w:pPr>
    </w:p>
    <w:p>
      <w:pPr>
        <w:ind w:right="260" w:firstLine="309"/>
        <w:spacing w:after="0" w:line="262" w:lineRule="auto"/>
        <w:rPr>
          <w:sz w:val="20"/>
          <w:szCs w:val="20"/>
          <w:color w:val="auto"/>
        </w:rPr>
      </w:pPr>
      <w:r>
        <w:rPr>
          <w:rFonts w:ascii="Arial" w:cs="Arial" w:eastAsia="Arial" w:hAnsi="Arial"/>
          <w:sz w:val="17"/>
          <w:szCs w:val="17"/>
          <w:color w:val="auto"/>
        </w:rPr>
        <w:t>The goodwill impairments pertained to our Northeast, South, and Midwest segments, in the amounts of $43.5 million, $9.0 million and $60.5 million, respectively. The gaming license impairments pertained to our Northeast, South, and Midwest segments in the amounts of $177.0 million, $166.0 million and $94.0 million, respectively. The trademark impairments pertained to our Northeast, South, Midwest, and West segments, in the amounts of $17.0 million, $17.0 million, $15.0 million, and $12.5 million, respectively.</w:t>
      </w:r>
    </w:p>
    <w:p>
      <w:pPr>
        <w:spacing w:after="0" w:line="139" w:lineRule="exact"/>
        <w:rPr>
          <w:sz w:val="20"/>
          <w:szCs w:val="20"/>
          <w:color w:val="auto"/>
        </w:rPr>
      </w:pPr>
    </w:p>
    <w:p>
      <w:pPr>
        <w:ind w:left="320"/>
        <w:spacing w:after="0"/>
        <w:rPr>
          <w:sz w:val="20"/>
          <w:szCs w:val="20"/>
          <w:color w:val="auto"/>
        </w:rPr>
      </w:pPr>
      <w:r>
        <w:rPr>
          <w:rFonts w:ascii="Arial" w:cs="Arial" w:eastAsia="Arial" w:hAnsi="Arial"/>
          <w:sz w:val="16"/>
          <w:szCs w:val="16"/>
          <w:color w:val="auto"/>
        </w:rPr>
        <w:t>The table below presents the gross carrying amount, accumulated amortization and net carrying amount of each major class of other intangible assets: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5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7"/>
                <w:szCs w:val="17"/>
                <w:b w:val="1"/>
                <w:bCs w:val="1"/>
                <w:color w:val="auto"/>
                <w:w w:val="94"/>
              </w:rPr>
              <w:t>March 31, 2021</w:t>
            </w:r>
          </w:p>
        </w:tc>
        <w:tc>
          <w:tcPr>
            <w:tcW w:w="1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gridSpan w:val="3"/>
          </w:tcPr>
          <w:p>
            <w:pPr>
              <w:spacing w:after="0"/>
              <w:rPr>
                <w:sz w:val="20"/>
                <w:szCs w:val="20"/>
                <w:color w:val="auto"/>
              </w:rPr>
            </w:pPr>
            <w:r>
              <w:rPr>
                <w:rFonts w:ascii="Arial" w:cs="Arial" w:eastAsia="Arial" w:hAnsi="Arial"/>
                <w:sz w:val="17"/>
                <w:szCs w:val="17"/>
                <w:b w:val="1"/>
                <w:bCs w:val="1"/>
                <w:color w:val="auto"/>
                <w:w w:val="96"/>
              </w:rPr>
              <w:t>December 31, 2020</w:t>
            </w:r>
          </w:p>
        </w:tc>
        <w:tc>
          <w:tcPr>
            <w:tcW w:w="2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gridSpan w:val="2"/>
          </w:tcPr>
          <w:p>
            <w:pPr>
              <w:jc w:val="center"/>
              <w:ind w:right="260"/>
              <w:spacing w:after="0" w:line="162" w:lineRule="exact"/>
              <w:rPr>
                <w:sz w:val="20"/>
                <w:szCs w:val="20"/>
                <w:color w:val="auto"/>
              </w:rPr>
            </w:pPr>
            <w:r>
              <w:rPr>
                <w:rFonts w:ascii="Arial" w:cs="Arial" w:eastAsia="Arial" w:hAnsi="Arial"/>
                <w:sz w:val="17"/>
                <w:szCs w:val="17"/>
                <w:b w:val="1"/>
                <w:bCs w:val="1"/>
                <w:color w:val="auto"/>
                <w:w w:val="89"/>
              </w:rPr>
              <w:t>Gross</w:t>
            </w:r>
          </w:p>
        </w:tc>
        <w:tc>
          <w:tcPr>
            <w:tcW w:w="120" w:type="dxa"/>
            <w:vAlign w:val="bottom"/>
          </w:tcPr>
          <w:p>
            <w:pPr>
              <w:spacing w:after="0"/>
              <w:rPr>
                <w:sz w:val="14"/>
                <w:szCs w:val="14"/>
                <w:color w:val="auto"/>
              </w:rPr>
            </w:pPr>
          </w:p>
        </w:tc>
        <w:tc>
          <w:tcPr>
            <w:tcW w:w="1380" w:type="dxa"/>
            <w:vAlign w:val="bottom"/>
            <w:gridSpan w:val="2"/>
            <w:vMerge w:val="restart"/>
          </w:tcPr>
          <w:p>
            <w:pPr>
              <w:jc w:val="center"/>
              <w:ind w:right="220"/>
              <w:spacing w:after="0"/>
              <w:rPr>
                <w:sz w:val="20"/>
                <w:szCs w:val="20"/>
                <w:color w:val="auto"/>
              </w:rPr>
            </w:pPr>
            <w:r>
              <w:rPr>
                <w:rFonts w:ascii="Arial" w:cs="Arial" w:eastAsia="Arial" w:hAnsi="Arial"/>
                <w:sz w:val="17"/>
                <w:szCs w:val="17"/>
                <w:b w:val="1"/>
                <w:bCs w:val="1"/>
                <w:color w:val="auto"/>
                <w:w w:val="89"/>
              </w:rPr>
              <w:t>Accumulated</w:t>
            </w:r>
          </w:p>
        </w:tc>
        <w:tc>
          <w:tcPr>
            <w:tcW w:w="1260" w:type="dxa"/>
            <w:vAlign w:val="bottom"/>
            <w:gridSpan w:val="3"/>
            <w:vMerge w:val="restart"/>
          </w:tcPr>
          <w:p>
            <w:pPr>
              <w:jc w:val="center"/>
              <w:ind w:right="120"/>
              <w:spacing w:after="0"/>
              <w:rPr>
                <w:sz w:val="20"/>
                <w:szCs w:val="20"/>
                <w:color w:val="auto"/>
              </w:rPr>
            </w:pPr>
            <w:r>
              <w:rPr>
                <w:rFonts w:ascii="Arial" w:cs="Arial" w:eastAsia="Arial" w:hAnsi="Arial"/>
                <w:sz w:val="17"/>
                <w:szCs w:val="17"/>
                <w:b w:val="1"/>
                <w:bCs w:val="1"/>
                <w:color w:val="auto"/>
                <w:w w:val="96"/>
              </w:rPr>
              <w:t>Net Carrying</w:t>
            </w:r>
          </w:p>
        </w:tc>
        <w:tc>
          <w:tcPr>
            <w:tcW w:w="180" w:type="dxa"/>
            <w:vAlign w:val="bottom"/>
          </w:tcPr>
          <w:p>
            <w:pPr>
              <w:spacing w:after="0"/>
              <w:rPr>
                <w:sz w:val="14"/>
                <w:szCs w:val="14"/>
                <w:color w:val="auto"/>
              </w:rPr>
            </w:pPr>
          </w:p>
        </w:tc>
        <w:tc>
          <w:tcPr>
            <w:tcW w:w="1080" w:type="dxa"/>
            <w:vAlign w:val="bottom"/>
            <w:gridSpan w:val="2"/>
          </w:tcPr>
          <w:p>
            <w:pPr>
              <w:jc w:val="center"/>
              <w:ind w:right="280"/>
              <w:spacing w:after="0" w:line="162" w:lineRule="exact"/>
              <w:rPr>
                <w:sz w:val="20"/>
                <w:szCs w:val="20"/>
                <w:color w:val="auto"/>
              </w:rPr>
            </w:pPr>
            <w:r>
              <w:rPr>
                <w:rFonts w:ascii="Arial" w:cs="Arial" w:eastAsia="Arial" w:hAnsi="Arial"/>
                <w:sz w:val="17"/>
                <w:szCs w:val="17"/>
                <w:b w:val="1"/>
                <w:bCs w:val="1"/>
                <w:color w:val="auto"/>
                <w:w w:val="89"/>
              </w:rPr>
              <w:t>Gross</w:t>
            </w:r>
          </w:p>
        </w:tc>
        <w:tc>
          <w:tcPr>
            <w:tcW w:w="160" w:type="dxa"/>
            <w:vAlign w:val="bottom"/>
          </w:tcPr>
          <w:p>
            <w:pPr>
              <w:spacing w:after="0"/>
              <w:rPr>
                <w:sz w:val="14"/>
                <w:szCs w:val="14"/>
                <w:color w:val="auto"/>
              </w:rPr>
            </w:pPr>
          </w:p>
        </w:tc>
        <w:tc>
          <w:tcPr>
            <w:tcW w:w="1340" w:type="dxa"/>
            <w:vAlign w:val="bottom"/>
            <w:gridSpan w:val="2"/>
            <w:vMerge w:val="restart"/>
          </w:tcPr>
          <w:p>
            <w:pPr>
              <w:ind w:left="60"/>
              <w:spacing w:after="0"/>
              <w:rPr>
                <w:sz w:val="20"/>
                <w:szCs w:val="20"/>
                <w:color w:val="auto"/>
              </w:rPr>
            </w:pPr>
            <w:r>
              <w:rPr>
                <w:rFonts w:ascii="Arial" w:cs="Arial" w:eastAsia="Arial" w:hAnsi="Arial"/>
                <w:sz w:val="17"/>
                <w:szCs w:val="17"/>
                <w:b w:val="1"/>
                <w:bCs w:val="1"/>
                <w:color w:val="auto"/>
              </w:rPr>
              <w:t>Accumulated</w:t>
            </w:r>
          </w:p>
        </w:tc>
        <w:tc>
          <w:tcPr>
            <w:tcW w:w="1160" w:type="dxa"/>
            <w:vAlign w:val="bottom"/>
            <w:gridSpan w:val="2"/>
            <w:vMerge w:val="restart"/>
          </w:tcPr>
          <w:p>
            <w:pPr>
              <w:jc w:val="right"/>
              <w:ind w:right="14"/>
              <w:spacing w:after="0"/>
              <w:rPr>
                <w:sz w:val="20"/>
                <w:szCs w:val="20"/>
                <w:color w:val="auto"/>
              </w:rPr>
            </w:pPr>
            <w:r>
              <w:rPr>
                <w:rFonts w:ascii="Arial" w:cs="Arial" w:eastAsia="Arial" w:hAnsi="Arial"/>
                <w:sz w:val="17"/>
                <w:szCs w:val="17"/>
                <w:b w:val="1"/>
                <w:bCs w:val="1"/>
                <w:color w:val="auto"/>
              </w:rPr>
              <w:t>Net Carrying</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gridSpan w:val="2"/>
          </w:tcPr>
          <w:p>
            <w:pPr>
              <w:jc w:val="center"/>
              <w:ind w:right="260"/>
              <w:spacing w:after="0" w:line="167" w:lineRule="exact"/>
              <w:rPr>
                <w:sz w:val="20"/>
                <w:szCs w:val="20"/>
                <w:color w:val="auto"/>
              </w:rPr>
            </w:pPr>
            <w:r>
              <w:rPr>
                <w:rFonts w:ascii="Arial" w:cs="Arial" w:eastAsia="Arial" w:hAnsi="Arial"/>
                <w:sz w:val="17"/>
                <w:szCs w:val="17"/>
                <w:b w:val="1"/>
                <w:bCs w:val="1"/>
                <w:color w:val="auto"/>
                <w:w w:val="97"/>
              </w:rPr>
              <w:t>Carrying</w:t>
            </w:r>
          </w:p>
        </w:tc>
        <w:tc>
          <w:tcPr>
            <w:tcW w:w="120" w:type="dxa"/>
            <w:vAlign w:val="bottom"/>
          </w:tcPr>
          <w:p>
            <w:pPr>
              <w:spacing w:after="0"/>
              <w:rPr>
                <w:sz w:val="14"/>
                <w:szCs w:val="14"/>
                <w:color w:val="auto"/>
              </w:rPr>
            </w:pPr>
          </w:p>
        </w:tc>
        <w:tc>
          <w:tcPr>
            <w:tcW w:w="1380" w:type="dxa"/>
            <w:vAlign w:val="bottom"/>
            <w:gridSpan w:val="2"/>
            <w:vMerge w:val="continue"/>
          </w:tcPr>
          <w:p>
            <w:pPr>
              <w:spacing w:after="0"/>
              <w:rPr>
                <w:sz w:val="14"/>
                <w:szCs w:val="14"/>
                <w:color w:val="auto"/>
              </w:rPr>
            </w:pPr>
          </w:p>
        </w:tc>
        <w:tc>
          <w:tcPr>
            <w:tcW w:w="1260" w:type="dxa"/>
            <w:vAlign w:val="bottom"/>
            <w:gridSpan w:val="3"/>
            <w:vMerge w:val="continue"/>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gridSpan w:val="2"/>
          </w:tcPr>
          <w:p>
            <w:pPr>
              <w:jc w:val="center"/>
              <w:ind w:right="280"/>
              <w:spacing w:after="0" w:line="167" w:lineRule="exact"/>
              <w:rPr>
                <w:sz w:val="20"/>
                <w:szCs w:val="20"/>
                <w:color w:val="auto"/>
              </w:rPr>
            </w:pPr>
            <w:r>
              <w:rPr>
                <w:rFonts w:ascii="Arial" w:cs="Arial" w:eastAsia="Arial" w:hAnsi="Arial"/>
                <w:sz w:val="17"/>
                <w:szCs w:val="17"/>
                <w:b w:val="1"/>
                <w:bCs w:val="1"/>
                <w:color w:val="auto"/>
                <w:w w:val="97"/>
              </w:rPr>
              <w:t>Carrying</w:t>
            </w:r>
          </w:p>
        </w:tc>
        <w:tc>
          <w:tcPr>
            <w:tcW w:w="160" w:type="dxa"/>
            <w:vAlign w:val="bottom"/>
          </w:tcPr>
          <w:p>
            <w:pPr>
              <w:spacing w:after="0"/>
              <w:rPr>
                <w:sz w:val="14"/>
                <w:szCs w:val="14"/>
                <w:color w:val="auto"/>
              </w:rPr>
            </w:pPr>
          </w:p>
        </w:tc>
        <w:tc>
          <w:tcPr>
            <w:tcW w:w="1340" w:type="dxa"/>
            <w:vAlign w:val="bottom"/>
            <w:gridSpan w:val="2"/>
            <w:vMerge w:val="continue"/>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3280" w:type="dxa"/>
            <w:vAlign w:val="bottom"/>
            <w:gridSpan w:val="3"/>
          </w:tcPr>
          <w:p>
            <w:pPr>
              <w:ind w:left="20"/>
              <w:spacing w:after="0"/>
              <w:rPr>
                <w:sz w:val="20"/>
                <w:szCs w:val="20"/>
                <w:color w:val="auto"/>
              </w:rPr>
            </w:pPr>
            <w:r>
              <w:rPr>
                <w:rFonts w:ascii="Arial" w:cs="Arial" w:eastAsia="Arial" w:hAnsi="Arial"/>
                <w:sz w:val="14"/>
                <w:szCs w:val="14"/>
                <w:b w:val="1"/>
                <w:bCs w:val="1"/>
                <w:i w:val="1"/>
                <w:iCs w:val="1"/>
                <w:color w:val="auto"/>
              </w:rPr>
              <w:t>(in millions)</w:t>
            </w:r>
          </w:p>
        </w:tc>
        <w:tc>
          <w:tcPr>
            <w:tcW w:w="160" w:type="dxa"/>
            <w:vAlign w:val="bottom"/>
          </w:tcPr>
          <w:p>
            <w:pPr>
              <w:spacing w:after="0"/>
              <w:rPr>
                <w:sz w:val="15"/>
                <w:szCs w:val="15"/>
                <w:color w:val="auto"/>
              </w:rPr>
            </w:pPr>
          </w:p>
        </w:tc>
        <w:tc>
          <w:tcPr>
            <w:tcW w:w="1100" w:type="dxa"/>
            <w:vAlign w:val="bottom"/>
            <w:gridSpan w:val="2"/>
          </w:tcPr>
          <w:p>
            <w:pPr>
              <w:jc w:val="center"/>
              <w:ind w:right="260"/>
              <w:spacing w:after="0" w:line="180" w:lineRule="exact"/>
              <w:rPr>
                <w:sz w:val="20"/>
                <w:szCs w:val="20"/>
                <w:color w:val="auto"/>
              </w:rPr>
            </w:pPr>
            <w:r>
              <w:rPr>
                <w:rFonts w:ascii="Arial" w:cs="Arial" w:eastAsia="Arial" w:hAnsi="Arial"/>
                <w:sz w:val="17"/>
                <w:szCs w:val="17"/>
                <w:b w:val="1"/>
                <w:bCs w:val="1"/>
                <w:color w:val="auto"/>
                <w:w w:val="93"/>
              </w:rPr>
              <w:t>Amount</w:t>
            </w:r>
          </w:p>
        </w:tc>
        <w:tc>
          <w:tcPr>
            <w:tcW w:w="120" w:type="dxa"/>
            <w:vAlign w:val="bottom"/>
          </w:tcPr>
          <w:p>
            <w:pPr>
              <w:spacing w:after="0"/>
              <w:rPr>
                <w:sz w:val="15"/>
                <w:szCs w:val="15"/>
                <w:color w:val="auto"/>
              </w:rPr>
            </w:pPr>
          </w:p>
        </w:tc>
        <w:tc>
          <w:tcPr>
            <w:tcW w:w="1380" w:type="dxa"/>
            <w:vAlign w:val="bottom"/>
            <w:gridSpan w:val="2"/>
          </w:tcPr>
          <w:p>
            <w:pPr>
              <w:jc w:val="center"/>
              <w:ind w:right="240"/>
              <w:spacing w:after="0" w:line="180" w:lineRule="exact"/>
              <w:rPr>
                <w:sz w:val="20"/>
                <w:szCs w:val="20"/>
                <w:color w:val="auto"/>
              </w:rPr>
            </w:pPr>
            <w:r>
              <w:rPr>
                <w:rFonts w:ascii="Arial" w:cs="Arial" w:eastAsia="Arial" w:hAnsi="Arial"/>
                <w:sz w:val="17"/>
                <w:szCs w:val="17"/>
                <w:b w:val="1"/>
                <w:bCs w:val="1"/>
                <w:color w:val="auto"/>
                <w:w w:val="94"/>
              </w:rPr>
              <w:t>Amortization</w:t>
            </w:r>
          </w:p>
        </w:tc>
        <w:tc>
          <w:tcPr>
            <w:tcW w:w="180" w:type="dxa"/>
            <w:vAlign w:val="bottom"/>
          </w:tcPr>
          <w:p>
            <w:pPr>
              <w:spacing w:after="0"/>
              <w:rPr>
                <w:sz w:val="15"/>
                <w:szCs w:val="15"/>
                <w:color w:val="auto"/>
              </w:rPr>
            </w:pPr>
          </w:p>
        </w:tc>
        <w:tc>
          <w:tcPr>
            <w:tcW w:w="1080" w:type="dxa"/>
            <w:vAlign w:val="bottom"/>
            <w:gridSpan w:val="2"/>
          </w:tcPr>
          <w:p>
            <w:pPr>
              <w:jc w:val="center"/>
              <w:ind w:right="280"/>
              <w:spacing w:after="0" w:line="180" w:lineRule="exact"/>
              <w:rPr>
                <w:sz w:val="20"/>
                <w:szCs w:val="20"/>
                <w:color w:val="auto"/>
              </w:rPr>
            </w:pPr>
            <w:r>
              <w:rPr>
                <w:rFonts w:ascii="Arial" w:cs="Arial" w:eastAsia="Arial" w:hAnsi="Arial"/>
                <w:sz w:val="17"/>
                <w:szCs w:val="17"/>
                <w:b w:val="1"/>
                <w:bCs w:val="1"/>
                <w:color w:val="auto"/>
                <w:w w:val="93"/>
              </w:rPr>
              <w:t>Amount</w:t>
            </w:r>
          </w:p>
        </w:tc>
        <w:tc>
          <w:tcPr>
            <w:tcW w:w="180" w:type="dxa"/>
            <w:vAlign w:val="bottom"/>
          </w:tcPr>
          <w:p>
            <w:pPr>
              <w:spacing w:after="0"/>
              <w:rPr>
                <w:sz w:val="15"/>
                <w:szCs w:val="15"/>
                <w:color w:val="auto"/>
              </w:rPr>
            </w:pPr>
          </w:p>
        </w:tc>
        <w:tc>
          <w:tcPr>
            <w:tcW w:w="1080" w:type="dxa"/>
            <w:vAlign w:val="bottom"/>
            <w:gridSpan w:val="2"/>
          </w:tcPr>
          <w:p>
            <w:pPr>
              <w:jc w:val="center"/>
              <w:ind w:right="280"/>
              <w:spacing w:after="0" w:line="180" w:lineRule="exact"/>
              <w:rPr>
                <w:sz w:val="20"/>
                <w:szCs w:val="20"/>
                <w:color w:val="auto"/>
              </w:rPr>
            </w:pPr>
            <w:r>
              <w:rPr>
                <w:rFonts w:ascii="Arial" w:cs="Arial" w:eastAsia="Arial" w:hAnsi="Arial"/>
                <w:sz w:val="17"/>
                <w:szCs w:val="17"/>
                <w:b w:val="1"/>
                <w:bCs w:val="1"/>
                <w:color w:val="auto"/>
                <w:w w:val="93"/>
              </w:rPr>
              <w:t>Amount</w:t>
            </w:r>
          </w:p>
        </w:tc>
        <w:tc>
          <w:tcPr>
            <w:tcW w:w="160" w:type="dxa"/>
            <w:vAlign w:val="bottom"/>
          </w:tcPr>
          <w:p>
            <w:pPr>
              <w:spacing w:after="0"/>
              <w:rPr>
                <w:sz w:val="15"/>
                <w:szCs w:val="15"/>
                <w:color w:val="auto"/>
              </w:rPr>
            </w:pPr>
          </w:p>
        </w:tc>
        <w:tc>
          <w:tcPr>
            <w:tcW w:w="1340" w:type="dxa"/>
            <w:vAlign w:val="bottom"/>
            <w:gridSpan w:val="2"/>
          </w:tcPr>
          <w:p>
            <w:pPr>
              <w:ind w:left="40"/>
              <w:spacing w:after="0" w:line="180" w:lineRule="exact"/>
              <w:rPr>
                <w:sz w:val="20"/>
                <w:szCs w:val="20"/>
                <w:color w:val="auto"/>
              </w:rPr>
            </w:pPr>
            <w:r>
              <w:rPr>
                <w:rFonts w:ascii="Arial" w:cs="Arial" w:eastAsia="Arial" w:hAnsi="Arial"/>
                <w:sz w:val="17"/>
                <w:szCs w:val="17"/>
                <w:b w:val="1"/>
                <w:bCs w:val="1"/>
                <w:color w:val="auto"/>
              </w:rPr>
              <w:t>Amortization</w:t>
            </w:r>
          </w:p>
        </w:tc>
        <w:tc>
          <w:tcPr>
            <w:tcW w:w="200" w:type="dxa"/>
            <w:vAlign w:val="bottom"/>
          </w:tcPr>
          <w:p>
            <w:pPr>
              <w:spacing w:after="0"/>
              <w:rPr>
                <w:sz w:val="15"/>
                <w:szCs w:val="15"/>
                <w:color w:val="auto"/>
              </w:rPr>
            </w:pPr>
          </w:p>
        </w:tc>
        <w:tc>
          <w:tcPr>
            <w:tcW w:w="960" w:type="dxa"/>
            <w:vAlign w:val="bottom"/>
          </w:tcPr>
          <w:p>
            <w:pPr>
              <w:jc w:val="right"/>
              <w:ind w:right="194"/>
              <w:spacing w:after="0" w:line="180" w:lineRule="exact"/>
              <w:rPr>
                <w:sz w:val="20"/>
                <w:szCs w:val="20"/>
                <w:color w:val="auto"/>
              </w:rPr>
            </w:pPr>
            <w:r>
              <w:rPr>
                <w:rFonts w:ascii="Arial" w:cs="Arial" w:eastAsia="Arial" w:hAnsi="Arial"/>
                <w:sz w:val="17"/>
                <w:szCs w:val="17"/>
                <w:b w:val="1"/>
                <w:bCs w:val="1"/>
                <w:color w:val="auto"/>
              </w:rPr>
              <w:t>Amount</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700" w:type="dxa"/>
            <w:vAlign w:val="bottom"/>
            <w:tcBorders>
              <w:top w:val="single" w:sz="8" w:color="auto"/>
              <w:bottom w:val="single" w:sz="8" w:color="CCEEFF"/>
            </w:tcBorders>
          </w:tcPr>
          <w:p>
            <w:pPr>
              <w:spacing w:after="0" w:line="20" w:lineRule="exact"/>
              <w:rPr>
                <w:sz w:val="1"/>
                <w:szCs w:val="1"/>
                <w:color w:val="auto"/>
              </w:rPr>
            </w:pPr>
          </w:p>
        </w:tc>
        <w:tc>
          <w:tcPr>
            <w:tcW w:w="25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3280" w:type="dxa"/>
            <w:vAlign w:val="bottom"/>
            <w:gridSpan w:val="3"/>
            <w:shd w:val="clear" w:color="auto" w:fill="CCEEFF"/>
          </w:tcPr>
          <w:p>
            <w:pPr>
              <w:ind w:left="20"/>
              <w:spacing w:after="0"/>
              <w:rPr>
                <w:sz w:val="20"/>
                <w:szCs w:val="20"/>
                <w:color w:val="auto"/>
              </w:rPr>
            </w:pPr>
            <w:r>
              <w:rPr>
                <w:rFonts w:ascii="Arial" w:cs="Arial" w:eastAsia="Arial" w:hAnsi="Arial"/>
                <w:sz w:val="17"/>
                <w:szCs w:val="17"/>
                <w:color w:val="auto"/>
              </w:rPr>
              <w:t>Indefinite-lived intangible assets</w:t>
            </w: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260" w:type="dxa"/>
            <w:vAlign w:val="bottom"/>
            <w:gridSpan w:val="2"/>
          </w:tcPr>
          <w:p>
            <w:pPr>
              <w:ind w:left="200"/>
              <w:spacing w:after="0"/>
              <w:rPr>
                <w:sz w:val="20"/>
                <w:szCs w:val="20"/>
                <w:color w:val="auto"/>
              </w:rPr>
            </w:pPr>
            <w:r>
              <w:rPr>
                <w:rFonts w:ascii="Arial" w:cs="Arial" w:eastAsia="Arial" w:hAnsi="Arial"/>
                <w:sz w:val="17"/>
                <w:szCs w:val="17"/>
                <w:color w:val="auto"/>
              </w:rPr>
              <w:t>Gaming licenses</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000" w:type="dxa"/>
            <w:vAlign w:val="bottom"/>
          </w:tcPr>
          <w:p>
            <w:pPr>
              <w:jc w:val="right"/>
              <w:spacing w:after="0"/>
              <w:rPr>
                <w:sz w:val="20"/>
                <w:szCs w:val="20"/>
                <w:color w:val="auto"/>
              </w:rPr>
            </w:pPr>
            <w:r>
              <w:rPr>
                <w:rFonts w:ascii="Arial" w:cs="Arial" w:eastAsia="Arial" w:hAnsi="Arial"/>
                <w:sz w:val="17"/>
                <w:szCs w:val="17"/>
                <w:color w:val="auto"/>
              </w:rPr>
              <w:t>1,246.4</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380" w:type="dxa"/>
            <w:vAlign w:val="bottom"/>
            <w:gridSpan w:val="2"/>
          </w:tcPr>
          <w:p>
            <w:pPr>
              <w:ind w:left="1040"/>
              <w:spacing w:after="0"/>
              <w:rPr>
                <w:sz w:val="20"/>
                <w:szCs w:val="20"/>
                <w:color w:val="auto"/>
              </w:rPr>
            </w:pPr>
            <w:r>
              <w:rPr>
                <w:rFonts w:ascii="Arial" w:cs="Arial" w:eastAsia="Arial" w:hAnsi="Arial"/>
                <w:sz w:val="17"/>
                <w:szCs w:val="17"/>
                <w:color w:val="auto"/>
              </w:rPr>
              <w:t>—</w:t>
            </w:r>
          </w:p>
        </w:tc>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980" w:type="dxa"/>
            <w:vAlign w:val="bottom"/>
          </w:tcPr>
          <w:p>
            <w:pPr>
              <w:jc w:val="right"/>
              <w:spacing w:after="0"/>
              <w:rPr>
                <w:sz w:val="20"/>
                <w:szCs w:val="20"/>
                <w:color w:val="auto"/>
              </w:rPr>
            </w:pPr>
            <w:r>
              <w:rPr>
                <w:rFonts w:ascii="Arial" w:cs="Arial" w:eastAsia="Arial" w:hAnsi="Arial"/>
                <w:sz w:val="17"/>
                <w:szCs w:val="17"/>
                <w:color w:val="auto"/>
              </w:rPr>
              <w:t>1,246.4</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980" w:type="dxa"/>
            <w:vAlign w:val="bottom"/>
          </w:tcPr>
          <w:p>
            <w:pPr>
              <w:jc w:val="right"/>
              <w:spacing w:after="0"/>
              <w:rPr>
                <w:sz w:val="20"/>
                <w:szCs w:val="20"/>
                <w:color w:val="auto"/>
              </w:rPr>
            </w:pPr>
            <w:r>
              <w:rPr>
                <w:rFonts w:ascii="Arial" w:cs="Arial" w:eastAsia="Arial" w:hAnsi="Arial"/>
                <w:sz w:val="17"/>
                <w:szCs w:val="17"/>
                <w:color w:val="auto"/>
              </w:rPr>
              <w:t>1,246.1</w:t>
            </w:r>
          </w:p>
        </w:tc>
        <w:tc>
          <w:tcPr>
            <w:tcW w:w="100" w:type="dxa"/>
            <w:vAlign w:val="bottom"/>
          </w:tcPr>
          <w:p>
            <w:pPr>
              <w:spacing w:after="0"/>
              <w:rPr>
                <w:sz w:val="18"/>
                <w:szCs w:val="18"/>
                <w:color w:val="auto"/>
              </w:rPr>
            </w:pPr>
          </w:p>
        </w:tc>
        <w:tc>
          <w:tcPr>
            <w:tcW w:w="160" w:type="dxa"/>
            <w:vAlign w:val="bottom"/>
          </w:tcPr>
          <w:p>
            <w:pPr>
              <w:ind w:left="20"/>
              <w:spacing w:after="0"/>
              <w:rPr>
                <w:sz w:val="20"/>
                <w:szCs w:val="20"/>
                <w:color w:val="auto"/>
              </w:rPr>
            </w:pPr>
            <w:r>
              <w:rPr>
                <w:rFonts w:ascii="Arial" w:cs="Arial" w:eastAsia="Arial" w:hAnsi="Arial"/>
                <w:sz w:val="17"/>
                <w:szCs w:val="17"/>
                <w:color w:val="auto"/>
              </w:rPr>
              <w:t>$</w:t>
            </w:r>
          </w:p>
        </w:tc>
        <w:tc>
          <w:tcPr>
            <w:tcW w:w="1340" w:type="dxa"/>
            <w:vAlign w:val="bottom"/>
            <w:gridSpan w:val="2"/>
          </w:tcPr>
          <w:p>
            <w:pPr>
              <w:ind w:left="1000"/>
              <w:spacing w:after="0"/>
              <w:rPr>
                <w:sz w:val="20"/>
                <w:szCs w:val="20"/>
                <w:color w:val="auto"/>
              </w:rPr>
            </w:pPr>
            <w:r>
              <w:rPr>
                <w:rFonts w:ascii="Arial" w:cs="Arial" w:eastAsia="Arial" w:hAnsi="Arial"/>
                <w:sz w:val="17"/>
                <w:szCs w:val="17"/>
                <w:color w:val="auto"/>
              </w:rPr>
              <w:t>—</w:t>
            </w:r>
          </w:p>
        </w:tc>
        <w:tc>
          <w:tcPr>
            <w:tcW w:w="200" w:type="dxa"/>
            <w:vAlign w:val="bottom"/>
          </w:tcPr>
          <w:p>
            <w:pPr>
              <w:jc w:val="right"/>
              <w:ind w:right="14"/>
              <w:spacing w:after="0"/>
              <w:rPr>
                <w:sz w:val="20"/>
                <w:szCs w:val="20"/>
                <w:color w:val="auto"/>
              </w:rPr>
            </w:pPr>
            <w:r>
              <w:rPr>
                <w:rFonts w:ascii="Arial" w:cs="Arial" w:eastAsia="Arial" w:hAnsi="Arial"/>
                <w:sz w:val="17"/>
                <w:szCs w:val="17"/>
                <w:color w:val="auto"/>
                <w:w w:val="84"/>
              </w:rPr>
              <w:t>$</w:t>
            </w:r>
          </w:p>
        </w:tc>
        <w:tc>
          <w:tcPr>
            <w:tcW w:w="960" w:type="dxa"/>
            <w:vAlign w:val="bottom"/>
          </w:tcPr>
          <w:p>
            <w:pPr>
              <w:jc w:val="right"/>
              <w:spacing w:after="0"/>
              <w:rPr>
                <w:sz w:val="20"/>
                <w:szCs w:val="20"/>
                <w:color w:val="auto"/>
              </w:rPr>
            </w:pPr>
            <w:r>
              <w:rPr>
                <w:rFonts w:ascii="Arial" w:cs="Arial" w:eastAsia="Arial" w:hAnsi="Arial"/>
                <w:sz w:val="17"/>
                <w:szCs w:val="17"/>
                <w:color w:val="auto"/>
              </w:rPr>
              <w:t>1,246.1</w:t>
            </w:r>
          </w:p>
        </w:tc>
        <w:tc>
          <w:tcPr>
            <w:tcW w:w="0" w:type="dxa"/>
            <w:vAlign w:val="bottom"/>
          </w:tcPr>
          <w:p>
            <w:pPr>
              <w:spacing w:after="0"/>
              <w:rPr>
                <w:sz w:val="1"/>
                <w:szCs w:val="1"/>
                <w:color w:val="auto"/>
              </w:rPr>
            </w:pPr>
          </w:p>
        </w:tc>
      </w:tr>
      <w:tr>
        <w:trPr>
          <w:trHeight w:val="220"/>
        </w:trPr>
        <w:tc>
          <w:tcPr>
            <w:tcW w:w="20" w:type="dxa"/>
            <w:vAlign w:val="bottom"/>
            <w:shd w:val="clear" w:color="auto" w:fill="CCEEFF"/>
          </w:tcPr>
          <w:p>
            <w:pPr>
              <w:spacing w:after="0"/>
              <w:rPr>
                <w:sz w:val="19"/>
                <w:szCs w:val="19"/>
                <w:color w:val="auto"/>
              </w:rPr>
            </w:pPr>
          </w:p>
        </w:tc>
        <w:tc>
          <w:tcPr>
            <w:tcW w:w="3260" w:type="dxa"/>
            <w:vAlign w:val="bottom"/>
            <w:gridSpan w:val="2"/>
            <w:shd w:val="clear" w:color="auto" w:fill="CCEEFF"/>
          </w:tcPr>
          <w:p>
            <w:pPr>
              <w:ind w:left="200"/>
              <w:spacing w:after="0"/>
              <w:rPr>
                <w:sz w:val="20"/>
                <w:szCs w:val="20"/>
                <w:color w:val="auto"/>
              </w:rPr>
            </w:pPr>
            <w:r>
              <w:rPr>
                <w:rFonts w:ascii="Arial" w:cs="Arial" w:eastAsia="Arial" w:hAnsi="Arial"/>
                <w:sz w:val="17"/>
                <w:szCs w:val="17"/>
                <w:color w:val="auto"/>
              </w:rPr>
              <w:t>Trademarks</w:t>
            </w: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240.9</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ind w:left="104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240.9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240.9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ind w:left="1000"/>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240.9</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260" w:type="dxa"/>
            <w:vAlign w:val="bottom"/>
            <w:gridSpan w:val="2"/>
          </w:tcPr>
          <w:p>
            <w:pPr>
              <w:ind w:left="200"/>
              <w:spacing w:after="0"/>
              <w:rPr>
                <w:sz w:val="20"/>
                <w:szCs w:val="20"/>
                <w:color w:val="auto"/>
              </w:rPr>
            </w:pPr>
            <w:r>
              <w:rPr>
                <w:rFonts w:ascii="Arial" w:cs="Arial" w:eastAsia="Arial" w:hAnsi="Arial"/>
                <w:sz w:val="17"/>
                <w:szCs w:val="17"/>
                <w:color w:val="auto"/>
              </w:rPr>
              <w:t>Other</w:t>
            </w: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0.7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ind w:left="104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0.7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0.7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gridSpan w:val="2"/>
          </w:tcPr>
          <w:p>
            <w:pPr>
              <w:ind w:left="100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0.7</w:t>
            </w:r>
          </w:p>
        </w:tc>
        <w:tc>
          <w:tcPr>
            <w:tcW w:w="0" w:type="dxa"/>
            <w:vAlign w:val="bottom"/>
          </w:tcPr>
          <w:p>
            <w:pPr>
              <w:spacing w:after="0"/>
              <w:rPr>
                <w:sz w:val="1"/>
                <w:szCs w:val="1"/>
                <w:color w:val="auto"/>
              </w:rPr>
            </w:pPr>
          </w:p>
        </w:tc>
      </w:tr>
      <w:tr>
        <w:trPr>
          <w:trHeight w:val="220"/>
        </w:trPr>
        <w:tc>
          <w:tcPr>
            <w:tcW w:w="3280" w:type="dxa"/>
            <w:vAlign w:val="bottom"/>
            <w:gridSpan w:val="3"/>
            <w:shd w:val="clear" w:color="auto" w:fill="CCEEFF"/>
          </w:tcPr>
          <w:p>
            <w:pPr>
              <w:ind w:left="20"/>
              <w:spacing w:after="0"/>
              <w:rPr>
                <w:sz w:val="20"/>
                <w:szCs w:val="20"/>
                <w:color w:val="auto"/>
              </w:rPr>
            </w:pPr>
            <w:r>
              <w:rPr>
                <w:rFonts w:ascii="Arial" w:cs="Arial" w:eastAsia="Arial" w:hAnsi="Arial"/>
                <w:sz w:val="17"/>
                <w:szCs w:val="17"/>
                <w:color w:val="auto"/>
              </w:rPr>
              <w:t>Amortizing intangible assets</w:t>
            </w: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260" w:type="dxa"/>
            <w:vAlign w:val="bottom"/>
            <w:gridSpan w:val="2"/>
          </w:tcPr>
          <w:p>
            <w:pPr>
              <w:ind w:left="200"/>
              <w:spacing w:after="0"/>
              <w:rPr>
                <w:sz w:val="20"/>
                <w:szCs w:val="20"/>
                <w:color w:val="auto"/>
              </w:rPr>
            </w:pPr>
            <w:r>
              <w:rPr>
                <w:rFonts w:ascii="Arial" w:cs="Arial" w:eastAsia="Arial" w:hAnsi="Arial"/>
                <w:sz w:val="17"/>
                <w:szCs w:val="17"/>
                <w:color w:val="auto"/>
              </w:rPr>
              <w:t>Customer relationships</w:t>
            </w: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106.9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(86.7)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20.2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106.9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(85.2)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21.7</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3260" w:type="dxa"/>
            <w:vAlign w:val="bottom"/>
            <w:gridSpan w:val="2"/>
            <w:shd w:val="clear" w:color="auto" w:fill="CCEEFF"/>
          </w:tcPr>
          <w:p>
            <w:pPr>
              <w:ind w:left="200"/>
              <w:spacing w:after="0"/>
              <w:rPr>
                <w:sz w:val="20"/>
                <w:szCs w:val="20"/>
                <w:color w:val="auto"/>
              </w:rPr>
            </w:pPr>
            <w:r>
              <w:rPr>
                <w:rFonts w:ascii="Arial" w:cs="Arial" w:eastAsia="Arial" w:hAnsi="Arial"/>
                <w:sz w:val="17"/>
                <w:szCs w:val="17"/>
                <w:color w:val="auto"/>
              </w:rPr>
              <w:t>Other</w:t>
            </w:r>
          </w:p>
        </w:tc>
        <w:tc>
          <w:tcPr>
            <w:tcW w:w="1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39.9</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(36.2)</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3.7</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39.6</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(35.5)</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4.1</w:t>
            </w:r>
          </w:p>
        </w:tc>
        <w:tc>
          <w:tcPr>
            <w:tcW w:w="0" w:type="dxa"/>
            <w:vAlign w:val="bottom"/>
          </w:tcPr>
          <w:p>
            <w:pPr>
              <w:spacing w:after="0"/>
              <w:rPr>
                <w:sz w:val="1"/>
                <w:szCs w:val="1"/>
                <w:color w:val="auto"/>
              </w:rPr>
            </w:pPr>
          </w:p>
        </w:tc>
      </w:tr>
      <w:tr>
        <w:trPr>
          <w:trHeight w:val="213"/>
        </w:trPr>
        <w:tc>
          <w:tcPr>
            <w:tcW w:w="3280" w:type="dxa"/>
            <w:vAlign w:val="bottom"/>
            <w:gridSpan w:val="3"/>
          </w:tcPr>
          <w:p>
            <w:pPr>
              <w:ind w:left="20"/>
              <w:spacing w:after="0"/>
              <w:rPr>
                <w:sz w:val="20"/>
                <w:szCs w:val="20"/>
                <w:color w:val="auto"/>
              </w:rPr>
            </w:pPr>
            <w:r>
              <w:rPr>
                <w:rFonts w:ascii="Arial" w:cs="Arial" w:eastAsia="Arial" w:hAnsi="Arial"/>
                <w:sz w:val="17"/>
                <w:szCs w:val="17"/>
                <w:color w:val="auto"/>
              </w:rPr>
              <w:t>Total other intangible assets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1,634.8</w:t>
            </w:r>
          </w:p>
        </w:tc>
        <w:tc>
          <w:tcPr>
            <w:tcW w:w="1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(122.9)</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1,511.9</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1,634.2</w:t>
            </w:r>
          </w:p>
        </w:tc>
        <w:tc>
          <w:tcPr>
            <w:tcW w:w="100" w:type="dxa"/>
            <w:vAlign w:val="bottom"/>
          </w:tcPr>
          <w:p>
            <w:pPr>
              <w:spacing w:after="0"/>
              <w:rPr>
                <w:sz w:val="18"/>
                <w:szCs w:val="18"/>
                <w:color w:val="auto"/>
              </w:rPr>
            </w:pPr>
          </w:p>
        </w:tc>
        <w:tc>
          <w:tcPr>
            <w:tcW w:w="16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(120.7)</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14"/>
              <w:spacing w:after="0"/>
              <w:rPr>
                <w:sz w:val="20"/>
                <w:szCs w:val="20"/>
                <w:color w:val="auto"/>
              </w:rPr>
            </w:pPr>
            <w:r>
              <w:rPr>
                <w:rFonts w:ascii="Arial" w:cs="Arial" w:eastAsia="Arial" w:hAnsi="Arial"/>
                <w:sz w:val="17"/>
                <w:szCs w:val="17"/>
                <w:color w:val="auto"/>
                <w:w w:val="84"/>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1,513.5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52"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There were no impairment charges recorded to other intangible assets for the three months ended March 31, 2021.</w:t>
      </w:r>
    </w:p>
    <w:p>
      <w:pPr>
        <w:spacing w:after="0" w:line="200" w:lineRule="exact"/>
        <w:rPr>
          <w:sz w:val="20"/>
          <w:szCs w:val="20"/>
          <w:color w:val="auto"/>
        </w:rPr>
      </w:pPr>
    </w:p>
    <w:p>
      <w:pPr>
        <w:spacing w:after="0" w:line="33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173990</wp:posOffset>
            </wp:positionV>
            <wp:extent cx="7164070" cy="419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14" w:name="page15"/>
    <w:bookmarkEnd w:id="14"/>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339" w:lineRule="exact"/>
        <w:rPr>
          <w:sz w:val="20"/>
          <w:szCs w:val="20"/>
          <w:color w:val="auto"/>
        </w:rPr>
      </w:pPr>
    </w:p>
    <w:p>
      <w:pPr>
        <w:ind w:right="340" w:firstLine="309"/>
        <w:spacing w:after="0" w:line="349" w:lineRule="auto"/>
        <w:rPr>
          <w:sz w:val="20"/>
          <w:szCs w:val="20"/>
          <w:color w:val="auto"/>
        </w:rPr>
      </w:pPr>
      <w:r>
        <w:rPr>
          <w:rFonts w:ascii="Arial" w:cs="Arial" w:eastAsia="Arial" w:hAnsi="Arial"/>
          <w:sz w:val="15"/>
          <w:szCs w:val="15"/>
          <w:color w:val="auto"/>
        </w:rPr>
        <w:t>Amortization expense related to our amortizing intangible assets was $2.2 million and $6.1 million for the three months ended March 31, 2021 and 2020, respectively. The following table presents the estimated amortization expense based on our amortizing intangible assets as of March 31, 2021 (in millions):</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8060" w:type="dxa"/>
            <w:vAlign w:val="bottom"/>
            <w:gridSpan w:val="3"/>
            <w:shd w:val="clear" w:color="auto" w:fill="CCEEFF"/>
          </w:tcPr>
          <w:p>
            <w:pPr>
              <w:ind w:left="20"/>
              <w:spacing w:after="0"/>
              <w:rPr>
                <w:sz w:val="20"/>
                <w:szCs w:val="20"/>
                <w:color w:val="auto"/>
              </w:rPr>
            </w:pPr>
            <w:r>
              <w:rPr>
                <w:rFonts w:ascii="Arial" w:cs="Arial" w:eastAsia="Arial" w:hAnsi="Arial"/>
                <w:sz w:val="17"/>
                <w:szCs w:val="17"/>
                <w:color w:val="auto"/>
              </w:rPr>
              <w:t>Years ending December 31,</w:t>
            </w: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040" w:type="dxa"/>
            <w:vAlign w:val="bottom"/>
            <w:gridSpan w:val="2"/>
          </w:tcPr>
          <w:p>
            <w:pPr>
              <w:ind w:left="200"/>
              <w:spacing w:after="0"/>
              <w:rPr>
                <w:sz w:val="20"/>
                <w:szCs w:val="20"/>
                <w:color w:val="auto"/>
              </w:rPr>
            </w:pPr>
            <w:r>
              <w:rPr>
                <w:rFonts w:ascii="Arial" w:cs="Arial" w:eastAsia="Arial" w:hAnsi="Arial"/>
                <w:sz w:val="17"/>
                <w:szCs w:val="17"/>
                <w:color w:val="auto"/>
              </w:rPr>
              <w:t>2021 (excluding the three months ended March 31, 2021)</w:t>
            </w:r>
          </w:p>
        </w:tc>
        <w:tc>
          <w:tcPr>
            <w:tcW w:w="2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340" w:type="dxa"/>
            <w:vAlign w:val="bottom"/>
          </w:tcPr>
          <w:p>
            <w:pPr>
              <w:jc w:val="right"/>
              <w:spacing w:after="0"/>
              <w:rPr>
                <w:sz w:val="20"/>
                <w:szCs w:val="20"/>
                <w:color w:val="auto"/>
              </w:rPr>
            </w:pPr>
            <w:r>
              <w:rPr>
                <w:rFonts w:ascii="Arial" w:cs="Arial" w:eastAsia="Arial" w:hAnsi="Arial"/>
                <w:sz w:val="17"/>
                <w:szCs w:val="17"/>
                <w:color w:val="auto"/>
              </w:rPr>
              <w:t>5.4</w:t>
            </w:r>
          </w:p>
        </w:tc>
        <w:tc>
          <w:tcPr>
            <w:tcW w:w="0" w:type="dxa"/>
            <w:vAlign w:val="bottom"/>
          </w:tcPr>
          <w:p>
            <w:pPr>
              <w:spacing w:after="0"/>
              <w:rPr>
                <w:sz w:val="1"/>
                <w:szCs w:val="1"/>
                <w:color w:val="auto"/>
              </w:rPr>
            </w:pPr>
          </w:p>
        </w:tc>
      </w:tr>
      <w:tr>
        <w:trPr>
          <w:trHeight w:val="220"/>
        </w:trPr>
        <w:tc>
          <w:tcPr>
            <w:tcW w:w="720" w:type="dxa"/>
            <w:vAlign w:val="bottom"/>
            <w:gridSpan w:val="2"/>
            <w:shd w:val="clear" w:color="auto" w:fill="CCEEFF"/>
          </w:tcPr>
          <w:p>
            <w:pPr>
              <w:ind w:left="220"/>
              <w:spacing w:after="0"/>
              <w:rPr>
                <w:sz w:val="20"/>
                <w:szCs w:val="20"/>
                <w:color w:val="auto"/>
              </w:rPr>
            </w:pPr>
            <w:r>
              <w:rPr>
                <w:rFonts w:ascii="Arial" w:cs="Arial" w:eastAsia="Arial" w:hAnsi="Arial"/>
                <w:sz w:val="17"/>
                <w:szCs w:val="17"/>
                <w:color w:val="auto"/>
              </w:rPr>
              <w:t>2022</w:t>
            </w:r>
          </w:p>
        </w:tc>
        <w:tc>
          <w:tcPr>
            <w:tcW w:w="73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5.6</w:t>
            </w:r>
          </w:p>
        </w:tc>
        <w:tc>
          <w:tcPr>
            <w:tcW w:w="0" w:type="dxa"/>
            <w:vAlign w:val="bottom"/>
          </w:tcPr>
          <w:p>
            <w:pPr>
              <w:spacing w:after="0"/>
              <w:rPr>
                <w:sz w:val="1"/>
                <w:szCs w:val="1"/>
                <w:color w:val="auto"/>
              </w:rPr>
            </w:pPr>
          </w:p>
        </w:tc>
      </w:tr>
      <w:tr>
        <w:trPr>
          <w:trHeight w:val="218"/>
        </w:trPr>
        <w:tc>
          <w:tcPr>
            <w:tcW w:w="720" w:type="dxa"/>
            <w:vAlign w:val="bottom"/>
            <w:gridSpan w:val="2"/>
          </w:tcPr>
          <w:p>
            <w:pPr>
              <w:ind w:left="220"/>
              <w:spacing w:after="0"/>
              <w:rPr>
                <w:sz w:val="20"/>
                <w:szCs w:val="20"/>
                <w:color w:val="auto"/>
              </w:rPr>
            </w:pPr>
            <w:r>
              <w:rPr>
                <w:rFonts w:ascii="Arial" w:cs="Arial" w:eastAsia="Arial" w:hAnsi="Arial"/>
                <w:sz w:val="17"/>
                <w:szCs w:val="17"/>
                <w:color w:val="auto"/>
              </w:rPr>
              <w:t>2023</w:t>
            </w:r>
          </w:p>
        </w:tc>
        <w:tc>
          <w:tcPr>
            <w:tcW w:w="7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4.2</w:t>
            </w:r>
          </w:p>
        </w:tc>
        <w:tc>
          <w:tcPr>
            <w:tcW w:w="0" w:type="dxa"/>
            <w:vAlign w:val="bottom"/>
          </w:tcPr>
          <w:p>
            <w:pPr>
              <w:spacing w:after="0"/>
              <w:rPr>
                <w:sz w:val="1"/>
                <w:szCs w:val="1"/>
                <w:color w:val="auto"/>
              </w:rPr>
            </w:pPr>
          </w:p>
        </w:tc>
      </w:tr>
      <w:tr>
        <w:trPr>
          <w:trHeight w:val="220"/>
        </w:trPr>
        <w:tc>
          <w:tcPr>
            <w:tcW w:w="720" w:type="dxa"/>
            <w:vAlign w:val="bottom"/>
            <w:gridSpan w:val="2"/>
            <w:shd w:val="clear" w:color="auto" w:fill="CCEEFF"/>
          </w:tcPr>
          <w:p>
            <w:pPr>
              <w:ind w:left="220"/>
              <w:spacing w:after="0"/>
              <w:rPr>
                <w:sz w:val="20"/>
                <w:szCs w:val="20"/>
                <w:color w:val="auto"/>
              </w:rPr>
            </w:pPr>
            <w:r>
              <w:rPr>
                <w:rFonts w:ascii="Arial" w:cs="Arial" w:eastAsia="Arial" w:hAnsi="Arial"/>
                <w:sz w:val="17"/>
                <w:szCs w:val="17"/>
                <w:color w:val="auto"/>
              </w:rPr>
              <w:t>2024</w:t>
            </w:r>
          </w:p>
        </w:tc>
        <w:tc>
          <w:tcPr>
            <w:tcW w:w="73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w:t>
            </w:r>
          </w:p>
        </w:tc>
        <w:tc>
          <w:tcPr>
            <w:tcW w:w="0" w:type="dxa"/>
            <w:vAlign w:val="bottom"/>
          </w:tcPr>
          <w:p>
            <w:pPr>
              <w:spacing w:after="0"/>
              <w:rPr>
                <w:sz w:val="1"/>
                <w:szCs w:val="1"/>
                <w:color w:val="auto"/>
              </w:rPr>
            </w:pPr>
          </w:p>
        </w:tc>
      </w:tr>
      <w:tr>
        <w:trPr>
          <w:trHeight w:val="218"/>
        </w:trPr>
        <w:tc>
          <w:tcPr>
            <w:tcW w:w="720" w:type="dxa"/>
            <w:vAlign w:val="bottom"/>
            <w:gridSpan w:val="2"/>
          </w:tcPr>
          <w:p>
            <w:pPr>
              <w:ind w:left="220"/>
              <w:spacing w:after="0"/>
              <w:rPr>
                <w:sz w:val="20"/>
                <w:szCs w:val="20"/>
                <w:color w:val="auto"/>
              </w:rPr>
            </w:pPr>
            <w:r>
              <w:rPr>
                <w:rFonts w:ascii="Arial" w:cs="Arial" w:eastAsia="Arial" w:hAnsi="Arial"/>
                <w:sz w:val="17"/>
                <w:szCs w:val="17"/>
                <w:color w:val="auto"/>
              </w:rPr>
              <w:t>2025</w:t>
            </w:r>
          </w:p>
        </w:tc>
        <w:tc>
          <w:tcPr>
            <w:tcW w:w="7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3.0</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8040" w:type="dxa"/>
            <w:vAlign w:val="bottom"/>
            <w:gridSpan w:val="2"/>
            <w:shd w:val="clear" w:color="auto" w:fill="CCEEFF"/>
          </w:tcPr>
          <w:p>
            <w:pPr>
              <w:ind w:left="200"/>
              <w:spacing w:after="0"/>
              <w:rPr>
                <w:sz w:val="20"/>
                <w:szCs w:val="20"/>
                <w:color w:val="auto"/>
              </w:rPr>
            </w:pPr>
            <w:r>
              <w:rPr>
                <w:rFonts w:ascii="Arial" w:cs="Arial" w:eastAsia="Arial" w:hAnsi="Arial"/>
                <w:sz w:val="17"/>
                <w:szCs w:val="17"/>
                <w:color w:val="auto"/>
              </w:rPr>
              <w:t>Thereafter</w:t>
            </w: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2.0</w:t>
            </w:r>
          </w:p>
        </w:tc>
        <w:tc>
          <w:tcPr>
            <w:tcW w:w="0" w:type="dxa"/>
            <w:vAlign w:val="bottom"/>
          </w:tcPr>
          <w:p>
            <w:pPr>
              <w:spacing w:after="0"/>
              <w:rPr>
                <w:sz w:val="1"/>
                <w:szCs w:val="1"/>
                <w:color w:val="auto"/>
              </w:rPr>
            </w:pPr>
          </w:p>
        </w:tc>
      </w:tr>
      <w:tr>
        <w:trPr>
          <w:trHeight w:val="213"/>
        </w:trPr>
        <w:tc>
          <w:tcPr>
            <w:tcW w:w="8060" w:type="dxa"/>
            <w:vAlign w:val="bottom"/>
            <w:gridSpan w:val="3"/>
          </w:tcPr>
          <w:p>
            <w:pPr>
              <w:ind w:left="20"/>
              <w:spacing w:after="0"/>
              <w:rPr>
                <w:sz w:val="20"/>
                <w:szCs w:val="20"/>
                <w:color w:val="auto"/>
              </w:rPr>
            </w:pPr>
            <w:r>
              <w:rPr>
                <w:rFonts w:ascii="Arial" w:cs="Arial" w:eastAsia="Arial" w:hAnsi="Arial"/>
                <w:sz w:val="17"/>
                <w:szCs w:val="17"/>
                <w:color w:val="auto"/>
              </w:rPr>
              <w:t>Total</w:t>
            </w:r>
          </w:p>
        </w:tc>
        <w:tc>
          <w:tcPr>
            <w:tcW w:w="2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23.9</w:t>
            </w:r>
          </w:p>
        </w:tc>
        <w:tc>
          <w:tcPr>
            <w:tcW w:w="0" w:type="dxa"/>
            <w:vAlign w:val="bottom"/>
          </w:tcPr>
          <w:p>
            <w:pPr>
              <w:spacing w:after="0"/>
              <w:rPr>
                <w:sz w:val="1"/>
                <w:szCs w:val="1"/>
                <w:color w:val="auto"/>
              </w:rPr>
            </w:pPr>
          </w:p>
        </w:tc>
      </w:tr>
      <w:tr>
        <w:trPr>
          <w:trHeight w:val="20"/>
        </w:trPr>
        <w:tc>
          <w:tcPr>
            <w:tcW w:w="8060" w:type="dxa"/>
            <w:vAlign w:val="bottom"/>
            <w:gridSpan w:val="3"/>
            <w:vMerge w:val="restart"/>
          </w:tcPr>
          <w:p>
            <w:pPr>
              <w:spacing w:after="0"/>
              <w:rPr>
                <w:sz w:val="20"/>
                <w:szCs w:val="20"/>
                <w:color w:val="auto"/>
              </w:rPr>
            </w:pPr>
            <w:r>
              <w:rPr>
                <w:rFonts w:ascii="Arial" w:cs="Arial" w:eastAsia="Arial" w:hAnsi="Arial"/>
                <w:sz w:val="17"/>
                <w:szCs w:val="17"/>
                <w:b w:val="1"/>
                <w:bCs w:val="1"/>
                <w:color w:val="auto"/>
              </w:rPr>
              <w:t>Note 8—Long-term Debt</w:t>
            </w:r>
          </w:p>
        </w:tc>
        <w:tc>
          <w:tcPr>
            <w:tcW w:w="2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38"/>
        </w:trPr>
        <w:tc>
          <w:tcPr>
            <w:tcW w:w="8060" w:type="dxa"/>
            <w:vAlign w:val="bottom"/>
            <w:gridSpan w:val="3"/>
            <w:vMerge w:val="continue"/>
          </w:tcPr>
          <w:p>
            <w:pPr>
              <w:spacing w:after="0"/>
              <w:rPr>
                <w:sz w:val="24"/>
                <w:szCs w:val="24"/>
                <w:color w:val="auto"/>
              </w:rPr>
            </w:pPr>
          </w:p>
        </w:tc>
        <w:tc>
          <w:tcPr>
            <w:tcW w:w="2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7"/>
        </w:trPr>
        <w:tc>
          <w:tcPr>
            <w:tcW w:w="20" w:type="dxa"/>
            <w:vAlign w:val="bottom"/>
          </w:tcPr>
          <w:p>
            <w:pPr>
              <w:spacing w:after="0"/>
              <w:rPr>
                <w:sz w:val="24"/>
                <w:szCs w:val="24"/>
                <w:color w:val="auto"/>
              </w:rPr>
            </w:pPr>
          </w:p>
        </w:tc>
        <w:tc>
          <w:tcPr>
            <w:tcW w:w="8040" w:type="dxa"/>
            <w:vAlign w:val="bottom"/>
            <w:gridSpan w:val="2"/>
          </w:tcPr>
          <w:p>
            <w:pPr>
              <w:ind w:left="300"/>
              <w:spacing w:after="0"/>
              <w:rPr>
                <w:sz w:val="20"/>
                <w:szCs w:val="20"/>
                <w:color w:val="auto"/>
              </w:rPr>
            </w:pPr>
            <w:r>
              <w:rPr>
                <w:rFonts w:ascii="Arial" w:cs="Arial" w:eastAsia="Arial" w:hAnsi="Arial"/>
                <w:sz w:val="17"/>
                <w:szCs w:val="17"/>
                <w:color w:val="auto"/>
              </w:rPr>
              <w:t>The table below presents long-term debt, net of current maturities:</w:t>
            </w:r>
          </w:p>
        </w:tc>
        <w:tc>
          <w:tcPr>
            <w:tcW w:w="2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2"/>
        </w:trPr>
        <w:tc>
          <w:tcPr>
            <w:tcW w:w="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73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380" w:type="dxa"/>
            <w:vAlign w:val="bottom"/>
            <w:gridSpan w:val="2"/>
          </w:tcPr>
          <w:p>
            <w:pPr>
              <w:ind w:left="140"/>
              <w:spacing w:after="0"/>
              <w:rPr>
                <w:sz w:val="20"/>
                <w:szCs w:val="20"/>
                <w:color w:val="auto"/>
              </w:rPr>
            </w:pPr>
            <w:r>
              <w:rPr>
                <w:rFonts w:ascii="Arial" w:cs="Arial" w:eastAsia="Arial" w:hAnsi="Arial"/>
                <w:sz w:val="17"/>
                <w:szCs w:val="17"/>
                <w:b w:val="1"/>
                <w:bCs w:val="1"/>
                <w:color w:val="auto"/>
              </w:rPr>
              <w:t>March 31,</w:t>
            </w:r>
          </w:p>
        </w:tc>
        <w:tc>
          <w:tcPr>
            <w:tcW w:w="180" w:type="dxa"/>
            <w:vAlign w:val="bottom"/>
          </w:tcPr>
          <w:p>
            <w:pPr>
              <w:spacing w:after="0"/>
              <w:rPr>
                <w:sz w:val="23"/>
                <w:szCs w:val="23"/>
                <w:color w:val="auto"/>
              </w:rPr>
            </w:pPr>
          </w:p>
        </w:tc>
        <w:tc>
          <w:tcPr>
            <w:tcW w:w="1340" w:type="dxa"/>
            <w:vAlign w:val="bottom"/>
          </w:tcPr>
          <w:p>
            <w:pPr>
              <w:jc w:val="right"/>
              <w:ind w:right="174"/>
              <w:spacing w:after="0"/>
              <w:rPr>
                <w:sz w:val="20"/>
                <w:szCs w:val="20"/>
                <w:color w:val="auto"/>
              </w:rPr>
            </w:pPr>
            <w:r>
              <w:rPr>
                <w:rFonts w:ascii="Arial" w:cs="Arial" w:eastAsia="Arial" w:hAnsi="Arial"/>
                <w:sz w:val="17"/>
                <w:szCs w:val="17"/>
                <w:b w:val="1"/>
                <w:bCs w:val="1"/>
                <w:color w:val="auto"/>
                <w:w w:val="95"/>
              </w:rPr>
              <w:t>December 31,</w:t>
            </w:r>
          </w:p>
        </w:tc>
        <w:tc>
          <w:tcPr>
            <w:tcW w:w="0" w:type="dxa"/>
            <w:vAlign w:val="bottom"/>
          </w:tcPr>
          <w:p>
            <w:pPr>
              <w:spacing w:after="0"/>
              <w:rPr>
                <w:sz w:val="1"/>
                <w:szCs w:val="1"/>
                <w:color w:val="auto"/>
              </w:rPr>
            </w:pPr>
          </w:p>
        </w:tc>
      </w:tr>
      <w:tr>
        <w:trPr>
          <w:trHeight w:val="180"/>
        </w:trPr>
        <w:tc>
          <w:tcPr>
            <w:tcW w:w="8060" w:type="dxa"/>
            <w:vAlign w:val="bottom"/>
            <w:gridSpan w:val="3"/>
          </w:tcPr>
          <w:p>
            <w:pPr>
              <w:ind w:left="20"/>
              <w:spacing w:after="0"/>
              <w:rPr>
                <w:sz w:val="20"/>
                <w:szCs w:val="20"/>
                <w:color w:val="auto"/>
              </w:rPr>
            </w:pPr>
            <w:r>
              <w:rPr>
                <w:rFonts w:ascii="Arial" w:cs="Arial" w:eastAsia="Arial" w:hAnsi="Arial"/>
                <w:sz w:val="14"/>
                <w:szCs w:val="14"/>
                <w:b w:val="1"/>
                <w:bCs w:val="1"/>
                <w:i w:val="1"/>
                <w:iCs w:val="1"/>
                <w:color w:val="auto"/>
              </w:rPr>
              <w:t>(in millions)</w:t>
            </w:r>
          </w:p>
        </w:tc>
        <w:tc>
          <w:tcPr>
            <w:tcW w:w="240" w:type="dxa"/>
            <w:vAlign w:val="bottom"/>
          </w:tcPr>
          <w:p>
            <w:pPr>
              <w:spacing w:after="0"/>
              <w:rPr>
                <w:sz w:val="15"/>
                <w:szCs w:val="15"/>
                <w:color w:val="auto"/>
              </w:rPr>
            </w:pPr>
          </w:p>
        </w:tc>
        <w:tc>
          <w:tcPr>
            <w:tcW w:w="1280" w:type="dxa"/>
            <w:vAlign w:val="bottom"/>
          </w:tcPr>
          <w:p>
            <w:pPr>
              <w:jc w:val="right"/>
              <w:ind w:right="494"/>
              <w:spacing w:after="0" w:line="180" w:lineRule="exact"/>
              <w:rPr>
                <w:sz w:val="20"/>
                <w:szCs w:val="20"/>
                <w:color w:val="auto"/>
              </w:rPr>
            </w:pPr>
            <w:r>
              <w:rPr>
                <w:rFonts w:ascii="Arial" w:cs="Arial" w:eastAsia="Arial" w:hAnsi="Arial"/>
                <w:sz w:val="17"/>
                <w:szCs w:val="17"/>
                <w:b w:val="1"/>
                <w:bCs w:val="1"/>
                <w:color w:val="auto"/>
              </w:rPr>
              <w:t>2021</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40" w:type="dxa"/>
            <w:vAlign w:val="bottom"/>
          </w:tcPr>
          <w:p>
            <w:pPr>
              <w:jc w:val="right"/>
              <w:ind w:right="494"/>
              <w:spacing w:after="0" w:line="180" w:lineRule="exact"/>
              <w:rPr>
                <w:sz w:val="20"/>
                <w:szCs w:val="20"/>
                <w:color w:val="auto"/>
              </w:rPr>
            </w:pPr>
            <w:r>
              <w:rPr>
                <w:rFonts w:ascii="Arial" w:cs="Arial" w:eastAsia="Arial" w:hAnsi="Arial"/>
                <w:sz w:val="17"/>
                <w:szCs w:val="17"/>
                <w:b w:val="1"/>
                <w:bCs w:val="1"/>
                <w:color w:val="auto"/>
              </w:rPr>
              <w:t>2020</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700" w:type="dxa"/>
            <w:vAlign w:val="bottom"/>
            <w:tcBorders>
              <w:top w:val="single" w:sz="8" w:color="auto"/>
              <w:bottom w:val="single" w:sz="8" w:color="CCEEFF"/>
            </w:tcBorders>
          </w:tcPr>
          <w:p>
            <w:pPr>
              <w:spacing w:after="0" w:line="20" w:lineRule="exact"/>
              <w:rPr>
                <w:sz w:val="1"/>
                <w:szCs w:val="1"/>
                <w:color w:val="auto"/>
              </w:rPr>
            </w:pPr>
          </w:p>
        </w:tc>
        <w:tc>
          <w:tcPr>
            <w:tcW w:w="73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8060" w:type="dxa"/>
            <w:vAlign w:val="bottom"/>
            <w:gridSpan w:val="3"/>
            <w:shd w:val="clear" w:color="auto" w:fill="CCEEFF"/>
          </w:tcPr>
          <w:p>
            <w:pPr>
              <w:ind w:left="20"/>
              <w:spacing w:after="0"/>
              <w:rPr>
                <w:sz w:val="20"/>
                <w:szCs w:val="20"/>
                <w:color w:val="auto"/>
              </w:rPr>
            </w:pPr>
            <w:r>
              <w:rPr>
                <w:rFonts w:ascii="Arial" w:cs="Arial" w:eastAsia="Arial" w:hAnsi="Arial"/>
                <w:sz w:val="17"/>
                <w:szCs w:val="17"/>
                <w:color w:val="auto"/>
              </w:rPr>
              <w:t>Senior Secured Credit Facilities:</w:t>
            </w:r>
          </w:p>
        </w:tc>
        <w:tc>
          <w:tcPr>
            <w:tcW w:w="24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040" w:type="dxa"/>
            <w:vAlign w:val="bottom"/>
            <w:gridSpan w:val="2"/>
          </w:tcPr>
          <w:p>
            <w:pPr>
              <w:ind w:left="200"/>
              <w:spacing w:after="0"/>
              <w:rPr>
                <w:sz w:val="20"/>
                <w:szCs w:val="20"/>
                <w:color w:val="auto"/>
              </w:rPr>
            </w:pPr>
            <w:r>
              <w:rPr>
                <w:rFonts w:ascii="Arial" w:cs="Arial" w:eastAsia="Arial" w:hAnsi="Arial"/>
                <w:sz w:val="17"/>
                <w:szCs w:val="17"/>
                <w:color w:val="auto"/>
              </w:rPr>
              <w:t>Revolving Credit Facility due 2023</w:t>
            </w:r>
          </w:p>
        </w:tc>
        <w:tc>
          <w:tcPr>
            <w:tcW w:w="240" w:type="dxa"/>
            <w:vAlign w:val="bottom"/>
          </w:tcPr>
          <w:p>
            <w:pPr>
              <w:jc w:val="right"/>
              <w:ind w:right="54"/>
              <w:spacing w:after="0"/>
              <w:rPr>
                <w:sz w:val="20"/>
                <w:szCs w:val="20"/>
                <w:color w:val="auto"/>
              </w:rPr>
            </w:pPr>
            <w:r>
              <w:rPr>
                <w:rFonts w:ascii="Arial" w:cs="Arial" w:eastAsia="Arial" w:hAnsi="Arial"/>
                <w:sz w:val="17"/>
                <w:szCs w:val="17"/>
                <w:color w:val="auto"/>
                <w:w w:val="84"/>
              </w:rPr>
              <w:t>$</w:t>
            </w:r>
          </w:p>
        </w:tc>
        <w:tc>
          <w:tcPr>
            <w:tcW w:w="13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34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0"/>
        </w:trPr>
        <w:tc>
          <w:tcPr>
            <w:tcW w:w="20" w:type="dxa"/>
            <w:vAlign w:val="bottom"/>
            <w:shd w:val="clear" w:color="auto" w:fill="CCEEFF"/>
          </w:tcPr>
          <w:p>
            <w:pPr>
              <w:spacing w:after="0"/>
              <w:rPr>
                <w:sz w:val="19"/>
                <w:szCs w:val="19"/>
                <w:color w:val="auto"/>
              </w:rPr>
            </w:pPr>
          </w:p>
        </w:tc>
        <w:tc>
          <w:tcPr>
            <w:tcW w:w="8040" w:type="dxa"/>
            <w:vAlign w:val="bottom"/>
            <w:gridSpan w:val="2"/>
            <w:shd w:val="clear" w:color="auto" w:fill="CCEEFF"/>
          </w:tcPr>
          <w:p>
            <w:pPr>
              <w:ind w:left="200"/>
              <w:spacing w:after="0"/>
              <w:rPr>
                <w:sz w:val="20"/>
                <w:szCs w:val="20"/>
                <w:color w:val="auto"/>
              </w:rPr>
            </w:pPr>
            <w:r>
              <w:rPr>
                <w:rFonts w:ascii="Arial" w:cs="Arial" w:eastAsia="Arial" w:hAnsi="Arial"/>
                <w:sz w:val="17"/>
                <w:szCs w:val="17"/>
                <w:color w:val="auto"/>
              </w:rPr>
              <w:t>Term Loan A Facility due 2023</w:t>
            </w: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623.6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636.9</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040" w:type="dxa"/>
            <w:vAlign w:val="bottom"/>
            <w:gridSpan w:val="2"/>
          </w:tcPr>
          <w:p>
            <w:pPr>
              <w:ind w:left="200"/>
              <w:spacing w:after="0"/>
              <w:rPr>
                <w:sz w:val="20"/>
                <w:szCs w:val="20"/>
                <w:color w:val="auto"/>
              </w:rPr>
            </w:pPr>
            <w:r>
              <w:rPr>
                <w:rFonts w:ascii="Arial" w:cs="Arial" w:eastAsia="Arial" w:hAnsi="Arial"/>
                <w:sz w:val="17"/>
                <w:szCs w:val="17"/>
                <w:color w:val="auto"/>
              </w:rPr>
              <w:t>Term Loan B-1 Facility due 2025</w:t>
            </w:r>
          </w:p>
        </w:tc>
        <w:tc>
          <w:tcPr>
            <w:tcW w:w="2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988.4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991.2</w:t>
            </w:r>
          </w:p>
        </w:tc>
        <w:tc>
          <w:tcPr>
            <w:tcW w:w="0" w:type="dxa"/>
            <w:vAlign w:val="bottom"/>
          </w:tcPr>
          <w:p>
            <w:pPr>
              <w:spacing w:after="0"/>
              <w:rPr>
                <w:sz w:val="1"/>
                <w:szCs w:val="1"/>
                <w:color w:val="auto"/>
              </w:rPr>
            </w:pPr>
          </w:p>
        </w:tc>
      </w:tr>
      <w:tr>
        <w:trPr>
          <w:trHeight w:val="220"/>
        </w:trPr>
        <w:tc>
          <w:tcPr>
            <w:tcW w:w="8060" w:type="dxa"/>
            <w:vAlign w:val="bottom"/>
            <w:gridSpan w:val="3"/>
            <w:shd w:val="clear" w:color="auto" w:fill="CCEEFF"/>
          </w:tcPr>
          <w:p>
            <w:pPr>
              <w:ind w:left="20"/>
              <w:spacing w:after="0"/>
              <w:rPr>
                <w:sz w:val="20"/>
                <w:szCs w:val="20"/>
                <w:color w:val="auto"/>
              </w:rPr>
            </w:pPr>
            <w:r>
              <w:rPr>
                <w:rFonts w:ascii="Arial" w:cs="Arial" w:eastAsia="Arial" w:hAnsi="Arial"/>
                <w:sz w:val="17"/>
                <w:szCs w:val="17"/>
                <w:color w:val="auto"/>
              </w:rPr>
              <w:t>5.625% Notes due 2027</w:t>
            </w: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400.0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400.0</w:t>
            </w:r>
          </w:p>
        </w:tc>
        <w:tc>
          <w:tcPr>
            <w:tcW w:w="0" w:type="dxa"/>
            <w:vAlign w:val="bottom"/>
          </w:tcPr>
          <w:p>
            <w:pPr>
              <w:spacing w:after="0"/>
              <w:rPr>
                <w:sz w:val="1"/>
                <w:szCs w:val="1"/>
                <w:color w:val="auto"/>
              </w:rPr>
            </w:pPr>
          </w:p>
        </w:tc>
      </w:tr>
      <w:tr>
        <w:trPr>
          <w:trHeight w:val="218"/>
        </w:trPr>
        <w:tc>
          <w:tcPr>
            <w:tcW w:w="8060" w:type="dxa"/>
            <w:vAlign w:val="bottom"/>
            <w:gridSpan w:val="3"/>
          </w:tcPr>
          <w:p>
            <w:pPr>
              <w:ind w:left="20"/>
              <w:spacing w:after="0"/>
              <w:rPr>
                <w:sz w:val="20"/>
                <w:szCs w:val="20"/>
                <w:color w:val="auto"/>
              </w:rPr>
            </w:pPr>
            <w:r>
              <w:rPr>
                <w:rFonts w:ascii="Arial" w:cs="Arial" w:eastAsia="Arial" w:hAnsi="Arial"/>
                <w:sz w:val="17"/>
                <w:szCs w:val="17"/>
                <w:color w:val="auto"/>
              </w:rPr>
              <w:t>2.75% Convertible Notes due 2026</w:t>
            </w:r>
          </w:p>
        </w:tc>
        <w:tc>
          <w:tcPr>
            <w:tcW w:w="2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330.5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330.5</w:t>
            </w:r>
          </w:p>
        </w:tc>
        <w:tc>
          <w:tcPr>
            <w:tcW w:w="0" w:type="dxa"/>
            <w:vAlign w:val="bottom"/>
          </w:tcPr>
          <w:p>
            <w:pPr>
              <w:spacing w:after="0"/>
              <w:rPr>
                <w:sz w:val="1"/>
                <w:szCs w:val="1"/>
                <w:color w:val="auto"/>
              </w:rPr>
            </w:pPr>
          </w:p>
        </w:tc>
      </w:tr>
      <w:tr>
        <w:trPr>
          <w:trHeight w:val="219"/>
        </w:trPr>
        <w:tc>
          <w:tcPr>
            <w:tcW w:w="8060" w:type="dxa"/>
            <w:vAlign w:val="bottom"/>
            <w:gridSpan w:val="3"/>
            <w:shd w:val="clear" w:color="auto" w:fill="CCEEFF"/>
          </w:tcPr>
          <w:p>
            <w:pPr>
              <w:ind w:left="20"/>
              <w:spacing w:after="0"/>
              <w:rPr>
                <w:sz w:val="20"/>
                <w:szCs w:val="20"/>
                <w:color w:val="auto"/>
              </w:rPr>
            </w:pPr>
            <w:r>
              <w:rPr>
                <w:rFonts w:ascii="Arial" w:cs="Arial" w:eastAsia="Arial" w:hAnsi="Arial"/>
                <w:sz w:val="17"/>
                <w:szCs w:val="17"/>
                <w:color w:val="auto"/>
              </w:rPr>
              <w:t>Other long-term obligations</w:t>
            </w:r>
          </w:p>
        </w:tc>
        <w:tc>
          <w:tcPr>
            <w:tcW w:w="24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146.3</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73.0</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2,488.8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2,431.6</w:t>
            </w:r>
          </w:p>
        </w:tc>
        <w:tc>
          <w:tcPr>
            <w:tcW w:w="0" w:type="dxa"/>
            <w:vAlign w:val="bottom"/>
          </w:tcPr>
          <w:p>
            <w:pPr>
              <w:spacing w:after="0"/>
              <w:rPr>
                <w:sz w:val="1"/>
                <w:szCs w:val="1"/>
                <w:color w:val="auto"/>
              </w:rPr>
            </w:pPr>
          </w:p>
        </w:tc>
      </w:tr>
      <w:tr>
        <w:trPr>
          <w:trHeight w:val="220"/>
        </w:trPr>
        <w:tc>
          <w:tcPr>
            <w:tcW w:w="8060" w:type="dxa"/>
            <w:vAlign w:val="bottom"/>
            <w:gridSpan w:val="3"/>
            <w:shd w:val="clear" w:color="auto" w:fill="CCEEFF"/>
          </w:tcPr>
          <w:p>
            <w:pPr>
              <w:ind w:left="20"/>
              <w:spacing w:after="0"/>
              <w:rPr>
                <w:sz w:val="20"/>
                <w:szCs w:val="20"/>
                <w:color w:val="auto"/>
              </w:rPr>
            </w:pPr>
            <w:r>
              <w:rPr>
                <w:rFonts w:ascii="Arial" w:cs="Arial" w:eastAsia="Arial" w:hAnsi="Arial"/>
                <w:sz w:val="17"/>
                <w:szCs w:val="17"/>
                <w:color w:val="auto"/>
              </w:rPr>
              <w:t>Less: Current maturities of long-term debt</w:t>
            </w: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(85.8)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(81.4)</w:t>
            </w:r>
          </w:p>
        </w:tc>
        <w:tc>
          <w:tcPr>
            <w:tcW w:w="0" w:type="dxa"/>
            <w:vAlign w:val="bottom"/>
          </w:tcPr>
          <w:p>
            <w:pPr>
              <w:spacing w:after="0"/>
              <w:rPr>
                <w:sz w:val="1"/>
                <w:szCs w:val="1"/>
                <w:color w:val="auto"/>
              </w:rPr>
            </w:pPr>
          </w:p>
        </w:tc>
      </w:tr>
      <w:tr>
        <w:trPr>
          <w:trHeight w:val="218"/>
        </w:trPr>
        <w:tc>
          <w:tcPr>
            <w:tcW w:w="8060" w:type="dxa"/>
            <w:vAlign w:val="bottom"/>
            <w:gridSpan w:val="3"/>
          </w:tcPr>
          <w:p>
            <w:pPr>
              <w:ind w:left="20"/>
              <w:spacing w:after="0"/>
              <w:rPr>
                <w:sz w:val="20"/>
                <w:szCs w:val="20"/>
                <w:color w:val="auto"/>
              </w:rPr>
            </w:pPr>
            <w:r>
              <w:rPr>
                <w:rFonts w:ascii="Arial" w:cs="Arial" w:eastAsia="Arial" w:hAnsi="Arial"/>
                <w:sz w:val="17"/>
                <w:szCs w:val="17"/>
                <w:color w:val="auto"/>
              </w:rPr>
              <w:t>Less: Debt discount</w:t>
            </w:r>
          </w:p>
        </w:tc>
        <w:tc>
          <w:tcPr>
            <w:tcW w:w="2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(83.1)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(86.2)</w:t>
            </w:r>
          </w:p>
        </w:tc>
        <w:tc>
          <w:tcPr>
            <w:tcW w:w="0" w:type="dxa"/>
            <w:vAlign w:val="bottom"/>
          </w:tcPr>
          <w:p>
            <w:pPr>
              <w:spacing w:after="0"/>
              <w:rPr>
                <w:sz w:val="1"/>
                <w:szCs w:val="1"/>
                <w:color w:val="auto"/>
              </w:rPr>
            </w:pPr>
          </w:p>
        </w:tc>
      </w:tr>
      <w:tr>
        <w:trPr>
          <w:trHeight w:val="219"/>
        </w:trPr>
        <w:tc>
          <w:tcPr>
            <w:tcW w:w="8060" w:type="dxa"/>
            <w:vAlign w:val="bottom"/>
            <w:gridSpan w:val="3"/>
            <w:shd w:val="clear" w:color="auto" w:fill="CCEEFF"/>
          </w:tcPr>
          <w:p>
            <w:pPr>
              <w:ind w:left="20"/>
              <w:spacing w:after="0"/>
              <w:rPr>
                <w:sz w:val="20"/>
                <w:szCs w:val="20"/>
                <w:color w:val="auto"/>
              </w:rPr>
            </w:pPr>
            <w:r>
              <w:rPr>
                <w:rFonts w:ascii="Arial" w:cs="Arial" w:eastAsia="Arial" w:hAnsi="Arial"/>
                <w:sz w:val="17"/>
                <w:szCs w:val="17"/>
                <w:color w:val="auto"/>
              </w:rPr>
              <w:t>Less: Debt issuance costs</w:t>
            </w:r>
          </w:p>
        </w:tc>
        <w:tc>
          <w:tcPr>
            <w:tcW w:w="24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(30.4)</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(32.8)</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340" w:type="dxa"/>
            <w:vAlign w:val="bottom"/>
          </w:tcPr>
          <w:p>
            <w:pPr>
              <w:spacing w:after="0"/>
              <w:rPr>
                <w:sz w:val="18"/>
                <w:szCs w:val="18"/>
                <w:color w:val="auto"/>
              </w:rPr>
            </w:pPr>
          </w:p>
        </w:tc>
        <w:tc>
          <w:tcPr>
            <w:tcW w:w="240" w:type="dxa"/>
            <w:vAlign w:val="bottom"/>
            <w:tcBorders>
              <w:bottom w:val="single" w:sz="8" w:color="auto"/>
            </w:tcBorders>
          </w:tcPr>
          <w:p>
            <w:pPr>
              <w:jc w:val="right"/>
              <w:ind w:right="54"/>
              <w:spacing w:after="0"/>
              <w:rPr>
                <w:sz w:val="20"/>
                <w:szCs w:val="20"/>
                <w:color w:val="auto"/>
              </w:rPr>
            </w:pPr>
            <w:r>
              <w:rPr>
                <w:rFonts w:ascii="Arial" w:cs="Arial" w:eastAsia="Arial" w:hAnsi="Arial"/>
                <w:sz w:val="17"/>
                <w:szCs w:val="17"/>
                <w:color w:val="auto"/>
                <w:w w:val="84"/>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2,289.5</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2,231.2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3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Senior Secured Credit Facilities</w:t>
      </w:r>
    </w:p>
    <w:p>
      <w:pPr>
        <w:spacing w:after="0" w:line="191" w:lineRule="exact"/>
        <w:rPr>
          <w:sz w:val="20"/>
          <w:szCs w:val="20"/>
          <w:color w:val="auto"/>
        </w:rPr>
      </w:pPr>
    </w:p>
    <w:p>
      <w:pPr>
        <w:ind w:firstLine="309"/>
        <w:spacing w:after="0" w:line="262" w:lineRule="auto"/>
        <w:rPr>
          <w:sz w:val="20"/>
          <w:szCs w:val="20"/>
          <w:color w:val="auto"/>
        </w:rPr>
      </w:pPr>
      <w:r>
        <w:rPr>
          <w:rFonts w:ascii="Arial" w:cs="Arial" w:eastAsia="Arial" w:hAnsi="Arial"/>
          <w:sz w:val="17"/>
          <w:szCs w:val="17"/>
          <w:color w:val="auto"/>
        </w:rPr>
        <w:t>In January 2017, the Company entered into an agreement to amend and restate its previous credit agreement, dated October 30, 2013, as amended (the “Credit Agreement”), which provided for: (i) a five-year $700.0 million revolving credit facility (the “Revolving Credit Facility”), (ii) a five-year $300.0 million term loan A facility (the “Term Loan A Facility”), and (iii) a seven-year $500.0 million Term Loan B facility (the “Term Loan B Facility” and collectively with the Revolving Credit Facility and the Term Loan A Facility, the “Senior Secured Credit Facilities”).</w:t>
      </w:r>
    </w:p>
    <w:p>
      <w:pPr>
        <w:spacing w:after="0" w:line="139" w:lineRule="exact"/>
        <w:rPr>
          <w:sz w:val="20"/>
          <w:szCs w:val="20"/>
          <w:color w:val="auto"/>
        </w:rPr>
      </w:pPr>
    </w:p>
    <w:p>
      <w:pPr>
        <w:jc w:val="both"/>
        <w:ind w:right="80" w:firstLine="309"/>
        <w:spacing w:after="0" w:line="259" w:lineRule="auto"/>
        <w:rPr>
          <w:sz w:val="20"/>
          <w:szCs w:val="20"/>
          <w:color w:val="auto"/>
        </w:rPr>
      </w:pPr>
      <w:r>
        <w:rPr>
          <w:rFonts w:ascii="Arial" w:cs="Arial" w:eastAsia="Arial" w:hAnsi="Arial"/>
          <w:sz w:val="17"/>
          <w:szCs w:val="17"/>
          <w:color w:val="auto"/>
        </w:rPr>
        <w:t>On October 15, 2018, in connection with the acquisition of Pinnacle Entertainment, Inc. (the “Pinnacle Acquisition”), we entered into an incremental joinder agreement (the “Incremental Joinder”), which amended the Credit Agreement (the “Amended 2017 Credit Agreement”). The Incremental Joinder provided for an additional $430.2 million of incremental loans having the same terms as the existing Term Loan A Facility, with the exception of extending the maturity date, and an additional $1,128.8 million of loans as a new tranche having new terms (the “Term Loan B-1 Facility”). With the exception of extending the maturity date, the Incremental Joinder did not impact the Revolving Credit Facility.</w:t>
      </w:r>
    </w:p>
    <w:p>
      <w:pPr>
        <w:spacing w:after="0" w:line="144" w:lineRule="exact"/>
        <w:rPr>
          <w:sz w:val="20"/>
          <w:szCs w:val="20"/>
          <w:color w:val="auto"/>
        </w:rPr>
      </w:pPr>
    </w:p>
    <w:p>
      <w:pPr>
        <w:ind w:right="20" w:firstLine="309"/>
        <w:spacing w:after="0" w:line="258" w:lineRule="auto"/>
        <w:rPr>
          <w:sz w:val="20"/>
          <w:szCs w:val="20"/>
          <w:color w:val="auto"/>
        </w:rPr>
      </w:pPr>
      <w:r>
        <w:rPr>
          <w:rFonts w:ascii="Arial" w:cs="Arial" w:eastAsia="Arial" w:hAnsi="Arial"/>
          <w:sz w:val="17"/>
          <w:szCs w:val="17"/>
          <w:color w:val="auto"/>
        </w:rPr>
        <w:t>On April 14, 2020, the Company entered into a second amendment to its Credit Agreement with its various lenders (the “Second Amendment”) to provide for certain modifications. During the period beginning on April 14, 2020 and ending on the earlier of (x) the date that is two business days after the date on which the Company delivered a covenant relief period termination notice to the administrative agent and (y) the date on which the administrative agent received a compliance certificate for the quarter ended March 31, 2021 (the “Covenant Relief Period”), the Company does not have to comply with any Maximum Leverage Ratio or Minimum Interest Coverage Ratio (as such terms are defined in the Amended 2017 Credit Agreement). During the Covenant Relief Period, the Company would be subject to a minimum liquidity covenant that required</w:t>
      </w:r>
    </w:p>
    <w:p>
      <w:pPr>
        <w:spacing w:after="0" w:line="200" w:lineRule="exact"/>
        <w:rPr>
          <w:sz w:val="20"/>
          <w:szCs w:val="20"/>
          <w:color w:val="auto"/>
        </w:rPr>
      </w:pPr>
    </w:p>
    <w:p>
      <w:pPr>
        <w:spacing w:after="0" w:line="305"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182245</wp:posOffset>
            </wp:positionV>
            <wp:extent cx="7164070" cy="419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00"/>
          </w:cols>
          <w:pgMar w:left="320" w:top="127" w:right="379" w:bottom="1440" w:gutter="0" w:footer="0" w:header="0"/>
        </w:sectPr>
      </w:pPr>
    </w:p>
    <w:bookmarkStart w:id="15" w:name="page16"/>
    <w:bookmarkEnd w:id="15"/>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339" w:lineRule="exact"/>
        <w:rPr>
          <w:sz w:val="20"/>
          <w:szCs w:val="20"/>
          <w:color w:val="auto"/>
        </w:rPr>
      </w:pPr>
    </w:p>
    <w:p>
      <w:pPr>
        <w:spacing w:after="0" w:line="266" w:lineRule="auto"/>
        <w:rPr>
          <w:sz w:val="20"/>
          <w:szCs w:val="20"/>
          <w:color w:val="auto"/>
        </w:rPr>
      </w:pPr>
      <w:r>
        <w:rPr>
          <w:rFonts w:ascii="Arial" w:cs="Arial" w:eastAsia="Arial" w:hAnsi="Arial"/>
          <w:sz w:val="17"/>
          <w:szCs w:val="17"/>
          <w:color w:val="auto"/>
        </w:rPr>
        <w:t>cash and cash equivalents and availability under its Revolving Credit Facility to be (i) at least $400.0 million through April 30, 2020; (ii) $350.0 million during the period from May 1, 2020 through May 31, 2020; (iii) $300.0 million during the period from June 1, 2020 through June 30, 2020; and (iv) $225.0 million during the period from July 1, 2020 through March 31, 2021.</w:t>
      </w:r>
    </w:p>
    <w:p>
      <w:pPr>
        <w:spacing w:after="0" w:line="136" w:lineRule="exact"/>
        <w:rPr>
          <w:sz w:val="20"/>
          <w:szCs w:val="20"/>
          <w:color w:val="auto"/>
        </w:rPr>
      </w:pPr>
    </w:p>
    <w:p>
      <w:pPr>
        <w:ind w:right="80" w:firstLine="309"/>
        <w:spacing w:after="0" w:line="277" w:lineRule="auto"/>
        <w:rPr>
          <w:sz w:val="20"/>
          <w:szCs w:val="20"/>
          <w:color w:val="auto"/>
        </w:rPr>
      </w:pPr>
      <w:r>
        <w:rPr>
          <w:rFonts w:ascii="Arial" w:cs="Arial" w:eastAsia="Arial" w:hAnsi="Arial"/>
          <w:sz w:val="16"/>
          <w:szCs w:val="16"/>
          <w:color w:val="auto"/>
        </w:rPr>
        <w:t>The Second Amendment also amended the financial covenants that are applicable after the Covenant Relief Period to permit the Company to (i) maintain a maximum consolidated total net leverage ratio of 5.50:1.00 for the quarter ended March 31, 2021, 5.00:1.00 for the quarter ended June 30, 2021, 4.75:1.00 for the quarter ended September 30, 2021, 4.50:1.00 for the quarter ended December 31, 2021, and 4.25:1.00 thereafter, tested quarterly on a pro forma trailing twelve month (“PF TTM”) basis; (ii) maintain a maximum senior secured net leverage ratio of 4.50:1.00 for the quarter ended March 31, 2021, 4.00:1.00 for the quarter ended June 30, 2021, 3.75:1.00 for the quarter ended September 30, 2021, 3.50:1.00 for the quarter ended December 31, 2021, and 3.00:1.00 thereafter, tested quarterly on a PF TTM basis; and (iii) maintain an interest coverage ratio of 2.50:1.00, tested quarterly on a PF TTM basis.</w:t>
      </w:r>
    </w:p>
    <w:p>
      <w:pPr>
        <w:spacing w:after="0" w:line="144" w:lineRule="exact"/>
        <w:rPr>
          <w:sz w:val="20"/>
          <w:szCs w:val="20"/>
          <w:color w:val="auto"/>
        </w:rPr>
      </w:pPr>
    </w:p>
    <w:p>
      <w:pPr>
        <w:ind w:right="40" w:firstLine="309"/>
        <w:spacing w:after="0" w:line="257" w:lineRule="auto"/>
        <w:rPr>
          <w:sz w:val="20"/>
          <w:szCs w:val="20"/>
          <w:color w:val="auto"/>
        </w:rPr>
      </w:pPr>
      <w:r>
        <w:rPr>
          <w:rFonts w:ascii="Arial" w:cs="Arial" w:eastAsia="Arial" w:hAnsi="Arial"/>
          <w:sz w:val="17"/>
          <w:szCs w:val="17"/>
          <w:color w:val="auto"/>
        </w:rPr>
        <w:t>In addition, the Second Amendment (i) provided that, during the Covenant Relief Period, loans under the Revolving Credit Facility and the Term Loan A Facility shall bear interest at either a base rate or an adjusted LIBOR rate, in each case, plus an applicable margin, in the case of base rate loans, of 2.00%, and in the case of adjusted LIBOR rate loans, of 3.00%; (ii) provided that, during the Covenant Relief Period, the Company shall pay a commitment fee on the unused portion of the commitments under the Revolving Credit Facility at a rate of 0.50% per annum; (iii) provided for a 0.75% LIBOR floor applicable to all LIBOR loans under the Senior Secured Credit Facilities; (iv) carved out COVID-19 related effects from certain terms of the Senior Secured Credit Facilities during the Covenant Relief Period; and (v) made certain other changes to the covenants and other provisions of the Credit Agreement. Interest on the Term Loan B-1 Facility was not affected by the Second Amendment.</w:t>
      </w:r>
    </w:p>
    <w:p>
      <w:pPr>
        <w:spacing w:after="0" w:line="146" w:lineRule="exact"/>
        <w:rPr>
          <w:sz w:val="20"/>
          <w:szCs w:val="20"/>
          <w:color w:val="auto"/>
        </w:rPr>
      </w:pPr>
    </w:p>
    <w:p>
      <w:pPr>
        <w:jc w:val="both"/>
        <w:ind w:right="60" w:firstLine="309"/>
        <w:spacing w:after="0" w:line="276" w:lineRule="auto"/>
        <w:rPr>
          <w:sz w:val="20"/>
          <w:szCs w:val="20"/>
          <w:color w:val="auto"/>
        </w:rPr>
      </w:pPr>
      <w:r>
        <w:rPr>
          <w:rFonts w:ascii="Arial" w:cs="Arial" w:eastAsia="Arial" w:hAnsi="Arial"/>
          <w:sz w:val="16"/>
          <w:szCs w:val="16"/>
          <w:color w:val="auto"/>
        </w:rPr>
        <w:t>Upon conclusion of the Covenant Relief Period, loans under the Senior Secured Credit Facilities bear interest at either a base rate or an adjusted LIBOR rate, plus an applicable margin. The applicable margins for the Revolving Credit Facility and Term Loan A Facility range from 1.25% to 3.00% per annum for LIBOR loans and 0.25% to 2.00% per annum for base rate loans, in each case depending on the Consolidated Total Net Leverage Ratio (as defined in the Amended 2017 Credit Agreement) as of the most recent fiscal quarter. The Term Loan B-1 Facility continues to bear interest at 2.25% per annum for LIBOR loans and 1.25% per annum for base rate loans. All loans under the Senior Secured Credit Facilities are subject to a LIBOR “floor” of 0.75%. In addition, a commitment fee is paid on the unused portion of the commitments under the Revolving Credit Facility at a rate that ranges from 0.20% to 0.50% per annum, depending on the Consolidated Total Net Leverage Ratio as of the most recent fiscal quarter.</w:t>
      </w:r>
    </w:p>
    <w:p>
      <w:pPr>
        <w:spacing w:after="0" w:line="130" w:lineRule="exact"/>
        <w:rPr>
          <w:sz w:val="20"/>
          <w:szCs w:val="20"/>
          <w:color w:val="auto"/>
        </w:rPr>
      </w:pPr>
    </w:p>
    <w:p>
      <w:pPr>
        <w:jc w:val="both"/>
        <w:ind w:right="80" w:firstLine="309"/>
        <w:spacing w:after="0" w:line="279" w:lineRule="auto"/>
        <w:rPr>
          <w:sz w:val="20"/>
          <w:szCs w:val="20"/>
          <w:color w:val="auto"/>
        </w:rPr>
      </w:pPr>
      <w:r>
        <w:rPr>
          <w:rFonts w:ascii="Arial" w:cs="Arial" w:eastAsia="Arial" w:hAnsi="Arial"/>
          <w:sz w:val="17"/>
          <w:szCs w:val="17"/>
          <w:color w:val="auto"/>
        </w:rPr>
        <w:t>The payment and performance of obligations under the Senior Secured Credit Facilities are guaranteed by a lien on and security interest in substantially all of the assets (other than excluded property such as gaming licenses) of the Company.</w:t>
      </w:r>
    </w:p>
    <w:p>
      <w:pPr>
        <w:spacing w:after="0" w:line="139" w:lineRule="exact"/>
        <w:rPr>
          <w:sz w:val="20"/>
          <w:szCs w:val="20"/>
          <w:color w:val="auto"/>
        </w:rPr>
      </w:pPr>
    </w:p>
    <w:p>
      <w:pPr>
        <w:jc w:val="both"/>
        <w:ind w:right="60" w:firstLine="309"/>
        <w:spacing w:after="0" w:line="266" w:lineRule="auto"/>
        <w:rPr>
          <w:sz w:val="20"/>
          <w:szCs w:val="20"/>
          <w:color w:val="auto"/>
        </w:rPr>
      </w:pPr>
      <w:r>
        <w:rPr>
          <w:rFonts w:ascii="Arial" w:cs="Arial" w:eastAsia="Arial" w:hAnsi="Arial"/>
          <w:sz w:val="17"/>
          <w:szCs w:val="17"/>
          <w:color w:val="auto"/>
        </w:rPr>
        <w:t>As of March 31, 2021, and December 31, 2020, the Company had conditional obligations under letters of credit issued pursuant to the Senior Secured Credit Facilities with face amounts aggregating to $28.0 million and $28.2 million, respectively, resulting in $672.0 million and $671.8 million, respectively, of available borrowing capacity under the Revolving Credit Facility.</w:t>
      </w:r>
    </w:p>
    <w:p>
      <w:pPr>
        <w:spacing w:after="0" w:line="13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5.625% Senior Unsecured Notes</w:t>
      </w:r>
    </w:p>
    <w:p>
      <w:pPr>
        <w:spacing w:after="0" w:line="178" w:lineRule="exact"/>
        <w:rPr>
          <w:sz w:val="20"/>
          <w:szCs w:val="20"/>
          <w:color w:val="auto"/>
        </w:rPr>
      </w:pPr>
    </w:p>
    <w:p>
      <w:pPr>
        <w:ind w:right="120" w:firstLine="309"/>
        <w:spacing w:after="0" w:line="302" w:lineRule="auto"/>
        <w:rPr>
          <w:sz w:val="20"/>
          <w:szCs w:val="20"/>
          <w:color w:val="auto"/>
        </w:rPr>
      </w:pPr>
      <w:r>
        <w:rPr>
          <w:rFonts w:ascii="Arial" w:cs="Arial" w:eastAsia="Arial" w:hAnsi="Arial"/>
          <w:sz w:val="15"/>
          <w:szCs w:val="15"/>
          <w:color w:val="auto"/>
        </w:rPr>
        <w:t>On January 19, 2017, the Company completed an offering of $400.0 million aggregate principal amount of 5.625% senior unsecured notes that mature on January 15, 2027 (the “5.625% Notes”) at a price of par. Interest on the 5.625% Notes is payable on January 15th and July 15th of each year. The 5.625% Notes are not guaranteed by any of the Company’s subsidiaries except in the event that the Company in the future issues certain subsidiary-guaranteed debt securities. The Company may redeem the 5.625% Notes at any time on or after January 15, 2022, at the declining redemption premiums set forth in the indenture governing the 5.625% Notes, and, prior to January 15, 2022, at a “make-whole” redemption premium set forth in the indenture governing the 5.625% Notes.</w:t>
      </w:r>
    </w:p>
    <w:p>
      <w:pPr>
        <w:spacing w:after="0" w:line="12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2.75% Unsecured Convertible Notes</w:t>
      </w:r>
    </w:p>
    <w:p>
      <w:pPr>
        <w:spacing w:after="0" w:line="178" w:lineRule="exact"/>
        <w:rPr>
          <w:sz w:val="20"/>
          <w:szCs w:val="20"/>
          <w:color w:val="auto"/>
        </w:rPr>
      </w:pPr>
    </w:p>
    <w:p>
      <w:pPr>
        <w:ind w:right="40" w:firstLine="309"/>
        <w:spacing w:after="0" w:line="318" w:lineRule="auto"/>
        <w:rPr>
          <w:sz w:val="20"/>
          <w:szCs w:val="20"/>
          <w:color w:val="auto"/>
        </w:rPr>
      </w:pPr>
      <w:r>
        <w:rPr>
          <w:rFonts w:ascii="Arial" w:cs="Arial" w:eastAsia="Arial" w:hAnsi="Arial"/>
          <w:sz w:val="15"/>
          <w:szCs w:val="15"/>
          <w:color w:val="auto"/>
        </w:rPr>
        <w:t>In May 2020, the Company completed an offering of $330.5 million aggregate principal amount of 2.75% unsecured convertible notes that mature, unless earlier converted, redeemed or repurchased, on May 15, 2026 (the “Convertible Notes”) at a price of par. After lender fees and discounts, net proceeds received by the Company were $322.2 million. Interest on the Convertible Notes is payable on May 15th and November 15th of each year, commencing November 15, 2020.</w:t>
      </w:r>
    </w:p>
    <w:p>
      <w:pPr>
        <w:spacing w:after="0" w:line="101" w:lineRule="exact"/>
        <w:rPr>
          <w:sz w:val="20"/>
          <w:szCs w:val="20"/>
          <w:color w:val="auto"/>
        </w:rPr>
      </w:pPr>
    </w:p>
    <w:p>
      <w:pPr>
        <w:ind w:right="200" w:firstLine="309"/>
        <w:spacing w:after="0" w:line="279" w:lineRule="auto"/>
        <w:rPr>
          <w:sz w:val="20"/>
          <w:szCs w:val="20"/>
          <w:color w:val="auto"/>
        </w:rPr>
      </w:pPr>
      <w:r>
        <w:rPr>
          <w:rFonts w:ascii="Arial" w:cs="Arial" w:eastAsia="Arial" w:hAnsi="Arial"/>
          <w:sz w:val="17"/>
          <w:szCs w:val="17"/>
          <w:color w:val="auto"/>
        </w:rPr>
        <w:t>The Convertible Notes are convertible into shares of the Company’s common stock at an initial conversion price of $23.40 per share, or 42.7350 shares, per $1,000 principal amount of notes, subject to adjustment if certain corporate events occur.</w:t>
      </w:r>
    </w:p>
    <w:p>
      <w:pPr>
        <w:spacing w:after="0" w:line="200" w:lineRule="exact"/>
        <w:rPr>
          <w:sz w:val="20"/>
          <w:szCs w:val="20"/>
          <w:color w:val="auto"/>
        </w:rPr>
      </w:pPr>
    </w:p>
    <w:p>
      <w:pPr>
        <w:spacing w:after="0" w:line="287"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182245</wp:posOffset>
            </wp:positionV>
            <wp:extent cx="7164070" cy="419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16" w:name="page17"/>
    <w:bookmarkEnd w:id="16"/>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339" w:lineRule="exact"/>
        <w:rPr>
          <w:sz w:val="20"/>
          <w:szCs w:val="20"/>
          <w:color w:val="auto"/>
        </w:rPr>
      </w:pPr>
    </w:p>
    <w:p>
      <w:pPr>
        <w:ind w:right="160"/>
        <w:spacing w:after="0" w:line="266" w:lineRule="auto"/>
        <w:rPr>
          <w:sz w:val="20"/>
          <w:szCs w:val="20"/>
          <w:color w:val="auto"/>
        </w:rPr>
      </w:pPr>
      <w:r>
        <w:rPr>
          <w:rFonts w:ascii="Arial" w:cs="Arial" w:eastAsia="Arial" w:hAnsi="Arial"/>
          <w:sz w:val="17"/>
          <w:szCs w:val="17"/>
          <w:color w:val="auto"/>
        </w:rPr>
        <w:t>However, in no event will the conversion exceed 55.5555 shares of common stock per $1,000 principal amount of notes. As of March 31, 2021, the maximum number of shares that could be issued to satisfy the conversion feature of the Convertible Notes is 18,360,815 and the amount by which the Convertible Notes if-converted value exceeded its principal amount was $1,594.4 million.</w:t>
      </w:r>
    </w:p>
    <w:p>
      <w:pPr>
        <w:spacing w:after="0" w:line="136" w:lineRule="exact"/>
        <w:rPr>
          <w:sz w:val="20"/>
          <w:szCs w:val="20"/>
          <w:color w:val="auto"/>
        </w:rPr>
      </w:pPr>
    </w:p>
    <w:p>
      <w:pPr>
        <w:ind w:right="200" w:firstLine="309"/>
        <w:spacing w:after="0" w:line="279" w:lineRule="auto"/>
        <w:rPr>
          <w:sz w:val="20"/>
          <w:szCs w:val="20"/>
          <w:color w:val="auto"/>
        </w:rPr>
      </w:pPr>
      <w:r>
        <w:rPr>
          <w:rFonts w:ascii="Arial" w:cs="Arial" w:eastAsia="Arial" w:hAnsi="Arial"/>
          <w:sz w:val="16"/>
          <w:szCs w:val="16"/>
          <w:color w:val="auto"/>
        </w:rPr>
        <w:t>Starting in the fourth quarter of 2020 and prior to February 15, 2026, at their election, holders of the Convertible Notes may convert outstanding notes if the trading price of the Company’s common stock exceeds 130% of the initial conversion price or, starting shortly after the issuance of the Convertible Notes, if the trading price per $1,000 principal amount of notes is less than 98% of the product of the trading price of the Company’s common stock and the conversion rate then in effect. The Convertible Notes may, at the Company’s election, be settled in cash, shares of common stock of the Company, or a combination thereof. The Company has the option to redeem the Convertible Notes, in whole or in part, beginning November 20, 2023.</w:t>
      </w:r>
    </w:p>
    <w:p>
      <w:pPr>
        <w:spacing w:after="0" w:line="194" w:lineRule="exact"/>
        <w:rPr>
          <w:sz w:val="20"/>
          <w:szCs w:val="20"/>
          <w:color w:val="auto"/>
        </w:rPr>
      </w:pPr>
    </w:p>
    <w:p>
      <w:pPr>
        <w:ind w:right="40" w:firstLine="309"/>
        <w:spacing w:after="0" w:line="259" w:lineRule="auto"/>
        <w:rPr>
          <w:sz w:val="20"/>
          <w:szCs w:val="20"/>
          <w:color w:val="auto"/>
        </w:rPr>
      </w:pPr>
      <w:r>
        <w:rPr>
          <w:rFonts w:ascii="Arial" w:cs="Arial" w:eastAsia="Arial" w:hAnsi="Arial"/>
          <w:sz w:val="17"/>
          <w:szCs w:val="17"/>
          <w:color w:val="auto"/>
        </w:rPr>
        <w:t>In addition, the Convertible Notes convert into shares of the Company’s common stock upon the occurrence of certain corporate events that constitute a fundamental change under the indenture governing the Convertible Notes at a purchase price equal to 100% of the principal amount thereof, plus accrued and unpaid interest to, but excluding, the date of repurchase. In connection with certain corporate events or if the Company issues a notice of redemption, it will, under certain circumstances, increase the conversion rate for holders who elect to convert their Convertible Notes in connection with such corporate events or during the relevant redemption period for such Convertible Notes.</w:t>
      </w:r>
    </w:p>
    <w:p>
      <w:pPr>
        <w:spacing w:after="0" w:line="209" w:lineRule="exact"/>
        <w:rPr>
          <w:sz w:val="20"/>
          <w:szCs w:val="20"/>
          <w:color w:val="auto"/>
        </w:rPr>
      </w:pPr>
    </w:p>
    <w:p>
      <w:pPr>
        <w:ind w:left="320"/>
        <w:spacing w:after="0"/>
        <w:rPr>
          <w:sz w:val="20"/>
          <w:szCs w:val="20"/>
          <w:color w:val="auto"/>
        </w:rPr>
      </w:pPr>
      <w:r>
        <w:rPr>
          <w:rFonts w:ascii="Arial" w:cs="Arial" w:eastAsia="Arial" w:hAnsi="Arial"/>
          <w:sz w:val="17"/>
          <w:szCs w:val="17"/>
          <w:color w:val="auto"/>
        </w:rPr>
        <w:t>As of March 31, 2021 and December 31, 2020, no Convertible Notes have been converted into the Company's common stock.</w:t>
      </w:r>
    </w:p>
    <w:p>
      <w:pPr>
        <w:spacing w:after="0" w:line="243" w:lineRule="exact"/>
        <w:rPr>
          <w:sz w:val="20"/>
          <w:szCs w:val="20"/>
          <w:color w:val="auto"/>
        </w:rPr>
      </w:pPr>
    </w:p>
    <w:p>
      <w:pPr>
        <w:ind w:right="20" w:firstLine="309"/>
        <w:spacing w:after="0" w:line="262" w:lineRule="auto"/>
        <w:rPr>
          <w:sz w:val="20"/>
          <w:szCs w:val="20"/>
          <w:color w:val="auto"/>
        </w:rPr>
      </w:pPr>
      <w:r>
        <w:rPr>
          <w:rFonts w:ascii="Arial" w:cs="Arial" w:eastAsia="Arial" w:hAnsi="Arial"/>
          <w:sz w:val="17"/>
          <w:szCs w:val="17"/>
          <w:color w:val="auto"/>
        </w:rPr>
        <w:t>The Convertible Notes contain a cash conversion feature, and as a result, the Company has separated it into liability and equity components. The Company valued the liability component based on its borrowing rate for a similar debt instrument that does not contain a conversion feature. The equity component, which is recognized as debt discount, was valued as the difference between the face value of the Convertible Notes and the fair value of the liability component. The equity component was valued at $91.8 million upon issuance of the Convertible Notes.</w:t>
      </w:r>
    </w:p>
    <w:p>
      <w:pPr>
        <w:spacing w:after="0" w:line="204" w:lineRule="exact"/>
        <w:rPr>
          <w:sz w:val="20"/>
          <w:szCs w:val="20"/>
          <w:color w:val="auto"/>
        </w:rPr>
      </w:pPr>
    </w:p>
    <w:p>
      <w:pPr>
        <w:ind w:right="60" w:firstLine="309"/>
        <w:spacing w:after="0" w:line="279" w:lineRule="auto"/>
        <w:rPr>
          <w:sz w:val="20"/>
          <w:szCs w:val="20"/>
          <w:color w:val="auto"/>
        </w:rPr>
      </w:pPr>
      <w:r>
        <w:rPr>
          <w:rFonts w:ascii="Arial" w:cs="Arial" w:eastAsia="Arial" w:hAnsi="Arial"/>
          <w:sz w:val="17"/>
          <w:szCs w:val="17"/>
          <w:color w:val="auto"/>
        </w:rPr>
        <w:t>In connection with the Convertible Notes issuance, the Company incurred debt issuance costs of $10.2 million, which were allocated on a pro rata basis to the liability component and the equity component in the amounts of $6.6 million and $3.6 million, respectively.</w:t>
      </w:r>
    </w:p>
    <w:p>
      <w:pPr>
        <w:spacing w:after="0" w:line="190"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The Convertible Notes consisted of the following components:</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90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80" w:type="dxa"/>
            <w:vAlign w:val="bottom"/>
          </w:tcPr>
          <w:p>
            <w:pPr>
              <w:jc w:val="right"/>
              <w:ind w:right="294"/>
              <w:spacing w:after="0"/>
              <w:rPr>
                <w:sz w:val="20"/>
                <w:szCs w:val="20"/>
                <w:color w:val="auto"/>
              </w:rPr>
            </w:pPr>
            <w:r>
              <w:rPr>
                <w:rFonts w:ascii="Arial" w:cs="Arial" w:eastAsia="Arial" w:hAnsi="Arial"/>
                <w:sz w:val="17"/>
                <w:szCs w:val="17"/>
                <w:b w:val="1"/>
                <w:bCs w:val="1"/>
                <w:color w:val="auto"/>
              </w:rPr>
              <w:t>March 31,</w:t>
            </w:r>
          </w:p>
        </w:tc>
      </w:tr>
      <w:tr>
        <w:trPr>
          <w:trHeight w:val="180"/>
        </w:trPr>
        <w:tc>
          <w:tcPr>
            <w:tcW w:w="9720" w:type="dxa"/>
            <w:vAlign w:val="bottom"/>
            <w:gridSpan w:val="3"/>
          </w:tcPr>
          <w:p>
            <w:pPr>
              <w:ind w:left="20"/>
              <w:spacing w:after="0"/>
              <w:rPr>
                <w:sz w:val="20"/>
                <w:szCs w:val="20"/>
                <w:color w:val="auto"/>
              </w:rPr>
            </w:pPr>
            <w:r>
              <w:rPr>
                <w:rFonts w:ascii="Arial" w:cs="Arial" w:eastAsia="Arial" w:hAnsi="Arial"/>
                <w:sz w:val="14"/>
                <w:szCs w:val="14"/>
                <w:b w:val="1"/>
                <w:bCs w:val="1"/>
                <w:i w:val="1"/>
                <w:iCs w:val="1"/>
                <w:color w:val="auto"/>
              </w:rPr>
              <w:t>(in millions)</w:t>
            </w:r>
          </w:p>
        </w:tc>
        <w:tc>
          <w:tcPr>
            <w:tcW w:w="240" w:type="dxa"/>
            <w:vAlign w:val="bottom"/>
          </w:tcPr>
          <w:p>
            <w:pPr>
              <w:spacing w:after="0"/>
              <w:rPr>
                <w:sz w:val="15"/>
                <w:szCs w:val="15"/>
                <w:color w:val="auto"/>
              </w:rPr>
            </w:pPr>
          </w:p>
        </w:tc>
        <w:tc>
          <w:tcPr>
            <w:tcW w:w="1280" w:type="dxa"/>
            <w:vAlign w:val="bottom"/>
          </w:tcPr>
          <w:p>
            <w:pPr>
              <w:jc w:val="right"/>
              <w:ind w:right="494"/>
              <w:spacing w:after="0" w:line="180" w:lineRule="exact"/>
              <w:rPr>
                <w:sz w:val="20"/>
                <w:szCs w:val="20"/>
                <w:color w:val="auto"/>
              </w:rPr>
            </w:pPr>
            <w:r>
              <w:rPr>
                <w:rFonts w:ascii="Arial" w:cs="Arial" w:eastAsia="Arial" w:hAnsi="Arial"/>
                <w:sz w:val="17"/>
                <w:szCs w:val="17"/>
                <w:b w:val="1"/>
                <w:bCs w:val="1"/>
                <w:color w:val="auto"/>
              </w:rPr>
              <w:t>2021</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700" w:type="dxa"/>
            <w:vAlign w:val="bottom"/>
            <w:tcBorders>
              <w:top w:val="single" w:sz="8" w:color="auto"/>
              <w:bottom w:val="single" w:sz="8" w:color="CCEEFF"/>
            </w:tcBorders>
          </w:tcPr>
          <w:p>
            <w:pPr>
              <w:spacing w:after="0" w:line="20" w:lineRule="exact"/>
              <w:rPr>
                <w:sz w:val="1"/>
                <w:szCs w:val="1"/>
                <w:color w:val="auto"/>
              </w:rPr>
            </w:pPr>
          </w:p>
        </w:tc>
        <w:tc>
          <w:tcPr>
            <w:tcW w:w="90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198"/>
        </w:trPr>
        <w:tc>
          <w:tcPr>
            <w:tcW w:w="9720" w:type="dxa"/>
            <w:vAlign w:val="bottom"/>
            <w:gridSpan w:val="3"/>
            <w:shd w:val="clear" w:color="auto" w:fill="CCEEFF"/>
          </w:tcPr>
          <w:p>
            <w:pPr>
              <w:ind w:left="20"/>
              <w:spacing w:after="0"/>
              <w:rPr>
                <w:sz w:val="20"/>
                <w:szCs w:val="20"/>
                <w:color w:val="auto"/>
              </w:rPr>
            </w:pPr>
            <w:r>
              <w:rPr>
                <w:rFonts w:ascii="Arial" w:cs="Arial" w:eastAsia="Arial" w:hAnsi="Arial"/>
                <w:sz w:val="17"/>
                <w:szCs w:val="17"/>
                <w:color w:val="auto"/>
              </w:rPr>
              <w:t>Liability component:</w:t>
            </w:r>
          </w:p>
        </w:tc>
        <w:tc>
          <w:tcPr>
            <w:tcW w:w="24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r>
      <w:tr>
        <w:trPr>
          <w:trHeight w:val="218"/>
        </w:trPr>
        <w:tc>
          <w:tcPr>
            <w:tcW w:w="20" w:type="dxa"/>
            <w:vAlign w:val="bottom"/>
          </w:tcPr>
          <w:p>
            <w:pPr>
              <w:spacing w:after="0"/>
              <w:rPr>
                <w:sz w:val="18"/>
                <w:szCs w:val="18"/>
                <w:color w:val="auto"/>
              </w:rPr>
            </w:pPr>
          </w:p>
        </w:tc>
        <w:tc>
          <w:tcPr>
            <w:tcW w:w="9700" w:type="dxa"/>
            <w:vAlign w:val="bottom"/>
            <w:gridSpan w:val="2"/>
          </w:tcPr>
          <w:p>
            <w:pPr>
              <w:ind w:left="200"/>
              <w:spacing w:after="0"/>
              <w:rPr>
                <w:sz w:val="20"/>
                <w:szCs w:val="20"/>
                <w:color w:val="auto"/>
              </w:rPr>
            </w:pPr>
            <w:r>
              <w:rPr>
                <w:rFonts w:ascii="Arial" w:cs="Arial" w:eastAsia="Arial" w:hAnsi="Arial"/>
                <w:sz w:val="17"/>
                <w:szCs w:val="17"/>
                <w:color w:val="auto"/>
              </w:rPr>
              <w:t>Principal</w:t>
            </w:r>
          </w:p>
        </w:tc>
        <w:tc>
          <w:tcPr>
            <w:tcW w:w="240" w:type="dxa"/>
            <w:vAlign w:val="bottom"/>
          </w:tcPr>
          <w:p>
            <w:pPr>
              <w:jc w:val="right"/>
              <w:ind w:right="54"/>
              <w:spacing w:after="0"/>
              <w:rPr>
                <w:sz w:val="20"/>
                <w:szCs w:val="20"/>
                <w:color w:val="auto"/>
              </w:rPr>
            </w:pPr>
            <w:r>
              <w:rPr>
                <w:rFonts w:ascii="Arial" w:cs="Arial" w:eastAsia="Arial" w:hAnsi="Arial"/>
                <w:sz w:val="17"/>
                <w:szCs w:val="17"/>
                <w:color w:val="auto"/>
                <w:w w:val="84"/>
              </w:rPr>
              <w:t>$</w:t>
            </w:r>
          </w:p>
        </w:tc>
        <w:tc>
          <w:tcPr>
            <w:tcW w:w="1280" w:type="dxa"/>
            <w:vAlign w:val="bottom"/>
          </w:tcPr>
          <w:p>
            <w:pPr>
              <w:jc w:val="right"/>
              <w:spacing w:after="0"/>
              <w:rPr>
                <w:sz w:val="20"/>
                <w:szCs w:val="20"/>
                <w:color w:val="auto"/>
              </w:rPr>
            </w:pPr>
            <w:r>
              <w:rPr>
                <w:rFonts w:ascii="Arial" w:cs="Arial" w:eastAsia="Arial" w:hAnsi="Arial"/>
                <w:sz w:val="17"/>
                <w:szCs w:val="17"/>
                <w:color w:val="auto"/>
              </w:rPr>
              <w:t>330.5</w:t>
            </w:r>
          </w:p>
        </w:tc>
      </w:tr>
      <w:tr>
        <w:trPr>
          <w:trHeight w:val="220"/>
        </w:trPr>
        <w:tc>
          <w:tcPr>
            <w:tcW w:w="20" w:type="dxa"/>
            <w:vAlign w:val="bottom"/>
            <w:shd w:val="clear" w:color="auto" w:fill="CCEEFF"/>
          </w:tcPr>
          <w:p>
            <w:pPr>
              <w:spacing w:after="0"/>
              <w:rPr>
                <w:sz w:val="19"/>
                <w:szCs w:val="19"/>
                <w:color w:val="auto"/>
              </w:rPr>
            </w:pPr>
          </w:p>
        </w:tc>
        <w:tc>
          <w:tcPr>
            <w:tcW w:w="9700" w:type="dxa"/>
            <w:vAlign w:val="bottom"/>
            <w:gridSpan w:val="2"/>
            <w:shd w:val="clear" w:color="auto" w:fill="CCEEFF"/>
          </w:tcPr>
          <w:p>
            <w:pPr>
              <w:ind w:left="200"/>
              <w:spacing w:after="0"/>
              <w:rPr>
                <w:sz w:val="20"/>
                <w:szCs w:val="20"/>
                <w:color w:val="auto"/>
              </w:rPr>
            </w:pPr>
            <w:r>
              <w:rPr>
                <w:rFonts w:ascii="Arial" w:cs="Arial" w:eastAsia="Arial" w:hAnsi="Arial"/>
                <w:sz w:val="17"/>
                <w:szCs w:val="17"/>
                <w:color w:val="auto"/>
              </w:rPr>
              <w:t>Unamortized debt discount</w:t>
            </w: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(81.4)</w:t>
            </w:r>
          </w:p>
        </w:tc>
      </w:tr>
      <w:tr>
        <w:trPr>
          <w:trHeight w:val="218"/>
        </w:trPr>
        <w:tc>
          <w:tcPr>
            <w:tcW w:w="20" w:type="dxa"/>
            <w:vAlign w:val="bottom"/>
            <w:tcBorders>
              <w:bottom w:val="single" w:sz="8" w:color="CCEEFF"/>
            </w:tcBorders>
          </w:tcPr>
          <w:p>
            <w:pPr>
              <w:spacing w:after="0"/>
              <w:rPr>
                <w:sz w:val="18"/>
                <w:szCs w:val="18"/>
                <w:color w:val="auto"/>
              </w:rPr>
            </w:pPr>
          </w:p>
        </w:tc>
        <w:tc>
          <w:tcPr>
            <w:tcW w:w="9700" w:type="dxa"/>
            <w:vAlign w:val="bottom"/>
            <w:tcBorders>
              <w:bottom w:val="single" w:sz="8" w:color="CCEEFF"/>
            </w:tcBorders>
            <w:gridSpan w:val="2"/>
          </w:tcPr>
          <w:p>
            <w:pPr>
              <w:ind w:left="200"/>
              <w:spacing w:after="0"/>
              <w:rPr>
                <w:sz w:val="20"/>
                <w:szCs w:val="20"/>
                <w:color w:val="auto"/>
              </w:rPr>
            </w:pPr>
            <w:r>
              <w:rPr>
                <w:rFonts w:ascii="Arial" w:cs="Arial" w:eastAsia="Arial" w:hAnsi="Arial"/>
                <w:sz w:val="17"/>
                <w:szCs w:val="17"/>
                <w:color w:val="auto"/>
              </w:rPr>
              <w:t>Unamortized debt issuance costs</w:t>
            </w:r>
          </w:p>
        </w:tc>
        <w:tc>
          <w:tcPr>
            <w:tcW w:w="2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(6.0)</w:t>
            </w:r>
          </w:p>
        </w:tc>
      </w:tr>
      <w:tr>
        <w:trPr>
          <w:trHeight w:val="238"/>
        </w:trPr>
        <w:tc>
          <w:tcPr>
            <w:tcW w:w="972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7"/>
                <w:szCs w:val="17"/>
                <w:color w:val="auto"/>
              </w:rPr>
              <w:t>Net carrying amount</w:t>
            </w:r>
          </w:p>
        </w:tc>
        <w:tc>
          <w:tcPr>
            <w:tcW w:w="24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7"/>
                <w:szCs w:val="17"/>
                <w:color w:val="auto"/>
                <w:w w:val="84"/>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243.1</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90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r>
        <w:trPr>
          <w:trHeight w:val="204"/>
        </w:trPr>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9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19"/>
        </w:trPr>
        <w:tc>
          <w:tcPr>
            <w:tcW w:w="9720" w:type="dxa"/>
            <w:vAlign w:val="bottom"/>
            <w:gridSpan w:val="3"/>
            <w:shd w:val="clear" w:color="auto" w:fill="CCEEFF"/>
          </w:tcPr>
          <w:p>
            <w:pPr>
              <w:ind w:left="20"/>
              <w:spacing w:after="0"/>
              <w:rPr>
                <w:sz w:val="20"/>
                <w:szCs w:val="20"/>
                <w:color w:val="auto"/>
              </w:rPr>
            </w:pPr>
            <w:r>
              <w:rPr>
                <w:rFonts w:ascii="Arial" w:cs="Arial" w:eastAsia="Arial" w:hAnsi="Arial"/>
                <w:sz w:val="17"/>
                <w:szCs w:val="17"/>
                <w:color w:val="auto"/>
              </w:rPr>
              <w:t>Carrying amount of equity component</w:t>
            </w:r>
          </w:p>
        </w:tc>
        <w:tc>
          <w:tcPr>
            <w:tcW w:w="24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w w:val="84"/>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88.2</w:t>
            </w:r>
          </w:p>
        </w:tc>
      </w:tr>
    </w:tbl>
    <w:p>
      <w:pPr>
        <w:spacing w:after="0" w:line="16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Interest expense, net</w:t>
      </w:r>
    </w:p>
    <w:p>
      <w:pPr>
        <w:spacing w:after="0" w:line="178"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The table below presents interest expense, net:</w:t>
      </w:r>
    </w:p>
    <w:p>
      <w:pPr>
        <w:spacing w:after="0" w:line="134" w:lineRule="exact"/>
        <w:rPr>
          <w:sz w:val="20"/>
          <w:szCs w:val="20"/>
          <w:color w:val="auto"/>
        </w:rPr>
      </w:pPr>
    </w:p>
    <w:p>
      <w:pPr>
        <w:ind w:left="8260"/>
        <w:spacing w:after="0"/>
        <w:rPr>
          <w:sz w:val="20"/>
          <w:szCs w:val="20"/>
          <w:color w:val="auto"/>
        </w:rPr>
      </w:pPr>
      <w:r>
        <w:rPr>
          <w:rFonts w:ascii="Arial" w:cs="Arial" w:eastAsia="Arial" w:hAnsi="Arial"/>
          <w:sz w:val="16"/>
          <w:szCs w:val="16"/>
          <w:b w:val="1"/>
          <w:bCs w:val="1"/>
          <w:color w:val="auto"/>
        </w:rPr>
        <w:t>For the three months ended March 31,</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3480" w:type="dxa"/>
            <w:vAlign w:val="bottom"/>
            <w:gridSpan w:val="3"/>
          </w:tcPr>
          <w:p>
            <w:pPr>
              <w:ind w:left="20"/>
              <w:spacing w:after="0"/>
              <w:rPr>
                <w:sz w:val="20"/>
                <w:szCs w:val="20"/>
                <w:color w:val="auto"/>
              </w:rPr>
            </w:pPr>
            <w:r>
              <w:rPr>
                <w:rFonts w:ascii="Arial" w:cs="Arial" w:eastAsia="Arial" w:hAnsi="Arial"/>
                <w:sz w:val="14"/>
                <w:szCs w:val="14"/>
                <w:b w:val="1"/>
                <w:bCs w:val="1"/>
                <w:i w:val="1"/>
                <w:iCs w:val="1"/>
                <w:color w:val="auto"/>
              </w:rPr>
              <w:t>(in millions)</w:t>
            </w:r>
          </w:p>
        </w:tc>
        <w:tc>
          <w:tcPr>
            <w:tcW w:w="4620" w:type="dxa"/>
            <w:vAlign w:val="bottom"/>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1180" w:type="dxa"/>
            <w:vAlign w:val="bottom"/>
            <w:tcBorders>
              <w:top w:val="single" w:sz="8" w:color="auto"/>
            </w:tcBorders>
          </w:tcPr>
          <w:p>
            <w:pPr>
              <w:jc w:val="right"/>
              <w:ind w:right="494"/>
              <w:spacing w:after="0" w:line="175" w:lineRule="exact"/>
              <w:rPr>
                <w:sz w:val="20"/>
                <w:szCs w:val="20"/>
                <w:color w:val="auto"/>
              </w:rPr>
            </w:pPr>
            <w:r>
              <w:rPr>
                <w:rFonts w:ascii="Arial" w:cs="Arial" w:eastAsia="Arial" w:hAnsi="Arial"/>
                <w:sz w:val="17"/>
                <w:szCs w:val="17"/>
                <w:b w:val="1"/>
                <w:bCs w:val="1"/>
                <w:color w:val="auto"/>
              </w:rPr>
              <w:t>2021</w:t>
            </w:r>
          </w:p>
        </w:tc>
        <w:tc>
          <w:tcPr>
            <w:tcW w:w="100" w:type="dxa"/>
            <w:vAlign w:val="bottom"/>
            <w:tcBorders>
              <w:top w:val="single" w:sz="8" w:color="auto"/>
            </w:tcBorders>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1180" w:type="dxa"/>
            <w:vAlign w:val="bottom"/>
            <w:tcBorders>
              <w:top w:val="single" w:sz="8" w:color="auto"/>
            </w:tcBorders>
          </w:tcPr>
          <w:p>
            <w:pPr>
              <w:jc w:val="right"/>
              <w:ind w:right="494"/>
              <w:spacing w:after="0" w:line="175" w:lineRule="exact"/>
              <w:rPr>
                <w:sz w:val="20"/>
                <w:szCs w:val="20"/>
                <w:color w:val="auto"/>
              </w:rPr>
            </w:pPr>
            <w:r>
              <w:rPr>
                <w:rFonts w:ascii="Arial" w:cs="Arial" w:eastAsia="Arial" w:hAnsi="Arial"/>
                <w:sz w:val="17"/>
                <w:szCs w:val="17"/>
                <w:b w:val="1"/>
                <w:bCs w:val="1"/>
                <w:color w:val="auto"/>
              </w:rPr>
              <w:t>2020</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700" w:type="dxa"/>
            <w:vAlign w:val="bottom"/>
            <w:tcBorders>
              <w:top w:val="single" w:sz="8" w:color="auto"/>
              <w:bottom w:val="single" w:sz="8" w:color="CCEEFF"/>
            </w:tcBorders>
          </w:tcPr>
          <w:p>
            <w:pPr>
              <w:spacing w:after="0" w:line="20" w:lineRule="exact"/>
              <w:rPr>
                <w:sz w:val="1"/>
                <w:szCs w:val="1"/>
                <w:color w:val="auto"/>
              </w:rPr>
            </w:pPr>
          </w:p>
        </w:tc>
        <w:tc>
          <w:tcPr>
            <w:tcW w:w="2760" w:type="dxa"/>
            <w:vAlign w:val="bottom"/>
            <w:tcBorders>
              <w:bottom w:val="single" w:sz="8" w:color="CCEEFF"/>
            </w:tcBorders>
          </w:tcPr>
          <w:p>
            <w:pPr>
              <w:spacing w:after="0" w:line="20" w:lineRule="exact"/>
              <w:rPr>
                <w:sz w:val="1"/>
                <w:szCs w:val="1"/>
                <w:color w:val="auto"/>
              </w:rPr>
            </w:pPr>
          </w:p>
        </w:tc>
        <w:tc>
          <w:tcPr>
            <w:tcW w:w="46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3480" w:type="dxa"/>
            <w:vAlign w:val="bottom"/>
            <w:gridSpan w:val="3"/>
            <w:shd w:val="clear" w:color="auto" w:fill="CCEEFF"/>
          </w:tcPr>
          <w:p>
            <w:pPr>
              <w:ind w:left="20"/>
              <w:spacing w:after="0"/>
              <w:rPr>
                <w:sz w:val="20"/>
                <w:szCs w:val="20"/>
                <w:color w:val="auto"/>
              </w:rPr>
            </w:pPr>
            <w:r>
              <w:rPr>
                <w:rFonts w:ascii="Arial" w:cs="Arial" w:eastAsia="Arial" w:hAnsi="Arial"/>
                <w:sz w:val="17"/>
                <w:szCs w:val="17"/>
                <w:color w:val="auto"/>
              </w:rPr>
              <w:t>Interest expense</w:t>
            </w:r>
          </w:p>
        </w:tc>
        <w:tc>
          <w:tcPr>
            <w:tcW w:w="496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(136.6)</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4"/>
              <w:spacing w:after="0"/>
              <w:rPr>
                <w:sz w:val="20"/>
                <w:szCs w:val="20"/>
                <w:color w:val="auto"/>
              </w:rPr>
            </w:pPr>
            <w:r>
              <w:rPr>
                <w:rFonts w:ascii="Arial" w:cs="Arial" w:eastAsia="Arial" w:hAnsi="Arial"/>
                <w:sz w:val="17"/>
                <w:szCs w:val="17"/>
                <w:color w:val="auto"/>
                <w:w w:val="84"/>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(130.4)</w:t>
            </w:r>
          </w:p>
        </w:tc>
        <w:tc>
          <w:tcPr>
            <w:tcW w:w="0" w:type="dxa"/>
            <w:vAlign w:val="bottom"/>
          </w:tcPr>
          <w:p>
            <w:pPr>
              <w:spacing w:after="0"/>
              <w:rPr>
                <w:sz w:val="1"/>
                <w:szCs w:val="1"/>
                <w:color w:val="auto"/>
              </w:rPr>
            </w:pPr>
          </w:p>
        </w:tc>
      </w:tr>
      <w:tr>
        <w:trPr>
          <w:trHeight w:val="218"/>
        </w:trPr>
        <w:tc>
          <w:tcPr>
            <w:tcW w:w="3480" w:type="dxa"/>
            <w:vAlign w:val="bottom"/>
            <w:gridSpan w:val="3"/>
          </w:tcPr>
          <w:p>
            <w:pPr>
              <w:ind w:left="20"/>
              <w:spacing w:after="0"/>
              <w:rPr>
                <w:sz w:val="20"/>
                <w:szCs w:val="20"/>
                <w:color w:val="auto"/>
              </w:rPr>
            </w:pPr>
            <w:r>
              <w:rPr>
                <w:rFonts w:ascii="Arial" w:cs="Arial" w:eastAsia="Arial" w:hAnsi="Arial"/>
                <w:sz w:val="17"/>
                <w:szCs w:val="17"/>
                <w:color w:val="auto"/>
              </w:rPr>
              <w:t>Interest income</w:t>
            </w:r>
          </w:p>
        </w:tc>
        <w:tc>
          <w:tcPr>
            <w:tcW w:w="46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0.2</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0.2</w:t>
            </w:r>
          </w:p>
        </w:tc>
        <w:tc>
          <w:tcPr>
            <w:tcW w:w="0" w:type="dxa"/>
            <w:vAlign w:val="bottom"/>
          </w:tcPr>
          <w:p>
            <w:pPr>
              <w:spacing w:after="0"/>
              <w:rPr>
                <w:sz w:val="1"/>
                <w:szCs w:val="1"/>
                <w:color w:val="auto"/>
              </w:rPr>
            </w:pPr>
          </w:p>
        </w:tc>
      </w:tr>
      <w:tr>
        <w:trPr>
          <w:trHeight w:val="219"/>
        </w:trPr>
        <w:tc>
          <w:tcPr>
            <w:tcW w:w="3480" w:type="dxa"/>
            <w:vAlign w:val="bottom"/>
            <w:gridSpan w:val="3"/>
            <w:shd w:val="clear" w:color="auto" w:fill="CCEEFF"/>
          </w:tcPr>
          <w:p>
            <w:pPr>
              <w:ind w:left="20"/>
              <w:spacing w:after="0"/>
              <w:rPr>
                <w:sz w:val="20"/>
                <w:szCs w:val="20"/>
                <w:color w:val="auto"/>
              </w:rPr>
            </w:pPr>
            <w:r>
              <w:rPr>
                <w:rFonts w:ascii="Arial" w:cs="Arial" w:eastAsia="Arial" w:hAnsi="Arial"/>
                <w:sz w:val="17"/>
                <w:szCs w:val="17"/>
                <w:color w:val="auto"/>
              </w:rPr>
              <w:t>Capitalized interest</w:t>
            </w:r>
          </w:p>
        </w:tc>
        <w:tc>
          <w:tcPr>
            <w:tcW w:w="46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0.7</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0.4</w:t>
            </w:r>
          </w:p>
        </w:tc>
        <w:tc>
          <w:tcPr>
            <w:tcW w:w="0" w:type="dxa"/>
            <w:vAlign w:val="bottom"/>
          </w:tcPr>
          <w:p>
            <w:pPr>
              <w:spacing w:after="0"/>
              <w:rPr>
                <w:sz w:val="1"/>
                <w:szCs w:val="1"/>
                <w:color w:val="auto"/>
              </w:rPr>
            </w:pPr>
          </w:p>
        </w:tc>
      </w:tr>
      <w:tr>
        <w:trPr>
          <w:trHeight w:val="213"/>
        </w:trPr>
        <w:tc>
          <w:tcPr>
            <w:tcW w:w="3480" w:type="dxa"/>
            <w:vAlign w:val="bottom"/>
            <w:gridSpan w:val="3"/>
          </w:tcPr>
          <w:p>
            <w:pPr>
              <w:ind w:left="20"/>
              <w:spacing w:after="0"/>
              <w:rPr>
                <w:sz w:val="20"/>
                <w:szCs w:val="20"/>
                <w:color w:val="auto"/>
              </w:rPr>
            </w:pPr>
            <w:r>
              <w:rPr>
                <w:rFonts w:ascii="Arial" w:cs="Arial" w:eastAsia="Arial" w:hAnsi="Arial"/>
                <w:sz w:val="17"/>
                <w:szCs w:val="17"/>
                <w:color w:val="auto"/>
              </w:rPr>
              <w:t>Interest expense, net</w:t>
            </w:r>
          </w:p>
        </w:tc>
        <w:tc>
          <w:tcPr>
            <w:tcW w:w="496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1180" w:type="dxa"/>
            <w:vAlign w:val="bottom"/>
          </w:tcPr>
          <w:p>
            <w:pPr>
              <w:jc w:val="right"/>
              <w:spacing w:after="0"/>
              <w:rPr>
                <w:sz w:val="20"/>
                <w:szCs w:val="20"/>
                <w:color w:val="auto"/>
              </w:rPr>
            </w:pPr>
            <w:r>
              <w:rPr>
                <w:rFonts w:ascii="Arial" w:cs="Arial" w:eastAsia="Arial" w:hAnsi="Arial"/>
                <w:sz w:val="17"/>
                <w:szCs w:val="17"/>
                <w:color w:val="auto"/>
              </w:rPr>
              <w:t>(135.7)</w:t>
            </w:r>
          </w:p>
        </w:tc>
        <w:tc>
          <w:tcPr>
            <w:tcW w:w="100" w:type="dxa"/>
            <w:vAlign w:val="bottom"/>
          </w:tcPr>
          <w:p>
            <w:pPr>
              <w:spacing w:after="0"/>
              <w:rPr>
                <w:sz w:val="18"/>
                <w:szCs w:val="18"/>
                <w:color w:val="auto"/>
              </w:rPr>
            </w:pPr>
          </w:p>
        </w:tc>
        <w:tc>
          <w:tcPr>
            <w:tcW w:w="340" w:type="dxa"/>
            <w:vAlign w:val="bottom"/>
          </w:tcPr>
          <w:p>
            <w:pPr>
              <w:jc w:val="right"/>
              <w:ind w:right="154"/>
              <w:spacing w:after="0"/>
              <w:rPr>
                <w:sz w:val="20"/>
                <w:szCs w:val="20"/>
                <w:color w:val="auto"/>
              </w:rPr>
            </w:pPr>
            <w:r>
              <w:rPr>
                <w:rFonts w:ascii="Arial" w:cs="Arial" w:eastAsia="Arial" w:hAnsi="Arial"/>
                <w:sz w:val="17"/>
                <w:szCs w:val="17"/>
                <w:color w:val="auto"/>
                <w:w w:val="84"/>
              </w:rPr>
              <w:t>$</w:t>
            </w:r>
          </w:p>
        </w:tc>
        <w:tc>
          <w:tcPr>
            <w:tcW w:w="1180" w:type="dxa"/>
            <w:vAlign w:val="bottom"/>
          </w:tcPr>
          <w:p>
            <w:pPr>
              <w:jc w:val="right"/>
              <w:spacing w:after="0"/>
              <w:rPr>
                <w:sz w:val="20"/>
                <w:szCs w:val="20"/>
                <w:color w:val="auto"/>
              </w:rPr>
            </w:pPr>
            <w:r>
              <w:rPr>
                <w:rFonts w:ascii="Arial" w:cs="Arial" w:eastAsia="Arial" w:hAnsi="Arial"/>
                <w:sz w:val="17"/>
                <w:szCs w:val="17"/>
                <w:color w:val="auto"/>
              </w:rPr>
              <w:t>(129.8)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4620" w:type="dxa"/>
            <w:vAlign w:val="bottom"/>
            <w:vMerge w:val="restart"/>
          </w:tcPr>
          <w:p>
            <w:pPr>
              <w:jc w:val="right"/>
              <w:ind w:right="2314"/>
              <w:spacing w:after="0"/>
              <w:rPr>
                <w:sz w:val="20"/>
                <w:szCs w:val="20"/>
                <w:color w:val="auto"/>
              </w:rPr>
            </w:pPr>
            <w:r>
              <w:rPr>
                <w:rFonts w:ascii="Arial" w:cs="Arial" w:eastAsia="Arial" w:hAnsi="Arial"/>
                <w:sz w:val="17"/>
                <w:szCs w:val="17"/>
                <w:color w:val="auto"/>
              </w:rPr>
              <w:t>15</w:t>
            </w: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02"/>
        </w:trPr>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462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2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2760" w:type="dxa"/>
            <w:vAlign w:val="bottom"/>
            <w:tcBorders>
              <w:bottom w:val="single" w:sz="8" w:color="9A9A9A"/>
            </w:tcBorders>
          </w:tcPr>
          <w:p>
            <w:pPr>
              <w:spacing w:after="0"/>
              <w:rPr>
                <w:sz w:val="24"/>
                <w:szCs w:val="24"/>
                <w:color w:val="auto"/>
              </w:rPr>
            </w:pPr>
          </w:p>
        </w:tc>
        <w:tc>
          <w:tcPr>
            <w:tcW w:w="462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7" w:name="page18"/>
    <w:bookmarkEnd w:id="17"/>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391" w:lineRule="exact"/>
        <w:rPr>
          <w:sz w:val="20"/>
          <w:szCs w:val="20"/>
          <w:color w:val="auto"/>
        </w:rPr>
      </w:pPr>
    </w:p>
    <w:p>
      <w:pPr>
        <w:ind w:left="320"/>
        <w:spacing w:after="0"/>
        <w:rPr>
          <w:sz w:val="20"/>
          <w:szCs w:val="20"/>
          <w:color w:val="auto"/>
        </w:rPr>
      </w:pPr>
      <w:r>
        <w:rPr>
          <w:rFonts w:ascii="Arial" w:cs="Arial" w:eastAsia="Arial" w:hAnsi="Arial"/>
          <w:sz w:val="15"/>
          <w:szCs w:val="15"/>
          <w:color w:val="auto"/>
        </w:rPr>
        <w:t>The table below presents interest expense related to the Convertible Notes: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20"/>
        <w:spacing w:after="0"/>
        <w:rPr>
          <w:sz w:val="20"/>
          <w:szCs w:val="20"/>
          <w:color w:val="auto"/>
        </w:rPr>
      </w:pPr>
      <w:r>
        <w:rPr>
          <w:rFonts w:ascii="Arial" w:cs="Arial" w:eastAsia="Arial" w:hAnsi="Arial"/>
          <w:sz w:val="14"/>
          <w:szCs w:val="14"/>
          <w:b w:val="1"/>
          <w:bCs w:val="1"/>
          <w:i w:val="1"/>
          <w:iCs w:val="1"/>
          <w:u w:val="single" w:color="auto"/>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15875</wp:posOffset>
            </wp:positionV>
            <wp:extent cx="7138670" cy="14732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8670" cy="147320"/>
                    </a:xfrm>
                    <a:prstGeom prst="rect">
                      <a:avLst/>
                    </a:prstGeom>
                    <a:noFill/>
                  </pic:spPr>
                </pic:pic>
              </a:graphicData>
            </a:graphic>
          </wp:anchor>
        </w:drawing>
      </w:r>
    </w:p>
    <w:p>
      <w:pPr>
        <w:spacing w:after="0" w:line="18" w:lineRule="exact"/>
        <w:rPr>
          <w:sz w:val="20"/>
          <w:szCs w:val="20"/>
          <w:color w:val="auto"/>
        </w:rPr>
      </w:pPr>
    </w:p>
    <w:p>
      <w:pPr>
        <w:ind w:left="20"/>
        <w:spacing w:after="0"/>
        <w:rPr>
          <w:sz w:val="20"/>
          <w:szCs w:val="20"/>
          <w:color w:val="auto"/>
        </w:rPr>
      </w:pPr>
      <w:r>
        <w:rPr>
          <w:rFonts w:ascii="Arial" w:cs="Arial" w:eastAsia="Arial" w:hAnsi="Arial"/>
          <w:sz w:val="17"/>
          <w:szCs w:val="17"/>
          <w:color w:val="auto"/>
        </w:rPr>
        <w:t>Coupon interest</w:t>
      </w:r>
    </w:p>
    <w:p>
      <w:pPr>
        <w:spacing w:after="0" w:line="24" w:lineRule="exact"/>
        <w:rPr>
          <w:sz w:val="20"/>
          <w:szCs w:val="20"/>
          <w:color w:val="auto"/>
        </w:rPr>
      </w:pPr>
    </w:p>
    <w:p>
      <w:pPr>
        <w:ind w:left="20"/>
        <w:spacing w:after="0"/>
        <w:rPr>
          <w:sz w:val="20"/>
          <w:szCs w:val="20"/>
          <w:color w:val="auto"/>
        </w:rPr>
      </w:pPr>
      <w:r>
        <w:rPr>
          <w:rFonts w:ascii="Arial" w:cs="Arial" w:eastAsia="Arial" w:hAnsi="Arial"/>
          <w:sz w:val="17"/>
          <w:szCs w:val="17"/>
          <w:color w:val="auto"/>
        </w:rPr>
        <w:t>Amortization of debt discount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7138670" cy="13906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8670" cy="139065"/>
                    </a:xfrm>
                    <a:prstGeom prst="rect">
                      <a:avLst/>
                    </a:prstGeom>
                    <a:noFill/>
                  </pic:spPr>
                </pic:pic>
              </a:graphicData>
            </a:graphic>
          </wp:anchor>
        </w:drawing>
      </w:r>
    </w:p>
    <w:p>
      <w:pPr>
        <w:spacing w:after="0" w:line="4" w:lineRule="exact"/>
        <w:rPr>
          <w:sz w:val="20"/>
          <w:szCs w:val="20"/>
          <w:color w:val="auto"/>
        </w:rPr>
      </w:pPr>
    </w:p>
    <w:p>
      <w:pPr>
        <w:ind w:left="20"/>
        <w:spacing w:after="0"/>
        <w:rPr>
          <w:sz w:val="20"/>
          <w:szCs w:val="20"/>
          <w:color w:val="auto"/>
        </w:rPr>
      </w:pPr>
      <w:r>
        <w:rPr>
          <w:rFonts w:ascii="Arial" w:cs="Arial" w:eastAsia="Arial" w:hAnsi="Arial"/>
          <w:sz w:val="17"/>
          <w:szCs w:val="17"/>
          <w:color w:val="auto"/>
        </w:rPr>
        <w:t>Amortization of debt issuance costs</w:t>
      </w:r>
    </w:p>
    <w:p>
      <w:pPr>
        <w:spacing w:after="0" w:line="62" w:lineRule="exact"/>
        <w:rPr>
          <w:sz w:val="20"/>
          <w:szCs w:val="20"/>
          <w:color w:val="auto"/>
        </w:rPr>
      </w:pPr>
    </w:p>
    <w:p>
      <w:pPr>
        <w:ind w:left="20"/>
        <w:spacing w:after="0"/>
        <w:rPr>
          <w:sz w:val="20"/>
          <w:szCs w:val="20"/>
          <w:color w:val="auto"/>
        </w:rPr>
      </w:pPr>
      <w:r>
        <w:rPr>
          <w:rFonts w:ascii="Arial" w:cs="Arial" w:eastAsia="Arial" w:hAnsi="Arial"/>
          <w:sz w:val="17"/>
          <w:szCs w:val="17"/>
          <w:color w:val="auto"/>
        </w:rPr>
        <w:t>Convertible Notes interest expense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17"/>
        <w:spacing w:after="0"/>
        <w:rPr>
          <w:sz w:val="20"/>
          <w:szCs w:val="20"/>
          <w:color w:val="auto"/>
        </w:rPr>
      </w:pPr>
      <w:r>
        <w:rPr>
          <w:rFonts w:ascii="Arial" w:cs="Arial" w:eastAsia="Arial" w:hAnsi="Arial"/>
          <w:sz w:val="17"/>
          <w:szCs w:val="17"/>
          <w:b w:val="1"/>
          <w:bCs w:val="1"/>
          <w:color w:val="auto"/>
        </w:rPr>
        <w:t>For the three</w:t>
      </w:r>
    </w:p>
    <w:p>
      <w:pPr>
        <w:jc w:val="center"/>
        <w:ind w:right="-17"/>
        <w:spacing w:after="0" w:line="205" w:lineRule="auto"/>
        <w:rPr>
          <w:sz w:val="20"/>
          <w:szCs w:val="20"/>
          <w:color w:val="auto"/>
        </w:rPr>
      </w:pPr>
      <w:r>
        <w:rPr>
          <w:rFonts w:ascii="Arial" w:cs="Arial" w:eastAsia="Arial" w:hAnsi="Arial"/>
          <w:sz w:val="17"/>
          <w:szCs w:val="17"/>
          <w:b w:val="1"/>
          <w:bCs w:val="1"/>
          <w:color w:val="auto"/>
        </w:rPr>
        <w:t>months ended</w:t>
      </w:r>
    </w:p>
    <w:p>
      <w:pPr>
        <w:spacing w:after="0" w:line="1" w:lineRule="exact"/>
        <w:rPr>
          <w:sz w:val="20"/>
          <w:szCs w:val="20"/>
          <w:color w:val="auto"/>
        </w:rPr>
      </w:pPr>
    </w:p>
    <w:p>
      <w:pPr>
        <w:jc w:val="center"/>
        <w:ind w:right="-17"/>
        <w:spacing w:after="0"/>
        <w:rPr>
          <w:sz w:val="20"/>
          <w:szCs w:val="20"/>
          <w:color w:val="auto"/>
        </w:rPr>
      </w:pPr>
      <w:r>
        <w:rPr>
          <w:rFonts w:ascii="Arial" w:cs="Arial" w:eastAsia="Arial" w:hAnsi="Arial"/>
          <w:sz w:val="17"/>
          <w:szCs w:val="17"/>
          <w:b w:val="1"/>
          <w:bCs w:val="1"/>
          <w:color w:val="auto"/>
        </w:rPr>
        <w:t>March 31,</w:t>
      </w:r>
    </w:p>
    <w:p>
      <w:pPr>
        <w:spacing w:after="0" w:line="8" w:lineRule="exact"/>
        <w:rPr>
          <w:sz w:val="20"/>
          <w:szCs w:val="20"/>
          <w:color w:val="auto"/>
        </w:rPr>
      </w:pPr>
    </w:p>
    <w:p>
      <w:pPr>
        <w:ind w:left="598"/>
        <w:spacing w:after="0"/>
        <w:rPr>
          <w:sz w:val="20"/>
          <w:szCs w:val="20"/>
          <w:color w:val="auto"/>
        </w:rPr>
      </w:pPr>
      <w:r>
        <w:rPr>
          <w:rFonts w:ascii="Arial" w:cs="Arial" w:eastAsia="Arial" w:hAnsi="Arial"/>
          <w:sz w:val="17"/>
          <w:szCs w:val="17"/>
          <w:b w:val="1"/>
          <w:bCs w:val="1"/>
          <w:color w:val="auto"/>
        </w:rPr>
        <w:t>2021</w:t>
      </w:r>
    </w:p>
    <w:p>
      <w:pPr>
        <w:spacing w:after="0" w:line="39" w:lineRule="exact"/>
        <w:rPr>
          <w:sz w:val="20"/>
          <w:szCs w:val="20"/>
          <w:color w:val="auto"/>
        </w:rPr>
      </w:pPr>
    </w:p>
    <w:p>
      <w:pPr>
        <w:ind w:left="1258" w:hanging="1258"/>
        <w:spacing w:after="0"/>
        <w:tabs>
          <w:tab w:leader="none" w:pos="1258" w:val="left"/>
        </w:tabs>
        <w:numPr>
          <w:ilvl w:val="0"/>
          <w:numId w:val="7"/>
        </w:numPr>
        <w:rPr>
          <w:rFonts w:ascii="Arial" w:cs="Arial" w:eastAsia="Arial" w:hAnsi="Arial"/>
          <w:sz w:val="15"/>
          <w:szCs w:val="15"/>
          <w:color w:val="auto"/>
        </w:rPr>
      </w:pPr>
      <w:r>
        <w:rPr>
          <w:rFonts w:ascii="Arial" w:cs="Arial" w:eastAsia="Arial" w:hAnsi="Arial"/>
          <w:sz w:val="15"/>
          <w:szCs w:val="15"/>
          <w:color w:val="auto"/>
        </w:rPr>
        <w:t>2.3</w:t>
      </w:r>
    </w:p>
    <w:p>
      <w:pPr>
        <w:spacing w:after="0" w:line="46" w:lineRule="exact"/>
        <w:rPr>
          <w:rFonts w:ascii="Arial" w:cs="Arial" w:eastAsia="Arial" w:hAnsi="Arial"/>
          <w:sz w:val="15"/>
          <w:szCs w:val="15"/>
          <w:color w:val="auto"/>
        </w:rPr>
      </w:pPr>
    </w:p>
    <w:p>
      <w:pPr>
        <w:ind w:left="1258"/>
        <w:spacing w:after="0"/>
        <w:rPr>
          <w:rFonts w:ascii="Arial" w:cs="Arial" w:eastAsia="Arial" w:hAnsi="Arial"/>
          <w:sz w:val="15"/>
          <w:szCs w:val="15"/>
          <w:color w:val="auto"/>
        </w:rPr>
      </w:pPr>
      <w:r>
        <w:rPr>
          <w:rFonts w:ascii="Arial" w:cs="Arial" w:eastAsia="Arial" w:hAnsi="Arial"/>
          <w:sz w:val="15"/>
          <w:szCs w:val="15"/>
          <w:color w:val="auto"/>
        </w:rPr>
        <w:t>3.1</w:t>
      </w:r>
    </w:p>
    <w:p>
      <w:pPr>
        <w:spacing w:after="0" w:line="46" w:lineRule="exact"/>
        <w:rPr>
          <w:rFonts w:ascii="Arial" w:cs="Arial" w:eastAsia="Arial" w:hAnsi="Arial"/>
          <w:sz w:val="15"/>
          <w:szCs w:val="15"/>
          <w:color w:val="auto"/>
        </w:rPr>
      </w:pPr>
    </w:p>
    <w:p>
      <w:pPr>
        <w:ind w:left="1258"/>
        <w:spacing w:after="0"/>
        <w:rPr>
          <w:rFonts w:ascii="Arial" w:cs="Arial" w:eastAsia="Arial" w:hAnsi="Arial"/>
          <w:sz w:val="15"/>
          <w:szCs w:val="15"/>
          <w:color w:val="auto"/>
        </w:rPr>
      </w:pPr>
      <w:r>
        <w:rPr>
          <w:rFonts w:ascii="Arial" w:cs="Arial" w:eastAsia="Arial" w:hAnsi="Arial"/>
          <w:sz w:val="15"/>
          <w:szCs w:val="15"/>
          <w:color w:val="auto"/>
        </w:rPr>
        <w:t>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29210</wp:posOffset>
            </wp:positionV>
            <wp:extent cx="99060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990600" cy="8255"/>
                    </a:xfrm>
                    <a:prstGeom prst="rect">
                      <a:avLst/>
                    </a:prstGeom>
                    <a:noFill/>
                  </pic:spPr>
                </pic:pic>
              </a:graphicData>
            </a:graphic>
          </wp:anchor>
        </w:drawing>
      </w:r>
    </w:p>
    <w:p>
      <w:pPr>
        <w:spacing w:after="0" w:line="40" w:lineRule="exact"/>
        <w:rPr>
          <w:sz w:val="20"/>
          <w:szCs w:val="20"/>
          <w:color w:val="auto"/>
        </w:rPr>
      </w:pPr>
    </w:p>
    <w:p>
      <w:pPr>
        <w:ind w:left="1258" w:hanging="1258"/>
        <w:spacing w:after="0"/>
        <w:tabs>
          <w:tab w:leader="none" w:pos="1258" w:val="left"/>
        </w:tabs>
        <w:numPr>
          <w:ilvl w:val="0"/>
          <w:numId w:val="8"/>
        </w:numPr>
        <w:rPr>
          <w:rFonts w:ascii="Arial" w:cs="Arial" w:eastAsia="Arial" w:hAnsi="Arial"/>
          <w:sz w:val="15"/>
          <w:szCs w:val="15"/>
          <w:color w:val="auto"/>
        </w:rPr>
      </w:pPr>
      <w:r>
        <w:rPr>
          <w:rFonts w:ascii="Arial" w:cs="Arial" w:eastAsia="Arial" w:hAnsi="Arial"/>
          <w:sz w:val="15"/>
          <w:szCs w:val="15"/>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29210</wp:posOffset>
            </wp:positionV>
            <wp:extent cx="99060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990600" cy="8255"/>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53975</wp:posOffset>
            </wp:positionV>
            <wp:extent cx="99060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990600" cy="8255"/>
                    </a:xfrm>
                    <a:prstGeom prst="rect">
                      <a:avLst/>
                    </a:prstGeom>
                    <a:noFill/>
                  </pic:spPr>
                </pic:pic>
              </a:graphicData>
            </a:graphic>
          </wp:anchor>
        </w:drawing>
      </w:r>
    </w:p>
    <w:p>
      <w:pPr>
        <w:spacing w:after="0" w:line="248" w:lineRule="exact"/>
        <w:rPr>
          <w:sz w:val="20"/>
          <w:szCs w:val="20"/>
          <w:color w:val="auto"/>
        </w:rPr>
      </w:pPr>
    </w:p>
    <w:p>
      <w:pPr>
        <w:sectPr>
          <w:pgSz w:w="11900" w:h="16838" w:orient="portrait"/>
          <w:cols w:equalWidth="0" w:num="2">
            <w:col w:w="8982" w:space="720"/>
            <w:col w:w="1518"/>
          </w:cols>
          <w:pgMar w:left="320" w:top="127" w:right="359" w:bottom="1440" w:gutter="0" w:footer="0" w:header="0"/>
        </w:sectPr>
      </w:pPr>
    </w:p>
    <w:p>
      <w:pPr>
        <w:spacing w:after="0" w:line="326" w:lineRule="exact"/>
        <w:rPr>
          <w:sz w:val="20"/>
          <w:szCs w:val="20"/>
          <w:color w:val="auto"/>
        </w:rPr>
      </w:pPr>
    </w:p>
    <w:p>
      <w:pPr>
        <w:ind w:right="160" w:firstLine="309"/>
        <w:spacing w:after="0" w:line="279" w:lineRule="auto"/>
        <w:rPr>
          <w:sz w:val="20"/>
          <w:szCs w:val="20"/>
          <w:color w:val="auto"/>
        </w:rPr>
      </w:pPr>
      <w:r>
        <w:rPr>
          <w:rFonts w:ascii="Arial" w:cs="Arial" w:eastAsia="Arial" w:hAnsi="Arial"/>
          <w:sz w:val="17"/>
          <w:szCs w:val="17"/>
          <w:color w:val="auto"/>
        </w:rPr>
        <w:t>The debt discount and the debt issuance costs attributable to the liability component are being amortized to interest expense over the term of the Convertible Notes at an effective interest rate of 9.23%. The remaining term of the Convertible Notes was 5.1 years as of March 31, 2021.</w:t>
      </w:r>
    </w:p>
    <w:p>
      <w:pPr>
        <w:spacing w:after="0" w:line="12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Covenants</w:t>
      </w:r>
    </w:p>
    <w:p>
      <w:pPr>
        <w:spacing w:after="0" w:line="191" w:lineRule="exact"/>
        <w:rPr>
          <w:sz w:val="20"/>
          <w:szCs w:val="20"/>
          <w:color w:val="auto"/>
        </w:rPr>
      </w:pPr>
    </w:p>
    <w:p>
      <w:pPr>
        <w:ind w:firstLine="309"/>
        <w:spacing w:after="0" w:line="258" w:lineRule="auto"/>
        <w:rPr>
          <w:sz w:val="20"/>
          <w:szCs w:val="20"/>
          <w:color w:val="auto"/>
        </w:rPr>
      </w:pPr>
      <w:r>
        <w:rPr>
          <w:rFonts w:ascii="Arial" w:cs="Arial" w:eastAsia="Arial" w:hAnsi="Arial"/>
          <w:sz w:val="17"/>
          <w:szCs w:val="17"/>
          <w:color w:val="auto"/>
        </w:rPr>
        <w:t>Our Senior Secured Credit Facilities and 5.625% Notes require us, among other obligations, to maintain specified financial ratios and to satisfy certain financial tests. In addition, our Senior Secured Credit Facilities and 5.625% Notes restrict, among other things, our ability to incur additional indebtedness, incur guarantee obligations, amend debt instruments, pay dividends, create liens on assets, make investments, engage in mergers or consolidations, and otherwise restrict corporate activities. Our debt agreements also contain customary events of default, including cross-default provisions that require us to meet certain requirements under the Penn Master Lease and the Pinnacle Master Lease, each with GLPI. If we are unable to meet our financial covenants or in the event of a cross-default, it could trigger an acceleration of payment terms.</w:t>
      </w:r>
    </w:p>
    <w:p>
      <w:pPr>
        <w:spacing w:after="0" w:line="144" w:lineRule="exact"/>
        <w:rPr>
          <w:sz w:val="20"/>
          <w:szCs w:val="20"/>
          <w:color w:val="auto"/>
        </w:rPr>
      </w:pPr>
    </w:p>
    <w:p>
      <w:pPr>
        <w:ind w:firstLine="309"/>
        <w:spacing w:after="0" w:line="312" w:lineRule="auto"/>
        <w:rPr>
          <w:sz w:val="20"/>
          <w:szCs w:val="20"/>
          <w:color w:val="auto"/>
        </w:rPr>
      </w:pPr>
      <w:r>
        <w:rPr>
          <w:rFonts w:ascii="Arial" w:cs="Arial" w:eastAsia="Arial" w:hAnsi="Arial"/>
          <w:sz w:val="16"/>
          <w:szCs w:val="16"/>
          <w:color w:val="auto"/>
        </w:rPr>
        <w:t>As of March 31, 2021, the Company was in compliance with all required financial covenants. The Company believes that it will remain in compliance with all of its required financial covenants for at least the next twelve months following the date of filing this Quarterly Report on Form 10-Q with the SEC.</w:t>
      </w:r>
    </w:p>
    <w:p>
      <w:pPr>
        <w:spacing w:after="0" w:line="10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Other Long-Term Obligations</w:t>
      </w:r>
    </w:p>
    <w:p>
      <w:pPr>
        <w:spacing w:after="0" w:line="19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Other Long-term Obligation</w:t>
      </w:r>
    </w:p>
    <w:p>
      <w:pPr>
        <w:spacing w:after="0" w:line="178" w:lineRule="exact"/>
        <w:rPr>
          <w:sz w:val="20"/>
          <w:szCs w:val="20"/>
          <w:color w:val="auto"/>
        </w:rPr>
      </w:pPr>
    </w:p>
    <w:p>
      <w:pPr>
        <w:ind w:right="40" w:firstLine="309"/>
        <w:spacing w:after="0" w:line="259" w:lineRule="auto"/>
        <w:rPr>
          <w:sz w:val="20"/>
          <w:szCs w:val="20"/>
          <w:color w:val="auto"/>
        </w:rPr>
      </w:pPr>
      <w:r>
        <w:rPr>
          <w:rFonts w:ascii="Arial" w:cs="Arial" w:eastAsia="Arial" w:hAnsi="Arial"/>
          <w:sz w:val="17"/>
          <w:szCs w:val="17"/>
          <w:color w:val="auto"/>
        </w:rPr>
        <w:t>In February 2021, we entered into a financing arrangement providing the Company with upfront cash proceeds while permitting us to participate in future proceeds on certain claims. The financing obligation has been classified as a non-current liability, which is expected to be settled in a future period of which the principal is contingent and predicated on other events. Consistent with an obligor’s accounting under a debt instrument, period interest will be accreted using an effective interest rate of 25% and until such time that the claims and related obligation is settled. The amount included in interest expense related to this obligation was $1.5 million for the three months ended March 31, 2021.</w:t>
      </w:r>
    </w:p>
    <w:p>
      <w:pPr>
        <w:spacing w:after="0" w:line="14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Ohio Relocation Fees</w:t>
      </w:r>
    </w:p>
    <w:p>
      <w:pPr>
        <w:spacing w:after="0" w:line="191" w:lineRule="exact"/>
        <w:rPr>
          <w:sz w:val="20"/>
          <w:szCs w:val="20"/>
          <w:color w:val="auto"/>
        </w:rPr>
      </w:pPr>
    </w:p>
    <w:p>
      <w:pPr>
        <w:ind w:right="60" w:firstLine="309"/>
        <w:spacing w:after="0" w:line="302" w:lineRule="auto"/>
        <w:rPr>
          <w:sz w:val="20"/>
          <w:szCs w:val="20"/>
          <w:color w:val="auto"/>
        </w:rPr>
      </w:pPr>
      <w:r>
        <w:rPr>
          <w:rFonts w:ascii="Arial" w:cs="Arial" w:eastAsia="Arial" w:hAnsi="Arial"/>
          <w:sz w:val="15"/>
          <w:szCs w:val="15"/>
          <w:color w:val="auto"/>
        </w:rPr>
        <w:t>Other long-term obligations included $60.9 million as of March 31, 2021 and December 31, 2020, related to the relocation fees for Hollywood Gaming at Dayton Raceway (“Dayton”) and Hollywood Gaming at Mahoning Valley Race Course (“Mahoning Valley”), which opened in August 2014 and September 2014, respectively. The relocation fee for each facility is payable as follows: $7.5 million upon the opening of the facilities and eighteen semi-annual payments of $4.8 million beginning one year after the commencement of operations. This obligation is accreted to interest expense at an effective yield of 5.0%. The amount included in interest expense related to this obligation was $0.7 million and $0.9 million for the three months ended March 31, 2021 and 2020, respectively.</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Event Center</w:t>
      </w:r>
    </w:p>
    <w:p>
      <w:pPr>
        <w:spacing w:after="0" w:line="243" w:lineRule="exact"/>
        <w:rPr>
          <w:sz w:val="20"/>
          <w:szCs w:val="20"/>
          <w:color w:val="auto"/>
        </w:rPr>
      </w:pPr>
    </w:p>
    <w:p>
      <w:pPr>
        <w:ind w:right="180" w:firstLine="309"/>
        <w:spacing w:after="0" w:line="279" w:lineRule="auto"/>
        <w:rPr>
          <w:sz w:val="20"/>
          <w:szCs w:val="20"/>
          <w:color w:val="auto"/>
        </w:rPr>
      </w:pPr>
      <w:r>
        <w:rPr>
          <w:rFonts w:ascii="Arial" w:cs="Arial" w:eastAsia="Arial" w:hAnsi="Arial"/>
          <w:sz w:val="16"/>
          <w:szCs w:val="16"/>
          <w:color w:val="auto"/>
        </w:rPr>
        <w:t>As of March 31, 2021 and December 31, 2020, other long-term obligations included $11.4 million and $12.0 million, respectively, related to the repayment obligation of a hotel and event center located less than a mile away from Hollywood Casino Lawrenceburg, which was constructed by the City of Lawrenceburg Department of Redevelopment. Effective in January 2015, by contractual agreement, we assumed a repayment obligation for the hotel and event center in the amount of $15.3 million, which was financed through a loan with the City of Lawrenceburg Department of Redevelopment, in exchange for conveyance of the property. Beginning in January 2016, the Company was obligated to make annual payments on the loan</w:t>
      </w:r>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182245</wp:posOffset>
            </wp:positionV>
            <wp:extent cx="7164070" cy="419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type w:val="continuous"/>
        </w:sectPr>
      </w:pPr>
    </w:p>
    <w:bookmarkStart w:id="18" w:name="page19"/>
    <w:bookmarkEnd w:id="18"/>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339" w:lineRule="exact"/>
        <w:rPr>
          <w:sz w:val="20"/>
          <w:szCs w:val="20"/>
          <w:color w:val="auto"/>
        </w:rPr>
      </w:pPr>
    </w:p>
    <w:p>
      <w:pPr>
        <w:ind w:right="260"/>
        <w:spacing w:after="0" w:line="279" w:lineRule="auto"/>
        <w:rPr>
          <w:sz w:val="20"/>
          <w:szCs w:val="20"/>
          <w:color w:val="auto"/>
        </w:rPr>
      </w:pPr>
      <w:r>
        <w:rPr>
          <w:rFonts w:ascii="Arial" w:cs="Arial" w:eastAsia="Arial" w:hAnsi="Arial"/>
          <w:sz w:val="17"/>
          <w:szCs w:val="17"/>
          <w:color w:val="auto"/>
        </w:rPr>
        <w:t>of $1.0 million for 20 years. This obligation is accreted to interest expense at its effective yield of 3.0%. The amount included in interest expense related to this obligation was $0.1 million for each of the three months ended March 31, 2021 and 2020.</w:t>
      </w: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9—Leases</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Master Leases</w:t>
      </w:r>
    </w:p>
    <w:p>
      <w:pPr>
        <w:spacing w:after="0" w:line="191" w:lineRule="exact"/>
        <w:rPr>
          <w:sz w:val="20"/>
          <w:szCs w:val="20"/>
          <w:color w:val="auto"/>
        </w:rPr>
      </w:pPr>
    </w:p>
    <w:p>
      <w:pPr>
        <w:ind w:right="80" w:firstLine="309"/>
        <w:spacing w:after="0" w:line="302" w:lineRule="auto"/>
        <w:rPr>
          <w:sz w:val="20"/>
          <w:szCs w:val="20"/>
          <w:color w:val="auto"/>
        </w:rPr>
      </w:pPr>
      <w:r>
        <w:rPr>
          <w:rFonts w:ascii="Arial" w:cs="Arial" w:eastAsia="Arial" w:hAnsi="Arial"/>
          <w:sz w:val="15"/>
          <w:szCs w:val="15"/>
          <w:color w:val="auto"/>
        </w:rPr>
        <w:t>The components contained within the Master Leases are accounted for as either (i) operating leases, (ii) finance leases, or (iii) financing obligations. Changes to future lease payments under the Master Leases (i.e., when future escalators become known or future variable rent resets occur), which are discussed below, require the Company to either (i) increase both the ROU assets and corresponding lease liabilities with respect to operating and finance leases or (ii) record the incremental variable payment associated with the financing obligation to interest expense. In addition, monthly rent associated with Hollywood Casino Columbus (“Columbus”) and monthly rent in excess of the Hollywood Casino Toledo (“Toledo”) rent floor, which are discussed below, are considered contingent rent.</w:t>
      </w:r>
    </w:p>
    <w:p>
      <w:pPr>
        <w:spacing w:after="0" w:line="114" w:lineRule="exact"/>
        <w:rPr>
          <w:sz w:val="20"/>
          <w:szCs w:val="20"/>
          <w:color w:val="auto"/>
        </w:rPr>
      </w:pPr>
    </w:p>
    <w:p>
      <w:pPr>
        <w:ind w:right="20" w:firstLine="309"/>
        <w:spacing w:after="0" w:line="299" w:lineRule="auto"/>
        <w:rPr>
          <w:sz w:val="20"/>
          <w:szCs w:val="20"/>
          <w:color w:val="auto"/>
        </w:rPr>
      </w:pPr>
      <w:r>
        <w:rPr>
          <w:rFonts w:ascii="Arial" w:cs="Arial" w:eastAsia="Arial" w:hAnsi="Arial"/>
          <w:sz w:val="15"/>
          <w:szCs w:val="15"/>
          <w:color w:val="auto"/>
        </w:rPr>
        <w:t>Pursuant to a binding term sheet between the Company and GLPI entered into on March 27, 2020, we agreed that, in the future, we would exercise the next scheduled five-year renewal under the Penn Master Lease and the Pinnacle Master Lease. GLPI agreed they would grant us the option to exercise an additional five-year renewal term at the end of the lease term on the Penn Master Lease and the Pinnacle Master Lease, subject to certain conditions. In the future, upon exercising each of these renewal options, the term of the Penn Master Lease would extend to November 30, 2033 and the term of the Pinnacle Master Lease would extend to April 30, 2031. If all renewal options contained within the Penn Master Lease and the Pinnacle Master Lease were exercised, inclusive of these renewal options, the term of the Penn Master Lease would extend to November 30, 2053 and the term of the Pinnacle Master Lease would extend to April 30, 2056.</w:t>
      </w:r>
    </w:p>
    <w:p>
      <w:pPr>
        <w:spacing w:after="0" w:line="11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Penn Master Lease</w:t>
      </w:r>
    </w:p>
    <w:p>
      <w:pPr>
        <w:spacing w:after="0" w:line="191" w:lineRule="exact"/>
        <w:rPr>
          <w:sz w:val="20"/>
          <w:szCs w:val="20"/>
          <w:color w:val="auto"/>
        </w:rPr>
      </w:pPr>
    </w:p>
    <w:p>
      <w:pPr>
        <w:ind w:firstLine="309"/>
        <w:spacing w:after="0" w:line="290" w:lineRule="auto"/>
        <w:rPr>
          <w:sz w:val="20"/>
          <w:szCs w:val="20"/>
          <w:color w:val="auto"/>
        </w:rPr>
      </w:pPr>
      <w:r>
        <w:rPr>
          <w:rFonts w:ascii="Arial" w:cs="Arial" w:eastAsia="Arial" w:hAnsi="Arial"/>
          <w:sz w:val="16"/>
          <w:szCs w:val="16"/>
          <w:color w:val="auto"/>
        </w:rPr>
        <w:t>Pursuant to the triple net master lease with GLPI (the “Penn Master Lease”), which became effective November 1, 2013, the Company leases real estate assets associated with 19 of the gaming facilities used in its operations. The Penn Master Lease has an initial term of 15 years with four subsequent, five-year renewal periods on the same terms and conditions, exercisable at the Company’s option. The Company has determined that the lease term is 35 years.</w:t>
      </w:r>
    </w:p>
    <w:p>
      <w:pPr>
        <w:spacing w:after="0" w:line="119" w:lineRule="exact"/>
        <w:rPr>
          <w:sz w:val="20"/>
          <w:szCs w:val="20"/>
          <w:color w:val="auto"/>
        </w:rPr>
      </w:pPr>
    </w:p>
    <w:p>
      <w:pPr>
        <w:ind w:right="120" w:firstLine="309"/>
        <w:spacing w:after="0" w:line="279" w:lineRule="auto"/>
        <w:rPr>
          <w:sz w:val="20"/>
          <w:szCs w:val="20"/>
          <w:color w:val="auto"/>
        </w:rPr>
      </w:pPr>
      <w:r>
        <w:rPr>
          <w:rFonts w:ascii="Arial" w:cs="Arial" w:eastAsia="Arial" w:hAnsi="Arial"/>
          <w:sz w:val="16"/>
          <w:szCs w:val="16"/>
          <w:color w:val="auto"/>
        </w:rPr>
        <w:t>The payment structure under the Penn Master Lease includes a fixed component, a portion of which is subject to an annual escalator of up to 2%, depending on the Adjusted Revenue to Rent Ratio (as defined in the Penn Master Lease) of 1.8:1, and a component that is based on performance, which is prospectively adjusted (i) every five years by an amount equal to 4% of the average change in net revenues of all properties under the Penn Master Lease (other than Columbus and Toledo) compared to a contractual baseline during the preceding five years (“Penn Percentage Rent”) and (ii) monthly by an amount equal to 20% of the net revenues of Columbus and Toledo in excess of a contractual baseline and subject to a rent floor specific to Toledo.</w:t>
      </w:r>
    </w:p>
    <w:p>
      <w:pPr>
        <w:spacing w:after="0" w:line="130" w:lineRule="exact"/>
        <w:rPr>
          <w:sz w:val="20"/>
          <w:szCs w:val="20"/>
          <w:color w:val="auto"/>
        </w:rPr>
      </w:pPr>
    </w:p>
    <w:p>
      <w:pPr>
        <w:ind w:firstLine="309"/>
        <w:spacing w:after="0" w:line="279" w:lineRule="auto"/>
        <w:rPr>
          <w:sz w:val="20"/>
          <w:szCs w:val="20"/>
          <w:color w:val="auto"/>
        </w:rPr>
      </w:pPr>
      <w:r>
        <w:rPr>
          <w:rFonts w:ascii="Arial" w:cs="Arial" w:eastAsia="Arial" w:hAnsi="Arial"/>
          <w:sz w:val="17"/>
          <w:szCs w:val="17"/>
          <w:color w:val="auto"/>
        </w:rPr>
        <w:t>The next annual escalator test date is scheduled to occur effective November 1, 2021. The next Penn Percentage Rent reset is scheduled to occur on November 1, 2023.</w:t>
      </w:r>
    </w:p>
    <w:p>
      <w:pPr>
        <w:spacing w:after="0" w:line="13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Pinnacle Master Lease</w:t>
      </w:r>
    </w:p>
    <w:p>
      <w:pPr>
        <w:spacing w:after="0" w:line="178" w:lineRule="exact"/>
        <w:rPr>
          <w:sz w:val="20"/>
          <w:szCs w:val="20"/>
          <w:color w:val="auto"/>
        </w:rPr>
      </w:pPr>
    </w:p>
    <w:p>
      <w:pPr>
        <w:ind w:right="40" w:firstLine="309"/>
        <w:spacing w:after="0" w:line="259" w:lineRule="auto"/>
        <w:rPr>
          <w:sz w:val="20"/>
          <w:szCs w:val="20"/>
          <w:color w:val="auto"/>
        </w:rPr>
      </w:pPr>
      <w:r>
        <w:rPr>
          <w:rFonts w:ascii="Arial" w:cs="Arial" w:eastAsia="Arial" w:hAnsi="Arial"/>
          <w:sz w:val="17"/>
          <w:szCs w:val="17"/>
          <w:color w:val="auto"/>
        </w:rPr>
        <w:t>In connection with the acquisition of Pinnacle Entertainment, Inc., on October 15, 2018, the Company assumed a triple net master lease with GLPI (the “Pinnacle Master Lease”), originally effective April 28, 2016, pursuant to which the Company leases real estate assets associated with 12 of the gaming facilities used in its operations. Upon assumption of the Pinnacle Master Lease, as amended, there were 7.5 years remaining of the initial ten-year term, with five subsequent, five-year renewal periods, on the same terms and conditions, exercisable at the Company’s option. The Company has determined that the lease term is 32.5 years.</w:t>
      </w:r>
    </w:p>
    <w:p>
      <w:pPr>
        <w:spacing w:after="0" w:line="144" w:lineRule="exact"/>
        <w:rPr>
          <w:sz w:val="20"/>
          <w:szCs w:val="20"/>
          <w:color w:val="auto"/>
        </w:rPr>
      </w:pPr>
    </w:p>
    <w:p>
      <w:pPr>
        <w:ind w:right="100" w:firstLine="309"/>
        <w:spacing w:after="0" w:line="262" w:lineRule="auto"/>
        <w:rPr>
          <w:sz w:val="20"/>
          <w:szCs w:val="20"/>
          <w:color w:val="auto"/>
        </w:rPr>
      </w:pPr>
      <w:r>
        <w:rPr>
          <w:rFonts w:ascii="Arial" w:cs="Arial" w:eastAsia="Arial" w:hAnsi="Arial"/>
          <w:sz w:val="17"/>
          <w:szCs w:val="17"/>
          <w:color w:val="auto"/>
        </w:rPr>
        <w:t>The payment structure under the Pinnacle Master Lease includes a fixed component, a portion of which is subject to an annual escalator of up to 2%, depending on the Adjusted Revenue to Rent Ratio (as defined in the Pinnacle Master Lease) of 1.8:1, and a component that is based on the performance, which is prospectively adjusted every two years by an amount equal to 4% of the average change in net revenues compared to a contractual baseline during the preceding two years (“Pinnacle Percentage Rent”).</w:t>
      </w:r>
    </w:p>
    <w:p>
      <w:pPr>
        <w:spacing w:after="0" w:line="152" w:lineRule="exact"/>
        <w:rPr>
          <w:sz w:val="20"/>
          <w:szCs w:val="20"/>
          <w:color w:val="auto"/>
        </w:rPr>
      </w:pPr>
    </w:p>
    <w:p>
      <w:pPr>
        <w:ind w:right="400" w:firstLine="309"/>
        <w:spacing w:after="0" w:line="279" w:lineRule="auto"/>
        <w:rPr>
          <w:sz w:val="20"/>
          <w:szCs w:val="20"/>
          <w:color w:val="auto"/>
        </w:rPr>
      </w:pPr>
      <w:r>
        <w:rPr>
          <w:rFonts w:ascii="Arial" w:cs="Arial" w:eastAsia="Arial" w:hAnsi="Arial"/>
          <w:sz w:val="17"/>
          <w:szCs w:val="17"/>
          <w:color w:val="auto"/>
        </w:rPr>
        <w:t>The next annual escalator test date is scheduled to occur effective May 1, 2021. The next Pinnacle Percentage Rent reset is scheduled to occur on May 1, 2022.</w:t>
      </w:r>
    </w:p>
    <w:p>
      <w:pPr>
        <w:spacing w:after="0" w:line="200" w:lineRule="exact"/>
        <w:rPr>
          <w:sz w:val="20"/>
          <w:szCs w:val="20"/>
          <w:color w:val="auto"/>
        </w:rPr>
      </w:pPr>
    </w:p>
    <w:p>
      <w:pPr>
        <w:spacing w:after="0" w:line="28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173990</wp:posOffset>
            </wp:positionV>
            <wp:extent cx="7164070" cy="419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19" w:name="page20"/>
    <w:bookmarkEnd w:id="19"/>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Operating Leases</w:t>
      </w:r>
    </w:p>
    <w:p>
      <w:pPr>
        <w:spacing w:after="0" w:line="178" w:lineRule="exact"/>
        <w:rPr>
          <w:sz w:val="20"/>
          <w:szCs w:val="20"/>
          <w:color w:val="auto"/>
        </w:rPr>
      </w:pPr>
    </w:p>
    <w:p>
      <w:pPr>
        <w:ind w:right="40" w:firstLine="309"/>
        <w:spacing w:after="0" w:line="257" w:lineRule="auto"/>
        <w:rPr>
          <w:sz w:val="20"/>
          <w:szCs w:val="20"/>
          <w:color w:val="auto"/>
        </w:rPr>
      </w:pPr>
      <w:r>
        <w:rPr>
          <w:rFonts w:ascii="Arial" w:cs="Arial" w:eastAsia="Arial" w:hAnsi="Arial"/>
          <w:sz w:val="16"/>
          <w:szCs w:val="16"/>
          <w:color w:val="auto"/>
        </w:rPr>
        <w:t>In addition to the operating lease components contained within the Master Leases (primarily land), the Company’s operating leases consist mainly of (i) individual triple net leases with GLPI for the real estate assets used in the operations of Tropicana Las Vegas (the “Tropicana Lease”) and Meadows Racetrack and Casino (the “Meadows Lease”), (ii) individual triple net leases with VICI for the real estate assets used in the operations of Margaritaville (the “Margaritaville Lease”) and Greektown (the “Greektown Lease” and collectively with the Master Leases operating lease components (primarily the land), the Meadows Lease, the Margaritaville Lease and the Tropicana Lease, the “Triple Net Operating Leases”), (iii) ground and levee leases to landlords which were not assumed by our REIT Landlords and remain an obligation of the Company, and (iv) building and equipment not subject to the Master Leases. Certain of our lease agreements include rental payments based on a percentage of sales over specified contractual amounts, rental payments adjusted periodically for inflation, and rental payments based on usage. The Company’s leases include options to extend the lease terms. The Company’s operating lease agreements do not contain any material residual value guarantees or material restrictive covenants.</w:t>
      </w:r>
    </w:p>
    <w:p>
      <w:pPr>
        <w:spacing w:after="0" w:line="148" w:lineRule="exact"/>
        <w:rPr>
          <w:sz w:val="20"/>
          <w:szCs w:val="20"/>
          <w:color w:val="auto"/>
        </w:rPr>
      </w:pPr>
    </w:p>
    <w:p>
      <w:pPr>
        <w:ind w:right="80" w:firstLine="309"/>
        <w:spacing w:after="0" w:line="262" w:lineRule="auto"/>
        <w:rPr>
          <w:sz w:val="20"/>
          <w:szCs w:val="20"/>
          <w:color w:val="auto"/>
        </w:rPr>
      </w:pPr>
      <w:r>
        <w:rPr>
          <w:rFonts w:ascii="Arial" w:cs="Arial" w:eastAsia="Arial" w:hAnsi="Arial"/>
          <w:sz w:val="17"/>
          <w:szCs w:val="17"/>
          <w:color w:val="auto"/>
        </w:rPr>
        <w:t>On February 1, 2021, the Margaritaville Percentage Rent resulted in an annual rent reduction of $0.1 million, which will be in effect until the next Margaritaville Percentage Rent reset, scheduled to occur on February 1, 2023. Upon reset of the Margaritaville Percentage Rent, effective February 1, 2021, we recognized an additional operating lease ROU asset and corresponding lease liability of $5.5 million. We did not incur an annual escalator for the lease year ended January 31, 2021. The next annual escalator test date is scheduled to occur on February 1, 2022.</w:t>
      </w:r>
    </w:p>
    <w:p>
      <w:pPr>
        <w:spacing w:after="0" w:line="139"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The following is a maturity analysis of our operating leases, finance leases and financing obligations as of March 31, 2021:</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00" w:type="dxa"/>
            <w:vAlign w:val="bottom"/>
            <w:gridSpan w:val="2"/>
            <w:vMerge w:val="restart"/>
          </w:tcPr>
          <w:p>
            <w:pPr>
              <w:spacing w:after="0"/>
              <w:rPr>
                <w:sz w:val="20"/>
                <w:szCs w:val="20"/>
                <w:color w:val="auto"/>
              </w:rPr>
            </w:pPr>
            <w:r>
              <w:rPr>
                <w:rFonts w:ascii="Arial" w:cs="Arial" w:eastAsia="Arial" w:hAnsi="Arial"/>
                <w:sz w:val="17"/>
                <w:szCs w:val="17"/>
                <w:b w:val="1"/>
                <w:bCs w:val="1"/>
                <w:color w:val="auto"/>
              </w:rPr>
              <w:t>Operating Leases</w:t>
            </w:r>
          </w:p>
        </w:tc>
        <w:tc>
          <w:tcPr>
            <w:tcW w:w="160" w:type="dxa"/>
            <w:vAlign w:val="bottom"/>
          </w:tcPr>
          <w:p>
            <w:pPr>
              <w:spacing w:after="0"/>
              <w:rPr>
                <w:sz w:val="16"/>
                <w:szCs w:val="16"/>
                <w:color w:val="auto"/>
              </w:rPr>
            </w:pPr>
          </w:p>
        </w:tc>
        <w:tc>
          <w:tcPr>
            <w:tcW w:w="1460" w:type="dxa"/>
            <w:vAlign w:val="bottom"/>
            <w:gridSpan w:val="2"/>
            <w:vMerge w:val="restart"/>
          </w:tcPr>
          <w:p>
            <w:pPr>
              <w:ind w:left="40"/>
              <w:spacing w:after="0"/>
              <w:rPr>
                <w:sz w:val="20"/>
                <w:szCs w:val="20"/>
                <w:color w:val="auto"/>
              </w:rPr>
            </w:pPr>
            <w:r>
              <w:rPr>
                <w:rFonts w:ascii="Arial" w:cs="Arial" w:eastAsia="Arial" w:hAnsi="Arial"/>
                <w:sz w:val="17"/>
                <w:szCs w:val="17"/>
                <w:b w:val="1"/>
                <w:bCs w:val="1"/>
                <w:color w:val="auto"/>
              </w:rPr>
              <w:t>Finance Leases</w:t>
            </w:r>
          </w:p>
        </w:tc>
        <w:tc>
          <w:tcPr>
            <w:tcW w:w="220" w:type="dxa"/>
            <w:vAlign w:val="bottom"/>
          </w:tcPr>
          <w:p>
            <w:pPr>
              <w:spacing w:after="0"/>
              <w:rPr>
                <w:sz w:val="16"/>
                <w:szCs w:val="16"/>
                <w:color w:val="auto"/>
              </w:rPr>
            </w:pPr>
          </w:p>
        </w:tc>
        <w:tc>
          <w:tcPr>
            <w:tcW w:w="1280" w:type="dxa"/>
            <w:vAlign w:val="bottom"/>
          </w:tcPr>
          <w:p>
            <w:pPr>
              <w:jc w:val="right"/>
              <w:ind w:right="294"/>
              <w:spacing w:after="0"/>
              <w:rPr>
                <w:sz w:val="20"/>
                <w:szCs w:val="20"/>
                <w:color w:val="auto"/>
              </w:rPr>
            </w:pPr>
            <w:r>
              <w:rPr>
                <w:rFonts w:ascii="Arial" w:cs="Arial" w:eastAsia="Arial" w:hAnsi="Arial"/>
                <w:sz w:val="17"/>
                <w:szCs w:val="17"/>
                <w:b w:val="1"/>
                <w:bCs w:val="1"/>
                <w:color w:val="auto"/>
              </w:rPr>
              <w:t>Financing</w:t>
            </w:r>
          </w:p>
        </w:tc>
        <w:tc>
          <w:tcPr>
            <w:tcW w:w="0" w:type="dxa"/>
            <w:vAlign w:val="bottom"/>
          </w:tcPr>
          <w:p>
            <w:pPr>
              <w:spacing w:after="0"/>
              <w:rPr>
                <w:sz w:val="1"/>
                <w:szCs w:val="1"/>
                <w:color w:val="auto"/>
              </w:rPr>
            </w:pPr>
          </w:p>
        </w:tc>
      </w:tr>
      <w:tr>
        <w:trPr>
          <w:trHeight w:val="180"/>
        </w:trPr>
        <w:tc>
          <w:tcPr>
            <w:tcW w:w="6480" w:type="dxa"/>
            <w:vAlign w:val="bottom"/>
            <w:gridSpan w:val="3"/>
          </w:tcPr>
          <w:p>
            <w:pPr>
              <w:ind w:left="20"/>
              <w:spacing w:after="0"/>
              <w:rPr>
                <w:sz w:val="20"/>
                <w:szCs w:val="20"/>
                <w:color w:val="auto"/>
              </w:rPr>
            </w:pPr>
            <w:r>
              <w:rPr>
                <w:rFonts w:ascii="Arial" w:cs="Arial" w:eastAsia="Arial" w:hAnsi="Arial"/>
                <w:sz w:val="14"/>
                <w:szCs w:val="14"/>
                <w:b w:val="1"/>
                <w:bCs w:val="1"/>
                <w:i w:val="1"/>
                <w:iCs w:val="1"/>
                <w:color w:val="auto"/>
              </w:rPr>
              <w:t>(in millions)</w:t>
            </w:r>
          </w:p>
        </w:tc>
        <w:tc>
          <w:tcPr>
            <w:tcW w:w="100" w:type="dxa"/>
            <w:vAlign w:val="bottom"/>
          </w:tcPr>
          <w:p>
            <w:pPr>
              <w:spacing w:after="0"/>
              <w:rPr>
                <w:sz w:val="15"/>
                <w:szCs w:val="15"/>
                <w:color w:val="auto"/>
              </w:rPr>
            </w:pPr>
          </w:p>
        </w:tc>
        <w:tc>
          <w:tcPr>
            <w:tcW w:w="150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1460" w:type="dxa"/>
            <w:vAlign w:val="bottom"/>
            <w:gridSpan w:val="2"/>
            <w:vMerge w:val="continue"/>
          </w:tcPr>
          <w:p>
            <w:pPr>
              <w:spacing w:after="0"/>
              <w:rPr>
                <w:sz w:val="15"/>
                <w:szCs w:val="15"/>
                <w:color w:val="auto"/>
              </w:rPr>
            </w:pPr>
          </w:p>
        </w:tc>
        <w:tc>
          <w:tcPr>
            <w:tcW w:w="220" w:type="dxa"/>
            <w:vAlign w:val="bottom"/>
          </w:tcPr>
          <w:p>
            <w:pPr>
              <w:spacing w:after="0"/>
              <w:rPr>
                <w:sz w:val="15"/>
                <w:szCs w:val="15"/>
                <w:color w:val="auto"/>
              </w:rPr>
            </w:pPr>
          </w:p>
        </w:tc>
        <w:tc>
          <w:tcPr>
            <w:tcW w:w="1280" w:type="dxa"/>
            <w:vAlign w:val="bottom"/>
          </w:tcPr>
          <w:p>
            <w:pPr>
              <w:jc w:val="right"/>
              <w:ind w:right="234"/>
              <w:spacing w:after="0" w:line="180" w:lineRule="exact"/>
              <w:rPr>
                <w:sz w:val="20"/>
                <w:szCs w:val="20"/>
                <w:color w:val="auto"/>
              </w:rPr>
            </w:pPr>
            <w:r>
              <w:rPr>
                <w:rFonts w:ascii="Arial" w:cs="Arial" w:eastAsia="Arial" w:hAnsi="Arial"/>
                <w:sz w:val="17"/>
                <w:szCs w:val="17"/>
                <w:b w:val="1"/>
                <w:bCs w:val="1"/>
                <w:color w:val="auto"/>
              </w:rPr>
              <w:t>Obligations</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700" w:type="dxa"/>
            <w:vAlign w:val="bottom"/>
            <w:tcBorders>
              <w:top w:val="single" w:sz="8" w:color="auto"/>
              <w:bottom w:val="single" w:sz="8" w:color="CCEEFF"/>
            </w:tcBorders>
          </w:tcPr>
          <w:p>
            <w:pPr>
              <w:spacing w:after="0" w:line="20" w:lineRule="exact"/>
              <w:rPr>
                <w:sz w:val="1"/>
                <w:szCs w:val="1"/>
                <w:color w:val="auto"/>
              </w:rPr>
            </w:pPr>
          </w:p>
        </w:tc>
        <w:tc>
          <w:tcPr>
            <w:tcW w:w="57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6480" w:type="dxa"/>
            <w:vAlign w:val="bottom"/>
            <w:gridSpan w:val="3"/>
            <w:shd w:val="clear" w:color="auto" w:fill="CCEEFF"/>
          </w:tcPr>
          <w:p>
            <w:pPr>
              <w:ind w:left="20"/>
              <w:spacing w:after="0"/>
              <w:rPr>
                <w:sz w:val="20"/>
                <w:szCs w:val="20"/>
                <w:color w:val="auto"/>
              </w:rPr>
            </w:pPr>
            <w:r>
              <w:rPr>
                <w:rFonts w:ascii="Arial" w:cs="Arial" w:eastAsia="Arial" w:hAnsi="Arial"/>
                <w:sz w:val="17"/>
                <w:szCs w:val="17"/>
                <w:color w:val="auto"/>
              </w:rPr>
              <w:t>Years ending December 31,</w:t>
            </w:r>
          </w:p>
        </w:tc>
        <w:tc>
          <w:tcPr>
            <w:tcW w:w="10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460" w:type="dxa"/>
            <w:vAlign w:val="bottom"/>
            <w:gridSpan w:val="2"/>
          </w:tcPr>
          <w:p>
            <w:pPr>
              <w:ind w:left="200"/>
              <w:spacing w:after="0"/>
              <w:rPr>
                <w:sz w:val="20"/>
                <w:szCs w:val="20"/>
                <w:color w:val="auto"/>
              </w:rPr>
            </w:pPr>
            <w:r>
              <w:rPr>
                <w:rFonts w:ascii="Arial" w:cs="Arial" w:eastAsia="Arial" w:hAnsi="Arial"/>
                <w:sz w:val="17"/>
                <w:szCs w:val="17"/>
                <w:color w:val="auto"/>
              </w:rPr>
              <w:t>2021 (excluding the three months ended March 31, 2021)</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400" w:type="dxa"/>
            <w:vAlign w:val="bottom"/>
          </w:tcPr>
          <w:p>
            <w:pPr>
              <w:jc w:val="right"/>
              <w:spacing w:after="0"/>
              <w:rPr>
                <w:sz w:val="20"/>
                <w:szCs w:val="20"/>
                <w:color w:val="auto"/>
              </w:rPr>
            </w:pPr>
            <w:r>
              <w:rPr>
                <w:rFonts w:ascii="Arial" w:cs="Arial" w:eastAsia="Arial" w:hAnsi="Arial"/>
                <w:sz w:val="17"/>
                <w:szCs w:val="17"/>
                <w:color w:val="auto"/>
              </w:rPr>
              <w:t>314.1</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360" w:type="dxa"/>
            <w:vAlign w:val="bottom"/>
          </w:tcPr>
          <w:p>
            <w:pPr>
              <w:jc w:val="right"/>
              <w:spacing w:after="0"/>
              <w:rPr>
                <w:sz w:val="20"/>
                <w:szCs w:val="20"/>
                <w:color w:val="auto"/>
              </w:rPr>
            </w:pPr>
            <w:r>
              <w:rPr>
                <w:rFonts w:ascii="Arial" w:cs="Arial" w:eastAsia="Arial" w:hAnsi="Arial"/>
                <w:sz w:val="17"/>
                <w:szCs w:val="17"/>
                <w:color w:val="auto"/>
              </w:rPr>
              <w:t>16.5</w:t>
            </w:r>
          </w:p>
        </w:tc>
        <w:tc>
          <w:tcPr>
            <w:tcW w:w="100" w:type="dxa"/>
            <w:vAlign w:val="bottom"/>
          </w:tcPr>
          <w:p>
            <w:pPr>
              <w:spacing w:after="0"/>
              <w:rPr>
                <w:sz w:val="18"/>
                <w:szCs w:val="18"/>
                <w:color w:val="auto"/>
              </w:rPr>
            </w:pPr>
          </w:p>
        </w:tc>
        <w:tc>
          <w:tcPr>
            <w:tcW w:w="220" w:type="dxa"/>
            <w:vAlign w:val="bottom"/>
          </w:tcPr>
          <w:p>
            <w:pPr>
              <w:jc w:val="right"/>
              <w:ind w:right="34"/>
              <w:spacing w:after="0"/>
              <w:rPr>
                <w:sz w:val="20"/>
                <w:szCs w:val="20"/>
                <w:color w:val="auto"/>
              </w:rPr>
            </w:pPr>
            <w:r>
              <w:rPr>
                <w:rFonts w:ascii="Arial" w:cs="Arial" w:eastAsia="Arial" w:hAnsi="Arial"/>
                <w:sz w:val="17"/>
                <w:szCs w:val="17"/>
                <w:color w:val="auto"/>
                <w:w w:val="84"/>
              </w:rPr>
              <w:t>$</w:t>
            </w:r>
          </w:p>
        </w:tc>
        <w:tc>
          <w:tcPr>
            <w:tcW w:w="1280" w:type="dxa"/>
            <w:vAlign w:val="bottom"/>
          </w:tcPr>
          <w:p>
            <w:pPr>
              <w:jc w:val="right"/>
              <w:spacing w:after="0"/>
              <w:rPr>
                <w:sz w:val="20"/>
                <w:szCs w:val="20"/>
                <w:color w:val="auto"/>
              </w:rPr>
            </w:pPr>
            <w:r>
              <w:rPr>
                <w:rFonts w:ascii="Arial" w:cs="Arial" w:eastAsia="Arial" w:hAnsi="Arial"/>
                <w:sz w:val="17"/>
                <w:szCs w:val="17"/>
                <w:color w:val="auto"/>
              </w:rPr>
              <w:t>277.7</w:t>
            </w:r>
          </w:p>
        </w:tc>
        <w:tc>
          <w:tcPr>
            <w:tcW w:w="0" w:type="dxa"/>
            <w:vAlign w:val="bottom"/>
          </w:tcPr>
          <w:p>
            <w:pPr>
              <w:spacing w:after="0"/>
              <w:rPr>
                <w:sz w:val="1"/>
                <w:szCs w:val="1"/>
                <w:color w:val="auto"/>
              </w:rPr>
            </w:pPr>
          </w:p>
        </w:tc>
      </w:tr>
      <w:tr>
        <w:trPr>
          <w:trHeight w:val="220"/>
        </w:trPr>
        <w:tc>
          <w:tcPr>
            <w:tcW w:w="720" w:type="dxa"/>
            <w:vAlign w:val="bottom"/>
            <w:gridSpan w:val="2"/>
            <w:shd w:val="clear" w:color="auto" w:fill="CCEEFF"/>
          </w:tcPr>
          <w:p>
            <w:pPr>
              <w:ind w:left="220"/>
              <w:spacing w:after="0"/>
              <w:rPr>
                <w:sz w:val="20"/>
                <w:szCs w:val="20"/>
                <w:color w:val="auto"/>
              </w:rPr>
            </w:pPr>
            <w:r>
              <w:rPr>
                <w:rFonts w:ascii="Arial" w:cs="Arial" w:eastAsia="Arial" w:hAnsi="Arial"/>
                <w:sz w:val="17"/>
                <w:szCs w:val="17"/>
                <w:color w:val="auto"/>
              </w:rPr>
              <w:t>2022</w:t>
            </w:r>
          </w:p>
        </w:tc>
        <w:tc>
          <w:tcPr>
            <w:tcW w:w="5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410.3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370.3</w:t>
            </w:r>
          </w:p>
        </w:tc>
        <w:tc>
          <w:tcPr>
            <w:tcW w:w="0" w:type="dxa"/>
            <w:vAlign w:val="bottom"/>
          </w:tcPr>
          <w:p>
            <w:pPr>
              <w:spacing w:after="0"/>
              <w:rPr>
                <w:sz w:val="1"/>
                <w:szCs w:val="1"/>
                <w:color w:val="auto"/>
              </w:rPr>
            </w:pPr>
          </w:p>
        </w:tc>
      </w:tr>
      <w:tr>
        <w:trPr>
          <w:trHeight w:val="218"/>
        </w:trPr>
        <w:tc>
          <w:tcPr>
            <w:tcW w:w="720" w:type="dxa"/>
            <w:vAlign w:val="bottom"/>
            <w:gridSpan w:val="2"/>
          </w:tcPr>
          <w:p>
            <w:pPr>
              <w:ind w:left="220"/>
              <w:spacing w:after="0"/>
              <w:rPr>
                <w:sz w:val="20"/>
                <w:szCs w:val="20"/>
                <w:color w:val="auto"/>
              </w:rPr>
            </w:pPr>
            <w:r>
              <w:rPr>
                <w:rFonts w:ascii="Arial" w:cs="Arial" w:eastAsia="Arial" w:hAnsi="Arial"/>
                <w:sz w:val="17"/>
                <w:szCs w:val="17"/>
                <w:color w:val="auto"/>
              </w:rPr>
              <w:t>2023</w:t>
            </w:r>
          </w:p>
        </w:tc>
        <w:tc>
          <w:tcPr>
            <w:tcW w:w="5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7"/>
                <w:szCs w:val="17"/>
                <w:color w:val="auto"/>
              </w:rPr>
              <w:t>400.2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20.8</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370.4</w:t>
            </w:r>
          </w:p>
        </w:tc>
        <w:tc>
          <w:tcPr>
            <w:tcW w:w="0" w:type="dxa"/>
            <w:vAlign w:val="bottom"/>
          </w:tcPr>
          <w:p>
            <w:pPr>
              <w:spacing w:after="0"/>
              <w:rPr>
                <w:sz w:val="1"/>
                <w:szCs w:val="1"/>
                <w:color w:val="auto"/>
              </w:rPr>
            </w:pPr>
          </w:p>
        </w:tc>
      </w:tr>
      <w:tr>
        <w:trPr>
          <w:trHeight w:val="220"/>
        </w:trPr>
        <w:tc>
          <w:tcPr>
            <w:tcW w:w="720" w:type="dxa"/>
            <w:vAlign w:val="bottom"/>
            <w:gridSpan w:val="2"/>
            <w:shd w:val="clear" w:color="auto" w:fill="CCEEFF"/>
          </w:tcPr>
          <w:p>
            <w:pPr>
              <w:ind w:left="220"/>
              <w:spacing w:after="0"/>
              <w:rPr>
                <w:sz w:val="20"/>
                <w:szCs w:val="20"/>
                <w:color w:val="auto"/>
              </w:rPr>
            </w:pPr>
            <w:r>
              <w:rPr>
                <w:rFonts w:ascii="Arial" w:cs="Arial" w:eastAsia="Arial" w:hAnsi="Arial"/>
                <w:sz w:val="17"/>
                <w:szCs w:val="17"/>
                <w:color w:val="auto"/>
              </w:rPr>
              <w:t>2024</w:t>
            </w:r>
          </w:p>
        </w:tc>
        <w:tc>
          <w:tcPr>
            <w:tcW w:w="5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383.7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370.4</w:t>
            </w:r>
          </w:p>
        </w:tc>
        <w:tc>
          <w:tcPr>
            <w:tcW w:w="0" w:type="dxa"/>
            <w:vAlign w:val="bottom"/>
          </w:tcPr>
          <w:p>
            <w:pPr>
              <w:spacing w:after="0"/>
              <w:rPr>
                <w:sz w:val="1"/>
                <w:szCs w:val="1"/>
                <w:color w:val="auto"/>
              </w:rPr>
            </w:pPr>
          </w:p>
        </w:tc>
      </w:tr>
      <w:tr>
        <w:trPr>
          <w:trHeight w:val="218"/>
        </w:trPr>
        <w:tc>
          <w:tcPr>
            <w:tcW w:w="720" w:type="dxa"/>
            <w:vAlign w:val="bottom"/>
            <w:gridSpan w:val="2"/>
          </w:tcPr>
          <w:p>
            <w:pPr>
              <w:ind w:left="220"/>
              <w:spacing w:after="0"/>
              <w:rPr>
                <w:sz w:val="20"/>
                <w:szCs w:val="20"/>
                <w:color w:val="auto"/>
              </w:rPr>
            </w:pPr>
            <w:r>
              <w:rPr>
                <w:rFonts w:ascii="Arial" w:cs="Arial" w:eastAsia="Arial" w:hAnsi="Arial"/>
                <w:sz w:val="17"/>
                <w:szCs w:val="17"/>
                <w:color w:val="auto"/>
              </w:rPr>
              <w:t>2025</w:t>
            </w:r>
          </w:p>
        </w:tc>
        <w:tc>
          <w:tcPr>
            <w:tcW w:w="5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7"/>
                <w:szCs w:val="17"/>
                <w:color w:val="auto"/>
              </w:rPr>
              <w:t>380.7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16.7</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370.5</w:t>
            </w:r>
          </w:p>
        </w:tc>
        <w:tc>
          <w:tcPr>
            <w:tcW w:w="0" w:type="dxa"/>
            <w:vAlign w:val="bottom"/>
          </w:tcPr>
          <w:p>
            <w:pPr>
              <w:spacing w:after="0"/>
              <w:rPr>
                <w:sz w:val="1"/>
                <w:szCs w:val="1"/>
                <w:color w:val="auto"/>
              </w:rPr>
            </w:pPr>
          </w:p>
        </w:tc>
      </w:tr>
      <w:tr>
        <w:trPr>
          <w:trHeight w:val="220"/>
        </w:trPr>
        <w:tc>
          <w:tcPr>
            <w:tcW w:w="20" w:type="dxa"/>
            <w:vAlign w:val="bottom"/>
            <w:shd w:val="clear" w:color="auto" w:fill="CCEEFF"/>
          </w:tcPr>
          <w:p>
            <w:pPr>
              <w:spacing w:after="0"/>
              <w:rPr>
                <w:sz w:val="19"/>
                <w:szCs w:val="19"/>
                <w:color w:val="auto"/>
              </w:rPr>
            </w:pPr>
          </w:p>
        </w:tc>
        <w:tc>
          <w:tcPr>
            <w:tcW w:w="6460" w:type="dxa"/>
            <w:vAlign w:val="bottom"/>
            <w:gridSpan w:val="2"/>
            <w:shd w:val="clear" w:color="auto" w:fill="CCEEFF"/>
          </w:tcPr>
          <w:p>
            <w:pPr>
              <w:ind w:left="200"/>
              <w:spacing w:after="0"/>
              <w:rPr>
                <w:sz w:val="20"/>
                <w:szCs w:val="20"/>
                <w:color w:val="auto"/>
              </w:rPr>
            </w:pPr>
            <w:r>
              <w:rPr>
                <w:rFonts w:ascii="Arial" w:cs="Arial" w:eastAsia="Arial" w:hAnsi="Arial"/>
                <w:sz w:val="17"/>
                <w:szCs w:val="17"/>
                <w:color w:val="auto"/>
              </w:rPr>
              <w:t>Thereafter</w:t>
            </w:r>
          </w:p>
        </w:tc>
        <w:tc>
          <w:tcPr>
            <w:tcW w:w="10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7,791.1</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376.7</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9,094.5</w:t>
            </w:r>
          </w:p>
        </w:tc>
        <w:tc>
          <w:tcPr>
            <w:tcW w:w="0" w:type="dxa"/>
            <w:vAlign w:val="bottom"/>
          </w:tcPr>
          <w:p>
            <w:pPr>
              <w:spacing w:after="0"/>
              <w:rPr>
                <w:sz w:val="1"/>
                <w:szCs w:val="1"/>
                <w:color w:val="auto"/>
              </w:rPr>
            </w:pPr>
          </w:p>
        </w:tc>
      </w:tr>
      <w:tr>
        <w:trPr>
          <w:trHeight w:val="211"/>
        </w:trPr>
        <w:tc>
          <w:tcPr>
            <w:tcW w:w="6480" w:type="dxa"/>
            <w:vAlign w:val="bottom"/>
            <w:gridSpan w:val="3"/>
          </w:tcPr>
          <w:p>
            <w:pPr>
              <w:ind w:left="20"/>
              <w:spacing w:after="0"/>
              <w:rPr>
                <w:sz w:val="20"/>
                <w:szCs w:val="20"/>
                <w:color w:val="auto"/>
              </w:rPr>
            </w:pPr>
            <w:r>
              <w:rPr>
                <w:rFonts w:ascii="Arial" w:cs="Arial" w:eastAsia="Arial" w:hAnsi="Arial"/>
                <w:sz w:val="17"/>
                <w:szCs w:val="17"/>
                <w:color w:val="auto"/>
              </w:rPr>
              <w:t>Total lease payments</w:t>
            </w:r>
          </w:p>
        </w:tc>
        <w:tc>
          <w:tcPr>
            <w:tcW w:w="1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7"/>
                <w:szCs w:val="17"/>
                <w:color w:val="auto"/>
              </w:rPr>
              <w:t>9,680.1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469.0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10,853.8</w:t>
            </w:r>
          </w:p>
        </w:tc>
        <w:tc>
          <w:tcPr>
            <w:tcW w:w="0" w:type="dxa"/>
            <w:vAlign w:val="bottom"/>
          </w:tcPr>
          <w:p>
            <w:pPr>
              <w:spacing w:after="0"/>
              <w:rPr>
                <w:sz w:val="1"/>
                <w:szCs w:val="1"/>
                <w:color w:val="auto"/>
              </w:rPr>
            </w:pPr>
          </w:p>
        </w:tc>
      </w:tr>
      <w:tr>
        <w:trPr>
          <w:trHeight w:val="220"/>
        </w:trPr>
        <w:tc>
          <w:tcPr>
            <w:tcW w:w="6480" w:type="dxa"/>
            <w:vAlign w:val="bottom"/>
            <w:gridSpan w:val="3"/>
            <w:shd w:val="clear" w:color="auto" w:fill="CCEEFF"/>
          </w:tcPr>
          <w:p>
            <w:pPr>
              <w:ind w:left="20"/>
              <w:spacing w:after="0"/>
              <w:rPr>
                <w:sz w:val="20"/>
                <w:szCs w:val="20"/>
                <w:color w:val="auto"/>
              </w:rPr>
            </w:pPr>
            <w:r>
              <w:rPr>
                <w:rFonts w:ascii="Arial" w:cs="Arial" w:eastAsia="Arial" w:hAnsi="Arial"/>
                <w:sz w:val="17"/>
                <w:szCs w:val="17"/>
                <w:color w:val="auto"/>
              </w:rPr>
              <w:t>Less: Imputed interest</w:t>
            </w:r>
          </w:p>
        </w:tc>
        <w:tc>
          <w:tcPr>
            <w:tcW w:w="10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(5,212.4)</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(251.3)</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(6,730.1)</w:t>
            </w:r>
          </w:p>
        </w:tc>
        <w:tc>
          <w:tcPr>
            <w:tcW w:w="0" w:type="dxa"/>
            <w:vAlign w:val="bottom"/>
          </w:tcPr>
          <w:p>
            <w:pPr>
              <w:spacing w:after="0"/>
              <w:rPr>
                <w:sz w:val="1"/>
                <w:szCs w:val="1"/>
                <w:color w:val="auto"/>
              </w:rPr>
            </w:pPr>
          </w:p>
        </w:tc>
      </w:tr>
      <w:tr>
        <w:trPr>
          <w:trHeight w:val="211"/>
        </w:trPr>
        <w:tc>
          <w:tcPr>
            <w:tcW w:w="6480" w:type="dxa"/>
            <w:vAlign w:val="bottom"/>
            <w:gridSpan w:val="3"/>
          </w:tcPr>
          <w:p>
            <w:pPr>
              <w:ind w:left="20"/>
              <w:spacing w:after="0"/>
              <w:rPr>
                <w:sz w:val="20"/>
                <w:szCs w:val="20"/>
                <w:color w:val="auto"/>
              </w:rPr>
            </w:pPr>
            <w:r>
              <w:rPr>
                <w:rFonts w:ascii="Arial" w:cs="Arial" w:eastAsia="Arial" w:hAnsi="Arial"/>
                <w:sz w:val="17"/>
                <w:szCs w:val="17"/>
                <w:color w:val="auto"/>
              </w:rPr>
              <w:t>Present value of future lease payments</w:t>
            </w:r>
          </w:p>
        </w:tc>
        <w:tc>
          <w:tcPr>
            <w:tcW w:w="1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7"/>
                <w:szCs w:val="17"/>
                <w:color w:val="auto"/>
              </w:rPr>
              <w:t>4,467.7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217.7</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4,123.7</w:t>
            </w:r>
          </w:p>
        </w:tc>
        <w:tc>
          <w:tcPr>
            <w:tcW w:w="0" w:type="dxa"/>
            <w:vAlign w:val="bottom"/>
          </w:tcPr>
          <w:p>
            <w:pPr>
              <w:spacing w:after="0"/>
              <w:rPr>
                <w:sz w:val="1"/>
                <w:szCs w:val="1"/>
                <w:color w:val="auto"/>
              </w:rPr>
            </w:pPr>
          </w:p>
        </w:tc>
      </w:tr>
      <w:tr>
        <w:trPr>
          <w:trHeight w:val="219"/>
        </w:trPr>
        <w:tc>
          <w:tcPr>
            <w:tcW w:w="6480" w:type="dxa"/>
            <w:vAlign w:val="bottom"/>
            <w:gridSpan w:val="3"/>
            <w:shd w:val="clear" w:color="auto" w:fill="CCEEFF"/>
          </w:tcPr>
          <w:p>
            <w:pPr>
              <w:ind w:left="20"/>
              <w:spacing w:after="0"/>
              <w:rPr>
                <w:sz w:val="20"/>
                <w:szCs w:val="20"/>
                <w:color w:val="auto"/>
              </w:rPr>
            </w:pPr>
            <w:r>
              <w:rPr>
                <w:rFonts w:ascii="Arial" w:cs="Arial" w:eastAsia="Arial" w:hAnsi="Arial"/>
                <w:sz w:val="17"/>
                <w:szCs w:val="17"/>
                <w:color w:val="auto"/>
              </w:rPr>
              <w:t>Less: Current portion of lease obligations</w:t>
            </w:r>
          </w:p>
        </w:tc>
        <w:tc>
          <w:tcPr>
            <w:tcW w:w="10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(130.7)</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(7.0)</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(36.7)</w:t>
            </w:r>
          </w:p>
        </w:tc>
        <w:tc>
          <w:tcPr>
            <w:tcW w:w="0" w:type="dxa"/>
            <w:vAlign w:val="bottom"/>
          </w:tcPr>
          <w:p>
            <w:pPr>
              <w:spacing w:after="0"/>
              <w:rPr>
                <w:sz w:val="1"/>
                <w:szCs w:val="1"/>
                <w:color w:val="auto"/>
              </w:rPr>
            </w:pPr>
          </w:p>
        </w:tc>
      </w:tr>
      <w:tr>
        <w:trPr>
          <w:trHeight w:val="213"/>
        </w:trPr>
        <w:tc>
          <w:tcPr>
            <w:tcW w:w="6480" w:type="dxa"/>
            <w:vAlign w:val="bottom"/>
            <w:gridSpan w:val="3"/>
          </w:tcPr>
          <w:p>
            <w:pPr>
              <w:ind w:left="20"/>
              <w:spacing w:after="0"/>
              <w:rPr>
                <w:sz w:val="20"/>
                <w:szCs w:val="20"/>
                <w:color w:val="auto"/>
              </w:rPr>
            </w:pPr>
            <w:r>
              <w:rPr>
                <w:rFonts w:ascii="Arial" w:cs="Arial" w:eastAsia="Arial" w:hAnsi="Arial"/>
                <w:sz w:val="17"/>
                <w:szCs w:val="17"/>
                <w:color w:val="auto"/>
              </w:rPr>
              <w:t>Long-term portion of lease obligations</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4,337.0</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210.7</w:t>
            </w: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34"/>
              <w:spacing w:after="0"/>
              <w:rPr>
                <w:sz w:val="20"/>
                <w:szCs w:val="20"/>
                <w:color w:val="auto"/>
              </w:rPr>
            </w:pPr>
            <w:r>
              <w:rPr>
                <w:rFonts w:ascii="Arial" w:cs="Arial" w:eastAsia="Arial" w:hAnsi="Arial"/>
                <w:sz w:val="17"/>
                <w:szCs w:val="17"/>
                <w:color w:val="auto"/>
                <w:w w:val="84"/>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4,087.0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7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5"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Total payments made under the Triple Net Leases were as follows:</w:t>
      </w:r>
    </w:p>
    <w:p>
      <w:pPr>
        <w:spacing w:after="0" w:line="211" w:lineRule="exact"/>
        <w:rPr>
          <w:sz w:val="20"/>
          <w:szCs w:val="20"/>
          <w:color w:val="auto"/>
        </w:rPr>
      </w:pPr>
    </w:p>
    <w:p>
      <w:pPr>
        <w:ind w:left="8260"/>
        <w:spacing w:after="0"/>
        <w:rPr>
          <w:sz w:val="20"/>
          <w:szCs w:val="20"/>
          <w:color w:val="auto"/>
        </w:rPr>
      </w:pPr>
      <w:r>
        <w:rPr>
          <w:rFonts w:ascii="Arial" w:cs="Arial" w:eastAsia="Arial" w:hAnsi="Arial"/>
          <w:sz w:val="16"/>
          <w:szCs w:val="16"/>
          <w:b w:val="1"/>
          <w:bCs w:val="1"/>
          <w:color w:val="auto"/>
        </w:rPr>
        <w:t>For the three months ended March 31,</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8100" w:type="dxa"/>
            <w:vAlign w:val="bottom"/>
            <w:gridSpan w:val="3"/>
          </w:tcPr>
          <w:p>
            <w:pPr>
              <w:ind w:left="20"/>
              <w:spacing w:after="0"/>
              <w:rPr>
                <w:sz w:val="20"/>
                <w:szCs w:val="20"/>
                <w:color w:val="auto"/>
              </w:rPr>
            </w:pPr>
            <w:r>
              <w:rPr>
                <w:rFonts w:ascii="Arial" w:cs="Arial" w:eastAsia="Arial" w:hAnsi="Arial"/>
                <w:sz w:val="14"/>
                <w:szCs w:val="14"/>
                <w:b w:val="1"/>
                <w:bCs w:val="1"/>
                <w:i w:val="1"/>
                <w:iCs w:val="1"/>
                <w:color w:val="auto"/>
              </w:rPr>
              <w:t>(in millions)</w:t>
            </w:r>
          </w:p>
        </w:tc>
        <w:tc>
          <w:tcPr>
            <w:tcW w:w="340" w:type="dxa"/>
            <w:vAlign w:val="bottom"/>
            <w:tcBorders>
              <w:top w:val="single" w:sz="8" w:color="auto"/>
            </w:tcBorders>
          </w:tcPr>
          <w:p>
            <w:pPr>
              <w:spacing w:after="0"/>
              <w:rPr>
                <w:sz w:val="15"/>
                <w:szCs w:val="15"/>
                <w:color w:val="auto"/>
              </w:rPr>
            </w:pPr>
          </w:p>
        </w:tc>
        <w:tc>
          <w:tcPr>
            <w:tcW w:w="1180" w:type="dxa"/>
            <w:vAlign w:val="bottom"/>
            <w:tcBorders>
              <w:top w:val="single" w:sz="8" w:color="auto"/>
            </w:tcBorders>
          </w:tcPr>
          <w:p>
            <w:pPr>
              <w:jc w:val="right"/>
              <w:ind w:right="494"/>
              <w:spacing w:after="0" w:line="175" w:lineRule="exact"/>
              <w:rPr>
                <w:sz w:val="20"/>
                <w:szCs w:val="20"/>
                <w:color w:val="auto"/>
              </w:rPr>
            </w:pPr>
            <w:r>
              <w:rPr>
                <w:rFonts w:ascii="Arial" w:cs="Arial" w:eastAsia="Arial" w:hAnsi="Arial"/>
                <w:sz w:val="17"/>
                <w:szCs w:val="17"/>
                <w:b w:val="1"/>
                <w:bCs w:val="1"/>
                <w:color w:val="auto"/>
              </w:rPr>
              <w:t>2021</w:t>
            </w:r>
          </w:p>
        </w:tc>
        <w:tc>
          <w:tcPr>
            <w:tcW w:w="100" w:type="dxa"/>
            <w:vAlign w:val="bottom"/>
            <w:tcBorders>
              <w:top w:val="single" w:sz="8" w:color="auto"/>
            </w:tcBorders>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1180" w:type="dxa"/>
            <w:vAlign w:val="bottom"/>
            <w:tcBorders>
              <w:top w:val="single" w:sz="8" w:color="auto"/>
            </w:tcBorders>
          </w:tcPr>
          <w:p>
            <w:pPr>
              <w:jc w:val="right"/>
              <w:ind w:right="494"/>
              <w:spacing w:after="0" w:line="175" w:lineRule="exact"/>
              <w:rPr>
                <w:sz w:val="20"/>
                <w:szCs w:val="20"/>
                <w:color w:val="auto"/>
              </w:rPr>
            </w:pPr>
            <w:r>
              <w:rPr>
                <w:rFonts w:ascii="Arial" w:cs="Arial" w:eastAsia="Arial" w:hAnsi="Arial"/>
                <w:sz w:val="17"/>
                <w:szCs w:val="17"/>
                <w:b w:val="1"/>
                <w:bCs w:val="1"/>
                <w:color w:val="auto"/>
              </w:rPr>
              <w:t>2020</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700" w:type="dxa"/>
            <w:vAlign w:val="bottom"/>
            <w:tcBorders>
              <w:top w:val="single" w:sz="8" w:color="auto"/>
              <w:bottom w:val="single" w:sz="8" w:color="CCEEFF"/>
            </w:tcBorders>
          </w:tcPr>
          <w:p>
            <w:pPr>
              <w:spacing w:after="0" w:line="20" w:lineRule="exact"/>
              <w:rPr>
                <w:sz w:val="1"/>
                <w:szCs w:val="1"/>
                <w:color w:val="auto"/>
              </w:rPr>
            </w:pPr>
          </w:p>
        </w:tc>
        <w:tc>
          <w:tcPr>
            <w:tcW w:w="73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211"/>
        </w:trPr>
        <w:tc>
          <w:tcPr>
            <w:tcW w:w="8100" w:type="dxa"/>
            <w:vAlign w:val="bottom"/>
            <w:gridSpan w:val="3"/>
            <w:shd w:val="clear" w:color="auto" w:fill="CCEEFF"/>
          </w:tcPr>
          <w:p>
            <w:pPr>
              <w:ind w:left="20"/>
              <w:spacing w:after="0"/>
              <w:rPr>
                <w:sz w:val="20"/>
                <w:szCs w:val="20"/>
                <w:color w:val="auto"/>
              </w:rPr>
            </w:pPr>
            <w:r>
              <w:rPr>
                <w:rFonts w:ascii="Arial" w:cs="Arial" w:eastAsia="Arial" w:hAnsi="Arial"/>
                <w:sz w:val="17"/>
                <w:szCs w:val="17"/>
                <w:color w:val="auto"/>
              </w:rPr>
              <w:t>Penn Master Lease</w:t>
            </w:r>
          </w:p>
        </w:tc>
        <w:tc>
          <w:tcPr>
            <w:tcW w:w="340" w:type="dxa"/>
            <w:vAlign w:val="bottom"/>
            <w:shd w:val="clear" w:color="auto" w:fill="CCEEFF"/>
          </w:tcPr>
          <w:p>
            <w:pPr>
              <w:jc w:val="right"/>
              <w:ind w:right="154"/>
              <w:spacing w:after="0"/>
              <w:rPr>
                <w:sz w:val="20"/>
                <w:szCs w:val="20"/>
                <w:color w:val="auto"/>
              </w:rPr>
            </w:pPr>
            <w:r>
              <w:rPr>
                <w:rFonts w:ascii="Arial" w:cs="Arial" w:eastAsia="Arial" w:hAnsi="Arial"/>
                <w:sz w:val="17"/>
                <w:szCs w:val="17"/>
                <w:color w:val="auto"/>
                <w:w w:val="84"/>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117.9</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4"/>
              <w:spacing w:after="0"/>
              <w:rPr>
                <w:sz w:val="20"/>
                <w:szCs w:val="20"/>
                <w:color w:val="auto"/>
              </w:rPr>
            </w:pPr>
            <w:r>
              <w:rPr>
                <w:rFonts w:ascii="Arial" w:cs="Arial" w:eastAsia="Arial" w:hAnsi="Arial"/>
                <w:sz w:val="17"/>
                <w:szCs w:val="17"/>
                <w:color w:val="auto"/>
                <w:w w:val="84"/>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114.8</w:t>
            </w:r>
          </w:p>
        </w:tc>
      </w:tr>
      <w:tr>
        <w:trPr>
          <w:trHeight w:val="218"/>
        </w:trPr>
        <w:tc>
          <w:tcPr>
            <w:tcW w:w="8100" w:type="dxa"/>
            <w:vAlign w:val="bottom"/>
            <w:gridSpan w:val="3"/>
          </w:tcPr>
          <w:p>
            <w:pPr>
              <w:ind w:left="20"/>
              <w:spacing w:after="0"/>
              <w:rPr>
                <w:sz w:val="20"/>
                <w:szCs w:val="20"/>
                <w:color w:val="auto"/>
              </w:rPr>
            </w:pPr>
            <w:r>
              <w:rPr>
                <w:rFonts w:ascii="Arial" w:cs="Arial" w:eastAsia="Arial" w:hAnsi="Arial"/>
                <w:sz w:val="17"/>
                <w:szCs w:val="17"/>
                <w:color w:val="auto"/>
              </w:rPr>
              <w:t>Pinnacle Master Lease</w:t>
            </w: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81.3</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82.5</w:t>
            </w:r>
          </w:p>
        </w:tc>
      </w:tr>
      <w:tr>
        <w:trPr>
          <w:trHeight w:val="220"/>
        </w:trPr>
        <w:tc>
          <w:tcPr>
            <w:tcW w:w="8100" w:type="dxa"/>
            <w:vAlign w:val="bottom"/>
            <w:gridSpan w:val="3"/>
            <w:shd w:val="clear" w:color="auto" w:fill="CCEEFF"/>
          </w:tcPr>
          <w:p>
            <w:pPr>
              <w:ind w:left="20"/>
              <w:spacing w:after="0"/>
              <w:rPr>
                <w:sz w:val="20"/>
                <w:szCs w:val="20"/>
                <w:color w:val="auto"/>
              </w:rPr>
            </w:pPr>
            <w:r>
              <w:rPr>
                <w:rFonts w:ascii="Arial" w:cs="Arial" w:eastAsia="Arial" w:hAnsi="Arial"/>
                <w:sz w:val="17"/>
                <w:szCs w:val="17"/>
                <w:color w:val="auto"/>
              </w:rPr>
              <w:t>Meadows Lease</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6.7</w:t>
            </w:r>
          </w:p>
        </w:tc>
      </w:tr>
      <w:tr>
        <w:trPr>
          <w:trHeight w:val="218"/>
        </w:trPr>
        <w:tc>
          <w:tcPr>
            <w:tcW w:w="8100" w:type="dxa"/>
            <w:vAlign w:val="bottom"/>
            <w:gridSpan w:val="3"/>
          </w:tcPr>
          <w:p>
            <w:pPr>
              <w:ind w:left="20"/>
              <w:spacing w:after="0"/>
              <w:rPr>
                <w:sz w:val="20"/>
                <w:szCs w:val="20"/>
                <w:color w:val="auto"/>
              </w:rPr>
            </w:pPr>
            <w:r>
              <w:rPr>
                <w:rFonts w:ascii="Arial" w:cs="Arial" w:eastAsia="Arial" w:hAnsi="Arial"/>
                <w:sz w:val="17"/>
                <w:szCs w:val="17"/>
                <w:color w:val="auto"/>
              </w:rPr>
              <w:t>Margaritaville Lease</w:t>
            </w: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5.9</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5.9</w:t>
            </w:r>
          </w:p>
        </w:tc>
      </w:tr>
      <w:tr>
        <w:trPr>
          <w:trHeight w:val="220"/>
        </w:trPr>
        <w:tc>
          <w:tcPr>
            <w:tcW w:w="8100" w:type="dxa"/>
            <w:vAlign w:val="bottom"/>
            <w:gridSpan w:val="3"/>
            <w:shd w:val="clear" w:color="auto" w:fill="CCEEFF"/>
          </w:tcPr>
          <w:p>
            <w:pPr>
              <w:ind w:left="20"/>
              <w:spacing w:after="0"/>
              <w:rPr>
                <w:sz w:val="20"/>
                <w:szCs w:val="20"/>
                <w:color w:val="auto"/>
              </w:rPr>
            </w:pPr>
            <w:r>
              <w:rPr>
                <w:rFonts w:ascii="Arial" w:cs="Arial" w:eastAsia="Arial" w:hAnsi="Arial"/>
                <w:sz w:val="17"/>
                <w:szCs w:val="17"/>
                <w:color w:val="auto"/>
              </w:rPr>
              <w:t>Greektown Lease</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13.9</w:t>
            </w:r>
          </w:p>
        </w:tc>
      </w:tr>
      <w:tr>
        <w:trPr>
          <w:trHeight w:val="218"/>
        </w:trPr>
        <w:tc>
          <w:tcPr>
            <w:tcW w:w="8100" w:type="dxa"/>
            <w:vAlign w:val="bottom"/>
            <w:tcBorders>
              <w:bottom w:val="single" w:sz="8" w:color="CCEEFF"/>
            </w:tcBorders>
            <w:gridSpan w:val="3"/>
          </w:tcPr>
          <w:p>
            <w:pPr>
              <w:ind w:left="20"/>
              <w:spacing w:after="0"/>
              <w:rPr>
                <w:sz w:val="20"/>
                <w:szCs w:val="20"/>
                <w:color w:val="auto"/>
              </w:rPr>
            </w:pPr>
            <w:r>
              <w:rPr>
                <w:rFonts w:ascii="Arial" w:cs="Arial" w:eastAsia="Arial" w:hAnsi="Arial"/>
                <w:sz w:val="17"/>
                <w:szCs w:val="17"/>
                <w:color w:val="auto"/>
              </w:rPr>
              <w:t>Morgantown Lease</w:t>
            </w: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0.8</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r>
      <w:tr>
        <w:trPr>
          <w:trHeight w:val="238"/>
        </w:trPr>
        <w:tc>
          <w:tcPr>
            <w:tcW w:w="8100" w:type="dxa"/>
            <w:vAlign w:val="bottom"/>
            <w:tcBorders>
              <w:bottom w:val="single" w:sz="8" w:color="CCEEFF"/>
            </w:tcBorders>
            <w:gridSpan w:val="3"/>
            <w:shd w:val="clear" w:color="auto" w:fill="CCEEFF"/>
          </w:tcPr>
          <w:p>
            <w:pPr>
              <w:ind w:left="20"/>
              <w:spacing w:after="0" w:line="212" w:lineRule="exact"/>
              <w:rPr>
                <w:sz w:val="20"/>
                <w:szCs w:val="20"/>
                <w:color w:val="auto"/>
              </w:rPr>
            </w:pPr>
            <w:r>
              <w:rPr>
                <w:rFonts w:ascii="Arial" w:cs="Arial" w:eastAsia="Arial" w:hAnsi="Arial"/>
                <w:sz w:val="17"/>
                <w:szCs w:val="17"/>
                <w:color w:val="auto"/>
              </w:rPr>
              <w:t xml:space="preserve">Total </w:t>
            </w:r>
            <w:r>
              <w:rPr>
                <w:rFonts w:ascii="Arial" w:cs="Arial" w:eastAsia="Arial" w:hAnsi="Arial"/>
                <w:sz w:val="22"/>
                <w:szCs w:val="22"/>
                <w:color w:val="auto"/>
                <w:vertAlign w:val="superscript"/>
              </w:rPr>
              <w:t>(1)</w:t>
            </w:r>
          </w:p>
        </w:tc>
        <w:tc>
          <w:tcPr>
            <w:tcW w:w="340" w:type="dxa"/>
            <w:vAlign w:val="bottom"/>
            <w:tcBorders>
              <w:bottom w:val="single" w:sz="8" w:color="auto"/>
            </w:tcBorders>
            <w:shd w:val="clear" w:color="auto" w:fill="CCEEFF"/>
          </w:tcPr>
          <w:p>
            <w:pPr>
              <w:jc w:val="right"/>
              <w:ind w:right="154"/>
              <w:spacing w:after="0"/>
              <w:rPr>
                <w:sz w:val="20"/>
                <w:szCs w:val="20"/>
                <w:color w:val="auto"/>
              </w:rPr>
            </w:pPr>
            <w:r>
              <w:rPr>
                <w:rFonts w:ascii="Arial" w:cs="Arial" w:eastAsia="Arial" w:hAnsi="Arial"/>
                <w:sz w:val="17"/>
                <w:szCs w:val="17"/>
                <w:color w:val="auto"/>
                <w:w w:val="84"/>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226.0</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4"/>
              <w:spacing w:after="0"/>
              <w:rPr>
                <w:sz w:val="20"/>
                <w:szCs w:val="20"/>
                <w:color w:val="auto"/>
              </w:rPr>
            </w:pPr>
            <w:r>
              <w:rPr>
                <w:rFonts w:ascii="Arial" w:cs="Arial" w:eastAsia="Arial" w:hAnsi="Arial"/>
                <w:sz w:val="17"/>
                <w:szCs w:val="17"/>
                <w:color w:val="auto"/>
                <w:w w:val="84"/>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223.8</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73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239" w:lineRule="exact"/>
        <w:rPr>
          <w:sz w:val="20"/>
          <w:szCs w:val="20"/>
          <w:color w:val="auto"/>
        </w:rPr>
      </w:pPr>
    </w:p>
    <w:p>
      <w:pPr>
        <w:ind w:left="620" w:hanging="307"/>
        <w:spacing w:after="0"/>
        <w:tabs>
          <w:tab w:leader="none" w:pos="620" w:val="left"/>
        </w:tabs>
        <w:numPr>
          <w:ilvl w:val="0"/>
          <w:numId w:val="9"/>
        </w:numPr>
        <w:rPr>
          <w:rFonts w:ascii="Arial" w:cs="Arial" w:eastAsia="Arial" w:hAnsi="Arial"/>
          <w:sz w:val="14"/>
          <w:szCs w:val="14"/>
          <w:color w:val="auto"/>
        </w:rPr>
      </w:pPr>
      <w:r>
        <w:rPr>
          <w:rFonts w:ascii="Arial" w:cs="Arial" w:eastAsia="Arial" w:hAnsi="Arial"/>
          <w:sz w:val="14"/>
          <w:szCs w:val="14"/>
          <w:color w:val="auto"/>
        </w:rPr>
        <w:t>Rent payable under the Tropicana Lease is nominal. Therefore, it has been excluded from the table above.</w:t>
      </w: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173990</wp:posOffset>
            </wp:positionV>
            <wp:extent cx="7164070" cy="419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0" w:name="page21"/>
    <w:bookmarkEnd w:id="20"/>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339"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The components of lease expense were as follows:</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420" w:type="dxa"/>
            <w:vAlign w:val="bottom"/>
          </w:tcPr>
          <w:p>
            <w:pPr>
              <w:spacing w:after="0"/>
              <w:rPr>
                <w:sz w:val="19"/>
                <w:szCs w:val="19"/>
                <w:color w:val="auto"/>
              </w:rPr>
            </w:pPr>
          </w:p>
        </w:tc>
        <w:tc>
          <w:tcPr>
            <w:tcW w:w="5040" w:type="dxa"/>
            <w:vAlign w:val="bottom"/>
            <w:gridSpan w:val="2"/>
            <w:vMerge w:val="restart"/>
          </w:tcPr>
          <w:p>
            <w:pPr>
              <w:jc w:val="center"/>
              <w:ind w:right="100"/>
              <w:spacing w:after="0"/>
              <w:rPr>
                <w:sz w:val="20"/>
                <w:szCs w:val="20"/>
                <w:color w:val="auto"/>
              </w:rPr>
            </w:pPr>
            <w:r>
              <w:rPr>
                <w:rFonts w:ascii="Arial" w:cs="Arial" w:eastAsia="Arial" w:hAnsi="Arial"/>
                <w:sz w:val="15"/>
                <w:szCs w:val="15"/>
                <w:b w:val="1"/>
                <w:bCs w:val="1"/>
                <w:color w:val="auto"/>
                <w:w w:val="92"/>
              </w:rPr>
              <w:t>Location on unaudited Consolidated Statements of Operations and</w:t>
            </w:r>
          </w:p>
        </w:tc>
        <w:tc>
          <w:tcPr>
            <w:tcW w:w="100" w:type="dxa"/>
            <w:vAlign w:val="bottom"/>
            <w:tcBorders>
              <w:bottom w:val="single" w:sz="8" w:color="auto"/>
            </w:tcBorders>
          </w:tcPr>
          <w:p>
            <w:pPr>
              <w:spacing w:after="0"/>
              <w:rPr>
                <w:sz w:val="19"/>
                <w:szCs w:val="19"/>
                <w:color w:val="auto"/>
              </w:rPr>
            </w:pPr>
          </w:p>
        </w:tc>
        <w:tc>
          <w:tcPr>
            <w:tcW w:w="2960" w:type="dxa"/>
            <w:vAlign w:val="bottom"/>
            <w:tcBorders>
              <w:bottom w:val="single" w:sz="8" w:color="auto"/>
            </w:tcBorders>
            <w:gridSpan w:val="4"/>
          </w:tcPr>
          <w:p>
            <w:pPr>
              <w:jc w:val="right"/>
              <w:ind w:right="42"/>
              <w:spacing w:after="0"/>
              <w:rPr>
                <w:sz w:val="20"/>
                <w:szCs w:val="20"/>
                <w:color w:val="auto"/>
              </w:rPr>
            </w:pPr>
            <w:r>
              <w:rPr>
                <w:rFonts w:ascii="Arial" w:cs="Arial" w:eastAsia="Arial" w:hAnsi="Arial"/>
                <w:sz w:val="17"/>
                <w:szCs w:val="17"/>
                <w:b w:val="1"/>
                <w:bCs w:val="1"/>
                <w:color w:val="auto"/>
                <w:w w:val="91"/>
              </w:rPr>
              <w:t>For the three months ended March 31,</w:t>
            </w: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700" w:type="dxa"/>
            <w:vAlign w:val="bottom"/>
          </w:tcPr>
          <w:p>
            <w:pPr>
              <w:spacing w:after="0"/>
              <w:rPr>
                <w:sz w:val="2"/>
                <w:szCs w:val="2"/>
                <w:color w:val="auto"/>
              </w:rPr>
            </w:pPr>
          </w:p>
        </w:tc>
        <w:tc>
          <w:tcPr>
            <w:tcW w:w="2420" w:type="dxa"/>
            <w:vAlign w:val="bottom"/>
          </w:tcPr>
          <w:p>
            <w:pPr>
              <w:spacing w:after="0"/>
              <w:rPr>
                <w:sz w:val="2"/>
                <w:szCs w:val="2"/>
                <w:color w:val="auto"/>
              </w:rPr>
            </w:pPr>
          </w:p>
        </w:tc>
        <w:tc>
          <w:tcPr>
            <w:tcW w:w="5040" w:type="dxa"/>
            <w:vAlign w:val="bottom"/>
            <w:gridSpan w:val="2"/>
            <w:vMerge w:val="continue"/>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vMerge w:val="restart"/>
          </w:tcPr>
          <w:p>
            <w:pPr>
              <w:jc w:val="right"/>
              <w:ind w:right="461"/>
              <w:spacing w:after="0"/>
              <w:rPr>
                <w:sz w:val="20"/>
                <w:szCs w:val="20"/>
                <w:color w:val="auto"/>
              </w:rPr>
            </w:pPr>
            <w:r>
              <w:rPr>
                <w:rFonts w:ascii="Arial" w:cs="Arial" w:eastAsia="Arial" w:hAnsi="Arial"/>
                <w:sz w:val="17"/>
                <w:szCs w:val="17"/>
                <w:b w:val="1"/>
                <w:bCs w:val="1"/>
                <w:color w:val="auto"/>
              </w:rPr>
              <w:t>2021</w:t>
            </w: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vMerge w:val="restart"/>
          </w:tcPr>
          <w:p>
            <w:pPr>
              <w:jc w:val="right"/>
              <w:ind w:right="522"/>
              <w:spacing w:after="0"/>
              <w:rPr>
                <w:sz w:val="20"/>
                <w:szCs w:val="20"/>
                <w:color w:val="auto"/>
              </w:rPr>
            </w:pPr>
            <w:r>
              <w:rPr>
                <w:rFonts w:ascii="Arial" w:cs="Arial" w:eastAsia="Arial" w:hAnsi="Arial"/>
                <w:sz w:val="17"/>
                <w:szCs w:val="17"/>
                <w:b w:val="1"/>
                <w:bCs w:val="1"/>
                <w:color w:val="auto"/>
              </w:rPr>
              <w:t>2020</w:t>
            </w:r>
          </w:p>
        </w:tc>
        <w:tc>
          <w:tcPr>
            <w:tcW w:w="0" w:type="dxa"/>
            <w:vAlign w:val="bottom"/>
          </w:tcPr>
          <w:p>
            <w:pPr>
              <w:spacing w:after="0" w:line="20" w:lineRule="exact"/>
              <w:rPr>
                <w:sz w:val="1"/>
                <w:szCs w:val="1"/>
                <w:color w:val="auto"/>
              </w:rPr>
            </w:pPr>
          </w:p>
        </w:tc>
      </w:tr>
      <w:tr>
        <w:trPr>
          <w:trHeight w:val="168"/>
        </w:trPr>
        <w:tc>
          <w:tcPr>
            <w:tcW w:w="3140" w:type="dxa"/>
            <w:vAlign w:val="bottom"/>
            <w:gridSpan w:val="3"/>
          </w:tcPr>
          <w:p>
            <w:pPr>
              <w:ind w:left="20"/>
              <w:spacing w:after="0"/>
              <w:rPr>
                <w:sz w:val="20"/>
                <w:szCs w:val="20"/>
                <w:color w:val="auto"/>
              </w:rPr>
            </w:pPr>
            <w:r>
              <w:rPr>
                <w:rFonts w:ascii="Arial" w:cs="Arial" w:eastAsia="Arial" w:hAnsi="Arial"/>
                <w:sz w:val="14"/>
                <w:szCs w:val="14"/>
                <w:b w:val="1"/>
                <w:bCs w:val="1"/>
                <w:i w:val="1"/>
                <w:iCs w:val="1"/>
                <w:color w:val="auto"/>
              </w:rPr>
              <w:t>(in millions)</w:t>
            </w:r>
          </w:p>
        </w:tc>
        <w:tc>
          <w:tcPr>
            <w:tcW w:w="5040" w:type="dxa"/>
            <w:vAlign w:val="bottom"/>
            <w:gridSpan w:val="2"/>
          </w:tcPr>
          <w:p>
            <w:pPr>
              <w:jc w:val="center"/>
              <w:ind w:right="80"/>
              <w:spacing w:after="0" w:line="168" w:lineRule="exact"/>
              <w:rPr>
                <w:sz w:val="20"/>
                <w:szCs w:val="20"/>
                <w:color w:val="auto"/>
              </w:rPr>
            </w:pPr>
            <w:r>
              <w:rPr>
                <w:rFonts w:ascii="Arial" w:cs="Arial" w:eastAsia="Arial" w:hAnsi="Arial"/>
                <w:sz w:val="15"/>
                <w:szCs w:val="15"/>
                <w:b w:val="1"/>
                <w:bCs w:val="1"/>
                <w:color w:val="auto"/>
                <w:w w:val="91"/>
              </w:rPr>
              <w:t>Comprehensive Income (Loss)</w:t>
            </w:r>
          </w:p>
        </w:tc>
        <w:tc>
          <w:tcPr>
            <w:tcW w:w="100" w:type="dxa"/>
            <w:vAlign w:val="bottom"/>
          </w:tcPr>
          <w:p>
            <w:pPr>
              <w:spacing w:after="0"/>
              <w:rPr>
                <w:sz w:val="14"/>
                <w:szCs w:val="14"/>
                <w:color w:val="auto"/>
              </w:rPr>
            </w:pPr>
          </w:p>
        </w:tc>
        <w:tc>
          <w:tcPr>
            <w:tcW w:w="132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700" w:type="dxa"/>
            <w:vAlign w:val="bottom"/>
            <w:tcBorders>
              <w:top w:val="single" w:sz="8" w:color="auto"/>
              <w:bottom w:val="single" w:sz="8" w:color="CCEEFF"/>
            </w:tcBorders>
          </w:tcPr>
          <w:p>
            <w:pPr>
              <w:spacing w:after="0" w:line="20" w:lineRule="exact"/>
              <w:rPr>
                <w:sz w:val="1"/>
                <w:szCs w:val="1"/>
                <w:color w:val="auto"/>
              </w:rPr>
            </w:pPr>
          </w:p>
        </w:tc>
        <w:tc>
          <w:tcPr>
            <w:tcW w:w="2420" w:type="dxa"/>
            <w:vAlign w:val="bottom"/>
            <w:tcBorders>
              <w:bottom w:val="single" w:sz="8" w:color="CCEEFF"/>
            </w:tcBorders>
          </w:tcPr>
          <w:p>
            <w:pPr>
              <w:spacing w:after="0" w:line="20" w:lineRule="exact"/>
              <w:rPr>
                <w:sz w:val="1"/>
                <w:szCs w:val="1"/>
                <w:color w:val="auto"/>
              </w:rPr>
            </w:pPr>
          </w:p>
        </w:tc>
        <w:tc>
          <w:tcPr>
            <w:tcW w:w="4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5"/>
        </w:trPr>
        <w:tc>
          <w:tcPr>
            <w:tcW w:w="3140" w:type="dxa"/>
            <w:vAlign w:val="bottom"/>
            <w:gridSpan w:val="3"/>
            <w:shd w:val="clear" w:color="auto" w:fill="CCEEFF"/>
          </w:tcPr>
          <w:p>
            <w:pPr>
              <w:ind w:left="20"/>
              <w:spacing w:after="0"/>
              <w:rPr>
                <w:sz w:val="20"/>
                <w:szCs w:val="20"/>
                <w:color w:val="auto"/>
              </w:rPr>
            </w:pPr>
            <w:r>
              <w:rPr>
                <w:rFonts w:ascii="Arial" w:cs="Arial" w:eastAsia="Arial" w:hAnsi="Arial"/>
                <w:sz w:val="15"/>
                <w:szCs w:val="15"/>
                <w:b w:val="1"/>
                <w:bCs w:val="1"/>
                <w:color w:val="auto"/>
              </w:rPr>
              <w:t>Operating Lease Costs</w:t>
            </w:r>
          </w:p>
        </w:tc>
        <w:tc>
          <w:tcPr>
            <w:tcW w:w="4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3120" w:type="dxa"/>
            <w:vAlign w:val="bottom"/>
            <w:gridSpan w:val="2"/>
          </w:tcPr>
          <w:p>
            <w:pPr>
              <w:ind w:left="200"/>
              <w:spacing w:after="0" w:line="160" w:lineRule="exact"/>
              <w:rPr>
                <w:sz w:val="20"/>
                <w:szCs w:val="20"/>
                <w:color w:val="auto"/>
              </w:rPr>
            </w:pPr>
            <w:r>
              <w:rPr>
                <w:rFonts w:ascii="Arial" w:cs="Arial" w:eastAsia="Arial" w:hAnsi="Arial"/>
                <w:sz w:val="15"/>
                <w:szCs w:val="15"/>
                <w:color w:val="auto"/>
              </w:rPr>
              <w:t>Rent expense associated with triple net</w:t>
            </w:r>
          </w:p>
        </w:tc>
        <w:tc>
          <w:tcPr>
            <w:tcW w:w="5040" w:type="dxa"/>
            <w:vAlign w:val="bottom"/>
            <w:gridSpan w:val="2"/>
            <w:vMerge w:val="restart"/>
          </w:tcPr>
          <w:p>
            <w:pPr>
              <w:jc w:val="center"/>
              <w:ind w:right="100"/>
              <w:spacing w:after="0"/>
              <w:rPr>
                <w:sz w:val="20"/>
                <w:szCs w:val="20"/>
                <w:color w:val="auto"/>
              </w:rPr>
            </w:pPr>
            <w:r>
              <w:rPr>
                <w:rFonts w:ascii="Arial" w:cs="Arial" w:eastAsia="Arial" w:hAnsi="Arial"/>
                <w:sz w:val="15"/>
                <w:szCs w:val="15"/>
                <w:color w:val="auto"/>
                <w:w w:val="92"/>
              </w:rPr>
              <w:t>General and administrative</w:t>
            </w:r>
          </w:p>
        </w:tc>
        <w:tc>
          <w:tcPr>
            <w:tcW w:w="100" w:type="dxa"/>
            <w:vAlign w:val="bottom"/>
            <w:vMerge w:val="restart"/>
          </w:tcPr>
          <w:p>
            <w:pPr>
              <w:jc w:val="right"/>
              <w:spacing w:after="0"/>
              <w:rPr>
                <w:sz w:val="20"/>
                <w:szCs w:val="20"/>
                <w:color w:val="auto"/>
              </w:rPr>
            </w:pPr>
            <w:r>
              <w:rPr>
                <w:rFonts w:ascii="Arial" w:cs="Arial" w:eastAsia="Arial" w:hAnsi="Arial"/>
                <w:sz w:val="15"/>
                <w:szCs w:val="15"/>
                <w:color w:val="auto"/>
                <w:w w:val="95"/>
              </w:rPr>
              <w:t>$</w:t>
            </w:r>
          </w:p>
        </w:tc>
        <w:tc>
          <w:tcPr>
            <w:tcW w:w="1320" w:type="dxa"/>
            <w:vAlign w:val="bottom"/>
            <w:vMerge w:val="restart"/>
          </w:tcPr>
          <w:p>
            <w:pPr>
              <w:jc w:val="right"/>
              <w:spacing w:after="0"/>
              <w:rPr>
                <w:sz w:val="20"/>
                <w:szCs w:val="20"/>
                <w:color w:val="auto"/>
              </w:rPr>
            </w:pPr>
            <w:r>
              <w:rPr>
                <w:rFonts w:ascii="Arial" w:cs="Arial" w:eastAsia="Arial" w:hAnsi="Arial"/>
                <w:sz w:val="15"/>
                <w:szCs w:val="15"/>
                <w:color w:val="auto"/>
              </w:rPr>
              <w:t>110.4</w:t>
            </w:r>
          </w:p>
        </w:tc>
        <w:tc>
          <w:tcPr>
            <w:tcW w:w="120" w:type="dxa"/>
            <w:vAlign w:val="bottom"/>
          </w:tcPr>
          <w:p>
            <w:pPr>
              <w:spacing w:after="0"/>
              <w:rPr>
                <w:sz w:val="13"/>
                <w:szCs w:val="13"/>
                <w:color w:val="auto"/>
              </w:rPr>
            </w:pPr>
          </w:p>
        </w:tc>
        <w:tc>
          <w:tcPr>
            <w:tcW w:w="340" w:type="dxa"/>
            <w:vAlign w:val="bottom"/>
            <w:vMerge w:val="restart"/>
          </w:tcPr>
          <w:p>
            <w:pPr>
              <w:jc w:val="right"/>
              <w:ind w:right="183"/>
              <w:spacing w:after="0"/>
              <w:rPr>
                <w:sz w:val="20"/>
                <w:szCs w:val="20"/>
                <w:color w:val="auto"/>
              </w:rPr>
            </w:pPr>
            <w:r>
              <w:rPr>
                <w:rFonts w:ascii="Arial" w:cs="Arial" w:eastAsia="Arial" w:hAnsi="Arial"/>
                <w:sz w:val="15"/>
                <w:szCs w:val="15"/>
                <w:color w:val="auto"/>
                <w:w w:val="71"/>
              </w:rPr>
              <w:t>$</w:t>
            </w:r>
          </w:p>
        </w:tc>
        <w:tc>
          <w:tcPr>
            <w:tcW w:w="1180" w:type="dxa"/>
            <w:vAlign w:val="bottom"/>
            <w:vMerge w:val="restart"/>
          </w:tcPr>
          <w:p>
            <w:pPr>
              <w:jc w:val="right"/>
              <w:spacing w:after="0"/>
              <w:rPr>
                <w:sz w:val="20"/>
                <w:szCs w:val="20"/>
                <w:color w:val="auto"/>
              </w:rPr>
            </w:pPr>
            <w:r>
              <w:rPr>
                <w:rFonts w:ascii="Arial" w:cs="Arial" w:eastAsia="Arial" w:hAnsi="Arial"/>
                <w:sz w:val="15"/>
                <w:szCs w:val="15"/>
                <w:color w:val="auto"/>
              </w:rPr>
              <w:t>97.5</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3120" w:type="dxa"/>
            <w:vAlign w:val="bottom"/>
            <w:gridSpan w:val="2"/>
          </w:tcPr>
          <w:p>
            <w:pPr>
              <w:ind w:left="200"/>
              <w:spacing w:after="0" w:line="202" w:lineRule="exact"/>
              <w:rPr>
                <w:sz w:val="20"/>
                <w:szCs w:val="20"/>
                <w:color w:val="auto"/>
              </w:rPr>
            </w:pPr>
            <w:r>
              <w:rPr>
                <w:rFonts w:ascii="Arial" w:cs="Arial" w:eastAsia="Arial" w:hAnsi="Arial"/>
                <w:sz w:val="15"/>
                <w:szCs w:val="15"/>
                <w:color w:val="auto"/>
              </w:rPr>
              <w:t xml:space="preserve">operating leases </w:t>
            </w:r>
            <w:r>
              <w:rPr>
                <w:rFonts w:ascii="Arial" w:cs="Arial" w:eastAsia="Arial" w:hAnsi="Arial"/>
                <w:sz w:val="20"/>
                <w:szCs w:val="20"/>
                <w:color w:val="auto"/>
                <w:vertAlign w:val="superscript"/>
              </w:rPr>
              <w:t>(1)</w:t>
            </w:r>
          </w:p>
        </w:tc>
        <w:tc>
          <w:tcPr>
            <w:tcW w:w="5040" w:type="dxa"/>
            <w:vAlign w:val="bottom"/>
            <w:gridSpan w:val="2"/>
            <w:vMerge w:val="continue"/>
          </w:tcPr>
          <w:p>
            <w:pPr>
              <w:spacing w:after="0"/>
              <w:rPr>
                <w:sz w:val="17"/>
                <w:szCs w:val="17"/>
                <w:color w:val="auto"/>
              </w:rPr>
            </w:pPr>
          </w:p>
        </w:tc>
        <w:tc>
          <w:tcPr>
            <w:tcW w:w="100" w:type="dxa"/>
            <w:vAlign w:val="bottom"/>
            <w:vMerge w:val="continue"/>
          </w:tcPr>
          <w:p>
            <w:pPr>
              <w:spacing w:after="0"/>
              <w:rPr>
                <w:sz w:val="17"/>
                <w:szCs w:val="17"/>
                <w:color w:val="auto"/>
              </w:rPr>
            </w:pPr>
          </w:p>
        </w:tc>
        <w:tc>
          <w:tcPr>
            <w:tcW w:w="132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vMerge w:val="continue"/>
          </w:tcPr>
          <w:p>
            <w:pPr>
              <w:spacing w:after="0"/>
              <w:rPr>
                <w:sz w:val="17"/>
                <w:szCs w:val="17"/>
                <w:color w:val="auto"/>
              </w:rPr>
            </w:pPr>
          </w:p>
        </w:tc>
        <w:tc>
          <w:tcPr>
            <w:tcW w:w="11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shd w:val="clear" w:color="auto" w:fill="CCEEFF"/>
          </w:tcPr>
          <w:p>
            <w:pPr>
              <w:spacing w:after="0"/>
              <w:rPr>
                <w:sz w:val="17"/>
                <w:szCs w:val="17"/>
                <w:color w:val="auto"/>
              </w:rPr>
            </w:pPr>
          </w:p>
        </w:tc>
        <w:tc>
          <w:tcPr>
            <w:tcW w:w="3120" w:type="dxa"/>
            <w:vAlign w:val="bottom"/>
            <w:gridSpan w:val="2"/>
            <w:shd w:val="clear" w:color="auto" w:fill="CCEEFF"/>
          </w:tcPr>
          <w:p>
            <w:pPr>
              <w:ind w:left="200"/>
              <w:spacing w:after="0" w:line="207" w:lineRule="exact"/>
              <w:rPr>
                <w:sz w:val="20"/>
                <w:szCs w:val="20"/>
                <w:color w:val="auto"/>
              </w:rPr>
            </w:pPr>
            <w:r>
              <w:rPr>
                <w:rFonts w:ascii="Arial" w:cs="Arial" w:eastAsia="Arial" w:hAnsi="Arial"/>
                <w:sz w:val="15"/>
                <w:szCs w:val="15"/>
                <w:color w:val="auto"/>
              </w:rPr>
              <w:t xml:space="preserve">Operating lease cost </w:t>
            </w:r>
            <w:r>
              <w:rPr>
                <w:rFonts w:ascii="Arial" w:cs="Arial" w:eastAsia="Arial" w:hAnsi="Arial"/>
                <w:sz w:val="20"/>
                <w:szCs w:val="20"/>
                <w:color w:val="auto"/>
                <w:vertAlign w:val="superscript"/>
              </w:rPr>
              <w:t>(2)</w:t>
            </w:r>
          </w:p>
        </w:tc>
        <w:tc>
          <w:tcPr>
            <w:tcW w:w="5040" w:type="dxa"/>
            <w:vAlign w:val="bottom"/>
            <w:gridSpan w:val="2"/>
            <w:shd w:val="clear" w:color="auto" w:fill="CCEEFF"/>
          </w:tcPr>
          <w:p>
            <w:pPr>
              <w:jc w:val="center"/>
              <w:ind w:right="100"/>
              <w:spacing w:after="0"/>
              <w:rPr>
                <w:sz w:val="20"/>
                <w:szCs w:val="20"/>
                <w:color w:val="auto"/>
              </w:rPr>
            </w:pPr>
            <w:r>
              <w:rPr>
                <w:rFonts w:ascii="Arial" w:cs="Arial" w:eastAsia="Arial" w:hAnsi="Arial"/>
                <w:sz w:val="15"/>
                <w:szCs w:val="15"/>
                <w:color w:val="auto"/>
                <w:w w:val="95"/>
              </w:rPr>
              <w:t>Primarily General and administrative</w:t>
            </w:r>
          </w:p>
        </w:tc>
        <w:tc>
          <w:tcPr>
            <w:tcW w:w="100" w:type="dxa"/>
            <w:vAlign w:val="bottom"/>
            <w:shd w:val="clear" w:color="auto" w:fill="CCEEFF"/>
          </w:tcPr>
          <w:p>
            <w:pPr>
              <w:spacing w:after="0"/>
              <w:rPr>
                <w:sz w:val="17"/>
                <w:szCs w:val="17"/>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3.9</w:t>
            </w: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120" w:type="dxa"/>
            <w:vAlign w:val="bottom"/>
            <w:gridSpan w:val="2"/>
          </w:tcPr>
          <w:p>
            <w:pPr>
              <w:ind w:left="200"/>
              <w:spacing w:after="0"/>
              <w:rPr>
                <w:sz w:val="20"/>
                <w:szCs w:val="20"/>
                <w:color w:val="auto"/>
              </w:rPr>
            </w:pPr>
            <w:r>
              <w:rPr>
                <w:rFonts w:ascii="Arial" w:cs="Arial" w:eastAsia="Arial" w:hAnsi="Arial"/>
                <w:sz w:val="15"/>
                <w:szCs w:val="15"/>
                <w:color w:val="auto"/>
              </w:rPr>
              <w:t>Short-term lease cost</w:t>
            </w:r>
          </w:p>
        </w:tc>
        <w:tc>
          <w:tcPr>
            <w:tcW w:w="5040" w:type="dxa"/>
            <w:vAlign w:val="bottom"/>
            <w:gridSpan w:val="2"/>
          </w:tcPr>
          <w:p>
            <w:pPr>
              <w:jc w:val="center"/>
              <w:ind w:right="100"/>
              <w:spacing w:after="0"/>
              <w:rPr>
                <w:sz w:val="20"/>
                <w:szCs w:val="20"/>
                <w:color w:val="auto"/>
              </w:rPr>
            </w:pPr>
            <w:r>
              <w:rPr>
                <w:rFonts w:ascii="Arial" w:cs="Arial" w:eastAsia="Arial" w:hAnsi="Arial"/>
                <w:sz w:val="15"/>
                <w:szCs w:val="15"/>
                <w:color w:val="auto"/>
                <w:w w:val="94"/>
              </w:rPr>
              <w:t>Primarily Gaming expense</w:t>
            </w:r>
          </w:p>
        </w:tc>
        <w:tc>
          <w:tcPr>
            <w:tcW w:w="10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5"/>
                <w:szCs w:val="15"/>
                <w:color w:val="auto"/>
              </w:rPr>
              <w:t>13.3</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5"/>
                <w:szCs w:val="15"/>
                <w:color w:val="auto"/>
              </w:rPr>
              <w:t>12.1</w:t>
            </w:r>
          </w:p>
        </w:tc>
        <w:tc>
          <w:tcPr>
            <w:tcW w:w="0" w:type="dxa"/>
            <w:vAlign w:val="bottom"/>
          </w:tcPr>
          <w:p>
            <w:pPr>
              <w:spacing w:after="0"/>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3120" w:type="dxa"/>
            <w:vAlign w:val="bottom"/>
            <w:gridSpan w:val="2"/>
            <w:shd w:val="clear" w:color="auto" w:fill="CCEEFF"/>
          </w:tcPr>
          <w:p>
            <w:pPr>
              <w:ind w:left="200"/>
              <w:spacing w:after="0" w:line="209" w:lineRule="exact"/>
              <w:rPr>
                <w:sz w:val="20"/>
                <w:szCs w:val="20"/>
                <w:color w:val="auto"/>
              </w:rPr>
            </w:pPr>
            <w:r>
              <w:rPr>
                <w:rFonts w:ascii="Arial" w:cs="Arial" w:eastAsia="Arial" w:hAnsi="Arial"/>
                <w:sz w:val="15"/>
                <w:szCs w:val="15"/>
                <w:color w:val="auto"/>
              </w:rPr>
              <w:t xml:space="preserve">Variable lease cost </w:t>
            </w:r>
            <w:r>
              <w:rPr>
                <w:rFonts w:ascii="Arial" w:cs="Arial" w:eastAsia="Arial" w:hAnsi="Arial"/>
                <w:sz w:val="20"/>
                <w:szCs w:val="20"/>
                <w:color w:val="auto"/>
                <w:vertAlign w:val="superscript"/>
              </w:rPr>
              <w:t>(2)</w:t>
            </w:r>
          </w:p>
        </w:tc>
        <w:tc>
          <w:tcPr>
            <w:tcW w:w="5040" w:type="dxa"/>
            <w:vAlign w:val="bottom"/>
            <w:gridSpan w:val="2"/>
            <w:shd w:val="clear" w:color="auto" w:fill="CCEEFF"/>
          </w:tcPr>
          <w:p>
            <w:pPr>
              <w:jc w:val="center"/>
              <w:ind w:right="100"/>
              <w:spacing w:after="0"/>
              <w:rPr>
                <w:sz w:val="20"/>
                <w:szCs w:val="20"/>
                <w:color w:val="auto"/>
              </w:rPr>
            </w:pPr>
            <w:r>
              <w:rPr>
                <w:rFonts w:ascii="Arial" w:cs="Arial" w:eastAsia="Arial" w:hAnsi="Arial"/>
                <w:sz w:val="15"/>
                <w:szCs w:val="15"/>
                <w:color w:val="auto"/>
                <w:w w:val="94"/>
              </w:rPr>
              <w:t>Primarily Gaming expense</w:t>
            </w:r>
          </w:p>
        </w:tc>
        <w:tc>
          <w:tcPr>
            <w:tcW w:w="10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1.1</w:t>
            </w:r>
          </w:p>
        </w:tc>
        <w:tc>
          <w:tcPr>
            <w:tcW w:w="12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0.8</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3120" w:type="dxa"/>
            <w:vAlign w:val="bottom"/>
            <w:gridSpan w:val="2"/>
          </w:tcPr>
          <w:p>
            <w:pPr>
              <w:ind w:left="420"/>
              <w:spacing w:after="0"/>
              <w:rPr>
                <w:sz w:val="20"/>
                <w:szCs w:val="20"/>
                <w:color w:val="auto"/>
              </w:rPr>
            </w:pPr>
            <w:r>
              <w:rPr>
                <w:rFonts w:ascii="Arial" w:cs="Arial" w:eastAsia="Arial" w:hAnsi="Arial"/>
                <w:sz w:val="15"/>
                <w:szCs w:val="15"/>
                <w:b w:val="1"/>
                <w:bCs w:val="1"/>
                <w:color w:val="auto"/>
              </w:rPr>
              <w:t>Total</w:t>
            </w:r>
          </w:p>
        </w:tc>
        <w:tc>
          <w:tcPr>
            <w:tcW w:w="4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128.7</w:t>
            </w:r>
          </w:p>
        </w:tc>
        <w:tc>
          <w:tcPr>
            <w:tcW w:w="120" w:type="dxa"/>
            <w:vAlign w:val="bottom"/>
          </w:tcPr>
          <w:p>
            <w:pPr>
              <w:spacing w:after="0"/>
              <w:rPr>
                <w:sz w:val="17"/>
                <w:szCs w:val="17"/>
                <w:color w:val="auto"/>
              </w:rPr>
            </w:pPr>
          </w:p>
        </w:tc>
        <w:tc>
          <w:tcPr>
            <w:tcW w:w="340" w:type="dxa"/>
            <w:vAlign w:val="bottom"/>
            <w:tcBorders>
              <w:bottom w:val="single" w:sz="8" w:color="auto"/>
            </w:tcBorders>
          </w:tcPr>
          <w:p>
            <w:pPr>
              <w:jc w:val="right"/>
              <w:ind w:right="183"/>
              <w:spacing w:after="0"/>
              <w:rPr>
                <w:sz w:val="20"/>
                <w:szCs w:val="20"/>
                <w:color w:val="auto"/>
              </w:rPr>
            </w:pPr>
            <w:r>
              <w:rPr>
                <w:rFonts w:ascii="Arial" w:cs="Arial" w:eastAsia="Arial" w:hAnsi="Arial"/>
                <w:sz w:val="15"/>
                <w:szCs w:val="15"/>
                <w:color w:val="auto"/>
                <w:w w:val="71"/>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114.7</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CCEEFF"/>
            </w:tcBorders>
          </w:tcPr>
          <w:p>
            <w:pPr>
              <w:spacing w:after="0" w:line="20" w:lineRule="exact"/>
              <w:rPr>
                <w:sz w:val="1"/>
                <w:szCs w:val="1"/>
                <w:color w:val="auto"/>
              </w:rPr>
            </w:pPr>
          </w:p>
        </w:tc>
        <w:tc>
          <w:tcPr>
            <w:tcW w:w="2420" w:type="dxa"/>
            <w:vAlign w:val="bottom"/>
            <w:tcBorders>
              <w:bottom w:val="single" w:sz="8" w:color="CCEEFF"/>
            </w:tcBorders>
          </w:tcPr>
          <w:p>
            <w:pPr>
              <w:spacing w:after="0" w:line="20" w:lineRule="exact"/>
              <w:rPr>
                <w:sz w:val="1"/>
                <w:szCs w:val="1"/>
                <w:color w:val="auto"/>
              </w:rPr>
            </w:pPr>
          </w:p>
        </w:tc>
        <w:tc>
          <w:tcPr>
            <w:tcW w:w="49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420" w:type="dxa"/>
            <w:vAlign w:val="bottom"/>
            <w:shd w:val="clear" w:color="auto" w:fill="CCEEFF"/>
          </w:tcPr>
          <w:p>
            <w:pPr>
              <w:spacing w:after="0"/>
              <w:rPr>
                <w:sz w:val="18"/>
                <w:szCs w:val="18"/>
                <w:color w:val="auto"/>
              </w:rPr>
            </w:pPr>
          </w:p>
        </w:tc>
        <w:tc>
          <w:tcPr>
            <w:tcW w:w="4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3140" w:type="dxa"/>
            <w:vAlign w:val="bottom"/>
            <w:gridSpan w:val="3"/>
          </w:tcPr>
          <w:p>
            <w:pPr>
              <w:ind w:left="20"/>
              <w:spacing w:after="0"/>
              <w:rPr>
                <w:sz w:val="20"/>
                <w:szCs w:val="20"/>
                <w:color w:val="auto"/>
              </w:rPr>
            </w:pPr>
            <w:r>
              <w:rPr>
                <w:rFonts w:ascii="Arial" w:cs="Arial" w:eastAsia="Arial" w:hAnsi="Arial"/>
                <w:sz w:val="15"/>
                <w:szCs w:val="15"/>
                <w:b w:val="1"/>
                <w:bCs w:val="1"/>
                <w:color w:val="auto"/>
              </w:rPr>
              <w:t>Finance Lease Costs</w:t>
            </w:r>
          </w:p>
        </w:tc>
        <w:tc>
          <w:tcPr>
            <w:tcW w:w="4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20" w:type="dxa"/>
            <w:vAlign w:val="bottom"/>
            <w:shd w:val="clear" w:color="auto" w:fill="CCEEFF"/>
          </w:tcPr>
          <w:p>
            <w:pPr>
              <w:spacing w:after="0"/>
              <w:rPr>
                <w:sz w:val="18"/>
                <w:szCs w:val="18"/>
                <w:color w:val="auto"/>
              </w:rPr>
            </w:pPr>
          </w:p>
        </w:tc>
        <w:tc>
          <w:tcPr>
            <w:tcW w:w="3120" w:type="dxa"/>
            <w:vAlign w:val="bottom"/>
            <w:gridSpan w:val="2"/>
            <w:shd w:val="clear" w:color="auto" w:fill="CCEEFF"/>
          </w:tcPr>
          <w:p>
            <w:pPr>
              <w:ind w:left="200"/>
              <w:spacing w:after="0" w:line="208" w:lineRule="exact"/>
              <w:rPr>
                <w:sz w:val="20"/>
                <w:szCs w:val="20"/>
                <w:color w:val="auto"/>
              </w:rPr>
            </w:pPr>
            <w:r>
              <w:rPr>
                <w:rFonts w:ascii="Arial" w:cs="Arial" w:eastAsia="Arial" w:hAnsi="Arial"/>
                <w:sz w:val="15"/>
                <w:szCs w:val="15"/>
                <w:color w:val="auto"/>
              </w:rPr>
              <w:t xml:space="preserve">Interest on lease liabilities </w:t>
            </w:r>
            <w:r>
              <w:rPr>
                <w:rFonts w:ascii="Arial" w:cs="Arial" w:eastAsia="Arial" w:hAnsi="Arial"/>
                <w:sz w:val="20"/>
                <w:szCs w:val="20"/>
                <w:color w:val="auto"/>
                <w:vertAlign w:val="superscript"/>
              </w:rPr>
              <w:t>(3)</w:t>
            </w:r>
          </w:p>
        </w:tc>
        <w:tc>
          <w:tcPr>
            <w:tcW w:w="5040" w:type="dxa"/>
            <w:vAlign w:val="bottom"/>
            <w:gridSpan w:val="2"/>
            <w:shd w:val="clear" w:color="auto" w:fill="CCEEFF"/>
          </w:tcPr>
          <w:p>
            <w:pPr>
              <w:jc w:val="center"/>
              <w:ind w:right="100"/>
              <w:spacing w:after="0"/>
              <w:rPr>
                <w:sz w:val="20"/>
                <w:szCs w:val="20"/>
                <w:color w:val="auto"/>
              </w:rPr>
            </w:pPr>
            <w:r>
              <w:rPr>
                <w:rFonts w:ascii="Arial" w:cs="Arial" w:eastAsia="Arial" w:hAnsi="Arial"/>
                <w:sz w:val="15"/>
                <w:szCs w:val="15"/>
                <w:color w:val="auto"/>
                <w:w w:val="89"/>
              </w:rPr>
              <w:t>Interest expense, net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3.7</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83"/>
              <w:spacing w:after="0"/>
              <w:rPr>
                <w:sz w:val="20"/>
                <w:szCs w:val="20"/>
                <w:color w:val="auto"/>
              </w:rPr>
            </w:pPr>
            <w:r>
              <w:rPr>
                <w:rFonts w:ascii="Arial" w:cs="Arial" w:eastAsia="Arial" w:hAnsi="Arial"/>
                <w:sz w:val="15"/>
                <w:szCs w:val="15"/>
                <w:color w:val="auto"/>
                <w:w w:val="71"/>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3.9</w:t>
            </w:r>
          </w:p>
        </w:tc>
        <w:tc>
          <w:tcPr>
            <w:tcW w:w="0" w:type="dxa"/>
            <w:vAlign w:val="bottom"/>
          </w:tcPr>
          <w:p>
            <w:pPr>
              <w:spacing w:after="0"/>
              <w:rPr>
                <w:sz w:val="1"/>
                <w:szCs w:val="1"/>
                <w:color w:val="auto"/>
              </w:rPr>
            </w:pPr>
          </w:p>
        </w:tc>
      </w:tr>
      <w:tr>
        <w:trPr>
          <w:trHeight w:val="206"/>
        </w:trPr>
        <w:tc>
          <w:tcPr>
            <w:tcW w:w="20" w:type="dxa"/>
            <w:vAlign w:val="bottom"/>
            <w:tcBorders>
              <w:bottom w:val="single" w:sz="8" w:color="CCEEFF"/>
            </w:tcBorders>
          </w:tcPr>
          <w:p>
            <w:pPr>
              <w:spacing w:after="0"/>
              <w:rPr>
                <w:sz w:val="17"/>
                <w:szCs w:val="17"/>
                <w:color w:val="auto"/>
              </w:rPr>
            </w:pPr>
          </w:p>
        </w:tc>
        <w:tc>
          <w:tcPr>
            <w:tcW w:w="3120" w:type="dxa"/>
            <w:vAlign w:val="bottom"/>
            <w:tcBorders>
              <w:bottom w:val="single" w:sz="8" w:color="CCEEFF"/>
            </w:tcBorders>
            <w:gridSpan w:val="2"/>
          </w:tcPr>
          <w:p>
            <w:pPr>
              <w:ind w:left="200"/>
              <w:spacing w:after="0" w:line="207" w:lineRule="exact"/>
              <w:rPr>
                <w:sz w:val="20"/>
                <w:szCs w:val="20"/>
                <w:color w:val="auto"/>
              </w:rPr>
            </w:pPr>
            <w:r>
              <w:rPr>
                <w:rFonts w:ascii="Arial" w:cs="Arial" w:eastAsia="Arial" w:hAnsi="Arial"/>
                <w:sz w:val="15"/>
                <w:szCs w:val="15"/>
                <w:color w:val="auto"/>
              </w:rPr>
              <w:t xml:space="preserve">Amortization of ROU assets </w:t>
            </w:r>
            <w:r>
              <w:rPr>
                <w:rFonts w:ascii="Arial" w:cs="Arial" w:eastAsia="Arial" w:hAnsi="Arial"/>
                <w:sz w:val="20"/>
                <w:szCs w:val="20"/>
                <w:color w:val="auto"/>
                <w:vertAlign w:val="superscript"/>
              </w:rPr>
              <w:t>(3)</w:t>
            </w:r>
          </w:p>
        </w:tc>
        <w:tc>
          <w:tcPr>
            <w:tcW w:w="5040" w:type="dxa"/>
            <w:vAlign w:val="bottom"/>
            <w:tcBorders>
              <w:bottom w:val="single" w:sz="8" w:color="CCEEFF"/>
            </w:tcBorders>
            <w:gridSpan w:val="2"/>
          </w:tcPr>
          <w:p>
            <w:pPr>
              <w:jc w:val="center"/>
              <w:ind w:right="80"/>
              <w:spacing w:after="0"/>
              <w:rPr>
                <w:sz w:val="20"/>
                <w:szCs w:val="20"/>
                <w:color w:val="auto"/>
              </w:rPr>
            </w:pPr>
            <w:r>
              <w:rPr>
                <w:rFonts w:ascii="Arial" w:cs="Arial" w:eastAsia="Arial" w:hAnsi="Arial"/>
                <w:sz w:val="15"/>
                <w:szCs w:val="15"/>
                <w:color w:val="auto"/>
                <w:w w:val="94"/>
              </w:rPr>
              <w:t>Depreciation and amortization</w:t>
            </w:r>
          </w:p>
        </w:tc>
        <w:tc>
          <w:tcPr>
            <w:tcW w:w="10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1.9</w:t>
            </w:r>
          </w:p>
        </w:tc>
        <w:tc>
          <w:tcPr>
            <w:tcW w:w="12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2.0</w:t>
            </w:r>
          </w:p>
        </w:tc>
        <w:tc>
          <w:tcPr>
            <w:tcW w:w="0" w:type="dxa"/>
            <w:vAlign w:val="bottom"/>
          </w:tcPr>
          <w:p>
            <w:pPr>
              <w:spacing w:after="0"/>
              <w:rPr>
                <w:sz w:val="1"/>
                <w:szCs w:val="1"/>
                <w:color w:val="auto"/>
              </w:rPr>
            </w:pPr>
          </w:p>
        </w:tc>
      </w:tr>
      <w:tr>
        <w:trPr>
          <w:trHeight w:val="224"/>
        </w:trPr>
        <w:tc>
          <w:tcPr>
            <w:tcW w:w="20" w:type="dxa"/>
            <w:vAlign w:val="bottom"/>
            <w:tcBorders>
              <w:bottom w:val="single" w:sz="8" w:color="CCEEFF"/>
            </w:tcBorders>
            <w:shd w:val="clear" w:color="auto" w:fill="CCEEFF"/>
          </w:tcPr>
          <w:p>
            <w:pPr>
              <w:spacing w:after="0"/>
              <w:rPr>
                <w:sz w:val="19"/>
                <w:szCs w:val="19"/>
                <w:color w:val="auto"/>
              </w:rPr>
            </w:pPr>
          </w:p>
        </w:tc>
        <w:tc>
          <w:tcPr>
            <w:tcW w:w="3120" w:type="dxa"/>
            <w:vAlign w:val="bottom"/>
            <w:tcBorders>
              <w:bottom w:val="single" w:sz="8" w:color="CCEEFF"/>
            </w:tcBorders>
            <w:gridSpan w:val="2"/>
            <w:shd w:val="clear" w:color="auto" w:fill="CCEEFF"/>
          </w:tcPr>
          <w:p>
            <w:pPr>
              <w:ind w:left="420"/>
              <w:spacing w:after="0"/>
              <w:rPr>
                <w:sz w:val="20"/>
                <w:szCs w:val="20"/>
                <w:color w:val="auto"/>
              </w:rPr>
            </w:pPr>
            <w:r>
              <w:rPr>
                <w:rFonts w:ascii="Arial" w:cs="Arial" w:eastAsia="Arial" w:hAnsi="Arial"/>
                <w:sz w:val="15"/>
                <w:szCs w:val="15"/>
                <w:b w:val="1"/>
                <w:bCs w:val="1"/>
                <w:color w:val="auto"/>
              </w:rPr>
              <w:t>Total</w:t>
            </w:r>
          </w:p>
        </w:tc>
        <w:tc>
          <w:tcPr>
            <w:tcW w:w="49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5.6</w:t>
            </w:r>
          </w:p>
        </w:tc>
        <w:tc>
          <w:tcPr>
            <w:tcW w:w="12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83"/>
              <w:spacing w:after="0"/>
              <w:rPr>
                <w:sz w:val="20"/>
                <w:szCs w:val="20"/>
                <w:color w:val="auto"/>
              </w:rPr>
            </w:pPr>
            <w:r>
              <w:rPr>
                <w:rFonts w:ascii="Arial" w:cs="Arial" w:eastAsia="Arial" w:hAnsi="Arial"/>
                <w:sz w:val="15"/>
                <w:szCs w:val="15"/>
                <w:color w:val="auto"/>
                <w:w w:val="71"/>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5.9</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2420" w:type="dxa"/>
            <w:vAlign w:val="bottom"/>
            <w:tcBorders>
              <w:top w:val="single" w:sz="8" w:color="CCEEFF"/>
            </w:tcBorders>
          </w:tcPr>
          <w:p>
            <w:pPr>
              <w:spacing w:after="0" w:line="20" w:lineRule="exact"/>
              <w:rPr>
                <w:sz w:val="1"/>
                <w:szCs w:val="1"/>
                <w:color w:val="auto"/>
              </w:rPr>
            </w:pPr>
          </w:p>
        </w:tc>
        <w:tc>
          <w:tcPr>
            <w:tcW w:w="49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420" w:type="dxa"/>
            <w:vAlign w:val="bottom"/>
          </w:tcPr>
          <w:p>
            <w:pPr>
              <w:spacing w:after="0"/>
              <w:rPr>
                <w:sz w:val="16"/>
                <w:szCs w:val="16"/>
                <w:color w:val="auto"/>
              </w:rPr>
            </w:pPr>
          </w:p>
        </w:tc>
        <w:tc>
          <w:tcPr>
            <w:tcW w:w="4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3140" w:type="dxa"/>
            <w:vAlign w:val="bottom"/>
            <w:gridSpan w:val="3"/>
            <w:shd w:val="clear" w:color="auto" w:fill="CCEEFF"/>
          </w:tcPr>
          <w:p>
            <w:pPr>
              <w:ind w:left="20"/>
              <w:spacing w:after="0"/>
              <w:rPr>
                <w:sz w:val="20"/>
                <w:szCs w:val="20"/>
                <w:color w:val="auto"/>
              </w:rPr>
            </w:pPr>
            <w:r>
              <w:rPr>
                <w:rFonts w:ascii="Arial" w:cs="Arial" w:eastAsia="Arial" w:hAnsi="Arial"/>
                <w:sz w:val="15"/>
                <w:szCs w:val="15"/>
                <w:b w:val="1"/>
                <w:bCs w:val="1"/>
                <w:color w:val="auto"/>
              </w:rPr>
              <w:t>Financing Obligation Costs</w:t>
            </w:r>
          </w:p>
        </w:tc>
        <w:tc>
          <w:tcPr>
            <w:tcW w:w="4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3120" w:type="dxa"/>
            <w:vAlign w:val="bottom"/>
            <w:gridSpan w:val="2"/>
          </w:tcPr>
          <w:p>
            <w:pPr>
              <w:ind w:left="200"/>
              <w:spacing w:after="0"/>
              <w:rPr>
                <w:sz w:val="20"/>
                <w:szCs w:val="20"/>
                <w:color w:val="auto"/>
              </w:rPr>
            </w:pPr>
            <w:r>
              <w:rPr>
                <w:rFonts w:ascii="Arial" w:cs="Arial" w:eastAsia="Arial" w:hAnsi="Arial"/>
                <w:sz w:val="15"/>
                <w:szCs w:val="15"/>
                <w:color w:val="auto"/>
              </w:rPr>
              <w:t xml:space="preserve">Interest on financing obligations </w:t>
            </w:r>
            <w:r>
              <w:rPr>
                <w:rFonts w:ascii="Arial" w:cs="Arial" w:eastAsia="Arial" w:hAnsi="Arial"/>
                <w:sz w:val="20"/>
                <w:szCs w:val="20"/>
                <w:color w:val="auto"/>
                <w:vertAlign w:val="superscript"/>
              </w:rPr>
              <w:t>(4)</w:t>
            </w:r>
          </w:p>
        </w:tc>
        <w:tc>
          <w:tcPr>
            <w:tcW w:w="5040" w:type="dxa"/>
            <w:vAlign w:val="bottom"/>
            <w:gridSpan w:val="2"/>
          </w:tcPr>
          <w:p>
            <w:pPr>
              <w:jc w:val="center"/>
              <w:ind w:right="100"/>
              <w:spacing w:after="0"/>
              <w:rPr>
                <w:sz w:val="20"/>
                <w:szCs w:val="20"/>
                <w:color w:val="auto"/>
              </w:rPr>
            </w:pPr>
            <w:r>
              <w:rPr>
                <w:rFonts w:ascii="Arial" w:cs="Arial" w:eastAsia="Arial" w:hAnsi="Arial"/>
                <w:sz w:val="15"/>
                <w:szCs w:val="15"/>
                <w:color w:val="auto"/>
                <w:w w:val="89"/>
              </w:rPr>
              <w:t>Interest expense, net</w:t>
            </w:r>
          </w:p>
        </w:tc>
        <w:tc>
          <w:tcPr>
            <w:tcW w:w="10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320" w:type="dxa"/>
            <w:vAlign w:val="bottom"/>
          </w:tcPr>
          <w:p>
            <w:pPr>
              <w:jc w:val="right"/>
              <w:spacing w:after="0"/>
              <w:rPr>
                <w:sz w:val="20"/>
                <w:szCs w:val="20"/>
                <w:color w:val="auto"/>
              </w:rPr>
            </w:pPr>
            <w:r>
              <w:rPr>
                <w:rFonts w:ascii="Arial" w:cs="Arial" w:eastAsia="Arial" w:hAnsi="Arial"/>
                <w:sz w:val="15"/>
                <w:szCs w:val="15"/>
                <w:color w:val="auto"/>
              </w:rPr>
              <w:t>102.6</w:t>
            </w:r>
          </w:p>
        </w:tc>
        <w:tc>
          <w:tcPr>
            <w:tcW w:w="120" w:type="dxa"/>
            <w:vAlign w:val="bottom"/>
          </w:tcPr>
          <w:p>
            <w:pPr>
              <w:spacing w:after="0"/>
              <w:rPr>
                <w:sz w:val="23"/>
                <w:szCs w:val="23"/>
                <w:color w:val="auto"/>
              </w:rPr>
            </w:pPr>
          </w:p>
        </w:tc>
        <w:tc>
          <w:tcPr>
            <w:tcW w:w="340" w:type="dxa"/>
            <w:vAlign w:val="bottom"/>
          </w:tcPr>
          <w:p>
            <w:pPr>
              <w:jc w:val="right"/>
              <w:ind w:right="183"/>
              <w:spacing w:after="0"/>
              <w:rPr>
                <w:sz w:val="20"/>
                <w:szCs w:val="20"/>
                <w:color w:val="auto"/>
              </w:rPr>
            </w:pPr>
            <w:r>
              <w:rPr>
                <w:rFonts w:ascii="Arial" w:cs="Arial" w:eastAsia="Arial" w:hAnsi="Arial"/>
                <w:sz w:val="15"/>
                <w:szCs w:val="15"/>
                <w:color w:val="auto"/>
                <w:w w:val="71"/>
              </w:rPr>
              <w:t>$</w:t>
            </w:r>
          </w:p>
        </w:tc>
        <w:tc>
          <w:tcPr>
            <w:tcW w:w="1180" w:type="dxa"/>
            <w:vAlign w:val="bottom"/>
          </w:tcPr>
          <w:p>
            <w:pPr>
              <w:jc w:val="right"/>
              <w:spacing w:after="0"/>
              <w:rPr>
                <w:sz w:val="20"/>
                <w:szCs w:val="20"/>
                <w:color w:val="auto"/>
              </w:rPr>
            </w:pPr>
            <w:r>
              <w:rPr>
                <w:rFonts w:ascii="Arial" w:cs="Arial" w:eastAsia="Arial" w:hAnsi="Arial"/>
                <w:sz w:val="15"/>
                <w:szCs w:val="15"/>
                <w:color w:val="auto"/>
              </w:rPr>
              <w:t>97.4</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78" w:lineRule="exact"/>
        <w:rPr>
          <w:sz w:val="20"/>
          <w:szCs w:val="20"/>
          <w:color w:val="auto"/>
        </w:rPr>
      </w:pPr>
    </w:p>
    <w:p>
      <w:pPr>
        <w:ind w:left="620" w:right="140" w:hanging="307"/>
        <w:spacing w:after="0"/>
        <w:tabs>
          <w:tab w:leader="none" w:pos="612" w:val="left"/>
        </w:tabs>
        <w:numPr>
          <w:ilvl w:val="0"/>
          <w:numId w:val="10"/>
        </w:numPr>
        <w:rPr>
          <w:rFonts w:ascii="Arial" w:cs="Arial" w:eastAsia="Arial" w:hAnsi="Arial"/>
          <w:sz w:val="14"/>
          <w:szCs w:val="14"/>
          <w:color w:val="auto"/>
        </w:rPr>
      </w:pPr>
      <w:r>
        <w:rPr>
          <w:rFonts w:ascii="Arial" w:cs="Arial" w:eastAsia="Arial" w:hAnsi="Arial"/>
          <w:sz w:val="14"/>
          <w:szCs w:val="14"/>
          <w:color w:val="auto"/>
        </w:rPr>
        <w:t>Pertains to the operating lease components contained within the Master Leases (primarily land), the Meadows Lease, the Margaritaville Lease, the Greektown Lease, and the Tropicana Lease, inclusive of the variable expense associated with Columbus and Toledo for the operating lease components (the land), which was $3.2 million and $3.1 million for the three months ended March 31, 2021 and 2020, respectively.</w:t>
      </w:r>
    </w:p>
    <w:p>
      <w:pPr>
        <w:spacing w:after="0" w:line="32" w:lineRule="exact"/>
        <w:rPr>
          <w:rFonts w:ascii="Arial" w:cs="Arial" w:eastAsia="Arial" w:hAnsi="Arial"/>
          <w:sz w:val="14"/>
          <w:szCs w:val="14"/>
          <w:color w:val="auto"/>
        </w:rPr>
      </w:pPr>
    </w:p>
    <w:p>
      <w:pPr>
        <w:ind w:left="620" w:hanging="307"/>
        <w:spacing w:after="0"/>
        <w:tabs>
          <w:tab w:leader="none" w:pos="620" w:val="left"/>
        </w:tabs>
        <w:numPr>
          <w:ilvl w:val="0"/>
          <w:numId w:val="10"/>
        </w:numPr>
        <w:rPr>
          <w:rFonts w:ascii="Arial" w:cs="Arial" w:eastAsia="Arial" w:hAnsi="Arial"/>
          <w:sz w:val="13"/>
          <w:szCs w:val="13"/>
          <w:color w:val="auto"/>
        </w:rPr>
      </w:pPr>
      <w:r>
        <w:rPr>
          <w:rFonts w:ascii="Arial" w:cs="Arial" w:eastAsia="Arial" w:hAnsi="Arial"/>
          <w:sz w:val="13"/>
          <w:szCs w:val="13"/>
          <w:color w:val="auto"/>
        </w:rPr>
        <w:t>Excludes the operating lease costs and variable lease costs pertaining to our triple net leases with our REIT landlords classified as operating leases, discussed in footnote (1) above.</w:t>
      </w:r>
    </w:p>
    <w:p>
      <w:pPr>
        <w:spacing w:after="0" w:line="56" w:lineRule="exact"/>
        <w:rPr>
          <w:rFonts w:ascii="Arial" w:cs="Arial" w:eastAsia="Arial" w:hAnsi="Arial"/>
          <w:sz w:val="13"/>
          <w:szCs w:val="13"/>
          <w:color w:val="auto"/>
        </w:rPr>
      </w:pPr>
    </w:p>
    <w:p>
      <w:pPr>
        <w:ind w:left="620" w:hanging="307"/>
        <w:spacing w:after="0"/>
        <w:tabs>
          <w:tab w:leader="none" w:pos="620" w:val="left"/>
        </w:tabs>
        <w:numPr>
          <w:ilvl w:val="0"/>
          <w:numId w:val="10"/>
        </w:numPr>
        <w:rPr>
          <w:rFonts w:ascii="Arial" w:cs="Arial" w:eastAsia="Arial" w:hAnsi="Arial"/>
          <w:sz w:val="14"/>
          <w:szCs w:val="14"/>
          <w:color w:val="auto"/>
        </w:rPr>
      </w:pPr>
      <w:r>
        <w:rPr>
          <w:rFonts w:ascii="Arial" w:cs="Arial" w:eastAsia="Arial" w:hAnsi="Arial"/>
          <w:sz w:val="14"/>
          <w:szCs w:val="14"/>
          <w:color w:val="auto"/>
        </w:rPr>
        <w:t>Pertains to the Dayton and Mahoning Valley finance leases.</w:t>
      </w:r>
    </w:p>
    <w:p>
      <w:pPr>
        <w:spacing w:after="0" w:line="45" w:lineRule="exact"/>
        <w:rPr>
          <w:rFonts w:ascii="Arial" w:cs="Arial" w:eastAsia="Arial" w:hAnsi="Arial"/>
          <w:sz w:val="14"/>
          <w:szCs w:val="14"/>
          <w:color w:val="auto"/>
        </w:rPr>
      </w:pPr>
    </w:p>
    <w:p>
      <w:pPr>
        <w:ind w:left="620" w:right="20" w:hanging="307"/>
        <w:spacing w:after="0" w:line="384" w:lineRule="auto"/>
        <w:tabs>
          <w:tab w:leader="none" w:pos="612" w:val="left"/>
        </w:tabs>
        <w:numPr>
          <w:ilvl w:val="0"/>
          <w:numId w:val="10"/>
        </w:numPr>
        <w:rPr>
          <w:rFonts w:ascii="Arial" w:cs="Arial" w:eastAsia="Arial" w:hAnsi="Arial"/>
          <w:sz w:val="11"/>
          <w:szCs w:val="11"/>
          <w:color w:val="auto"/>
        </w:rPr>
      </w:pPr>
      <w:r>
        <w:rPr>
          <w:rFonts w:ascii="Arial" w:cs="Arial" w:eastAsia="Arial" w:hAnsi="Arial"/>
          <w:sz w:val="11"/>
          <w:szCs w:val="11"/>
          <w:color w:val="auto"/>
        </w:rPr>
        <w:t>Pertains to the components contained within the Master Leases (primarily buildings) and Morgantown Lease determined to be financing obligations, inclusive of the variable expense associated with Columbus and Toledo for the finance lease components (the buildings), which was $3.0 million and $3.4 million for the three months ended March 31, 2021 and 2020, respectively.</w:t>
      </w:r>
    </w:p>
    <w:p>
      <w:pPr>
        <w:spacing w:after="0" w:line="36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10—Investments in and Advances to Unconsolidated Affiliates</w:t>
      </w:r>
    </w:p>
    <w:p>
      <w:pPr>
        <w:spacing w:after="0" w:line="184" w:lineRule="exact"/>
        <w:rPr>
          <w:sz w:val="20"/>
          <w:szCs w:val="20"/>
          <w:color w:val="auto"/>
        </w:rPr>
      </w:pPr>
    </w:p>
    <w:p>
      <w:pPr>
        <w:jc w:val="both"/>
        <w:ind w:right="40" w:firstLine="309"/>
        <w:spacing w:after="0" w:line="266" w:lineRule="auto"/>
        <w:rPr>
          <w:sz w:val="20"/>
          <w:szCs w:val="20"/>
          <w:color w:val="auto"/>
        </w:rPr>
      </w:pPr>
      <w:r>
        <w:rPr>
          <w:rFonts w:ascii="Arial" w:cs="Arial" w:eastAsia="Arial" w:hAnsi="Arial"/>
          <w:sz w:val="17"/>
          <w:szCs w:val="17"/>
          <w:color w:val="auto"/>
        </w:rPr>
        <w:t>As of March 31, 2021, investments in and advances to unconsolidated affiliates primarily consisted of the Company’s 36% interest in Barstool Sports; its 50% investment in Kansas Entertainment, the JV with NASCAR that owns Hollywood Casino at Kansas Speedway; its 50% interest in Freehold Raceway; and its 50% JV with MAXXAM, Inc. (“MAXXAM”) that owns and operates racetracks in Texas.</w:t>
      </w:r>
    </w:p>
    <w:p>
      <w:pPr>
        <w:spacing w:after="0" w:line="20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Investment in Barstool Sports</w:t>
      </w:r>
    </w:p>
    <w:p>
      <w:pPr>
        <w:spacing w:after="0" w:line="178" w:lineRule="exact"/>
        <w:rPr>
          <w:sz w:val="20"/>
          <w:szCs w:val="20"/>
          <w:color w:val="auto"/>
        </w:rPr>
      </w:pPr>
    </w:p>
    <w:p>
      <w:pPr>
        <w:ind w:right="20" w:firstLine="309"/>
        <w:spacing w:after="0" w:line="274" w:lineRule="auto"/>
        <w:rPr>
          <w:sz w:val="20"/>
          <w:szCs w:val="20"/>
          <w:color w:val="auto"/>
        </w:rPr>
      </w:pPr>
      <w:r>
        <w:rPr>
          <w:rFonts w:ascii="Arial" w:cs="Arial" w:eastAsia="Arial" w:hAnsi="Arial"/>
          <w:sz w:val="16"/>
          <w:szCs w:val="16"/>
          <w:color w:val="auto"/>
        </w:rPr>
        <w:t>In February 2020, we closed on our investment in Barstool Sports pursuant to a stock purchase agreement with Barstool Sports and certain stockholders of Barstool Sports, in which we purchased 36% (inclusive of 1% on a delayed basis) of the common stock, par value $0.0001 per share, of Barstool Sports for a purchase price of $161.2 million. The purchase price consisted of $135.0 million in cash and $23.1 million in shares of a new class of non-voting convertible preferred stock of the Company (as discussed below). Within the three years after the closing of the transaction or earlier at our election, we will increase our ownership in Barstool Sports to approximately 50% by purchasing approximately $62.0 million worth of additional shares of Barstool Sports common stock, consistent with the implied valuation at the time of the initial investment, which was $450.0 million. With respect to the remaining Barstool Sports shares, we have immediately exercisable call rights, and the existing Barstool Sports stockholders have put rights exercisable beginning three years after closing, all based on a fair market value calculation at the time of exercise (subject to a cap of $650.0 million and, subject to such cap, a floor of 2.25 times the annualized revenue of Barstool Sports, all subject to various adjustments).</w:t>
      </w:r>
    </w:p>
    <w:p>
      <w:pPr>
        <w:spacing w:after="0" w:line="146" w:lineRule="exact"/>
        <w:rPr>
          <w:sz w:val="20"/>
          <w:szCs w:val="20"/>
          <w:color w:val="auto"/>
        </w:rPr>
      </w:pPr>
    </w:p>
    <w:p>
      <w:pPr>
        <w:ind w:right="80" w:firstLine="309"/>
        <w:spacing w:after="0" w:line="283" w:lineRule="auto"/>
        <w:rPr>
          <w:sz w:val="20"/>
          <w:szCs w:val="20"/>
          <w:color w:val="auto"/>
        </w:rPr>
      </w:pPr>
      <w:r>
        <w:rPr>
          <w:rFonts w:ascii="Arial" w:cs="Arial" w:eastAsia="Arial" w:hAnsi="Arial"/>
          <w:sz w:val="16"/>
          <w:szCs w:val="16"/>
          <w:color w:val="auto"/>
        </w:rPr>
        <w:t>On February 20, 2020, the Company issued 883 shares of Series D Preferred Stock, par value $0.01 (the "Series D Preferred Stock") to certain individual stockholders affiliated with Barstool Sports. 1/1,000th of a share of Series D Preferred Stock is convertible into one share of Penn Common Stock. The Series D Preferred Stock will be entitled to participate equally and ratably in all dividends and distributions paid to holders of Penn Common Stock based on the number of shares of Penn Common Stock into which such Series D Preferred Stock could convert. Series D Preferred Stock is nonvoting stock. The</w:t>
      </w: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182245</wp:posOffset>
            </wp:positionV>
            <wp:extent cx="7164070" cy="419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1" w:name="page22"/>
    <w:bookmarkEnd w:id="21"/>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339" w:lineRule="exact"/>
        <w:rPr>
          <w:sz w:val="20"/>
          <w:szCs w:val="20"/>
          <w:color w:val="auto"/>
        </w:rPr>
      </w:pPr>
    </w:p>
    <w:p>
      <w:pPr>
        <w:ind w:right="200"/>
        <w:spacing w:after="0" w:line="290" w:lineRule="auto"/>
        <w:rPr>
          <w:sz w:val="20"/>
          <w:szCs w:val="20"/>
          <w:color w:val="auto"/>
        </w:rPr>
      </w:pPr>
      <w:r>
        <w:rPr>
          <w:rFonts w:ascii="Arial" w:cs="Arial" w:eastAsia="Arial" w:hAnsi="Arial"/>
          <w:sz w:val="16"/>
          <w:szCs w:val="16"/>
          <w:color w:val="auto"/>
        </w:rPr>
        <w:t>Series D Preferred Stock issued to certain individual stockholders affiliated with Barstool Sports will be available for conversion into Penn Common Stock in tranches over four years as stipulated in the stock purchase agreement, with the first 20% tranche being available for conversion into Penn Common Stock in the first quarter of 2021. As of March 31, 2021, 26 shares of the Series D Preferred Stock can be converted into Penn Common Stock.</w:t>
      </w:r>
    </w:p>
    <w:p>
      <w:pPr>
        <w:spacing w:after="0" w:line="184" w:lineRule="exact"/>
        <w:rPr>
          <w:sz w:val="20"/>
          <w:szCs w:val="20"/>
          <w:color w:val="auto"/>
        </w:rPr>
      </w:pPr>
    </w:p>
    <w:p>
      <w:pPr>
        <w:ind w:firstLine="309"/>
        <w:spacing w:after="0" w:line="283" w:lineRule="auto"/>
        <w:rPr>
          <w:rFonts w:ascii="Arial" w:cs="Arial" w:eastAsia="Arial" w:hAnsi="Arial"/>
          <w:sz w:val="16"/>
          <w:szCs w:val="16"/>
          <w:color w:val="auto"/>
        </w:rPr>
      </w:pPr>
      <w:r>
        <w:rPr>
          <w:rFonts w:ascii="Arial" w:cs="Arial" w:eastAsia="Arial" w:hAnsi="Arial"/>
          <w:sz w:val="16"/>
          <w:szCs w:val="16"/>
          <w:color w:val="auto"/>
        </w:rPr>
        <w:t xml:space="preserve">During the quarter ended March 31, 2021, the Company acquired 0.3% of Barstool Sports common stock, par value $0.0001 per share, as contemplated within the February 2020 stock purchase agreement which represents a partial settlement of the 1% purchase on a delayed basis as noted above. The acquisition of the acquired Barstool Sports common stock was settled through a predetermined number of Series D Preferred Stock as contained within the stock purchase agreement (see </w:t>
      </w:r>
      <w:hyperlink w:anchor="page23">
        <w:r>
          <w:rPr>
            <w:rFonts w:ascii="Arial" w:cs="Arial" w:eastAsia="Arial" w:hAnsi="Arial"/>
            <w:sz w:val="16"/>
            <w:szCs w:val="16"/>
            <w:u w:val="single" w:color="auto"/>
            <w:color w:val="0000FF"/>
          </w:rPr>
          <w:t>Note 13, "Stockholders’ Equity and Stock-Based Compensation,"</w:t>
        </w:r>
        <w:r>
          <w:rPr>
            <w:rFonts w:ascii="Arial" w:cs="Arial" w:eastAsia="Arial" w:hAnsi="Arial"/>
            <w:sz w:val="16"/>
            <w:szCs w:val="16"/>
            <w:u w:val="single" w:color="auto"/>
            <w:color w:val="auto"/>
          </w:rPr>
          <w:t xml:space="preserve"> </w:t>
        </w:r>
      </w:hyperlink>
      <w:r>
        <w:rPr>
          <w:rFonts w:ascii="Arial" w:cs="Arial" w:eastAsia="Arial" w:hAnsi="Arial"/>
          <w:sz w:val="16"/>
          <w:szCs w:val="16"/>
          <w:color w:val="auto"/>
        </w:rPr>
        <w:t>for further information).</w:t>
      </w:r>
    </w:p>
    <w:p>
      <w:pPr>
        <w:spacing w:after="0" w:line="189" w:lineRule="exact"/>
        <w:rPr>
          <w:sz w:val="20"/>
          <w:szCs w:val="20"/>
          <w:color w:val="auto"/>
        </w:rPr>
      </w:pPr>
    </w:p>
    <w:p>
      <w:pPr>
        <w:ind w:right="100" w:firstLine="309"/>
        <w:spacing w:after="0" w:line="318" w:lineRule="auto"/>
        <w:rPr>
          <w:sz w:val="20"/>
          <w:szCs w:val="20"/>
          <w:color w:val="auto"/>
        </w:rPr>
      </w:pPr>
      <w:r>
        <w:rPr>
          <w:rFonts w:ascii="Arial" w:cs="Arial" w:eastAsia="Arial" w:hAnsi="Arial"/>
          <w:sz w:val="15"/>
          <w:szCs w:val="15"/>
          <w:color w:val="auto"/>
        </w:rPr>
        <w:t>As a part of the stock purchase agreement, we entered into a commercial agreement that provides us with access to Barstool Sports’ customer list and exclusive advertising on the Barstool Sports platform over the term of the agreement. The initial term of the commercial agreement is ten years and, unless earlier terminated and subject to certain exceptions, will automatically renew for three additional ten-year terms (a total of 40 years assuming all renewals are exercised).</w:t>
      </w:r>
    </w:p>
    <w:p>
      <w:pPr>
        <w:spacing w:after="0" w:line="101" w:lineRule="exact"/>
        <w:rPr>
          <w:sz w:val="20"/>
          <w:szCs w:val="20"/>
          <w:color w:val="auto"/>
        </w:rPr>
      </w:pPr>
    </w:p>
    <w:p>
      <w:pPr>
        <w:ind w:right="140" w:firstLine="309"/>
        <w:spacing w:after="0" w:line="262" w:lineRule="auto"/>
        <w:rPr>
          <w:sz w:val="20"/>
          <w:szCs w:val="20"/>
          <w:color w:val="auto"/>
        </w:rPr>
      </w:pPr>
      <w:r>
        <w:rPr>
          <w:rFonts w:ascii="Arial" w:cs="Arial" w:eastAsia="Arial" w:hAnsi="Arial"/>
          <w:sz w:val="17"/>
          <w:szCs w:val="17"/>
          <w:color w:val="auto"/>
        </w:rPr>
        <w:t>As of March 31, 2021 and December 31, 2020, we have an amortizing intangible asset pertaining to the customer list of $1.4 million and $1.6 million, respectively. As of March 31, 2021 and December 31, 2020, we have a prepaid expense pertaining to the advertising in the amount of $16.3 million, and $16.5 million respectively, of which $15.2 million and $15.4 million was classified as long-term, respectively. The long-term portion of the prepaid advertising expense is included in “Other assets” within our unaudited Consolidated Balance Sheets.</w:t>
      </w:r>
    </w:p>
    <w:p>
      <w:pPr>
        <w:spacing w:after="0" w:line="152" w:lineRule="exact"/>
        <w:rPr>
          <w:sz w:val="20"/>
          <w:szCs w:val="20"/>
          <w:color w:val="auto"/>
        </w:rPr>
      </w:pPr>
    </w:p>
    <w:p>
      <w:pPr>
        <w:ind w:right="660" w:firstLine="309"/>
        <w:spacing w:after="0" w:line="279" w:lineRule="auto"/>
        <w:rPr>
          <w:sz w:val="20"/>
          <w:szCs w:val="20"/>
          <w:color w:val="auto"/>
        </w:rPr>
      </w:pPr>
      <w:r>
        <w:rPr>
          <w:rFonts w:ascii="Arial" w:cs="Arial" w:eastAsia="Arial" w:hAnsi="Arial"/>
          <w:sz w:val="17"/>
          <w:szCs w:val="17"/>
          <w:color w:val="auto"/>
        </w:rPr>
        <w:t>As of March 31, 2021 and December 31, 2020, our investment in Barstool Sports was $154.6 million and $147.5 million, respectively. We record our proportionate share of Barstool Sports’ net income or loss one quarter in arrears.</w:t>
      </w:r>
    </w:p>
    <w:p>
      <w:pPr>
        <w:spacing w:after="0" w:line="126" w:lineRule="exact"/>
        <w:rPr>
          <w:sz w:val="20"/>
          <w:szCs w:val="20"/>
          <w:color w:val="auto"/>
        </w:rPr>
      </w:pPr>
    </w:p>
    <w:p>
      <w:pPr>
        <w:ind w:right="240" w:firstLine="309"/>
        <w:spacing w:after="0" w:line="259" w:lineRule="auto"/>
        <w:rPr>
          <w:sz w:val="20"/>
          <w:szCs w:val="20"/>
          <w:color w:val="auto"/>
        </w:rPr>
      </w:pPr>
      <w:r>
        <w:rPr>
          <w:rFonts w:ascii="Arial" w:cs="Arial" w:eastAsia="Arial" w:hAnsi="Arial"/>
          <w:sz w:val="17"/>
          <w:szCs w:val="17"/>
          <w:color w:val="auto"/>
        </w:rPr>
        <w:t>The Company determined that Barstool Sports qualified as a VIE as of March 31, 2021 and December 31, 2020. The Company did not consolidate the financial position of Barstool Sports as of March 31, 2021 and December 31, 2020, nor the results of operations for the three months ended March 31, 2021 and 2020, as the Company determined that it did not qualify as the primary beneficiary of Barstool Sports either at the commencement date of its investment or for subsequent periods, primarily as a result of the Company not having the power to direct the activities of the VIE that most significantly affect Barstool Sports’ economic performance.</w:t>
      </w:r>
    </w:p>
    <w:p>
      <w:pPr>
        <w:spacing w:after="0" w:line="14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Kansas Joint Venture</w:t>
      </w:r>
    </w:p>
    <w:p>
      <w:pPr>
        <w:spacing w:after="0" w:line="191" w:lineRule="exact"/>
        <w:rPr>
          <w:sz w:val="20"/>
          <w:szCs w:val="20"/>
          <w:color w:val="auto"/>
        </w:rPr>
      </w:pPr>
    </w:p>
    <w:p>
      <w:pPr>
        <w:ind w:right="80" w:firstLine="309"/>
        <w:spacing w:after="0" w:line="318" w:lineRule="auto"/>
        <w:rPr>
          <w:sz w:val="20"/>
          <w:szCs w:val="20"/>
          <w:color w:val="auto"/>
        </w:rPr>
      </w:pPr>
      <w:r>
        <w:rPr>
          <w:rFonts w:ascii="Arial" w:cs="Arial" w:eastAsia="Arial" w:hAnsi="Arial"/>
          <w:sz w:val="15"/>
          <w:szCs w:val="15"/>
          <w:color w:val="auto"/>
        </w:rPr>
        <w:t>As of March 31, 2021 and December 31, 2020, our investment in Kansas Entertainment was $85.9 million and $85.2 million, respectively. During the three months ended March 31, 2021 and 2020, the Company received distributions from Kansas Entertainment totaling $5.5 million and $8.7 million, respectively, which the Company deemed to be returns on its investment based on the source of those cash flows from the normal business operations of Kansas Entertainment.</w:t>
      </w:r>
    </w:p>
    <w:p>
      <w:pPr>
        <w:spacing w:after="0" w:line="101" w:lineRule="exact"/>
        <w:rPr>
          <w:sz w:val="20"/>
          <w:szCs w:val="20"/>
          <w:color w:val="auto"/>
        </w:rPr>
      </w:pPr>
    </w:p>
    <w:p>
      <w:pPr>
        <w:ind w:firstLine="309"/>
        <w:spacing w:after="0" w:line="283" w:lineRule="auto"/>
        <w:rPr>
          <w:sz w:val="20"/>
          <w:szCs w:val="20"/>
          <w:color w:val="auto"/>
        </w:rPr>
      </w:pPr>
      <w:r>
        <w:rPr>
          <w:rFonts w:ascii="Arial" w:cs="Arial" w:eastAsia="Arial" w:hAnsi="Arial"/>
          <w:sz w:val="16"/>
          <w:szCs w:val="16"/>
          <w:color w:val="auto"/>
        </w:rPr>
        <w:t>The Company has determined that Kansas Entertainment does not qualify as a VIE. Using the guidance for entities that are not VIEs, the Company determined that it did not have a controlling financial interest in the JV, primarily as it did not have the ability to direct the activities of the JV that most significantly impacted the JV’s economic performance without the input of NASCAR. Therefore, the Company did not consolidate the financial position of Kansas Entertainment as of March 31, 2021 and December 31, 2020, nor the results of operations for the three months ended March 31, 2021 and 2020.</w:t>
      </w:r>
    </w:p>
    <w:p>
      <w:pPr>
        <w:spacing w:after="0" w:line="12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Texas Joint Venture</w:t>
      </w:r>
    </w:p>
    <w:p>
      <w:pPr>
        <w:spacing w:after="0" w:line="191" w:lineRule="exact"/>
        <w:rPr>
          <w:sz w:val="20"/>
          <w:szCs w:val="20"/>
          <w:color w:val="auto"/>
        </w:rPr>
      </w:pPr>
    </w:p>
    <w:p>
      <w:pPr>
        <w:ind w:right="80" w:firstLine="309"/>
        <w:spacing w:after="0" w:line="279" w:lineRule="auto"/>
        <w:rPr>
          <w:sz w:val="20"/>
          <w:szCs w:val="20"/>
          <w:color w:val="auto"/>
        </w:rPr>
      </w:pPr>
      <w:r>
        <w:rPr>
          <w:rFonts w:ascii="Arial" w:cs="Arial" w:eastAsia="Arial" w:hAnsi="Arial"/>
          <w:sz w:val="17"/>
          <w:szCs w:val="17"/>
          <w:color w:val="auto"/>
        </w:rPr>
        <w:t>The Company has a 50% interest in a JV with MAXXAM, which owns and operates the Sam Houston Race Park in Houston, Texas and the Valley Race Park in Harlingen, Texas, and holds a license for a racetrack in Austin, Texas.</w:t>
      </w:r>
    </w:p>
    <w:p>
      <w:pPr>
        <w:spacing w:after="0" w:line="190" w:lineRule="exact"/>
        <w:rPr>
          <w:sz w:val="20"/>
          <w:szCs w:val="20"/>
          <w:color w:val="auto"/>
        </w:rPr>
      </w:pPr>
    </w:p>
    <w:p>
      <w:pPr>
        <w:ind w:firstLine="309"/>
        <w:spacing w:after="0" w:line="349" w:lineRule="auto"/>
        <w:rPr>
          <w:rFonts w:ascii="Arial" w:cs="Arial" w:eastAsia="Arial" w:hAnsi="Arial"/>
          <w:sz w:val="15"/>
          <w:szCs w:val="15"/>
          <w:color w:val="auto"/>
        </w:rPr>
      </w:pPr>
      <w:r>
        <w:rPr>
          <w:rFonts w:ascii="Arial" w:cs="Arial" w:eastAsia="Arial" w:hAnsi="Arial"/>
          <w:sz w:val="15"/>
          <w:szCs w:val="15"/>
          <w:color w:val="auto"/>
        </w:rPr>
        <w:t xml:space="preserve">On March 15, 2021, the Company entered into a purchase agreement to purchase the remaining 50% ownership interest in the Sam Houston Race Park and the Valley Race Park located in Texas as well as a license to operate a racetrack in Austin, Texas. See </w:t>
      </w:r>
      <w:hyperlink w:anchor="page13">
        <w:r>
          <w:rPr>
            <w:rFonts w:ascii="Arial" w:cs="Arial" w:eastAsia="Arial" w:hAnsi="Arial"/>
            <w:sz w:val="15"/>
            <w:szCs w:val="15"/>
            <w:u w:val="single" w:color="auto"/>
            <w:color w:val="0000FF"/>
          </w:rPr>
          <w:t>Note 6, "Acquisitions and Dispositions"</w:t>
        </w:r>
        <w:r>
          <w:rPr>
            <w:rFonts w:ascii="Arial" w:cs="Arial" w:eastAsia="Arial" w:hAnsi="Arial"/>
            <w:sz w:val="15"/>
            <w:szCs w:val="15"/>
            <w:u w:val="single" w:color="auto"/>
            <w:color w:val="auto"/>
          </w:rPr>
          <w:t xml:space="preserve"> </w:t>
        </w:r>
      </w:hyperlink>
      <w:r>
        <w:rPr>
          <w:rFonts w:ascii="Arial" w:cs="Arial" w:eastAsia="Arial" w:hAnsi="Arial"/>
          <w:sz w:val="15"/>
          <w:szCs w:val="15"/>
          <w:color w:val="auto"/>
        </w:rPr>
        <w:t>for further information.</w:t>
      </w:r>
    </w:p>
    <w:p>
      <w:pPr>
        <w:spacing w:after="0" w:line="143" w:lineRule="exact"/>
        <w:rPr>
          <w:sz w:val="20"/>
          <w:szCs w:val="20"/>
          <w:color w:val="auto"/>
        </w:rPr>
      </w:pPr>
    </w:p>
    <w:p>
      <w:pPr>
        <w:ind w:right="40" w:firstLine="309"/>
        <w:spacing w:after="0" w:line="266" w:lineRule="auto"/>
        <w:rPr>
          <w:sz w:val="20"/>
          <w:szCs w:val="20"/>
          <w:color w:val="auto"/>
        </w:rPr>
      </w:pPr>
      <w:r>
        <w:rPr>
          <w:rFonts w:ascii="Arial" w:cs="Arial" w:eastAsia="Arial" w:hAnsi="Arial"/>
          <w:sz w:val="17"/>
          <w:szCs w:val="17"/>
          <w:color w:val="auto"/>
        </w:rPr>
        <w:t>During the three months ended March 31, 2020, we recorded an other-than-temporary impairment on our investment in the JV of $4.6 million, which is included in “Impairment losses” within our unaudited Consolidated Statements of Operations and Comprehensive Income (Loss). No impairment was recorded for the three months ended March 31, 2021.</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182245</wp:posOffset>
            </wp:positionV>
            <wp:extent cx="7164070" cy="419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2" w:name="page23"/>
    <w:bookmarkEnd w:id="22"/>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11—Income Taxes</w:t>
      </w:r>
    </w:p>
    <w:p>
      <w:pPr>
        <w:spacing w:after="0" w:line="184" w:lineRule="exact"/>
        <w:rPr>
          <w:sz w:val="20"/>
          <w:szCs w:val="20"/>
          <w:color w:val="auto"/>
        </w:rPr>
      </w:pPr>
    </w:p>
    <w:p>
      <w:pPr>
        <w:ind w:right="40" w:firstLine="309"/>
        <w:spacing w:after="0" w:line="257" w:lineRule="auto"/>
        <w:rPr>
          <w:sz w:val="20"/>
          <w:szCs w:val="20"/>
          <w:color w:val="auto"/>
        </w:rPr>
      </w:pPr>
      <w:r>
        <w:rPr>
          <w:rFonts w:ascii="Arial" w:cs="Arial" w:eastAsia="Arial" w:hAnsi="Arial"/>
          <w:sz w:val="17"/>
          <w:szCs w:val="17"/>
          <w:color w:val="auto"/>
        </w:rPr>
        <w:t>The Company calculates the provision for income taxes during interim reporting periods by applying an estimate of the annual effective tax rate to its year-to-date pretax book income or loss. The tax effects of discrete items, including but not limited to, excess tax benefits associated with stock-based compensation, are reported in the interim period in which they occur. The effective tax rate (income taxes as a percentage of income or loss before income taxes) including discrete items was 18.5% for the three months ended March 31, 2021, as compared to 14.1% for the three months ended March 31, 2020. Our effective income tax rate can vary from period to period depending on, among other factors, the geographic and business mix of our earnings, changes to our valuation allowance and the level of our tax credits. Certain of these and other factors, including our history and projections of pretax earnings, are considered in assessing our ability to realize our net deferred tax assets.</w:t>
      </w:r>
    </w:p>
    <w:p>
      <w:pPr>
        <w:spacing w:after="0" w:line="159" w:lineRule="exact"/>
        <w:rPr>
          <w:sz w:val="20"/>
          <w:szCs w:val="20"/>
          <w:color w:val="auto"/>
        </w:rPr>
      </w:pPr>
    </w:p>
    <w:p>
      <w:pPr>
        <w:ind w:firstLine="309"/>
        <w:spacing w:after="0" w:line="275" w:lineRule="auto"/>
        <w:rPr>
          <w:sz w:val="20"/>
          <w:szCs w:val="20"/>
          <w:color w:val="auto"/>
        </w:rPr>
      </w:pPr>
      <w:r>
        <w:rPr>
          <w:rFonts w:ascii="Arial" w:cs="Arial" w:eastAsia="Arial" w:hAnsi="Arial"/>
          <w:sz w:val="16"/>
          <w:szCs w:val="16"/>
          <w:color w:val="auto"/>
        </w:rPr>
        <w:t>As of each reporting date, the Company considers all available positive and negative evidence that could affect its view of the future realization of deferred tax assets pursuant to ASC Topic 740, “Income Taxes.” As of March 31, 2021, we intend to continue maintaining a valuation allowance on our deferred tax assets until there is sufficient positive evidence to support the reversal of all or some portion of these allowances. A reduction in the valuation allowance would result in a significant decrease to income tax expense in the period the release is recorded. However, the exact timing and amount of the reduction in our valuation allowance are unknown at this time and will be subject to the earnings level we achieve in 2021 as well as our projected income levels in future periods. During the three months ended March 31, 2021, the Company increased the valuation allowance in the amount of $5.3 million on certain federal and state deferred tax assets that are not more likely than not to be realized. As of March 31, 2021 and December 31, 2020, prepaid income taxes of $32.5 million and $52.7 million, respectively, were included in “Prepaid expenses” within our unaudited Consolidated Balance Sheets.</w:t>
      </w:r>
    </w:p>
    <w:p>
      <w:pPr>
        <w:spacing w:after="0" w:line="35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12—Commitments and Contingencies</w:t>
      </w:r>
    </w:p>
    <w:p>
      <w:pPr>
        <w:spacing w:after="0" w:line="184" w:lineRule="exact"/>
        <w:rPr>
          <w:sz w:val="20"/>
          <w:szCs w:val="20"/>
          <w:color w:val="auto"/>
        </w:rPr>
      </w:pPr>
    </w:p>
    <w:p>
      <w:pPr>
        <w:ind w:right="140" w:firstLine="309"/>
        <w:spacing w:after="0" w:line="307" w:lineRule="auto"/>
        <w:rPr>
          <w:sz w:val="20"/>
          <w:szCs w:val="20"/>
          <w:color w:val="auto"/>
        </w:rPr>
      </w:pPr>
      <w:r>
        <w:rPr>
          <w:rFonts w:ascii="Arial" w:cs="Arial" w:eastAsia="Arial" w:hAnsi="Arial"/>
          <w:sz w:val="15"/>
          <w:szCs w:val="15"/>
          <w:color w:val="auto"/>
        </w:rPr>
        <w:t>The Company is subject to various legal and administrative proceedings relating to personal injuries, employment matters, commercial transactions, development agreements and other matters arising in the ordinary course of business. Although the Company maintains what it believes to be adequate insurance coverage to mitigate the risk of loss pertaining to covered matters, legal and administrative proceedings can be costly, time-consuming and unpredictable. The Company does not believe that the final outcome of these matters will have a material adverse effect on its financial position, results of operations, or cash flows.</w:t>
      </w:r>
    </w:p>
    <w:p>
      <w:pPr>
        <w:spacing w:after="0" w:line="34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13—Stockholders’ Equity and Stock-Based Compensation</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Preferred Stock</w:t>
      </w:r>
    </w:p>
    <w:p>
      <w:pPr>
        <w:spacing w:after="0" w:line="178" w:lineRule="exact"/>
        <w:rPr>
          <w:sz w:val="20"/>
          <w:szCs w:val="20"/>
          <w:color w:val="auto"/>
        </w:rPr>
      </w:pPr>
    </w:p>
    <w:p>
      <w:pPr>
        <w:ind w:right="420" w:firstLine="309"/>
        <w:spacing w:after="0" w:line="312" w:lineRule="auto"/>
        <w:rPr>
          <w:rFonts w:ascii="Arial" w:cs="Arial" w:eastAsia="Arial" w:hAnsi="Arial"/>
          <w:sz w:val="16"/>
          <w:szCs w:val="16"/>
          <w:color w:val="auto"/>
        </w:rPr>
      </w:pPr>
      <w:r>
        <w:rPr>
          <w:rFonts w:ascii="Arial" w:cs="Arial" w:eastAsia="Arial" w:hAnsi="Arial"/>
          <w:sz w:val="16"/>
          <w:szCs w:val="16"/>
          <w:color w:val="auto"/>
        </w:rPr>
        <w:t xml:space="preserve">On February 20, 2020, the Company issued 883 shares of Series D Preferred Stock, par value $0.01 per share (the “Series D Preferred Stock”), to certain individual stockholders affiliated with Barstool Sports as discussed in </w:t>
      </w:r>
      <w:hyperlink w:anchor="page21">
        <w:r>
          <w:rPr>
            <w:rFonts w:ascii="Arial" w:cs="Arial" w:eastAsia="Arial" w:hAnsi="Arial"/>
            <w:sz w:val="16"/>
            <w:szCs w:val="16"/>
            <w:u w:val="single" w:color="auto"/>
            <w:color w:val="0000FF"/>
          </w:rPr>
          <w:t>Note 10, "Investments in and Advances to Unconsolidated Affiliates."</w:t>
        </w:r>
      </w:hyperlink>
    </w:p>
    <w:p>
      <w:pPr>
        <w:spacing w:after="0" w:line="115" w:lineRule="exact"/>
        <w:rPr>
          <w:sz w:val="20"/>
          <w:szCs w:val="20"/>
          <w:color w:val="auto"/>
        </w:rPr>
      </w:pPr>
    </w:p>
    <w:p>
      <w:pPr>
        <w:ind w:right="60" w:firstLine="309"/>
        <w:spacing w:after="0" w:line="279" w:lineRule="auto"/>
        <w:rPr>
          <w:sz w:val="20"/>
          <w:szCs w:val="20"/>
          <w:color w:val="auto"/>
        </w:rPr>
      </w:pPr>
      <w:r>
        <w:rPr>
          <w:rFonts w:ascii="Arial" w:cs="Arial" w:eastAsia="Arial" w:hAnsi="Arial"/>
          <w:sz w:val="17"/>
          <w:szCs w:val="17"/>
          <w:color w:val="auto"/>
        </w:rPr>
        <w:t>During the quarter ended March 31, 2021, 151.2 shares of Series D Preferred Stock were converted to Penn Common Stock. As a result of the conversion, the Company issued 151,200 shares of common stock with a par value of $0.01.</w:t>
      </w:r>
    </w:p>
    <w:p>
      <w:pPr>
        <w:spacing w:after="0" w:line="126" w:lineRule="exact"/>
        <w:rPr>
          <w:sz w:val="20"/>
          <w:szCs w:val="20"/>
          <w:color w:val="auto"/>
        </w:rPr>
      </w:pPr>
    </w:p>
    <w:p>
      <w:pPr>
        <w:ind w:right="200" w:firstLine="309"/>
        <w:spacing w:after="0" w:line="266" w:lineRule="auto"/>
        <w:rPr>
          <w:rFonts w:ascii="Arial" w:cs="Arial" w:eastAsia="Arial" w:hAnsi="Arial"/>
          <w:sz w:val="17"/>
          <w:szCs w:val="17"/>
          <w:color w:val="auto"/>
        </w:rPr>
      </w:pPr>
      <w:r>
        <w:rPr>
          <w:rFonts w:ascii="Arial" w:cs="Arial" w:eastAsia="Arial" w:hAnsi="Arial"/>
          <w:sz w:val="17"/>
          <w:szCs w:val="17"/>
          <w:color w:val="auto"/>
        </w:rPr>
        <w:t xml:space="preserve">During the quarter ended March 31, 2021, the Company issued 43 shares of Series D Preferred Stock in conjunction with acquiring 0.3% of Barstool Sports common stock. The acquisition of the incremental Barstool Sports common stock represents a partial settlement of the 1% purchase on a delayed basis as described in </w:t>
      </w:r>
      <w:hyperlink w:anchor="page21">
        <w:r>
          <w:rPr>
            <w:rFonts w:ascii="Arial" w:cs="Arial" w:eastAsia="Arial" w:hAnsi="Arial"/>
            <w:sz w:val="17"/>
            <w:szCs w:val="17"/>
            <w:u w:val="single" w:color="auto"/>
            <w:color w:val="0000FF"/>
          </w:rPr>
          <w:t>Note 10, "Investments in and Advances to Unconsolidated Affiliates."</w:t>
        </w:r>
      </w:hyperlink>
    </w:p>
    <w:p>
      <w:pPr>
        <w:spacing w:after="0" w:line="136" w:lineRule="exact"/>
        <w:rPr>
          <w:sz w:val="20"/>
          <w:szCs w:val="20"/>
          <w:color w:val="auto"/>
        </w:rPr>
      </w:pPr>
    </w:p>
    <w:p>
      <w:pPr>
        <w:ind w:right="460" w:firstLine="309"/>
        <w:spacing w:after="0" w:line="279" w:lineRule="auto"/>
        <w:rPr>
          <w:sz w:val="20"/>
          <w:szCs w:val="20"/>
          <w:color w:val="auto"/>
        </w:rPr>
      </w:pPr>
      <w:r>
        <w:rPr>
          <w:rFonts w:ascii="Arial" w:cs="Arial" w:eastAsia="Arial" w:hAnsi="Arial"/>
          <w:sz w:val="17"/>
          <w:szCs w:val="17"/>
          <w:color w:val="auto"/>
        </w:rPr>
        <w:t>As of March 31, 2021 and December 31, 2020, there were 5,000 shares authorized of Series D Preferred Stock of which 775 shares and 883 shares were outstanding, respectively.</w:t>
      </w:r>
    </w:p>
    <w:p>
      <w:pPr>
        <w:spacing w:after="0" w:line="13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2018 Long Term Incentive Compensation Plan</w:t>
      </w:r>
    </w:p>
    <w:p>
      <w:pPr>
        <w:spacing w:after="0" w:line="178" w:lineRule="exact"/>
        <w:rPr>
          <w:sz w:val="20"/>
          <w:szCs w:val="20"/>
          <w:color w:val="auto"/>
        </w:rPr>
      </w:pPr>
    </w:p>
    <w:p>
      <w:pPr>
        <w:ind w:right="100" w:firstLine="309"/>
        <w:spacing w:after="0" w:line="258" w:lineRule="auto"/>
        <w:rPr>
          <w:sz w:val="20"/>
          <w:szCs w:val="20"/>
          <w:color w:val="auto"/>
        </w:rPr>
      </w:pPr>
      <w:r>
        <w:rPr>
          <w:rFonts w:ascii="Arial" w:cs="Arial" w:eastAsia="Arial" w:hAnsi="Arial"/>
          <w:sz w:val="17"/>
          <w:szCs w:val="17"/>
          <w:color w:val="auto"/>
        </w:rPr>
        <w:t>The Company’s 2018 Long Term Incentive Compensation Plan, as amended (the “2018 Plan”) permits it to issue stock options (incentive and/or non-qualified), stock appreciation rights (“SARs”), RSAs, phantom stock units (“PSUs”) and other equity and cash awards to employees. Non-employee directors and the chairman emeritus are eligible to receive all such awards, other than incentive stock options. Pursuant to the 2018 Plan, 12,700,000 shares of the Company’s common stock are reserved for issuance. For purposes of determining the number of shares available for issuance under the 2018 Plan, stock options and SARs (except cash-settled SARs) count against the 12,700,000 limit as one share of common stock for each share granted and restricted stock or any other full value stock award count as issuing 2.30 shares of common stock for each share</w:t>
      </w:r>
    </w:p>
    <w:p>
      <w:pPr>
        <w:spacing w:after="0" w:line="200" w:lineRule="exact"/>
        <w:rPr>
          <w:sz w:val="20"/>
          <w:szCs w:val="20"/>
          <w:color w:val="auto"/>
        </w:rPr>
      </w:pPr>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173990</wp:posOffset>
            </wp:positionV>
            <wp:extent cx="7164070" cy="419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3" w:name="page24"/>
    <w:bookmarkEnd w:id="23"/>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339" w:lineRule="exact"/>
        <w:rPr>
          <w:sz w:val="20"/>
          <w:szCs w:val="20"/>
          <w:color w:val="auto"/>
        </w:rPr>
      </w:pPr>
    </w:p>
    <w:p>
      <w:pPr>
        <w:ind w:right="360"/>
        <w:spacing w:after="0" w:line="279" w:lineRule="auto"/>
        <w:rPr>
          <w:sz w:val="20"/>
          <w:szCs w:val="20"/>
          <w:color w:val="auto"/>
        </w:rPr>
      </w:pPr>
      <w:r>
        <w:rPr>
          <w:rFonts w:ascii="Arial" w:cs="Arial" w:eastAsia="Arial" w:hAnsi="Arial"/>
          <w:sz w:val="17"/>
          <w:szCs w:val="17"/>
          <w:color w:val="auto"/>
        </w:rPr>
        <w:t>granted. Any awards that are not settled in shares of common stock are not counted against the share limit. As of March 31, 2021, there were 7,404,918 shares available for future grants under the 2018 Plan.</w:t>
      </w:r>
    </w:p>
    <w:p>
      <w:pPr>
        <w:spacing w:after="0" w:line="12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Performance Share Program</w:t>
      </w:r>
    </w:p>
    <w:p>
      <w:pPr>
        <w:spacing w:after="0" w:line="191" w:lineRule="exact"/>
        <w:rPr>
          <w:sz w:val="20"/>
          <w:szCs w:val="20"/>
          <w:color w:val="auto"/>
        </w:rPr>
      </w:pPr>
    </w:p>
    <w:p>
      <w:pPr>
        <w:ind w:right="100" w:firstLine="309"/>
        <w:spacing w:after="0" w:line="283" w:lineRule="auto"/>
        <w:rPr>
          <w:sz w:val="20"/>
          <w:szCs w:val="20"/>
          <w:color w:val="auto"/>
        </w:rPr>
      </w:pPr>
      <w:r>
        <w:rPr>
          <w:rFonts w:ascii="Arial" w:cs="Arial" w:eastAsia="Arial" w:hAnsi="Arial"/>
          <w:sz w:val="16"/>
          <w:szCs w:val="16"/>
          <w:color w:val="auto"/>
        </w:rPr>
        <w:t>In February 2019, the Company’s Compensation Committee of the Board of Directors adopted a performance share program (the “Performance Share Program II”) pursuant to the 2018 Plan. An aggregate of 107,297 RSAs with performance-based vesting conditions, at target, was granted in February 2020 under the Performance Share Program II, with the grant having a three-year award period consisting of three one-year performance periods and a three-year service period. The performance threshold for vesting of these awards is 50% of target and, based on the level of achievement, up to 150% of target.</w:t>
      </w:r>
    </w:p>
    <w:p>
      <w:pPr>
        <w:spacing w:after="0" w:line="125"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There were no RSAs issued from the Performance Share Program II during the three months ended March 31, 2021.</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Stock-based Compensation Expense</w:t>
      </w:r>
    </w:p>
    <w:p>
      <w:pPr>
        <w:spacing w:after="0" w:line="191" w:lineRule="exact"/>
        <w:rPr>
          <w:sz w:val="20"/>
          <w:szCs w:val="20"/>
          <w:color w:val="auto"/>
        </w:rPr>
      </w:pPr>
    </w:p>
    <w:p>
      <w:pPr>
        <w:ind w:right="80" w:firstLine="309"/>
        <w:spacing w:after="0" w:line="266" w:lineRule="auto"/>
        <w:rPr>
          <w:sz w:val="20"/>
          <w:szCs w:val="20"/>
          <w:color w:val="auto"/>
        </w:rPr>
      </w:pPr>
      <w:r>
        <w:rPr>
          <w:rFonts w:ascii="Arial" w:cs="Arial" w:eastAsia="Arial" w:hAnsi="Arial"/>
          <w:sz w:val="17"/>
          <w:szCs w:val="17"/>
          <w:color w:val="auto"/>
        </w:rPr>
        <w:t>Stock-based compensation expense, which pertains principally to our stock options and RSAs, for the three months ended March 31, 2021 and 2020 was $4.2 million and $6.0 million, respectively, and is included within the unaudited Consolidated Statements of Operations and Comprehensive Income (Loss) under “General and administrative.”</w:t>
      </w:r>
    </w:p>
    <w:p>
      <w:pPr>
        <w:spacing w:after="0" w:line="13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Stock Options</w:t>
      </w:r>
    </w:p>
    <w:p>
      <w:pPr>
        <w:spacing w:after="0" w:line="178"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The Company granted 0.2 million and 0.6 million stock options during the three months ended March 31, 2021 and 2020, respectively.</w:t>
      </w:r>
    </w:p>
    <w:p>
      <w:pPr>
        <w:spacing w:after="0" w:line="19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Phantom Stock Units</w:t>
      </w:r>
    </w:p>
    <w:p>
      <w:pPr>
        <w:spacing w:after="0" w:line="178" w:lineRule="exact"/>
        <w:rPr>
          <w:sz w:val="20"/>
          <w:szCs w:val="20"/>
          <w:color w:val="auto"/>
        </w:rPr>
      </w:pPr>
    </w:p>
    <w:p>
      <w:pPr>
        <w:ind w:right="160" w:firstLine="309"/>
        <w:spacing w:after="0" w:line="279" w:lineRule="auto"/>
        <w:rPr>
          <w:sz w:val="20"/>
          <w:szCs w:val="20"/>
          <w:color w:val="auto"/>
        </w:rPr>
      </w:pPr>
      <w:r>
        <w:rPr>
          <w:rFonts w:ascii="Arial" w:cs="Arial" w:eastAsia="Arial" w:hAnsi="Arial"/>
          <w:sz w:val="16"/>
          <w:szCs w:val="16"/>
          <w:color w:val="auto"/>
        </w:rPr>
        <w:t>Our outstanding PSUs entitle employees, non-employee directors, and the chairman emeritus to receive cash based on the fair value of the Company’s common stock on the vesting date. Our PSUs vest over a period of three or four years. The cash-settled PSUs are accounted for as liability awards and are re-measured at fair value each reporting period until they become vested with compensation expense being recognized over the requisite service period. The Company has a liability, which is included in “Accrued expenses and other current liabilities” within the unaudited Consolidated Balance Sheets, associated with its cash-settled PSUs of $8.9 million and $10.1 million as of March 31, 2021 and December 31, 2020, respectively.</w:t>
      </w:r>
    </w:p>
    <w:p>
      <w:pPr>
        <w:spacing w:after="0" w:line="130" w:lineRule="exact"/>
        <w:rPr>
          <w:sz w:val="20"/>
          <w:szCs w:val="20"/>
          <w:color w:val="auto"/>
        </w:rPr>
      </w:pPr>
    </w:p>
    <w:p>
      <w:pPr>
        <w:ind w:right="200" w:firstLine="309"/>
        <w:spacing w:after="0" w:line="258" w:lineRule="auto"/>
        <w:rPr>
          <w:sz w:val="20"/>
          <w:szCs w:val="20"/>
          <w:color w:val="auto"/>
        </w:rPr>
      </w:pPr>
      <w:r>
        <w:rPr>
          <w:rFonts w:ascii="Arial" w:cs="Arial" w:eastAsia="Arial" w:hAnsi="Arial"/>
          <w:sz w:val="17"/>
          <w:szCs w:val="17"/>
          <w:color w:val="auto"/>
        </w:rPr>
        <w:t>For PSUs held by employees, non-employee directors, and the chairman emeritus of the Company, there was $20.2 million of total unrecognized compensation cost as of March 31, 2021 that will be recognized over the awards remaining weighted-average vesting period of 2.0 years. For the three months ended March 31, 2021 and 2020, the Company recognized $4.7 million and $0.1 million of compensation expense associated with these awards, respectively. Compensation expense associated with our PSUs is recorded in “General and administrative” within the unaudited Consolidated Statements of Operations and Comprehensive Income (Loss). We paid $5.9 million and $2.8 million during the three months ended March 31, 2021 and 2020, respectively, pertaining to cash-settled PSUs.</w:t>
      </w:r>
    </w:p>
    <w:p>
      <w:pPr>
        <w:spacing w:after="0" w:line="15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Stock Appreciation Rights</w:t>
      </w:r>
    </w:p>
    <w:p>
      <w:pPr>
        <w:spacing w:after="0" w:line="178" w:lineRule="exact"/>
        <w:rPr>
          <w:sz w:val="20"/>
          <w:szCs w:val="20"/>
          <w:color w:val="auto"/>
        </w:rPr>
      </w:pPr>
    </w:p>
    <w:p>
      <w:pPr>
        <w:jc w:val="both"/>
        <w:ind w:firstLine="309"/>
        <w:spacing w:after="0" w:line="262" w:lineRule="auto"/>
        <w:rPr>
          <w:sz w:val="20"/>
          <w:szCs w:val="20"/>
          <w:color w:val="auto"/>
        </w:rPr>
      </w:pPr>
      <w:r>
        <w:rPr>
          <w:rFonts w:ascii="Arial" w:cs="Arial" w:eastAsia="Arial" w:hAnsi="Arial"/>
          <w:sz w:val="17"/>
          <w:szCs w:val="17"/>
          <w:color w:val="auto"/>
        </w:rPr>
        <w:t>Our outstanding SARs are accounted for as liability awards since they will be settled in cash and vest over a period of four years. The fair value of cash-settled SARs is calculated each reporting period and estimated using the Black-Scholes option pricing model. The Company has a liability, which is included in “Accrued expenses and other current liabilities” within the unaudited Consolidated Balance Sheets, associated with its cash-settled SARs of $38.7 million and $54.6 million as of March 31, 2021 and December 31, 2020, respectively.</w:t>
      </w:r>
    </w:p>
    <w:p>
      <w:pPr>
        <w:spacing w:after="0" w:line="139" w:lineRule="exact"/>
        <w:rPr>
          <w:sz w:val="20"/>
          <w:szCs w:val="20"/>
          <w:color w:val="auto"/>
        </w:rPr>
      </w:pPr>
    </w:p>
    <w:p>
      <w:pPr>
        <w:ind w:right="120" w:firstLine="309"/>
        <w:spacing w:after="0" w:line="279" w:lineRule="auto"/>
        <w:rPr>
          <w:sz w:val="20"/>
          <w:szCs w:val="20"/>
          <w:color w:val="auto"/>
        </w:rPr>
      </w:pPr>
      <w:r>
        <w:rPr>
          <w:rFonts w:ascii="Arial" w:cs="Arial" w:eastAsia="Arial" w:hAnsi="Arial"/>
          <w:sz w:val="16"/>
          <w:szCs w:val="16"/>
          <w:color w:val="auto"/>
        </w:rPr>
        <w:t>For SARs held by employees of the Company, there was $79.9 million of total unrecognized compensation cost as of March 31, 2021 that will be recognized over the awards remaining weighted-average vesting period of 2.5 years. The Company recognized a charge to compensation expense of $20.3 million and $5.5 million for the three months ended March 31, 2021 and March 31, 2020, respectively. Compensation expense associated with our SARs is recorded in “General and administrative” within the unaudited Consolidated Statements of Operations and Comprehensive Income (Loss). We paid $37.2 million and $6.6 million during the three months ended March 31, 2021 and 2020, respectively, related to cash-settled SARs.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173990</wp:posOffset>
            </wp:positionV>
            <wp:extent cx="7164070" cy="419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4" w:name="page25"/>
    <w:bookmarkEnd w:id="24"/>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14—Earnings (Loss) per Share</w:t>
      </w:r>
    </w:p>
    <w:p>
      <w:pPr>
        <w:spacing w:after="0" w:line="184" w:lineRule="exact"/>
        <w:rPr>
          <w:sz w:val="20"/>
          <w:szCs w:val="20"/>
          <w:color w:val="auto"/>
        </w:rPr>
      </w:pPr>
    </w:p>
    <w:p>
      <w:pPr>
        <w:ind w:right="180" w:firstLine="309"/>
        <w:spacing w:after="0" w:line="290" w:lineRule="auto"/>
        <w:rPr>
          <w:sz w:val="20"/>
          <w:szCs w:val="20"/>
          <w:color w:val="auto"/>
        </w:rPr>
      </w:pPr>
      <w:r>
        <w:rPr>
          <w:rFonts w:ascii="Arial" w:cs="Arial" w:eastAsia="Arial" w:hAnsi="Arial"/>
          <w:sz w:val="16"/>
          <w:szCs w:val="16"/>
          <w:color w:val="auto"/>
        </w:rPr>
        <w:t>For the three months ended March 31, 2021, we recorded net income attributable to Penn National. As such, we used diluted weighted-average common shares outstanding when calculating diluted income per share for the three months ended March 31, 2021. Stock options, RSAs, convertible preferred shares and convertible debt that could potentially dilute basic EPS in the future are included in the computation of diluted income per share.</w:t>
      </w:r>
    </w:p>
    <w:p>
      <w:pPr>
        <w:spacing w:after="0" w:line="184" w:lineRule="exact"/>
        <w:rPr>
          <w:sz w:val="20"/>
          <w:szCs w:val="20"/>
          <w:color w:val="auto"/>
        </w:rPr>
      </w:pPr>
    </w:p>
    <w:p>
      <w:pPr>
        <w:jc w:val="both"/>
        <w:ind w:right="40" w:firstLine="309"/>
        <w:spacing w:after="0" w:line="283" w:lineRule="auto"/>
        <w:rPr>
          <w:sz w:val="20"/>
          <w:szCs w:val="20"/>
          <w:color w:val="auto"/>
        </w:rPr>
      </w:pPr>
      <w:r>
        <w:rPr>
          <w:rFonts w:ascii="Arial" w:cs="Arial" w:eastAsia="Arial" w:hAnsi="Arial"/>
          <w:sz w:val="16"/>
          <w:szCs w:val="16"/>
          <w:color w:val="auto"/>
        </w:rPr>
        <w:t>For the three months ended March 31, 2020, we recorded a net loss attributable to Penn National. As such, because the dilution from potential common shares was antidilutive, we used basic weighted-average common shares outstanding, rather than diluted weighted-average common shares outstanding when calculating diluted loss per share for the three months ended March 31, 2020. Stock options, RSAs, and convertible preferred shares that could potentially dilute basic EPS in the future that were not included in the computation of diluted loss per share were as follows: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800" w:type="dxa"/>
            <w:vAlign w:val="bottom"/>
          </w:tcPr>
          <w:p>
            <w:pPr>
              <w:spacing w:after="0"/>
              <w:rPr>
                <w:sz w:val="16"/>
                <w:szCs w:val="16"/>
                <w:color w:val="auto"/>
              </w:rPr>
            </w:pPr>
          </w:p>
        </w:tc>
        <w:tc>
          <w:tcPr>
            <w:tcW w:w="1720" w:type="dxa"/>
            <w:vAlign w:val="bottom"/>
          </w:tcPr>
          <w:p>
            <w:pPr>
              <w:jc w:val="right"/>
              <w:spacing w:after="0"/>
              <w:rPr>
                <w:sz w:val="20"/>
                <w:szCs w:val="20"/>
                <w:color w:val="auto"/>
              </w:rPr>
            </w:pPr>
            <w:r>
              <w:rPr>
                <w:rFonts w:ascii="Arial" w:cs="Arial" w:eastAsia="Arial" w:hAnsi="Arial"/>
                <w:sz w:val="17"/>
                <w:szCs w:val="17"/>
                <w:b w:val="1"/>
                <w:bCs w:val="1"/>
                <w:color w:val="auto"/>
                <w:w w:val="95"/>
              </w:rPr>
              <w:t>For the three months</w:t>
            </w:r>
          </w:p>
        </w:tc>
      </w:tr>
      <w:tr>
        <w:trPr>
          <w:trHeight w:val="180"/>
        </w:trPr>
        <w:tc>
          <w:tcPr>
            <w:tcW w:w="9520" w:type="dxa"/>
            <w:vAlign w:val="bottom"/>
            <w:gridSpan w:val="3"/>
          </w:tcPr>
          <w:p>
            <w:pPr>
              <w:ind w:left="20"/>
              <w:spacing w:after="0"/>
              <w:rPr>
                <w:sz w:val="20"/>
                <w:szCs w:val="20"/>
                <w:color w:val="auto"/>
              </w:rPr>
            </w:pPr>
            <w:r>
              <w:rPr>
                <w:rFonts w:ascii="Arial" w:cs="Arial" w:eastAsia="Arial" w:hAnsi="Arial"/>
                <w:sz w:val="14"/>
                <w:szCs w:val="14"/>
                <w:b w:val="1"/>
                <w:bCs w:val="1"/>
                <w:i w:val="1"/>
                <w:iCs w:val="1"/>
                <w:color w:val="auto"/>
              </w:rPr>
              <w:t>(in millions)</w:t>
            </w:r>
          </w:p>
        </w:tc>
        <w:tc>
          <w:tcPr>
            <w:tcW w:w="1720" w:type="dxa"/>
            <w:vAlign w:val="bottom"/>
          </w:tcPr>
          <w:p>
            <w:pPr>
              <w:jc w:val="right"/>
              <w:spacing w:after="0" w:line="180" w:lineRule="exact"/>
              <w:rPr>
                <w:sz w:val="20"/>
                <w:szCs w:val="20"/>
                <w:color w:val="auto"/>
              </w:rPr>
            </w:pPr>
            <w:r>
              <w:rPr>
                <w:rFonts w:ascii="Arial" w:cs="Arial" w:eastAsia="Arial" w:hAnsi="Arial"/>
                <w:sz w:val="17"/>
                <w:szCs w:val="17"/>
                <w:b w:val="1"/>
                <w:bCs w:val="1"/>
                <w:color w:val="auto"/>
                <w:w w:val="94"/>
              </w:rPr>
              <w:t>ended March 31, 2020</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700" w:type="dxa"/>
            <w:vAlign w:val="bottom"/>
            <w:tcBorders>
              <w:top w:val="single" w:sz="8" w:color="auto"/>
              <w:bottom w:val="single" w:sz="8" w:color="CCEEFF"/>
            </w:tcBorders>
          </w:tcPr>
          <w:p>
            <w:pPr>
              <w:spacing w:after="0" w:line="20" w:lineRule="exact"/>
              <w:rPr>
                <w:sz w:val="1"/>
                <w:szCs w:val="1"/>
                <w:color w:val="auto"/>
              </w:rPr>
            </w:pPr>
          </w:p>
        </w:tc>
        <w:tc>
          <w:tcPr>
            <w:tcW w:w="8800" w:type="dxa"/>
            <w:vAlign w:val="bottom"/>
            <w:tcBorders>
              <w:bottom w:val="single" w:sz="8" w:color="CCEEFF"/>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r>
      <w:tr>
        <w:trPr>
          <w:trHeight w:val="211"/>
        </w:trPr>
        <w:tc>
          <w:tcPr>
            <w:tcW w:w="9520" w:type="dxa"/>
            <w:vAlign w:val="bottom"/>
            <w:gridSpan w:val="3"/>
            <w:shd w:val="clear" w:color="auto" w:fill="CCEEFF"/>
          </w:tcPr>
          <w:p>
            <w:pPr>
              <w:ind w:left="20"/>
              <w:spacing w:after="0"/>
              <w:rPr>
                <w:sz w:val="20"/>
                <w:szCs w:val="20"/>
                <w:color w:val="auto"/>
              </w:rPr>
            </w:pPr>
            <w:r>
              <w:rPr>
                <w:rFonts w:ascii="Arial" w:cs="Arial" w:eastAsia="Arial" w:hAnsi="Arial"/>
                <w:sz w:val="17"/>
                <w:szCs w:val="17"/>
                <w:color w:val="auto"/>
              </w:rPr>
              <w:t>Assumed conversion of dilutive stock options</w:t>
            </w:r>
          </w:p>
        </w:tc>
        <w:tc>
          <w:tcPr>
            <w:tcW w:w="1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w:t>
            </w:r>
          </w:p>
        </w:tc>
      </w:tr>
      <w:tr>
        <w:trPr>
          <w:trHeight w:val="218"/>
        </w:trPr>
        <w:tc>
          <w:tcPr>
            <w:tcW w:w="9520" w:type="dxa"/>
            <w:vAlign w:val="bottom"/>
            <w:gridSpan w:val="3"/>
          </w:tcPr>
          <w:p>
            <w:pPr>
              <w:ind w:left="20"/>
              <w:spacing w:after="0"/>
              <w:rPr>
                <w:sz w:val="20"/>
                <w:szCs w:val="20"/>
                <w:color w:val="auto"/>
              </w:rPr>
            </w:pPr>
            <w:r>
              <w:rPr>
                <w:rFonts w:ascii="Arial" w:cs="Arial" w:eastAsia="Arial" w:hAnsi="Arial"/>
                <w:sz w:val="17"/>
                <w:szCs w:val="17"/>
                <w:color w:val="auto"/>
              </w:rPr>
              <w:t>Assumed conversion of dilutive RSAs</w:t>
            </w:r>
          </w:p>
        </w:tc>
        <w:tc>
          <w:tcPr>
            <w:tcW w:w="1720" w:type="dxa"/>
            <w:vAlign w:val="bottom"/>
          </w:tcPr>
          <w:p>
            <w:pPr>
              <w:jc w:val="right"/>
              <w:spacing w:after="0"/>
              <w:rPr>
                <w:sz w:val="20"/>
                <w:szCs w:val="20"/>
                <w:color w:val="auto"/>
              </w:rPr>
            </w:pPr>
            <w:r>
              <w:rPr>
                <w:rFonts w:ascii="Arial" w:cs="Arial" w:eastAsia="Arial" w:hAnsi="Arial"/>
                <w:sz w:val="17"/>
                <w:szCs w:val="17"/>
                <w:color w:val="auto"/>
              </w:rPr>
              <w:t>0.3</w:t>
            </w:r>
          </w:p>
        </w:tc>
      </w:tr>
      <w:tr>
        <w:trPr>
          <w:trHeight w:val="220"/>
        </w:trPr>
        <w:tc>
          <w:tcPr>
            <w:tcW w:w="9520" w:type="dxa"/>
            <w:vAlign w:val="bottom"/>
            <w:gridSpan w:val="3"/>
            <w:shd w:val="clear" w:color="auto" w:fill="CCEEFF"/>
          </w:tcPr>
          <w:p>
            <w:pPr>
              <w:ind w:left="20"/>
              <w:spacing w:after="0"/>
              <w:rPr>
                <w:sz w:val="20"/>
                <w:szCs w:val="20"/>
                <w:color w:val="auto"/>
              </w:rPr>
            </w:pPr>
            <w:r>
              <w:rPr>
                <w:rFonts w:ascii="Arial" w:cs="Arial" w:eastAsia="Arial" w:hAnsi="Arial"/>
                <w:sz w:val="17"/>
                <w:szCs w:val="17"/>
                <w:color w:val="auto"/>
              </w:rPr>
              <w:t>Assumed conversion of convertible preferred shares</w:t>
            </w:r>
          </w:p>
        </w:tc>
        <w:tc>
          <w:tcPr>
            <w:tcW w:w="1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0.4</w:t>
            </w:r>
          </w:p>
        </w:tc>
      </w:tr>
    </w:tbl>
    <w:p>
      <w:pPr>
        <w:spacing w:after="0" w:line="200" w:lineRule="exact"/>
        <w:rPr>
          <w:sz w:val="20"/>
          <w:szCs w:val="20"/>
          <w:color w:val="auto"/>
        </w:rPr>
      </w:pPr>
    </w:p>
    <w:p>
      <w:pPr>
        <w:spacing w:after="0" w:line="342" w:lineRule="exact"/>
        <w:rPr>
          <w:sz w:val="20"/>
          <w:szCs w:val="20"/>
          <w:color w:val="auto"/>
        </w:rPr>
      </w:pPr>
    </w:p>
    <w:p>
      <w:pPr>
        <w:jc w:val="both"/>
        <w:ind w:firstLine="309"/>
        <w:spacing w:after="0" w:line="279" w:lineRule="auto"/>
        <w:rPr>
          <w:sz w:val="20"/>
          <w:szCs w:val="20"/>
          <w:color w:val="auto"/>
        </w:rPr>
      </w:pPr>
      <w:r>
        <w:rPr>
          <w:rFonts w:ascii="Arial" w:cs="Arial" w:eastAsia="Arial" w:hAnsi="Arial"/>
          <w:sz w:val="17"/>
          <w:szCs w:val="17"/>
          <w:color w:val="auto"/>
        </w:rPr>
        <w:t>The following table sets forth the allocation of net income for the three months ended March 31, 2021 under the two-class method. For the three months ended March 31, 2020 we did not utilize the two-class method due to incurring a net loss for the period.</w:t>
      </w:r>
    </w:p>
    <w:p>
      <w:pPr>
        <w:spacing w:after="0" w:line="81" w:lineRule="exact"/>
        <w:rPr>
          <w:sz w:val="20"/>
          <w:szCs w:val="20"/>
          <w:color w:val="auto"/>
        </w:rPr>
      </w:pPr>
    </w:p>
    <w:p>
      <w:pPr>
        <w:ind w:left="8260"/>
        <w:spacing w:after="0"/>
        <w:rPr>
          <w:sz w:val="20"/>
          <w:szCs w:val="20"/>
          <w:color w:val="auto"/>
        </w:rPr>
      </w:pPr>
      <w:r>
        <w:rPr>
          <w:rFonts w:ascii="Arial" w:cs="Arial" w:eastAsia="Arial" w:hAnsi="Arial"/>
          <w:sz w:val="16"/>
          <w:szCs w:val="16"/>
          <w:b w:val="1"/>
          <w:bCs w:val="1"/>
          <w:color w:val="auto"/>
        </w:rPr>
        <w:t>For the three months ended March 31,</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8120" w:type="dxa"/>
            <w:vAlign w:val="bottom"/>
            <w:gridSpan w:val="3"/>
          </w:tcPr>
          <w:p>
            <w:pPr>
              <w:ind w:left="20"/>
              <w:spacing w:after="0"/>
              <w:rPr>
                <w:sz w:val="20"/>
                <w:szCs w:val="20"/>
                <w:color w:val="auto"/>
              </w:rPr>
            </w:pPr>
            <w:r>
              <w:rPr>
                <w:rFonts w:ascii="Arial" w:cs="Arial" w:eastAsia="Arial" w:hAnsi="Arial"/>
                <w:sz w:val="14"/>
                <w:szCs w:val="14"/>
                <w:b w:val="1"/>
                <w:bCs w:val="1"/>
                <w:i w:val="1"/>
                <w:iCs w:val="1"/>
                <w:color w:val="auto"/>
              </w:rPr>
              <w:t>(in millions)</w:t>
            </w:r>
          </w:p>
        </w:tc>
        <w:tc>
          <w:tcPr>
            <w:tcW w:w="340" w:type="dxa"/>
            <w:vAlign w:val="bottom"/>
            <w:tcBorders>
              <w:top w:val="single" w:sz="8" w:color="auto"/>
            </w:tcBorders>
          </w:tcPr>
          <w:p>
            <w:pPr>
              <w:spacing w:after="0"/>
              <w:rPr>
                <w:sz w:val="15"/>
                <w:szCs w:val="15"/>
                <w:color w:val="auto"/>
              </w:rPr>
            </w:pPr>
          </w:p>
        </w:tc>
        <w:tc>
          <w:tcPr>
            <w:tcW w:w="1180" w:type="dxa"/>
            <w:vAlign w:val="bottom"/>
            <w:tcBorders>
              <w:top w:val="single" w:sz="8" w:color="auto"/>
            </w:tcBorders>
          </w:tcPr>
          <w:p>
            <w:pPr>
              <w:jc w:val="right"/>
              <w:ind w:right="514"/>
              <w:spacing w:after="0" w:line="175" w:lineRule="exact"/>
              <w:rPr>
                <w:sz w:val="20"/>
                <w:szCs w:val="20"/>
                <w:color w:val="auto"/>
              </w:rPr>
            </w:pPr>
            <w:r>
              <w:rPr>
                <w:rFonts w:ascii="Arial" w:cs="Arial" w:eastAsia="Arial" w:hAnsi="Arial"/>
                <w:sz w:val="17"/>
                <w:szCs w:val="17"/>
                <w:b w:val="1"/>
                <w:bCs w:val="1"/>
                <w:color w:val="auto"/>
              </w:rPr>
              <w:t>2021</w:t>
            </w:r>
          </w:p>
        </w:tc>
        <w:tc>
          <w:tcPr>
            <w:tcW w:w="80" w:type="dxa"/>
            <w:vAlign w:val="bottom"/>
            <w:tcBorders>
              <w:top w:val="single" w:sz="8" w:color="auto"/>
            </w:tcBorders>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1180" w:type="dxa"/>
            <w:vAlign w:val="bottom"/>
            <w:tcBorders>
              <w:top w:val="single" w:sz="8" w:color="auto"/>
            </w:tcBorders>
          </w:tcPr>
          <w:p>
            <w:pPr>
              <w:jc w:val="right"/>
              <w:ind w:right="494"/>
              <w:spacing w:after="0" w:line="175" w:lineRule="exact"/>
              <w:rPr>
                <w:sz w:val="20"/>
                <w:szCs w:val="20"/>
                <w:color w:val="auto"/>
              </w:rPr>
            </w:pPr>
            <w:r>
              <w:rPr>
                <w:rFonts w:ascii="Arial" w:cs="Arial" w:eastAsia="Arial" w:hAnsi="Arial"/>
                <w:sz w:val="17"/>
                <w:szCs w:val="17"/>
                <w:b w:val="1"/>
                <w:bCs w:val="1"/>
                <w:color w:val="auto"/>
              </w:rPr>
              <w:t>2020</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700" w:type="dxa"/>
            <w:vAlign w:val="bottom"/>
            <w:tcBorders>
              <w:top w:val="single" w:sz="8" w:color="auto"/>
              <w:bottom w:val="single" w:sz="8" w:color="CCEEFF"/>
            </w:tcBorders>
          </w:tcPr>
          <w:p>
            <w:pPr>
              <w:spacing w:after="0" w:line="20" w:lineRule="exact"/>
              <w:rPr>
                <w:sz w:val="1"/>
                <w:szCs w:val="1"/>
                <w:color w:val="auto"/>
              </w:rPr>
            </w:pPr>
          </w:p>
        </w:tc>
        <w:tc>
          <w:tcPr>
            <w:tcW w:w="74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211"/>
        </w:trPr>
        <w:tc>
          <w:tcPr>
            <w:tcW w:w="8120" w:type="dxa"/>
            <w:vAlign w:val="bottom"/>
            <w:gridSpan w:val="3"/>
            <w:shd w:val="clear" w:color="auto" w:fill="CCEEFF"/>
          </w:tcPr>
          <w:p>
            <w:pPr>
              <w:ind w:left="20"/>
              <w:spacing w:after="0"/>
              <w:rPr>
                <w:sz w:val="20"/>
                <w:szCs w:val="20"/>
                <w:color w:val="auto"/>
              </w:rPr>
            </w:pPr>
            <w:r>
              <w:rPr>
                <w:rFonts w:ascii="Arial" w:cs="Arial" w:eastAsia="Arial" w:hAnsi="Arial"/>
                <w:sz w:val="17"/>
                <w:szCs w:val="17"/>
                <w:color w:val="auto"/>
              </w:rPr>
              <w:t>Net income (loss) attributable to Penn National</w:t>
            </w:r>
          </w:p>
        </w:tc>
        <w:tc>
          <w:tcPr>
            <w:tcW w:w="340" w:type="dxa"/>
            <w:vAlign w:val="bottom"/>
            <w:shd w:val="clear" w:color="auto" w:fill="CCEEFF"/>
          </w:tcPr>
          <w:p>
            <w:pPr>
              <w:jc w:val="right"/>
              <w:ind w:right="154"/>
              <w:spacing w:after="0"/>
              <w:rPr>
                <w:sz w:val="20"/>
                <w:szCs w:val="20"/>
                <w:color w:val="auto"/>
              </w:rPr>
            </w:pPr>
            <w:r>
              <w:rPr>
                <w:rFonts w:ascii="Arial" w:cs="Arial" w:eastAsia="Arial" w:hAnsi="Arial"/>
                <w:sz w:val="17"/>
                <w:szCs w:val="17"/>
                <w:color w:val="auto"/>
                <w:w w:val="84"/>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91.0</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4"/>
              <w:spacing w:after="0"/>
              <w:rPr>
                <w:sz w:val="20"/>
                <w:szCs w:val="20"/>
                <w:color w:val="auto"/>
              </w:rPr>
            </w:pPr>
            <w:r>
              <w:rPr>
                <w:rFonts w:ascii="Arial" w:cs="Arial" w:eastAsia="Arial" w:hAnsi="Arial"/>
                <w:sz w:val="17"/>
                <w:szCs w:val="17"/>
                <w:color w:val="auto"/>
                <w:w w:val="84"/>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(608.6)</w:t>
            </w:r>
          </w:p>
        </w:tc>
      </w:tr>
      <w:tr>
        <w:trPr>
          <w:trHeight w:val="218"/>
        </w:trPr>
        <w:tc>
          <w:tcPr>
            <w:tcW w:w="8120" w:type="dxa"/>
            <w:vAlign w:val="bottom"/>
            <w:tcBorders>
              <w:bottom w:val="single" w:sz="8" w:color="CCEEFF"/>
            </w:tcBorders>
            <w:gridSpan w:val="3"/>
          </w:tcPr>
          <w:p>
            <w:pPr>
              <w:ind w:left="20"/>
              <w:spacing w:after="0"/>
              <w:rPr>
                <w:sz w:val="20"/>
                <w:szCs w:val="20"/>
                <w:color w:val="auto"/>
              </w:rPr>
            </w:pPr>
            <w:r>
              <w:rPr>
                <w:rFonts w:ascii="Arial" w:cs="Arial" w:eastAsia="Arial" w:hAnsi="Arial"/>
                <w:sz w:val="17"/>
                <w:szCs w:val="17"/>
                <w:color w:val="auto"/>
              </w:rPr>
              <w:t>Net income applicable to preferred stock</w:t>
            </w: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0.5</w:t>
            </w:r>
          </w:p>
        </w:tc>
        <w:tc>
          <w:tcPr>
            <w:tcW w:w="8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r>
      <w:tr>
        <w:trPr>
          <w:trHeight w:val="238"/>
        </w:trPr>
        <w:tc>
          <w:tcPr>
            <w:tcW w:w="812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7"/>
                <w:szCs w:val="17"/>
                <w:color w:val="auto"/>
              </w:rPr>
              <w:t>Net income (loss) applicable to common stock</w:t>
            </w:r>
          </w:p>
        </w:tc>
        <w:tc>
          <w:tcPr>
            <w:tcW w:w="340" w:type="dxa"/>
            <w:vAlign w:val="bottom"/>
            <w:tcBorders>
              <w:bottom w:val="single" w:sz="8" w:color="auto"/>
            </w:tcBorders>
            <w:shd w:val="clear" w:color="auto" w:fill="CCEEFF"/>
          </w:tcPr>
          <w:p>
            <w:pPr>
              <w:jc w:val="right"/>
              <w:ind w:right="154"/>
              <w:spacing w:after="0"/>
              <w:rPr>
                <w:sz w:val="20"/>
                <w:szCs w:val="20"/>
                <w:color w:val="auto"/>
              </w:rPr>
            </w:pPr>
            <w:r>
              <w:rPr>
                <w:rFonts w:ascii="Arial" w:cs="Arial" w:eastAsia="Arial" w:hAnsi="Arial"/>
                <w:sz w:val="17"/>
                <w:szCs w:val="17"/>
                <w:color w:val="auto"/>
                <w:w w:val="84"/>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90.5</w:t>
            </w:r>
          </w:p>
        </w:tc>
        <w:tc>
          <w:tcPr>
            <w:tcW w:w="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4"/>
              <w:spacing w:after="0"/>
              <w:rPr>
                <w:sz w:val="20"/>
                <w:szCs w:val="20"/>
                <w:color w:val="auto"/>
              </w:rPr>
            </w:pPr>
            <w:r>
              <w:rPr>
                <w:rFonts w:ascii="Arial" w:cs="Arial" w:eastAsia="Arial" w:hAnsi="Arial"/>
                <w:sz w:val="17"/>
                <w:szCs w:val="17"/>
                <w:color w:val="auto"/>
                <w:w w:val="84"/>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(608.6)</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74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297" w:lineRule="exact"/>
        <w:rPr>
          <w:sz w:val="20"/>
          <w:szCs w:val="20"/>
          <w:color w:val="auto"/>
        </w:rPr>
      </w:pPr>
    </w:p>
    <w:p>
      <w:pPr>
        <w:jc w:val="both"/>
        <w:ind w:right="40" w:firstLine="309"/>
        <w:spacing w:after="0" w:line="273" w:lineRule="auto"/>
        <w:rPr>
          <w:sz w:val="20"/>
          <w:szCs w:val="20"/>
          <w:color w:val="auto"/>
        </w:rPr>
      </w:pPr>
      <w:r>
        <w:rPr>
          <w:rFonts w:ascii="Arial" w:cs="Arial" w:eastAsia="Arial" w:hAnsi="Arial"/>
          <w:sz w:val="17"/>
          <w:szCs w:val="17"/>
          <w:color w:val="auto"/>
        </w:rPr>
        <w:t>The following table reconciles the weighted-average common shares outstanding used in the calculation of basic EPS to the weighted-average common shares outstanding used in the calculation of diluted EPS for the three months ended March 31, 2021 and 2020:</w:t>
      </w:r>
    </w:p>
    <w:p>
      <w:pPr>
        <w:spacing w:after="0" w:line="1" w:lineRule="exact"/>
        <w:rPr>
          <w:sz w:val="20"/>
          <w:szCs w:val="20"/>
          <w:color w:val="auto"/>
        </w:rPr>
      </w:pPr>
    </w:p>
    <w:p>
      <w:pPr>
        <w:ind w:left="8260"/>
        <w:spacing w:after="0"/>
        <w:rPr>
          <w:sz w:val="20"/>
          <w:szCs w:val="20"/>
          <w:color w:val="auto"/>
        </w:rPr>
      </w:pPr>
      <w:r>
        <w:rPr>
          <w:rFonts w:ascii="Arial" w:cs="Arial" w:eastAsia="Arial" w:hAnsi="Arial"/>
          <w:sz w:val="16"/>
          <w:szCs w:val="16"/>
          <w:b w:val="1"/>
          <w:bCs w:val="1"/>
          <w:color w:val="auto"/>
        </w:rPr>
        <w:t>For the three months ended March 31,</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8120" w:type="dxa"/>
            <w:vAlign w:val="bottom"/>
            <w:gridSpan w:val="3"/>
          </w:tcPr>
          <w:p>
            <w:pPr>
              <w:ind w:left="20"/>
              <w:spacing w:after="0"/>
              <w:rPr>
                <w:sz w:val="20"/>
                <w:szCs w:val="20"/>
                <w:color w:val="auto"/>
              </w:rPr>
            </w:pPr>
            <w:r>
              <w:rPr>
                <w:rFonts w:ascii="Arial" w:cs="Arial" w:eastAsia="Arial" w:hAnsi="Arial"/>
                <w:sz w:val="14"/>
                <w:szCs w:val="14"/>
                <w:b w:val="1"/>
                <w:bCs w:val="1"/>
                <w:i w:val="1"/>
                <w:iCs w:val="1"/>
                <w:color w:val="auto"/>
              </w:rPr>
              <w:t>(in millions)</w:t>
            </w:r>
          </w:p>
        </w:tc>
        <w:tc>
          <w:tcPr>
            <w:tcW w:w="1520" w:type="dxa"/>
            <w:vAlign w:val="bottom"/>
            <w:tcBorders>
              <w:top w:val="single" w:sz="8" w:color="auto"/>
            </w:tcBorders>
          </w:tcPr>
          <w:p>
            <w:pPr>
              <w:jc w:val="right"/>
              <w:ind w:right="514"/>
              <w:spacing w:after="0" w:line="175" w:lineRule="exact"/>
              <w:rPr>
                <w:sz w:val="20"/>
                <w:szCs w:val="20"/>
                <w:color w:val="auto"/>
              </w:rPr>
            </w:pPr>
            <w:r>
              <w:rPr>
                <w:rFonts w:ascii="Arial" w:cs="Arial" w:eastAsia="Arial" w:hAnsi="Arial"/>
                <w:sz w:val="17"/>
                <w:szCs w:val="17"/>
                <w:b w:val="1"/>
                <w:bCs w:val="1"/>
                <w:color w:val="auto"/>
              </w:rPr>
              <w:t>2021</w:t>
            </w:r>
          </w:p>
        </w:tc>
        <w:tc>
          <w:tcPr>
            <w:tcW w:w="80" w:type="dxa"/>
            <w:vAlign w:val="bottom"/>
            <w:tcBorders>
              <w:top w:val="single" w:sz="8" w:color="auto"/>
            </w:tcBorders>
          </w:tcPr>
          <w:p>
            <w:pPr>
              <w:spacing w:after="0"/>
              <w:rPr>
                <w:sz w:val="15"/>
                <w:szCs w:val="15"/>
                <w:color w:val="auto"/>
              </w:rPr>
            </w:pPr>
          </w:p>
        </w:tc>
        <w:tc>
          <w:tcPr>
            <w:tcW w:w="1520" w:type="dxa"/>
            <w:vAlign w:val="bottom"/>
            <w:tcBorders>
              <w:top w:val="single" w:sz="8" w:color="auto"/>
            </w:tcBorders>
          </w:tcPr>
          <w:p>
            <w:pPr>
              <w:jc w:val="right"/>
              <w:ind w:right="494"/>
              <w:spacing w:after="0" w:line="175" w:lineRule="exact"/>
              <w:rPr>
                <w:sz w:val="20"/>
                <w:szCs w:val="20"/>
                <w:color w:val="auto"/>
              </w:rPr>
            </w:pPr>
            <w:r>
              <w:rPr>
                <w:rFonts w:ascii="Arial" w:cs="Arial" w:eastAsia="Arial" w:hAnsi="Arial"/>
                <w:sz w:val="17"/>
                <w:szCs w:val="17"/>
                <w:b w:val="1"/>
                <w:bCs w:val="1"/>
                <w:color w:val="auto"/>
              </w:rPr>
              <w:t>2020</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700" w:type="dxa"/>
            <w:vAlign w:val="bottom"/>
            <w:tcBorders>
              <w:top w:val="single" w:sz="8" w:color="auto"/>
              <w:bottom w:val="single" w:sz="8" w:color="CCEEFF"/>
            </w:tcBorders>
          </w:tcPr>
          <w:p>
            <w:pPr>
              <w:spacing w:after="0" w:line="20" w:lineRule="exact"/>
              <w:rPr>
                <w:sz w:val="1"/>
                <w:szCs w:val="1"/>
                <w:color w:val="auto"/>
              </w:rPr>
            </w:pPr>
          </w:p>
        </w:tc>
        <w:tc>
          <w:tcPr>
            <w:tcW w:w="7400" w:type="dxa"/>
            <w:vAlign w:val="bottom"/>
            <w:tcBorders>
              <w:bottom w:val="single" w:sz="8" w:color="CCEEFF"/>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r>
        <w:trPr>
          <w:trHeight w:val="211"/>
        </w:trPr>
        <w:tc>
          <w:tcPr>
            <w:tcW w:w="8120" w:type="dxa"/>
            <w:vAlign w:val="bottom"/>
            <w:gridSpan w:val="3"/>
            <w:shd w:val="clear" w:color="auto" w:fill="CCEEFF"/>
          </w:tcPr>
          <w:p>
            <w:pPr>
              <w:ind w:left="20"/>
              <w:spacing w:after="0"/>
              <w:rPr>
                <w:sz w:val="20"/>
                <w:szCs w:val="20"/>
                <w:color w:val="auto"/>
              </w:rPr>
            </w:pPr>
            <w:r>
              <w:rPr>
                <w:rFonts w:ascii="Arial" w:cs="Arial" w:eastAsia="Arial" w:hAnsi="Arial"/>
                <w:sz w:val="17"/>
                <w:szCs w:val="17"/>
                <w:b w:val="1"/>
                <w:bCs w:val="1"/>
                <w:color w:val="auto"/>
              </w:rPr>
              <w:t>Weighted-average common shares outstanding - Basic</w:t>
            </w:r>
          </w:p>
        </w:tc>
        <w:tc>
          <w:tcPr>
            <w:tcW w:w="1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155.7</w:t>
            </w:r>
          </w:p>
        </w:tc>
        <w:tc>
          <w:tcPr>
            <w:tcW w:w="8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115.7</w:t>
            </w:r>
          </w:p>
        </w:tc>
      </w:tr>
      <w:tr>
        <w:trPr>
          <w:trHeight w:val="218"/>
        </w:trPr>
        <w:tc>
          <w:tcPr>
            <w:tcW w:w="20" w:type="dxa"/>
            <w:vAlign w:val="bottom"/>
          </w:tcPr>
          <w:p>
            <w:pPr>
              <w:spacing w:after="0"/>
              <w:rPr>
                <w:sz w:val="18"/>
                <w:szCs w:val="18"/>
                <w:color w:val="auto"/>
              </w:rPr>
            </w:pPr>
          </w:p>
        </w:tc>
        <w:tc>
          <w:tcPr>
            <w:tcW w:w="8100" w:type="dxa"/>
            <w:vAlign w:val="bottom"/>
            <w:gridSpan w:val="2"/>
          </w:tcPr>
          <w:p>
            <w:pPr>
              <w:ind w:left="200"/>
              <w:spacing w:after="0"/>
              <w:rPr>
                <w:sz w:val="20"/>
                <w:szCs w:val="20"/>
                <w:color w:val="auto"/>
              </w:rPr>
            </w:pPr>
            <w:r>
              <w:rPr>
                <w:rFonts w:ascii="Arial" w:cs="Arial" w:eastAsia="Arial" w:hAnsi="Arial"/>
                <w:sz w:val="17"/>
                <w:szCs w:val="17"/>
                <w:color w:val="auto"/>
              </w:rPr>
              <w:t>Assumed conversion of:</w:t>
            </w:r>
          </w:p>
        </w:tc>
        <w:tc>
          <w:tcPr>
            <w:tcW w:w="1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20" w:type="dxa"/>
            <w:vAlign w:val="bottom"/>
          </w:tcPr>
          <w:p>
            <w:pPr>
              <w:spacing w:after="0"/>
              <w:rPr>
                <w:sz w:val="18"/>
                <w:szCs w:val="18"/>
                <w:color w:val="auto"/>
              </w:rPr>
            </w:pPr>
          </w:p>
        </w:tc>
      </w:tr>
      <w:tr>
        <w:trPr>
          <w:trHeight w:val="220"/>
        </w:trPr>
        <w:tc>
          <w:tcPr>
            <w:tcW w:w="20" w:type="dxa"/>
            <w:vAlign w:val="bottom"/>
            <w:shd w:val="clear" w:color="auto" w:fill="CCEEFF"/>
          </w:tcPr>
          <w:p>
            <w:pPr>
              <w:spacing w:after="0"/>
              <w:rPr>
                <w:sz w:val="19"/>
                <w:szCs w:val="19"/>
                <w:color w:val="auto"/>
              </w:rPr>
            </w:pPr>
          </w:p>
        </w:tc>
        <w:tc>
          <w:tcPr>
            <w:tcW w:w="8100" w:type="dxa"/>
            <w:vAlign w:val="bottom"/>
            <w:gridSpan w:val="2"/>
            <w:shd w:val="clear" w:color="auto" w:fill="CCEEFF"/>
          </w:tcPr>
          <w:p>
            <w:pPr>
              <w:ind w:left="420"/>
              <w:spacing w:after="0"/>
              <w:rPr>
                <w:sz w:val="20"/>
                <w:szCs w:val="20"/>
                <w:color w:val="auto"/>
              </w:rPr>
            </w:pPr>
            <w:r>
              <w:rPr>
                <w:rFonts w:ascii="Arial" w:cs="Arial" w:eastAsia="Arial" w:hAnsi="Arial"/>
                <w:sz w:val="17"/>
                <w:szCs w:val="17"/>
                <w:color w:val="auto"/>
              </w:rPr>
              <w:t>Dilutive stock options</w:t>
            </w:r>
          </w:p>
        </w:tc>
        <w:tc>
          <w:tcPr>
            <w:tcW w:w="1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w:t>
            </w:r>
          </w:p>
        </w:tc>
        <w:tc>
          <w:tcPr>
            <w:tcW w:w="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18"/>
        </w:trPr>
        <w:tc>
          <w:tcPr>
            <w:tcW w:w="20" w:type="dxa"/>
            <w:vAlign w:val="bottom"/>
          </w:tcPr>
          <w:p>
            <w:pPr>
              <w:spacing w:after="0"/>
              <w:rPr>
                <w:sz w:val="18"/>
                <w:szCs w:val="18"/>
                <w:color w:val="auto"/>
              </w:rPr>
            </w:pPr>
          </w:p>
        </w:tc>
        <w:tc>
          <w:tcPr>
            <w:tcW w:w="8100" w:type="dxa"/>
            <w:vAlign w:val="bottom"/>
            <w:gridSpan w:val="2"/>
          </w:tcPr>
          <w:p>
            <w:pPr>
              <w:ind w:left="420"/>
              <w:spacing w:after="0"/>
              <w:rPr>
                <w:sz w:val="20"/>
                <w:szCs w:val="20"/>
                <w:color w:val="auto"/>
              </w:rPr>
            </w:pPr>
            <w:r>
              <w:rPr>
                <w:rFonts w:ascii="Arial" w:cs="Arial" w:eastAsia="Arial" w:hAnsi="Arial"/>
                <w:sz w:val="17"/>
                <w:szCs w:val="17"/>
                <w:color w:val="auto"/>
              </w:rPr>
              <w:t>Dilutive RSAs</w:t>
            </w:r>
          </w:p>
        </w:tc>
        <w:tc>
          <w:tcPr>
            <w:tcW w:w="1520" w:type="dxa"/>
            <w:vAlign w:val="bottom"/>
          </w:tcPr>
          <w:p>
            <w:pPr>
              <w:jc w:val="right"/>
              <w:spacing w:after="0"/>
              <w:rPr>
                <w:sz w:val="20"/>
                <w:szCs w:val="20"/>
                <w:color w:val="auto"/>
              </w:rPr>
            </w:pPr>
            <w:r>
              <w:rPr>
                <w:rFonts w:ascii="Arial" w:cs="Arial" w:eastAsia="Arial" w:hAnsi="Arial"/>
                <w:sz w:val="17"/>
                <w:szCs w:val="17"/>
                <w:color w:val="auto"/>
              </w:rPr>
              <w:t>0.4</w:t>
            </w:r>
          </w:p>
        </w:tc>
        <w:tc>
          <w:tcPr>
            <w:tcW w:w="8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19"/>
        </w:trPr>
        <w:tc>
          <w:tcPr>
            <w:tcW w:w="20" w:type="dxa"/>
            <w:vAlign w:val="bottom"/>
            <w:shd w:val="clear" w:color="auto" w:fill="CCEEFF"/>
          </w:tcPr>
          <w:p>
            <w:pPr>
              <w:spacing w:after="0"/>
              <w:rPr>
                <w:sz w:val="19"/>
                <w:szCs w:val="19"/>
                <w:color w:val="auto"/>
              </w:rPr>
            </w:pPr>
          </w:p>
        </w:tc>
        <w:tc>
          <w:tcPr>
            <w:tcW w:w="8100" w:type="dxa"/>
            <w:vAlign w:val="bottom"/>
            <w:gridSpan w:val="2"/>
            <w:shd w:val="clear" w:color="auto" w:fill="CCEEFF"/>
          </w:tcPr>
          <w:p>
            <w:pPr>
              <w:ind w:left="420"/>
              <w:spacing w:after="0"/>
              <w:rPr>
                <w:sz w:val="20"/>
                <w:szCs w:val="20"/>
                <w:color w:val="auto"/>
              </w:rPr>
            </w:pPr>
            <w:r>
              <w:rPr>
                <w:rFonts w:ascii="Arial" w:cs="Arial" w:eastAsia="Arial" w:hAnsi="Arial"/>
                <w:sz w:val="17"/>
                <w:szCs w:val="17"/>
                <w:color w:val="auto"/>
              </w:rPr>
              <w:t>Convertible debt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14.1</w:t>
            </w:r>
          </w:p>
        </w:tc>
        <w:tc>
          <w:tcPr>
            <w:tcW w:w="80" w:type="dxa"/>
            <w:vAlign w:val="bottom"/>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13"/>
        </w:trPr>
        <w:tc>
          <w:tcPr>
            <w:tcW w:w="8120" w:type="dxa"/>
            <w:vAlign w:val="bottom"/>
            <w:gridSpan w:val="3"/>
          </w:tcPr>
          <w:p>
            <w:pPr>
              <w:ind w:left="20"/>
              <w:spacing w:after="0"/>
              <w:rPr>
                <w:sz w:val="20"/>
                <w:szCs w:val="20"/>
                <w:color w:val="auto"/>
              </w:rPr>
            </w:pPr>
            <w:r>
              <w:rPr>
                <w:rFonts w:ascii="Arial" w:cs="Arial" w:eastAsia="Arial" w:hAnsi="Arial"/>
                <w:sz w:val="17"/>
                <w:szCs w:val="17"/>
                <w:b w:val="1"/>
                <w:bCs w:val="1"/>
                <w:color w:val="auto"/>
              </w:rPr>
              <w:t>Weighted-average common shares outstanding - Diluted</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172.8</w:t>
            </w:r>
          </w:p>
        </w:tc>
        <w:tc>
          <w:tcPr>
            <w:tcW w:w="80" w:type="dxa"/>
            <w:vAlign w:val="bottom"/>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115.7</w:t>
            </w:r>
          </w:p>
        </w:tc>
      </w:tr>
      <w:tr>
        <w:trPr>
          <w:trHeight w:val="20"/>
        </w:trPr>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40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bl>
    <w:p>
      <w:pPr>
        <w:spacing w:after="0" w:line="168" w:lineRule="exact"/>
        <w:rPr>
          <w:sz w:val="20"/>
          <w:szCs w:val="20"/>
          <w:color w:val="auto"/>
        </w:rPr>
      </w:pPr>
    </w:p>
    <w:p>
      <w:pPr>
        <w:ind w:right="160" w:firstLine="309"/>
        <w:spacing w:after="0" w:line="279" w:lineRule="auto"/>
        <w:rPr>
          <w:sz w:val="20"/>
          <w:szCs w:val="20"/>
          <w:color w:val="auto"/>
        </w:rPr>
      </w:pPr>
      <w:r>
        <w:rPr>
          <w:rFonts w:ascii="Arial" w:cs="Arial" w:eastAsia="Arial" w:hAnsi="Arial"/>
          <w:sz w:val="17"/>
          <w:szCs w:val="17"/>
          <w:color w:val="auto"/>
        </w:rPr>
        <w:t>In addition, 0.8 million shares from the assumed conversion of convertible preferred shares were excluded from the computation of diluted income per share for the three months ended March 31, 2021 because including them would have been anti-dilutive.</w:t>
      </w:r>
    </w:p>
    <w:p>
      <w:pPr>
        <w:spacing w:after="0" w:line="126" w:lineRule="exact"/>
        <w:rPr>
          <w:sz w:val="20"/>
          <w:szCs w:val="20"/>
          <w:color w:val="auto"/>
        </w:rPr>
      </w:pPr>
    </w:p>
    <w:p>
      <w:pPr>
        <w:ind w:right="180" w:firstLine="309"/>
        <w:spacing w:after="0" w:line="279" w:lineRule="auto"/>
        <w:rPr>
          <w:sz w:val="20"/>
          <w:szCs w:val="20"/>
          <w:color w:val="auto"/>
        </w:rPr>
      </w:pPr>
      <w:r>
        <w:rPr>
          <w:rFonts w:ascii="Arial" w:cs="Arial" w:eastAsia="Arial" w:hAnsi="Arial"/>
          <w:sz w:val="17"/>
          <w:szCs w:val="17"/>
          <w:color w:val="auto"/>
        </w:rPr>
        <w:t>Options to purchase 0.2 million and 1.2 million shares were outstanding during the three months ended March 31, 2021 and 2020, respectively, but were not included in the computation of diluted earnings (loss) per share because they were anti-dilutive.</w:t>
      </w: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173990</wp:posOffset>
            </wp:positionV>
            <wp:extent cx="7164070" cy="419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5" w:name="page26"/>
    <w:bookmarkEnd w:id="25"/>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339" w:lineRule="exact"/>
        <w:rPr>
          <w:sz w:val="20"/>
          <w:szCs w:val="20"/>
          <w:color w:val="auto"/>
        </w:rPr>
      </w:pPr>
    </w:p>
    <w:p>
      <w:pPr>
        <w:ind w:left="320"/>
        <w:spacing w:after="0"/>
        <w:rPr>
          <w:sz w:val="20"/>
          <w:szCs w:val="20"/>
          <w:color w:val="auto"/>
        </w:rPr>
      </w:pPr>
      <w:r>
        <w:rPr>
          <w:rFonts w:ascii="Arial" w:cs="Arial" w:eastAsia="Arial" w:hAnsi="Arial"/>
          <w:sz w:val="16"/>
          <w:szCs w:val="16"/>
          <w:color w:val="auto"/>
        </w:rPr>
        <w:t>The following table presents the calculation of basic and diluted earnings (loss) per share for the Company’s common stock for the three months ended</w:t>
      </w:r>
    </w:p>
    <w:p>
      <w:pPr>
        <w:spacing w:after="0" w:line="33" w:lineRule="exact"/>
        <w:rPr>
          <w:sz w:val="20"/>
          <w:szCs w:val="20"/>
          <w:color w:val="auto"/>
        </w:rPr>
      </w:pPr>
    </w:p>
    <w:p>
      <w:pPr>
        <w:spacing w:after="0"/>
        <w:rPr>
          <w:sz w:val="20"/>
          <w:szCs w:val="20"/>
          <w:color w:val="auto"/>
        </w:rPr>
      </w:pPr>
      <w:r>
        <w:rPr>
          <w:rFonts w:ascii="Arial" w:cs="Arial" w:eastAsia="Arial" w:hAnsi="Arial"/>
          <w:sz w:val="17"/>
          <w:szCs w:val="17"/>
          <w:color w:val="auto"/>
        </w:rPr>
        <w:t>March 31, 2021 and 2020:</w:t>
      </w:r>
    </w:p>
    <w:p>
      <w:pPr>
        <w:spacing w:after="0" w:line="123" w:lineRule="exact"/>
        <w:rPr>
          <w:sz w:val="20"/>
          <w:szCs w:val="20"/>
          <w:color w:val="auto"/>
        </w:rPr>
      </w:pPr>
    </w:p>
    <w:p>
      <w:pPr>
        <w:ind w:left="8260"/>
        <w:spacing w:after="0"/>
        <w:rPr>
          <w:sz w:val="20"/>
          <w:szCs w:val="20"/>
          <w:color w:val="auto"/>
        </w:rPr>
      </w:pPr>
      <w:r>
        <w:rPr>
          <w:rFonts w:ascii="Arial" w:cs="Arial" w:eastAsia="Arial" w:hAnsi="Arial"/>
          <w:sz w:val="16"/>
          <w:szCs w:val="16"/>
          <w:b w:val="1"/>
          <w:bCs w:val="1"/>
          <w:color w:val="auto"/>
        </w:rPr>
        <w:t>For the three months ended March 31,</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8100" w:type="dxa"/>
            <w:vAlign w:val="bottom"/>
            <w:gridSpan w:val="3"/>
          </w:tcPr>
          <w:p>
            <w:pPr>
              <w:ind w:left="20"/>
              <w:spacing w:after="0"/>
              <w:rPr>
                <w:sz w:val="20"/>
                <w:szCs w:val="20"/>
                <w:color w:val="auto"/>
              </w:rPr>
            </w:pPr>
            <w:r>
              <w:rPr>
                <w:rFonts w:ascii="Arial" w:cs="Arial" w:eastAsia="Arial" w:hAnsi="Arial"/>
                <w:sz w:val="14"/>
                <w:szCs w:val="14"/>
                <w:b w:val="1"/>
                <w:bCs w:val="1"/>
                <w:i w:val="1"/>
                <w:iCs w:val="1"/>
                <w:color w:val="auto"/>
              </w:rPr>
              <w:t>(in millions, except per share data)</w:t>
            </w:r>
          </w:p>
        </w:tc>
        <w:tc>
          <w:tcPr>
            <w:tcW w:w="340" w:type="dxa"/>
            <w:vAlign w:val="bottom"/>
            <w:tcBorders>
              <w:top w:val="single" w:sz="8" w:color="auto"/>
            </w:tcBorders>
          </w:tcPr>
          <w:p>
            <w:pPr>
              <w:spacing w:after="0"/>
              <w:rPr>
                <w:sz w:val="15"/>
                <w:szCs w:val="15"/>
                <w:color w:val="auto"/>
              </w:rPr>
            </w:pPr>
          </w:p>
        </w:tc>
        <w:tc>
          <w:tcPr>
            <w:tcW w:w="1180" w:type="dxa"/>
            <w:vAlign w:val="bottom"/>
            <w:tcBorders>
              <w:top w:val="single" w:sz="8" w:color="auto"/>
            </w:tcBorders>
          </w:tcPr>
          <w:p>
            <w:pPr>
              <w:jc w:val="right"/>
              <w:ind w:right="494"/>
              <w:spacing w:after="0" w:line="175" w:lineRule="exact"/>
              <w:rPr>
                <w:sz w:val="20"/>
                <w:szCs w:val="20"/>
                <w:color w:val="auto"/>
              </w:rPr>
            </w:pPr>
            <w:r>
              <w:rPr>
                <w:rFonts w:ascii="Arial" w:cs="Arial" w:eastAsia="Arial" w:hAnsi="Arial"/>
                <w:sz w:val="17"/>
                <w:szCs w:val="17"/>
                <w:b w:val="1"/>
                <w:bCs w:val="1"/>
                <w:color w:val="auto"/>
              </w:rPr>
              <w:t>2021</w:t>
            </w:r>
          </w:p>
        </w:tc>
        <w:tc>
          <w:tcPr>
            <w:tcW w:w="100" w:type="dxa"/>
            <w:vAlign w:val="bottom"/>
            <w:tcBorders>
              <w:top w:val="single" w:sz="8" w:color="auto"/>
            </w:tcBorders>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1180" w:type="dxa"/>
            <w:vAlign w:val="bottom"/>
            <w:tcBorders>
              <w:top w:val="single" w:sz="8" w:color="auto"/>
            </w:tcBorders>
          </w:tcPr>
          <w:p>
            <w:pPr>
              <w:jc w:val="right"/>
              <w:ind w:right="494"/>
              <w:spacing w:after="0" w:line="175" w:lineRule="exact"/>
              <w:rPr>
                <w:sz w:val="20"/>
                <w:szCs w:val="20"/>
                <w:color w:val="auto"/>
              </w:rPr>
            </w:pPr>
            <w:r>
              <w:rPr>
                <w:rFonts w:ascii="Arial" w:cs="Arial" w:eastAsia="Arial" w:hAnsi="Arial"/>
                <w:sz w:val="17"/>
                <w:szCs w:val="17"/>
                <w:b w:val="1"/>
                <w:bCs w:val="1"/>
                <w:color w:val="auto"/>
              </w:rPr>
              <w:t>2020</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960" w:type="dxa"/>
            <w:vAlign w:val="bottom"/>
            <w:tcBorders>
              <w:top w:val="single" w:sz="8" w:color="auto"/>
              <w:bottom w:val="single" w:sz="8" w:color="CCEEFF"/>
            </w:tcBorders>
          </w:tcPr>
          <w:p>
            <w:pPr>
              <w:spacing w:after="0" w:line="20" w:lineRule="exact"/>
              <w:rPr>
                <w:sz w:val="1"/>
                <w:szCs w:val="1"/>
                <w:color w:val="auto"/>
              </w:rPr>
            </w:pPr>
          </w:p>
        </w:tc>
        <w:tc>
          <w:tcPr>
            <w:tcW w:w="6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198"/>
        </w:trPr>
        <w:tc>
          <w:tcPr>
            <w:tcW w:w="8100" w:type="dxa"/>
            <w:vAlign w:val="bottom"/>
            <w:gridSpan w:val="3"/>
            <w:shd w:val="clear" w:color="auto" w:fill="CCEEFF"/>
          </w:tcPr>
          <w:p>
            <w:pPr>
              <w:ind w:left="20"/>
              <w:spacing w:after="0"/>
              <w:rPr>
                <w:sz w:val="20"/>
                <w:szCs w:val="20"/>
                <w:color w:val="auto"/>
              </w:rPr>
            </w:pPr>
            <w:r>
              <w:rPr>
                <w:rFonts w:ascii="Arial" w:cs="Arial" w:eastAsia="Arial" w:hAnsi="Arial"/>
                <w:sz w:val="17"/>
                <w:szCs w:val="17"/>
                <w:b w:val="1"/>
                <w:bCs w:val="1"/>
                <w:color w:val="auto"/>
              </w:rPr>
              <w:t>Calculation of basic earnings (loss) per share:</w:t>
            </w:r>
          </w:p>
        </w:tc>
        <w:tc>
          <w:tcPr>
            <w:tcW w:w="3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r>
      <w:tr>
        <w:trPr>
          <w:trHeight w:val="218"/>
        </w:trPr>
        <w:tc>
          <w:tcPr>
            <w:tcW w:w="20" w:type="dxa"/>
            <w:vAlign w:val="bottom"/>
          </w:tcPr>
          <w:p>
            <w:pPr>
              <w:spacing w:after="0"/>
              <w:rPr>
                <w:sz w:val="18"/>
                <w:szCs w:val="18"/>
                <w:color w:val="auto"/>
              </w:rPr>
            </w:pPr>
          </w:p>
        </w:tc>
        <w:tc>
          <w:tcPr>
            <w:tcW w:w="8080" w:type="dxa"/>
            <w:vAlign w:val="bottom"/>
            <w:gridSpan w:val="2"/>
          </w:tcPr>
          <w:p>
            <w:pPr>
              <w:ind w:left="200"/>
              <w:spacing w:after="0"/>
              <w:rPr>
                <w:sz w:val="20"/>
                <w:szCs w:val="20"/>
                <w:color w:val="auto"/>
              </w:rPr>
            </w:pPr>
            <w:r>
              <w:rPr>
                <w:rFonts w:ascii="Arial" w:cs="Arial" w:eastAsia="Arial" w:hAnsi="Arial"/>
                <w:sz w:val="17"/>
                <w:szCs w:val="17"/>
                <w:color w:val="auto"/>
              </w:rPr>
              <w:t>Net income (loss) applicable to common stock</w:t>
            </w:r>
          </w:p>
        </w:tc>
        <w:tc>
          <w:tcPr>
            <w:tcW w:w="340" w:type="dxa"/>
            <w:vAlign w:val="bottom"/>
          </w:tcPr>
          <w:p>
            <w:pPr>
              <w:jc w:val="right"/>
              <w:ind w:right="154"/>
              <w:spacing w:after="0"/>
              <w:rPr>
                <w:sz w:val="20"/>
                <w:szCs w:val="20"/>
                <w:color w:val="auto"/>
              </w:rPr>
            </w:pPr>
            <w:r>
              <w:rPr>
                <w:rFonts w:ascii="Arial" w:cs="Arial" w:eastAsia="Arial" w:hAnsi="Arial"/>
                <w:sz w:val="17"/>
                <w:szCs w:val="17"/>
                <w:color w:val="auto"/>
                <w:w w:val="84"/>
              </w:rPr>
              <w:t>$</w:t>
            </w:r>
          </w:p>
        </w:tc>
        <w:tc>
          <w:tcPr>
            <w:tcW w:w="1180" w:type="dxa"/>
            <w:vAlign w:val="bottom"/>
          </w:tcPr>
          <w:p>
            <w:pPr>
              <w:jc w:val="right"/>
              <w:spacing w:after="0"/>
              <w:rPr>
                <w:sz w:val="20"/>
                <w:szCs w:val="20"/>
                <w:color w:val="auto"/>
              </w:rPr>
            </w:pPr>
            <w:r>
              <w:rPr>
                <w:rFonts w:ascii="Arial" w:cs="Arial" w:eastAsia="Arial" w:hAnsi="Arial"/>
                <w:sz w:val="17"/>
                <w:szCs w:val="17"/>
                <w:color w:val="auto"/>
              </w:rPr>
              <w:t>90.5</w:t>
            </w:r>
          </w:p>
        </w:tc>
        <w:tc>
          <w:tcPr>
            <w:tcW w:w="100" w:type="dxa"/>
            <w:vAlign w:val="bottom"/>
          </w:tcPr>
          <w:p>
            <w:pPr>
              <w:spacing w:after="0"/>
              <w:rPr>
                <w:sz w:val="18"/>
                <w:szCs w:val="18"/>
                <w:color w:val="auto"/>
              </w:rPr>
            </w:pPr>
          </w:p>
        </w:tc>
        <w:tc>
          <w:tcPr>
            <w:tcW w:w="340" w:type="dxa"/>
            <w:vAlign w:val="bottom"/>
          </w:tcPr>
          <w:p>
            <w:pPr>
              <w:jc w:val="right"/>
              <w:ind w:right="154"/>
              <w:spacing w:after="0"/>
              <w:rPr>
                <w:sz w:val="20"/>
                <w:szCs w:val="20"/>
                <w:color w:val="auto"/>
              </w:rPr>
            </w:pPr>
            <w:r>
              <w:rPr>
                <w:rFonts w:ascii="Arial" w:cs="Arial" w:eastAsia="Arial" w:hAnsi="Arial"/>
                <w:sz w:val="17"/>
                <w:szCs w:val="17"/>
                <w:color w:val="auto"/>
                <w:w w:val="84"/>
              </w:rPr>
              <w:t>$</w:t>
            </w:r>
          </w:p>
        </w:tc>
        <w:tc>
          <w:tcPr>
            <w:tcW w:w="1180" w:type="dxa"/>
            <w:vAlign w:val="bottom"/>
          </w:tcPr>
          <w:p>
            <w:pPr>
              <w:jc w:val="right"/>
              <w:spacing w:after="0"/>
              <w:rPr>
                <w:sz w:val="20"/>
                <w:szCs w:val="20"/>
                <w:color w:val="auto"/>
              </w:rPr>
            </w:pPr>
            <w:r>
              <w:rPr>
                <w:rFonts w:ascii="Arial" w:cs="Arial" w:eastAsia="Arial" w:hAnsi="Arial"/>
                <w:sz w:val="17"/>
                <w:szCs w:val="17"/>
                <w:color w:val="auto"/>
              </w:rPr>
              <w:t>(608.6)</w:t>
            </w:r>
          </w:p>
        </w:tc>
      </w:tr>
      <w:tr>
        <w:trPr>
          <w:trHeight w:val="220"/>
        </w:trPr>
        <w:tc>
          <w:tcPr>
            <w:tcW w:w="20" w:type="dxa"/>
            <w:vAlign w:val="bottom"/>
            <w:shd w:val="clear" w:color="auto" w:fill="CCEEFF"/>
          </w:tcPr>
          <w:p>
            <w:pPr>
              <w:spacing w:after="0"/>
              <w:rPr>
                <w:sz w:val="19"/>
                <w:szCs w:val="19"/>
                <w:color w:val="auto"/>
              </w:rPr>
            </w:pPr>
          </w:p>
        </w:tc>
        <w:tc>
          <w:tcPr>
            <w:tcW w:w="8080" w:type="dxa"/>
            <w:vAlign w:val="bottom"/>
            <w:gridSpan w:val="2"/>
            <w:shd w:val="clear" w:color="auto" w:fill="CCEEFF"/>
          </w:tcPr>
          <w:p>
            <w:pPr>
              <w:ind w:left="200"/>
              <w:spacing w:after="0"/>
              <w:rPr>
                <w:sz w:val="20"/>
                <w:szCs w:val="20"/>
                <w:color w:val="auto"/>
              </w:rPr>
            </w:pPr>
            <w:r>
              <w:rPr>
                <w:rFonts w:ascii="Arial" w:cs="Arial" w:eastAsia="Arial" w:hAnsi="Arial"/>
                <w:sz w:val="17"/>
                <w:szCs w:val="17"/>
                <w:color w:val="auto"/>
              </w:rPr>
              <w:t>Weighted-average common shares outstanding - basic</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155.7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115.7</w:t>
            </w:r>
          </w:p>
        </w:tc>
      </w:tr>
      <w:tr>
        <w:trPr>
          <w:trHeight w:val="218"/>
        </w:trPr>
        <w:tc>
          <w:tcPr>
            <w:tcW w:w="8100" w:type="dxa"/>
            <w:vAlign w:val="bottom"/>
            <w:gridSpan w:val="3"/>
          </w:tcPr>
          <w:p>
            <w:pPr>
              <w:ind w:left="20"/>
              <w:spacing w:after="0"/>
              <w:rPr>
                <w:sz w:val="20"/>
                <w:szCs w:val="20"/>
                <w:color w:val="auto"/>
              </w:rPr>
            </w:pPr>
            <w:r>
              <w:rPr>
                <w:rFonts w:ascii="Arial" w:cs="Arial" w:eastAsia="Arial" w:hAnsi="Arial"/>
                <w:sz w:val="17"/>
                <w:szCs w:val="17"/>
                <w:color w:val="auto"/>
              </w:rPr>
              <w:t>Basic earnings (loss) per share</w:t>
            </w:r>
          </w:p>
        </w:tc>
        <w:tc>
          <w:tcPr>
            <w:tcW w:w="340" w:type="dxa"/>
            <w:vAlign w:val="bottom"/>
          </w:tcPr>
          <w:p>
            <w:pPr>
              <w:jc w:val="right"/>
              <w:ind w:right="154"/>
              <w:spacing w:after="0"/>
              <w:rPr>
                <w:sz w:val="20"/>
                <w:szCs w:val="20"/>
                <w:color w:val="auto"/>
              </w:rPr>
            </w:pPr>
            <w:r>
              <w:rPr>
                <w:rFonts w:ascii="Arial" w:cs="Arial" w:eastAsia="Arial" w:hAnsi="Arial"/>
                <w:sz w:val="17"/>
                <w:szCs w:val="17"/>
                <w:color w:val="auto"/>
                <w:w w:val="84"/>
              </w:rPr>
              <w:t>$</w:t>
            </w:r>
          </w:p>
        </w:tc>
        <w:tc>
          <w:tcPr>
            <w:tcW w:w="1180" w:type="dxa"/>
            <w:vAlign w:val="bottom"/>
          </w:tcPr>
          <w:p>
            <w:pPr>
              <w:jc w:val="right"/>
              <w:spacing w:after="0"/>
              <w:rPr>
                <w:sz w:val="20"/>
                <w:szCs w:val="20"/>
                <w:color w:val="auto"/>
              </w:rPr>
            </w:pPr>
            <w:r>
              <w:rPr>
                <w:rFonts w:ascii="Arial" w:cs="Arial" w:eastAsia="Arial" w:hAnsi="Arial"/>
                <w:sz w:val="17"/>
                <w:szCs w:val="17"/>
                <w:color w:val="auto"/>
              </w:rPr>
              <w:t>0.58</w:t>
            </w:r>
          </w:p>
        </w:tc>
        <w:tc>
          <w:tcPr>
            <w:tcW w:w="100" w:type="dxa"/>
            <w:vAlign w:val="bottom"/>
          </w:tcPr>
          <w:p>
            <w:pPr>
              <w:spacing w:after="0"/>
              <w:rPr>
                <w:sz w:val="18"/>
                <w:szCs w:val="18"/>
                <w:color w:val="auto"/>
              </w:rPr>
            </w:pPr>
          </w:p>
        </w:tc>
        <w:tc>
          <w:tcPr>
            <w:tcW w:w="340" w:type="dxa"/>
            <w:vAlign w:val="bottom"/>
          </w:tcPr>
          <w:p>
            <w:pPr>
              <w:jc w:val="right"/>
              <w:ind w:right="154"/>
              <w:spacing w:after="0"/>
              <w:rPr>
                <w:sz w:val="20"/>
                <w:szCs w:val="20"/>
                <w:color w:val="auto"/>
              </w:rPr>
            </w:pPr>
            <w:r>
              <w:rPr>
                <w:rFonts w:ascii="Arial" w:cs="Arial" w:eastAsia="Arial" w:hAnsi="Arial"/>
                <w:sz w:val="17"/>
                <w:szCs w:val="17"/>
                <w:color w:val="auto"/>
                <w:w w:val="84"/>
              </w:rPr>
              <w:t>$</w:t>
            </w:r>
          </w:p>
        </w:tc>
        <w:tc>
          <w:tcPr>
            <w:tcW w:w="1180" w:type="dxa"/>
            <w:vAlign w:val="bottom"/>
          </w:tcPr>
          <w:p>
            <w:pPr>
              <w:jc w:val="right"/>
              <w:spacing w:after="0"/>
              <w:rPr>
                <w:sz w:val="20"/>
                <w:szCs w:val="20"/>
                <w:color w:val="auto"/>
              </w:rPr>
            </w:pPr>
            <w:r>
              <w:rPr>
                <w:rFonts w:ascii="Arial" w:cs="Arial" w:eastAsia="Arial" w:hAnsi="Arial"/>
                <w:sz w:val="17"/>
                <w:szCs w:val="17"/>
                <w:color w:val="auto"/>
              </w:rPr>
              <w:t>(5.26)</w:t>
            </w:r>
          </w:p>
        </w:tc>
      </w:tr>
      <w:tr>
        <w:trPr>
          <w:trHeight w:val="246"/>
        </w:trPr>
        <w:tc>
          <w:tcPr>
            <w:tcW w:w="20" w:type="dxa"/>
            <w:vAlign w:val="bottom"/>
            <w:shd w:val="clear" w:color="auto" w:fill="CCEEFF"/>
          </w:tcPr>
          <w:p>
            <w:pPr>
              <w:spacing w:after="0"/>
              <w:rPr>
                <w:sz w:val="21"/>
                <w:szCs w:val="21"/>
                <w:color w:val="auto"/>
              </w:rPr>
            </w:pPr>
          </w:p>
        </w:tc>
        <w:tc>
          <w:tcPr>
            <w:tcW w:w="1960" w:type="dxa"/>
            <w:vAlign w:val="bottom"/>
            <w:shd w:val="clear" w:color="auto" w:fill="CCEEFF"/>
          </w:tcPr>
          <w:p>
            <w:pPr>
              <w:spacing w:after="0"/>
              <w:rPr>
                <w:sz w:val="21"/>
                <w:szCs w:val="21"/>
                <w:color w:val="auto"/>
              </w:rPr>
            </w:pPr>
          </w:p>
        </w:tc>
        <w:tc>
          <w:tcPr>
            <w:tcW w:w="61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r>
      <w:tr>
        <w:trPr>
          <w:trHeight w:val="219"/>
        </w:trPr>
        <w:tc>
          <w:tcPr>
            <w:tcW w:w="8100" w:type="dxa"/>
            <w:vAlign w:val="bottom"/>
            <w:gridSpan w:val="3"/>
          </w:tcPr>
          <w:p>
            <w:pPr>
              <w:ind w:left="20"/>
              <w:spacing w:after="0"/>
              <w:rPr>
                <w:sz w:val="20"/>
                <w:szCs w:val="20"/>
                <w:color w:val="auto"/>
              </w:rPr>
            </w:pPr>
            <w:r>
              <w:rPr>
                <w:rFonts w:ascii="Arial" w:cs="Arial" w:eastAsia="Arial" w:hAnsi="Arial"/>
                <w:sz w:val="17"/>
                <w:szCs w:val="17"/>
                <w:b w:val="1"/>
                <w:bCs w:val="1"/>
                <w:color w:val="auto"/>
              </w:rPr>
              <w:t>Calculation of diluted earnings (loss) per share:</w:t>
            </w:r>
          </w:p>
        </w:tc>
        <w:tc>
          <w:tcPr>
            <w:tcW w:w="3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19"/>
        </w:trPr>
        <w:tc>
          <w:tcPr>
            <w:tcW w:w="20" w:type="dxa"/>
            <w:vAlign w:val="bottom"/>
            <w:shd w:val="clear" w:color="auto" w:fill="CCEEFF"/>
          </w:tcPr>
          <w:p>
            <w:pPr>
              <w:spacing w:after="0"/>
              <w:rPr>
                <w:sz w:val="19"/>
                <w:szCs w:val="19"/>
                <w:color w:val="auto"/>
              </w:rPr>
            </w:pPr>
          </w:p>
        </w:tc>
        <w:tc>
          <w:tcPr>
            <w:tcW w:w="8080" w:type="dxa"/>
            <w:vAlign w:val="bottom"/>
            <w:gridSpan w:val="2"/>
            <w:shd w:val="clear" w:color="auto" w:fill="CCEEFF"/>
          </w:tcPr>
          <w:p>
            <w:pPr>
              <w:ind w:left="200"/>
              <w:spacing w:after="0"/>
              <w:rPr>
                <w:sz w:val="20"/>
                <w:szCs w:val="20"/>
                <w:color w:val="auto"/>
              </w:rPr>
            </w:pPr>
            <w:r>
              <w:rPr>
                <w:rFonts w:ascii="Arial" w:cs="Arial" w:eastAsia="Arial" w:hAnsi="Arial"/>
                <w:sz w:val="17"/>
                <w:szCs w:val="17"/>
                <w:color w:val="auto"/>
              </w:rPr>
              <w:t>Net income (loss) applicable to common stock</w:t>
            </w:r>
          </w:p>
        </w:tc>
        <w:tc>
          <w:tcPr>
            <w:tcW w:w="340" w:type="dxa"/>
            <w:vAlign w:val="bottom"/>
            <w:shd w:val="clear" w:color="auto" w:fill="CCEEFF"/>
          </w:tcPr>
          <w:p>
            <w:pPr>
              <w:jc w:val="right"/>
              <w:ind w:right="154"/>
              <w:spacing w:after="0"/>
              <w:rPr>
                <w:sz w:val="20"/>
                <w:szCs w:val="20"/>
                <w:color w:val="auto"/>
              </w:rPr>
            </w:pPr>
            <w:r>
              <w:rPr>
                <w:rFonts w:ascii="Arial" w:cs="Arial" w:eastAsia="Arial" w:hAnsi="Arial"/>
                <w:sz w:val="17"/>
                <w:szCs w:val="17"/>
                <w:color w:val="auto"/>
                <w:w w:val="84"/>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90.5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4"/>
              <w:spacing w:after="0"/>
              <w:rPr>
                <w:sz w:val="20"/>
                <w:szCs w:val="20"/>
                <w:color w:val="auto"/>
              </w:rPr>
            </w:pPr>
            <w:r>
              <w:rPr>
                <w:rFonts w:ascii="Arial" w:cs="Arial" w:eastAsia="Arial" w:hAnsi="Arial"/>
                <w:sz w:val="17"/>
                <w:szCs w:val="17"/>
                <w:color w:val="auto"/>
                <w:w w:val="84"/>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(608.6)</w:t>
            </w:r>
          </w:p>
        </w:tc>
      </w:tr>
      <w:tr>
        <w:trPr>
          <w:trHeight w:val="219"/>
        </w:trPr>
        <w:tc>
          <w:tcPr>
            <w:tcW w:w="20" w:type="dxa"/>
            <w:vAlign w:val="bottom"/>
          </w:tcPr>
          <w:p>
            <w:pPr>
              <w:spacing w:after="0"/>
              <w:rPr>
                <w:sz w:val="19"/>
                <w:szCs w:val="19"/>
                <w:color w:val="auto"/>
              </w:rPr>
            </w:pPr>
          </w:p>
        </w:tc>
        <w:tc>
          <w:tcPr>
            <w:tcW w:w="8080" w:type="dxa"/>
            <w:vAlign w:val="bottom"/>
            <w:gridSpan w:val="2"/>
          </w:tcPr>
          <w:p>
            <w:pPr>
              <w:ind w:left="200"/>
              <w:spacing w:after="0" w:line="219" w:lineRule="exact"/>
              <w:rPr>
                <w:sz w:val="20"/>
                <w:szCs w:val="20"/>
                <w:color w:val="auto"/>
              </w:rPr>
            </w:pPr>
            <w:r>
              <w:rPr>
                <w:rFonts w:ascii="Arial" w:cs="Arial" w:eastAsia="Arial" w:hAnsi="Arial"/>
                <w:sz w:val="17"/>
                <w:szCs w:val="17"/>
                <w:color w:val="auto"/>
              </w:rPr>
              <w:t xml:space="preserve">Interest expense, net of tax </w:t>
            </w:r>
            <w:r>
              <w:rPr>
                <w:rFonts w:ascii="Arial" w:cs="Arial" w:eastAsia="Arial" w:hAnsi="Arial"/>
                <w:sz w:val="22"/>
                <w:szCs w:val="22"/>
                <w:color w:val="auto"/>
                <w:vertAlign w:val="superscript"/>
              </w:rPr>
              <w:t>(1)</w:t>
            </w:r>
            <w:r>
              <w:rPr>
                <w:rFonts w:ascii="Arial" w:cs="Arial" w:eastAsia="Arial" w:hAnsi="Arial"/>
                <w:sz w:val="17"/>
                <w:szCs w:val="17"/>
                <w:color w:val="auto"/>
              </w:rPr>
              <w:t>:</w:t>
            </w:r>
          </w:p>
        </w:tc>
        <w:tc>
          <w:tcPr>
            <w:tcW w:w="3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19"/>
        </w:trPr>
        <w:tc>
          <w:tcPr>
            <w:tcW w:w="20" w:type="dxa"/>
            <w:vAlign w:val="bottom"/>
            <w:shd w:val="clear" w:color="auto" w:fill="CCEEFF"/>
          </w:tcPr>
          <w:p>
            <w:pPr>
              <w:spacing w:after="0"/>
              <w:rPr>
                <w:sz w:val="19"/>
                <w:szCs w:val="19"/>
                <w:color w:val="auto"/>
              </w:rPr>
            </w:pPr>
          </w:p>
        </w:tc>
        <w:tc>
          <w:tcPr>
            <w:tcW w:w="8080" w:type="dxa"/>
            <w:vAlign w:val="bottom"/>
            <w:gridSpan w:val="2"/>
            <w:shd w:val="clear" w:color="auto" w:fill="CCEEFF"/>
          </w:tcPr>
          <w:p>
            <w:pPr>
              <w:ind w:left="400"/>
              <w:spacing w:after="0"/>
              <w:rPr>
                <w:sz w:val="20"/>
                <w:szCs w:val="20"/>
                <w:color w:val="auto"/>
              </w:rPr>
            </w:pPr>
            <w:r>
              <w:rPr>
                <w:rFonts w:ascii="Arial" w:cs="Arial" w:eastAsia="Arial" w:hAnsi="Arial"/>
                <w:sz w:val="17"/>
                <w:szCs w:val="17"/>
                <w:color w:val="auto"/>
              </w:rPr>
              <w:t>Convertible Notes</w:t>
            </w: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4.3</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11"/>
        </w:trPr>
        <w:tc>
          <w:tcPr>
            <w:tcW w:w="20" w:type="dxa"/>
            <w:vAlign w:val="bottom"/>
          </w:tcPr>
          <w:p>
            <w:pPr>
              <w:spacing w:after="0"/>
              <w:rPr>
                <w:sz w:val="18"/>
                <w:szCs w:val="18"/>
                <w:color w:val="auto"/>
              </w:rPr>
            </w:pPr>
          </w:p>
        </w:tc>
        <w:tc>
          <w:tcPr>
            <w:tcW w:w="8080" w:type="dxa"/>
            <w:vAlign w:val="bottom"/>
            <w:gridSpan w:val="2"/>
          </w:tcPr>
          <w:p>
            <w:pPr>
              <w:ind w:left="200"/>
              <w:spacing w:after="0"/>
              <w:rPr>
                <w:sz w:val="20"/>
                <w:szCs w:val="20"/>
                <w:color w:val="auto"/>
              </w:rPr>
            </w:pPr>
            <w:r>
              <w:rPr>
                <w:rFonts w:ascii="Arial" w:cs="Arial" w:eastAsia="Arial" w:hAnsi="Arial"/>
                <w:sz w:val="17"/>
                <w:szCs w:val="17"/>
                <w:color w:val="auto"/>
              </w:rPr>
              <w:t>Diluted income (loss) applicable to common stock</w:t>
            </w:r>
          </w:p>
        </w:tc>
        <w:tc>
          <w:tcPr>
            <w:tcW w:w="340" w:type="dxa"/>
            <w:vAlign w:val="bottom"/>
          </w:tcPr>
          <w:p>
            <w:pPr>
              <w:jc w:val="right"/>
              <w:ind w:right="154"/>
              <w:spacing w:after="0"/>
              <w:rPr>
                <w:sz w:val="20"/>
                <w:szCs w:val="20"/>
                <w:color w:val="auto"/>
              </w:rPr>
            </w:pPr>
            <w:r>
              <w:rPr>
                <w:rFonts w:ascii="Arial" w:cs="Arial" w:eastAsia="Arial" w:hAnsi="Arial"/>
                <w:sz w:val="17"/>
                <w:szCs w:val="17"/>
                <w:color w:val="auto"/>
                <w:w w:val="84"/>
              </w:rPr>
              <w:t>$</w:t>
            </w:r>
          </w:p>
        </w:tc>
        <w:tc>
          <w:tcPr>
            <w:tcW w:w="1180" w:type="dxa"/>
            <w:vAlign w:val="bottom"/>
          </w:tcPr>
          <w:p>
            <w:pPr>
              <w:jc w:val="right"/>
              <w:spacing w:after="0"/>
              <w:rPr>
                <w:sz w:val="20"/>
                <w:szCs w:val="20"/>
                <w:color w:val="auto"/>
              </w:rPr>
            </w:pPr>
            <w:r>
              <w:rPr>
                <w:rFonts w:ascii="Arial" w:cs="Arial" w:eastAsia="Arial" w:hAnsi="Arial"/>
                <w:sz w:val="17"/>
                <w:szCs w:val="17"/>
                <w:color w:val="auto"/>
              </w:rPr>
              <w:t>94.8</w:t>
            </w:r>
          </w:p>
        </w:tc>
        <w:tc>
          <w:tcPr>
            <w:tcW w:w="100" w:type="dxa"/>
            <w:vAlign w:val="bottom"/>
          </w:tcPr>
          <w:p>
            <w:pPr>
              <w:spacing w:after="0"/>
              <w:rPr>
                <w:sz w:val="18"/>
                <w:szCs w:val="18"/>
                <w:color w:val="auto"/>
              </w:rPr>
            </w:pPr>
          </w:p>
        </w:tc>
        <w:tc>
          <w:tcPr>
            <w:tcW w:w="340" w:type="dxa"/>
            <w:vAlign w:val="bottom"/>
          </w:tcPr>
          <w:p>
            <w:pPr>
              <w:jc w:val="right"/>
              <w:ind w:right="154"/>
              <w:spacing w:after="0"/>
              <w:rPr>
                <w:sz w:val="20"/>
                <w:szCs w:val="20"/>
                <w:color w:val="auto"/>
              </w:rPr>
            </w:pPr>
            <w:r>
              <w:rPr>
                <w:rFonts w:ascii="Arial" w:cs="Arial" w:eastAsia="Arial" w:hAnsi="Arial"/>
                <w:sz w:val="17"/>
                <w:szCs w:val="17"/>
                <w:color w:val="auto"/>
                <w:w w:val="84"/>
              </w:rPr>
              <w:t>$</w:t>
            </w:r>
          </w:p>
        </w:tc>
        <w:tc>
          <w:tcPr>
            <w:tcW w:w="1180" w:type="dxa"/>
            <w:vAlign w:val="bottom"/>
          </w:tcPr>
          <w:p>
            <w:pPr>
              <w:jc w:val="right"/>
              <w:spacing w:after="0"/>
              <w:rPr>
                <w:sz w:val="20"/>
                <w:szCs w:val="20"/>
                <w:color w:val="auto"/>
              </w:rPr>
            </w:pPr>
            <w:r>
              <w:rPr>
                <w:rFonts w:ascii="Arial" w:cs="Arial" w:eastAsia="Arial" w:hAnsi="Arial"/>
                <w:sz w:val="17"/>
                <w:szCs w:val="17"/>
                <w:color w:val="auto"/>
              </w:rPr>
              <w:t>(608.6)</w:t>
            </w:r>
          </w:p>
        </w:tc>
      </w:tr>
      <w:tr>
        <w:trPr>
          <w:trHeight w:val="220"/>
        </w:trPr>
        <w:tc>
          <w:tcPr>
            <w:tcW w:w="20" w:type="dxa"/>
            <w:vAlign w:val="bottom"/>
            <w:shd w:val="clear" w:color="auto" w:fill="CCEEFF"/>
          </w:tcPr>
          <w:p>
            <w:pPr>
              <w:spacing w:after="0"/>
              <w:rPr>
                <w:sz w:val="19"/>
                <w:szCs w:val="19"/>
                <w:color w:val="auto"/>
              </w:rPr>
            </w:pPr>
          </w:p>
        </w:tc>
        <w:tc>
          <w:tcPr>
            <w:tcW w:w="8080" w:type="dxa"/>
            <w:vAlign w:val="bottom"/>
            <w:gridSpan w:val="2"/>
            <w:shd w:val="clear" w:color="auto" w:fill="CCEEFF"/>
          </w:tcPr>
          <w:p>
            <w:pPr>
              <w:ind w:left="200"/>
              <w:spacing w:after="0"/>
              <w:rPr>
                <w:sz w:val="20"/>
                <w:szCs w:val="20"/>
                <w:color w:val="auto"/>
              </w:rPr>
            </w:pPr>
            <w:r>
              <w:rPr>
                <w:rFonts w:ascii="Arial" w:cs="Arial" w:eastAsia="Arial" w:hAnsi="Arial"/>
                <w:sz w:val="17"/>
                <w:szCs w:val="17"/>
                <w:color w:val="auto"/>
              </w:rPr>
              <w:t>Weighted-average common shares outstanding - diluted</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172.8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115.7</w:t>
            </w:r>
          </w:p>
        </w:tc>
      </w:tr>
      <w:tr>
        <w:trPr>
          <w:trHeight w:val="218"/>
        </w:trPr>
        <w:tc>
          <w:tcPr>
            <w:tcW w:w="8100" w:type="dxa"/>
            <w:vAlign w:val="bottom"/>
            <w:gridSpan w:val="3"/>
          </w:tcPr>
          <w:p>
            <w:pPr>
              <w:ind w:left="20"/>
              <w:spacing w:after="0"/>
              <w:rPr>
                <w:sz w:val="20"/>
                <w:szCs w:val="20"/>
                <w:color w:val="auto"/>
              </w:rPr>
            </w:pPr>
            <w:r>
              <w:rPr>
                <w:rFonts w:ascii="Arial" w:cs="Arial" w:eastAsia="Arial" w:hAnsi="Arial"/>
                <w:sz w:val="17"/>
                <w:szCs w:val="17"/>
                <w:color w:val="auto"/>
              </w:rPr>
              <w:t>Diluted earnings (loss) per share</w:t>
            </w:r>
          </w:p>
        </w:tc>
        <w:tc>
          <w:tcPr>
            <w:tcW w:w="340" w:type="dxa"/>
            <w:vAlign w:val="bottom"/>
          </w:tcPr>
          <w:p>
            <w:pPr>
              <w:jc w:val="right"/>
              <w:ind w:right="154"/>
              <w:spacing w:after="0"/>
              <w:rPr>
                <w:sz w:val="20"/>
                <w:szCs w:val="20"/>
                <w:color w:val="auto"/>
              </w:rPr>
            </w:pPr>
            <w:r>
              <w:rPr>
                <w:rFonts w:ascii="Arial" w:cs="Arial" w:eastAsia="Arial" w:hAnsi="Arial"/>
                <w:sz w:val="17"/>
                <w:szCs w:val="17"/>
                <w:color w:val="auto"/>
                <w:w w:val="84"/>
              </w:rPr>
              <w:t>$</w:t>
            </w:r>
          </w:p>
        </w:tc>
        <w:tc>
          <w:tcPr>
            <w:tcW w:w="1180" w:type="dxa"/>
            <w:vAlign w:val="bottom"/>
          </w:tcPr>
          <w:p>
            <w:pPr>
              <w:jc w:val="right"/>
              <w:spacing w:after="0"/>
              <w:rPr>
                <w:sz w:val="20"/>
                <w:szCs w:val="20"/>
                <w:color w:val="auto"/>
              </w:rPr>
            </w:pPr>
            <w:r>
              <w:rPr>
                <w:rFonts w:ascii="Arial" w:cs="Arial" w:eastAsia="Arial" w:hAnsi="Arial"/>
                <w:sz w:val="17"/>
                <w:szCs w:val="17"/>
                <w:color w:val="auto"/>
              </w:rPr>
              <w:t>0.55</w:t>
            </w:r>
          </w:p>
        </w:tc>
        <w:tc>
          <w:tcPr>
            <w:tcW w:w="100" w:type="dxa"/>
            <w:vAlign w:val="bottom"/>
          </w:tcPr>
          <w:p>
            <w:pPr>
              <w:spacing w:after="0"/>
              <w:rPr>
                <w:sz w:val="18"/>
                <w:szCs w:val="18"/>
                <w:color w:val="auto"/>
              </w:rPr>
            </w:pPr>
          </w:p>
        </w:tc>
        <w:tc>
          <w:tcPr>
            <w:tcW w:w="340" w:type="dxa"/>
            <w:vAlign w:val="bottom"/>
          </w:tcPr>
          <w:p>
            <w:pPr>
              <w:jc w:val="right"/>
              <w:ind w:right="154"/>
              <w:spacing w:after="0"/>
              <w:rPr>
                <w:sz w:val="20"/>
                <w:szCs w:val="20"/>
                <w:color w:val="auto"/>
              </w:rPr>
            </w:pPr>
            <w:r>
              <w:rPr>
                <w:rFonts w:ascii="Arial" w:cs="Arial" w:eastAsia="Arial" w:hAnsi="Arial"/>
                <w:sz w:val="17"/>
                <w:szCs w:val="17"/>
                <w:color w:val="auto"/>
                <w:w w:val="84"/>
              </w:rPr>
              <w:t>$</w:t>
            </w:r>
          </w:p>
        </w:tc>
        <w:tc>
          <w:tcPr>
            <w:tcW w:w="1180" w:type="dxa"/>
            <w:vAlign w:val="bottom"/>
          </w:tcPr>
          <w:p>
            <w:pPr>
              <w:jc w:val="right"/>
              <w:spacing w:after="0"/>
              <w:rPr>
                <w:sz w:val="20"/>
                <w:szCs w:val="20"/>
                <w:color w:val="auto"/>
              </w:rPr>
            </w:pPr>
            <w:r>
              <w:rPr>
                <w:rFonts w:ascii="Arial" w:cs="Arial" w:eastAsia="Arial" w:hAnsi="Arial"/>
                <w:sz w:val="17"/>
                <w:szCs w:val="17"/>
                <w:color w:val="auto"/>
              </w:rPr>
              <w:t>(5.26)</w:t>
            </w:r>
          </w:p>
        </w:tc>
      </w:tr>
    </w:tbl>
    <w:p>
      <w:pPr>
        <w:spacing w:after="0" w:line="318" w:lineRule="exact"/>
        <w:rPr>
          <w:sz w:val="20"/>
          <w:szCs w:val="20"/>
          <w:color w:val="auto"/>
        </w:rPr>
      </w:pPr>
    </w:p>
    <w:p>
      <w:pPr>
        <w:ind w:left="620" w:hanging="307"/>
        <w:spacing w:after="0"/>
        <w:tabs>
          <w:tab w:leader="none" w:pos="620" w:val="left"/>
        </w:tabs>
        <w:numPr>
          <w:ilvl w:val="0"/>
          <w:numId w:val="11"/>
        </w:numPr>
        <w:rPr>
          <w:rFonts w:ascii="Arial" w:cs="Arial" w:eastAsia="Arial" w:hAnsi="Arial"/>
          <w:sz w:val="14"/>
          <w:szCs w:val="14"/>
          <w:color w:val="auto"/>
        </w:rPr>
      </w:pPr>
      <w:r>
        <w:rPr>
          <w:rFonts w:ascii="Arial" w:cs="Arial" w:eastAsia="Arial" w:hAnsi="Arial"/>
          <w:sz w:val="14"/>
          <w:szCs w:val="14"/>
          <w:color w:val="auto"/>
        </w:rPr>
        <w:t>The three months ended March 31, 2021 were tax-affected at a rate of 20%.</w:t>
      </w: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15—Fair Value Measurements</w:t>
      </w:r>
    </w:p>
    <w:p>
      <w:pPr>
        <w:spacing w:after="0" w:line="197" w:lineRule="exact"/>
        <w:rPr>
          <w:sz w:val="20"/>
          <w:szCs w:val="20"/>
          <w:color w:val="auto"/>
        </w:rPr>
      </w:pPr>
    </w:p>
    <w:p>
      <w:pPr>
        <w:ind w:right="20" w:firstLine="309"/>
        <w:spacing w:after="0" w:line="312" w:lineRule="auto"/>
        <w:rPr>
          <w:sz w:val="20"/>
          <w:szCs w:val="20"/>
          <w:color w:val="auto"/>
        </w:rPr>
      </w:pPr>
      <w:r>
        <w:rPr>
          <w:rFonts w:ascii="Arial" w:cs="Arial" w:eastAsia="Arial" w:hAnsi="Arial"/>
          <w:sz w:val="16"/>
          <w:szCs w:val="16"/>
          <w:color w:val="auto"/>
        </w:rPr>
        <w:t>ASC Topic 820, “Fair Value Measurements and Disclosures,” establishes a hierarchy that prioritizes fair value measurements based on the types of inputs used for the various valuation techniques (market approach, income approach, and cost approach). The levels of the hierarchy are described below:</w:t>
      </w:r>
    </w:p>
    <w:p>
      <w:pPr>
        <w:spacing w:after="0" w:line="102" w:lineRule="exact"/>
        <w:rPr>
          <w:sz w:val="20"/>
          <w:szCs w:val="20"/>
          <w:color w:val="auto"/>
        </w:rPr>
      </w:pPr>
    </w:p>
    <w:p>
      <w:pPr>
        <w:ind w:left="620" w:hanging="307"/>
        <w:spacing w:after="0"/>
        <w:tabs>
          <w:tab w:leader="none" w:pos="620" w:val="left"/>
        </w:tabs>
        <w:numPr>
          <w:ilvl w:val="0"/>
          <w:numId w:val="12"/>
        </w:numPr>
        <w:rPr>
          <w:rFonts w:ascii="Arial" w:cs="Arial" w:eastAsia="Arial" w:hAnsi="Arial"/>
          <w:sz w:val="17"/>
          <w:szCs w:val="17"/>
          <w:color w:val="auto"/>
        </w:rPr>
      </w:pPr>
      <w:r>
        <w:rPr>
          <w:rFonts w:ascii="Arial" w:cs="Arial" w:eastAsia="Arial" w:hAnsi="Arial"/>
          <w:sz w:val="17"/>
          <w:szCs w:val="17"/>
          <w:color w:val="auto"/>
        </w:rPr>
        <w:t>Level 1: Observable inputs such as quoted prices in active markets for identical assets or liabilities.</w:t>
      </w:r>
    </w:p>
    <w:p>
      <w:pPr>
        <w:spacing w:after="0" w:line="21" w:lineRule="exact"/>
        <w:rPr>
          <w:rFonts w:ascii="Arial" w:cs="Arial" w:eastAsia="Arial" w:hAnsi="Arial"/>
          <w:sz w:val="17"/>
          <w:szCs w:val="17"/>
          <w:color w:val="auto"/>
        </w:rPr>
      </w:pPr>
    </w:p>
    <w:p>
      <w:pPr>
        <w:ind w:left="620" w:right="260" w:hanging="307"/>
        <w:spacing w:after="0" w:line="269" w:lineRule="auto"/>
        <w:tabs>
          <w:tab w:leader="none" w:pos="616" w:val="left"/>
        </w:tabs>
        <w:numPr>
          <w:ilvl w:val="0"/>
          <w:numId w:val="12"/>
        </w:numPr>
        <w:rPr>
          <w:rFonts w:ascii="Arial" w:cs="Arial" w:eastAsia="Arial" w:hAnsi="Arial"/>
          <w:sz w:val="16"/>
          <w:szCs w:val="16"/>
          <w:color w:val="auto"/>
        </w:rPr>
      </w:pPr>
      <w:r>
        <w:rPr>
          <w:rFonts w:ascii="Arial" w:cs="Arial" w:eastAsia="Arial" w:hAnsi="Arial"/>
          <w:sz w:val="16"/>
          <w:szCs w:val="16"/>
          <w:color w:val="auto"/>
        </w:rPr>
        <w:t>Level 2: Inputs other than quoted prices that are observable for the asset or liability, either directly or indirectly; these include quoted prices for similar assets or liabilities in active markets, such as interest rates and yield curves that are observable at commonly quoted intervals.</w:t>
      </w:r>
    </w:p>
    <w:p>
      <w:pPr>
        <w:ind w:left="620" w:hanging="307"/>
        <w:spacing w:after="0"/>
        <w:tabs>
          <w:tab w:leader="none" w:pos="620" w:val="left"/>
        </w:tabs>
        <w:numPr>
          <w:ilvl w:val="0"/>
          <w:numId w:val="12"/>
        </w:numPr>
        <w:rPr>
          <w:rFonts w:ascii="Arial" w:cs="Arial" w:eastAsia="Arial" w:hAnsi="Arial"/>
          <w:sz w:val="17"/>
          <w:szCs w:val="17"/>
          <w:color w:val="auto"/>
        </w:rPr>
      </w:pPr>
      <w:r>
        <w:rPr>
          <w:rFonts w:ascii="Arial" w:cs="Arial" w:eastAsia="Arial" w:hAnsi="Arial"/>
          <w:sz w:val="17"/>
          <w:szCs w:val="17"/>
          <w:color w:val="auto"/>
        </w:rPr>
        <w:t>Level 3: Unobservable inputs that reflect the reporting entity’s own assumptions, as there is little, if any, related market activity.</w:t>
      </w:r>
    </w:p>
    <w:p>
      <w:pPr>
        <w:spacing w:after="0" w:line="168" w:lineRule="exact"/>
        <w:rPr>
          <w:sz w:val="20"/>
          <w:szCs w:val="20"/>
          <w:color w:val="auto"/>
        </w:rPr>
      </w:pPr>
    </w:p>
    <w:p>
      <w:pPr>
        <w:jc w:val="both"/>
        <w:ind w:right="20" w:firstLine="309"/>
        <w:spacing w:after="0" w:line="318" w:lineRule="auto"/>
        <w:rPr>
          <w:sz w:val="20"/>
          <w:szCs w:val="20"/>
          <w:color w:val="auto"/>
        </w:rPr>
      </w:pPr>
      <w:r>
        <w:rPr>
          <w:rFonts w:ascii="Arial" w:cs="Arial" w:eastAsia="Arial" w:hAnsi="Arial"/>
          <w:sz w:val="15"/>
          <w:szCs w:val="15"/>
          <w:color w:val="auto"/>
        </w:rPr>
        <w:t>The Company’s assessment of the significance of a particular input to the fair value measurement requires judgment and may affect the valuation of assets and liabilities and their placement within the fair value hierarchy. The following methods and assumptions are used to estimate the fair value of each class of financial instruments for which it is practicable to estimate. The fair value of the Company’s trade accounts receivable and payables approximates the carrying amounts.</w:t>
      </w:r>
    </w:p>
    <w:p>
      <w:pPr>
        <w:spacing w:after="0" w:line="11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Cash and Cash Equivalents</w:t>
      </w:r>
    </w:p>
    <w:p>
      <w:pPr>
        <w:spacing w:after="0" w:line="178" w:lineRule="exact"/>
        <w:rPr>
          <w:sz w:val="20"/>
          <w:szCs w:val="20"/>
          <w:color w:val="auto"/>
        </w:rPr>
      </w:pPr>
    </w:p>
    <w:p>
      <w:pPr>
        <w:ind w:left="320"/>
        <w:spacing w:after="0"/>
        <w:rPr>
          <w:sz w:val="20"/>
          <w:szCs w:val="20"/>
          <w:color w:val="auto"/>
        </w:rPr>
      </w:pPr>
      <w:r>
        <w:rPr>
          <w:rFonts w:ascii="Arial" w:cs="Arial" w:eastAsia="Arial" w:hAnsi="Arial"/>
          <w:sz w:val="16"/>
          <w:szCs w:val="16"/>
          <w:color w:val="auto"/>
        </w:rPr>
        <w:t>The fair value of the Company’s cash and cash equivalents approximates their carrying amount, due to the short maturity of the cash equivalents.</w:t>
      </w:r>
    </w:p>
    <w:p>
      <w:pPr>
        <w:spacing w:after="0" w:line="19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Equity Securities</w:t>
      </w:r>
    </w:p>
    <w:p>
      <w:pPr>
        <w:spacing w:after="0" w:line="191" w:lineRule="exact"/>
        <w:rPr>
          <w:sz w:val="20"/>
          <w:szCs w:val="20"/>
          <w:color w:val="auto"/>
        </w:rPr>
      </w:pPr>
    </w:p>
    <w:p>
      <w:pPr>
        <w:ind w:right="220" w:firstLine="309"/>
        <w:spacing w:after="0" w:line="258" w:lineRule="auto"/>
        <w:rPr>
          <w:sz w:val="20"/>
          <w:szCs w:val="20"/>
          <w:color w:val="auto"/>
        </w:rPr>
      </w:pPr>
      <w:r>
        <w:rPr>
          <w:rFonts w:ascii="Arial" w:cs="Arial" w:eastAsia="Arial" w:hAnsi="Arial"/>
          <w:sz w:val="17"/>
          <w:szCs w:val="17"/>
          <w:color w:val="auto"/>
        </w:rPr>
        <w:t>As of March 31, 2021 and December 31, 2020, we held $169.3 million and $143.1 million in equity securities, respectively, including ordinary shares and warrants, which are reported as “Other assets” in our unaudited Consolidated Balance Sheets. These equity securities are the result of Penn Interactive entering into multi-year agreements with third-party sports betting operators for online sports betting and related iGaming market access across our portfolio. During the three months ended March 31, 2021, we recognized a holding gain of $26.1 million related to these equity securities, compared to a loss of $21.8 million for the three months ended March 31, 2020, which is included in “Other,” as reported in “Other income (expenses)” within our unaudited Consolidated Statements of Operations and Comprehensive Income (Loss).</w:t>
      </w:r>
    </w:p>
    <w:p>
      <w:pPr>
        <w:spacing w:after="0" w:line="144" w:lineRule="exact"/>
        <w:rPr>
          <w:sz w:val="20"/>
          <w:szCs w:val="20"/>
          <w:color w:val="auto"/>
        </w:rPr>
      </w:pPr>
    </w:p>
    <w:p>
      <w:pPr>
        <w:ind w:right="380" w:firstLine="309"/>
        <w:spacing w:after="0" w:line="279" w:lineRule="auto"/>
        <w:rPr>
          <w:sz w:val="20"/>
          <w:szCs w:val="20"/>
          <w:color w:val="auto"/>
        </w:rPr>
      </w:pPr>
      <w:r>
        <w:rPr>
          <w:rFonts w:ascii="Arial" w:cs="Arial" w:eastAsia="Arial" w:hAnsi="Arial"/>
          <w:sz w:val="17"/>
          <w:szCs w:val="17"/>
          <w:color w:val="auto"/>
        </w:rPr>
        <w:t>The fair value of the equity securities was determined using Level 2 inputs, which use market approach valuation techniques. The primary inputs to those techniques include the quoted market price of the equity securities, foreign currency</w:t>
      </w: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173990</wp:posOffset>
            </wp:positionV>
            <wp:extent cx="7164070" cy="419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6" w:name="page27"/>
    <w:bookmarkEnd w:id="26"/>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339" w:lineRule="exact"/>
        <w:rPr>
          <w:sz w:val="20"/>
          <w:szCs w:val="20"/>
          <w:color w:val="auto"/>
        </w:rPr>
      </w:pPr>
    </w:p>
    <w:p>
      <w:pPr>
        <w:ind w:right="60"/>
        <w:spacing w:after="0" w:line="262" w:lineRule="auto"/>
        <w:rPr>
          <w:sz w:val="20"/>
          <w:szCs w:val="20"/>
          <w:color w:val="auto"/>
        </w:rPr>
      </w:pPr>
      <w:r>
        <w:rPr>
          <w:rFonts w:ascii="Arial" w:cs="Arial" w:eastAsia="Arial" w:hAnsi="Arial"/>
          <w:sz w:val="17"/>
          <w:szCs w:val="17"/>
          <w:color w:val="auto"/>
        </w:rPr>
        <w:t>exchange rates, a discount for lack of marketability (“DLOM”) with respect to the ordinary shares, and a Black-Scholes option pricing model with respect to the warrants. The DLOM is based on the remaining term of the relevant lock-up periods and the volatility associated with the underlying equity securities. The Black-Scholes option pricing model utilizes the exercise price of the warrants, a risk-free rate, volatility associated with the underlying equity securities and the expected life of the warrants.</w:t>
      </w:r>
    </w:p>
    <w:p>
      <w:pPr>
        <w:spacing w:after="0" w:line="13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Held-to-maturity Securities and Promissory Notes</w:t>
      </w:r>
    </w:p>
    <w:p>
      <w:pPr>
        <w:spacing w:after="0" w:line="191" w:lineRule="exact"/>
        <w:rPr>
          <w:sz w:val="20"/>
          <w:szCs w:val="20"/>
          <w:color w:val="auto"/>
        </w:rPr>
      </w:pPr>
    </w:p>
    <w:p>
      <w:pPr>
        <w:ind w:right="60" w:firstLine="309"/>
        <w:spacing w:after="0" w:line="283" w:lineRule="auto"/>
        <w:rPr>
          <w:sz w:val="20"/>
          <w:szCs w:val="20"/>
          <w:color w:val="auto"/>
        </w:rPr>
      </w:pPr>
      <w:r>
        <w:rPr>
          <w:rFonts w:ascii="Arial" w:cs="Arial" w:eastAsia="Arial" w:hAnsi="Arial"/>
          <w:sz w:val="16"/>
          <w:szCs w:val="16"/>
          <w:color w:val="auto"/>
        </w:rPr>
        <w:t>We have a management contract with Retama Development Corporation (“RDC”), a local government corporation of the City of Selma, Texas, to manage the day-to-day operations of Retama Park Racetrack, located outside of San Antonio, Texas. In addition, we own 1.0% of the equity of Retama Nominal Holder, LLC, which holds a nominal interest in the racing license used to operate Retama Park Racetrack, and a 75.5% interest in Pinnacle Retama Partners, LLC (“PRP”), which owns the contingent gaming rights that may arise if gaming under the existing racing license becomes legal in Texas in the future.</w:t>
      </w:r>
    </w:p>
    <w:p>
      <w:pPr>
        <w:spacing w:after="0" w:line="125" w:lineRule="exact"/>
        <w:rPr>
          <w:sz w:val="20"/>
          <w:szCs w:val="20"/>
          <w:color w:val="auto"/>
        </w:rPr>
      </w:pPr>
    </w:p>
    <w:p>
      <w:pPr>
        <w:ind w:right="120" w:firstLine="309"/>
        <w:spacing w:after="0" w:line="262" w:lineRule="auto"/>
        <w:rPr>
          <w:sz w:val="20"/>
          <w:szCs w:val="20"/>
          <w:color w:val="auto"/>
        </w:rPr>
      </w:pPr>
      <w:r>
        <w:rPr>
          <w:rFonts w:ascii="Arial" w:cs="Arial" w:eastAsia="Arial" w:hAnsi="Arial"/>
          <w:sz w:val="17"/>
          <w:szCs w:val="17"/>
          <w:color w:val="auto"/>
        </w:rPr>
        <w:t>As of March 31, 2021 and December 31, 2020, PRP held $15.1 million in promissory notes issued by RDC and $6.7 million in local government corporation bonds issued by RDC, at amortized cost. The promissory notes and the local government corporation bonds are collateralized by the assets of Retama Park Racetrack. As of March 31, 2021 and December 31, 2020, the promissory notes and the local government corporation bonds, which have long-term contractual maturities, were included in “Other assets” within our unaudited Consolidated Balance Sheets.</w:t>
      </w:r>
    </w:p>
    <w:p>
      <w:pPr>
        <w:spacing w:after="0" w:line="139" w:lineRule="exact"/>
        <w:rPr>
          <w:sz w:val="20"/>
          <w:szCs w:val="20"/>
          <w:color w:val="auto"/>
        </w:rPr>
      </w:pPr>
    </w:p>
    <w:p>
      <w:pPr>
        <w:ind w:right="80" w:firstLine="309"/>
        <w:spacing w:after="0" w:line="262" w:lineRule="auto"/>
        <w:rPr>
          <w:sz w:val="20"/>
          <w:szCs w:val="20"/>
          <w:color w:val="auto"/>
        </w:rPr>
      </w:pPr>
      <w:r>
        <w:rPr>
          <w:rFonts w:ascii="Arial" w:cs="Arial" w:eastAsia="Arial" w:hAnsi="Arial"/>
          <w:sz w:val="17"/>
          <w:szCs w:val="17"/>
          <w:color w:val="auto"/>
        </w:rPr>
        <w:t>The contractual terms of these promissory notes include interest payments due at maturity; however, we have not recorded accrued interest on these promissory notes because uncertainty exists as to RDC’s ability to make interest payments. We have the positive intent and ability to hold the local government corporation bonds to maturity and until the amortized cost is recovered. The estimated fair values of such investments are principally based on appraised values of the land associated with Retama Park Racetrack, which are classified as Level 2 inputs.</w:t>
      </w:r>
    </w:p>
    <w:p>
      <w:pPr>
        <w:spacing w:after="0" w:line="15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Long-term Debt</w:t>
      </w:r>
    </w:p>
    <w:p>
      <w:pPr>
        <w:spacing w:after="0" w:line="178" w:lineRule="exact"/>
        <w:rPr>
          <w:sz w:val="20"/>
          <w:szCs w:val="20"/>
          <w:color w:val="auto"/>
        </w:rPr>
      </w:pPr>
    </w:p>
    <w:p>
      <w:pPr>
        <w:ind w:firstLine="309"/>
        <w:spacing w:after="0" w:line="266" w:lineRule="auto"/>
        <w:rPr>
          <w:sz w:val="20"/>
          <w:szCs w:val="20"/>
          <w:color w:val="auto"/>
        </w:rPr>
      </w:pPr>
      <w:r>
        <w:rPr>
          <w:rFonts w:ascii="Arial" w:cs="Arial" w:eastAsia="Arial" w:hAnsi="Arial"/>
          <w:sz w:val="17"/>
          <w:szCs w:val="17"/>
          <w:color w:val="auto"/>
        </w:rPr>
        <w:t>The fair value of our Term Loan A Facility, Term Loan B-1 Facility, 5.625% Notes, and 2.75% Convertible Notes is estimated based on quoted prices in active markets and is classified as a Level 1 measurement. The fair value of our Revolving Credit Facility approximates its carrying amount as it is revolving, variable-rate debt, which we also classify as a Level 1 measurement.</w:t>
      </w:r>
    </w:p>
    <w:p>
      <w:pPr>
        <w:spacing w:after="0" w:line="136" w:lineRule="exact"/>
        <w:rPr>
          <w:sz w:val="20"/>
          <w:szCs w:val="20"/>
          <w:color w:val="auto"/>
        </w:rPr>
      </w:pPr>
    </w:p>
    <w:p>
      <w:pPr>
        <w:ind w:right="160" w:firstLine="309"/>
        <w:spacing w:after="0" w:line="307" w:lineRule="auto"/>
        <w:rPr>
          <w:rFonts w:ascii="Arial" w:cs="Arial" w:eastAsia="Arial" w:hAnsi="Arial"/>
          <w:sz w:val="15"/>
          <w:szCs w:val="15"/>
          <w:color w:val="0000FF"/>
        </w:rPr>
      </w:pPr>
      <w:r>
        <w:rPr>
          <w:rFonts w:ascii="Arial" w:cs="Arial" w:eastAsia="Arial" w:hAnsi="Arial"/>
          <w:sz w:val="15"/>
          <w:szCs w:val="15"/>
          <w:color w:val="auto"/>
        </w:rPr>
        <w:t xml:space="preserve">Other long-term obligations as of March 31, 2021 and December 31, 2020 included a financing arrangement entered in February of 2021, the relocation fees </w:t>
      </w:r>
      <w:hyperlink w:anchor="page15">
        <w:r>
          <w:rPr>
            <w:rFonts w:ascii="Arial" w:cs="Arial" w:eastAsia="Arial" w:hAnsi="Arial"/>
            <w:sz w:val="15"/>
            <w:szCs w:val="15"/>
            <w:color w:val="auto"/>
          </w:rPr>
          <w:t xml:space="preserve">for Dayton and Mahoning Valley, and the repayment obligation of the hotel and event center located near Hollywood Casino Lawrenceburg. See </w:t>
        </w:r>
        <w:r>
          <w:rPr>
            <w:rFonts w:ascii="Arial" w:cs="Arial" w:eastAsia="Arial" w:hAnsi="Arial"/>
            <w:sz w:val="15"/>
            <w:szCs w:val="15"/>
            <w:u w:val="single" w:color="auto"/>
            <w:color w:val="0000FF"/>
          </w:rPr>
          <w:t>Note 8, “Long-</w:t>
        </w:r>
      </w:hyperlink>
      <w:hyperlink w:anchor="page15">
        <w:r>
          <w:rPr>
            <w:rFonts w:ascii="Arial" w:cs="Arial" w:eastAsia="Arial" w:hAnsi="Arial"/>
            <w:sz w:val="15"/>
            <w:szCs w:val="15"/>
            <w:u w:val="single" w:color="auto"/>
            <w:color w:val="0000FF"/>
          </w:rPr>
          <w:t>term Debt”</w:t>
        </w:r>
        <w:r>
          <w:rPr>
            <w:rFonts w:ascii="Arial" w:cs="Arial" w:eastAsia="Arial" w:hAnsi="Arial"/>
            <w:sz w:val="15"/>
            <w:szCs w:val="15"/>
            <w:color w:val="0000FF"/>
          </w:rPr>
          <w:t xml:space="preserve"> </w:t>
        </w:r>
        <w:r>
          <w:rPr>
            <w:rFonts w:ascii="Arial" w:cs="Arial" w:eastAsia="Arial" w:hAnsi="Arial"/>
            <w:sz w:val="15"/>
            <w:szCs w:val="15"/>
            <w:color w:val="000000"/>
          </w:rPr>
          <w:t>for details. The fair values of the Dayton and Mahoning Valley relocations fees and the Lawrenceburg repayment obligation are estimated based on</w:t>
        </w:r>
      </w:hyperlink>
      <w:r>
        <w:rPr>
          <w:rFonts w:ascii="Arial" w:cs="Arial" w:eastAsia="Arial" w:hAnsi="Arial"/>
          <w:sz w:val="15"/>
          <w:szCs w:val="15"/>
          <w:color w:val="0000FF"/>
        </w:rPr>
        <w:t xml:space="preserve"> </w:t>
      </w:r>
      <w:r>
        <w:rPr>
          <w:rFonts w:ascii="Arial" w:cs="Arial" w:eastAsia="Arial" w:hAnsi="Arial"/>
          <w:sz w:val="15"/>
          <w:szCs w:val="15"/>
          <w:color w:val="000000"/>
        </w:rPr>
        <w:t>rates consistent with the Company’s credit rating for comparable terms and debt instruments and are classified as Level 2 measurements.</w:t>
      </w:r>
    </w:p>
    <w:p>
      <w:pPr>
        <w:spacing w:after="0" w:line="12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Other Liabilities</w:t>
      </w:r>
    </w:p>
    <w:p>
      <w:pPr>
        <w:spacing w:after="0" w:line="178" w:lineRule="exact"/>
        <w:rPr>
          <w:sz w:val="20"/>
          <w:szCs w:val="20"/>
          <w:color w:val="auto"/>
        </w:rPr>
      </w:pPr>
    </w:p>
    <w:p>
      <w:pPr>
        <w:ind w:right="40" w:firstLine="309"/>
        <w:spacing w:after="0" w:line="302" w:lineRule="auto"/>
        <w:rPr>
          <w:sz w:val="20"/>
          <w:szCs w:val="20"/>
          <w:color w:val="auto"/>
        </w:rPr>
      </w:pPr>
      <w:r>
        <w:rPr>
          <w:rFonts w:ascii="Arial" w:cs="Arial" w:eastAsia="Arial" w:hAnsi="Arial"/>
          <w:sz w:val="15"/>
          <w:szCs w:val="15"/>
          <w:color w:val="auto"/>
        </w:rPr>
        <w:t>Other liabilities as of March 31, 2021 and December 31, 2020 consisted of a contingent purchase price related to Plainridge Park Casino. The Plainridge Park Casino contingent purchase price is calculated based on earnings of the gaming operations over the first ten years of operations, which commenced on June 24, 2015. As of March 31, 2021, we were contractually obligated to make five additional annual payments. The fair value of this liability, which is estimated based on an income approach using a discounted cash flow model and has been classified as a Level 3 measurement, is included within our unaudited Consolidated Balance Sheets in “Accrued expenses and other current liabilities” or “Other long-term liabilities,” depending on the timing of the next payment.</w:t>
      </w:r>
    </w:p>
    <w:p>
      <w:pPr>
        <w:spacing w:after="0" w:line="200" w:lineRule="exact"/>
        <w:rPr>
          <w:sz w:val="20"/>
          <w:szCs w:val="20"/>
          <w:color w:val="auto"/>
        </w:rPr>
      </w:pPr>
    </w:p>
    <w:p>
      <w:pPr>
        <w:spacing w:after="0" w:line="27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173990</wp:posOffset>
            </wp:positionV>
            <wp:extent cx="7164070" cy="419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7" w:name="page28"/>
    <w:bookmarkEnd w:id="27"/>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339"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The carrying amounts and estimated fair values by input level of the Company’s financial instruments were as follows: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980" w:type="dxa"/>
            <w:vAlign w:val="bottom"/>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7"/>
                <w:szCs w:val="17"/>
                <w:b w:val="1"/>
                <w:bCs w:val="1"/>
                <w:color w:val="auto"/>
                <w:w w:val="94"/>
              </w:rPr>
              <w:t>March 31, 2021</w:t>
            </w: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74"/>
        </w:trPr>
        <w:tc>
          <w:tcPr>
            <w:tcW w:w="3700" w:type="dxa"/>
            <w:vAlign w:val="bottom"/>
            <w:gridSpan w:val="3"/>
          </w:tcPr>
          <w:p>
            <w:pPr>
              <w:ind w:left="20"/>
              <w:spacing w:after="0"/>
              <w:rPr>
                <w:sz w:val="20"/>
                <w:szCs w:val="20"/>
                <w:color w:val="auto"/>
              </w:rPr>
            </w:pPr>
            <w:r>
              <w:rPr>
                <w:rFonts w:ascii="Arial" w:cs="Arial" w:eastAsia="Arial" w:hAnsi="Arial"/>
                <w:sz w:val="14"/>
                <w:szCs w:val="14"/>
                <w:b w:val="1"/>
                <w:bCs w:val="1"/>
                <w:i w:val="1"/>
                <w:iCs w:val="1"/>
                <w:color w:val="auto"/>
              </w:rPr>
              <w:t>(in millions)</w:t>
            </w:r>
          </w:p>
        </w:tc>
        <w:tc>
          <w:tcPr>
            <w:tcW w:w="1520" w:type="dxa"/>
            <w:vAlign w:val="bottom"/>
            <w:gridSpan w:val="3"/>
          </w:tcPr>
          <w:p>
            <w:pPr>
              <w:ind w:left="40"/>
              <w:spacing w:after="0" w:line="174" w:lineRule="exact"/>
              <w:rPr>
                <w:sz w:val="20"/>
                <w:szCs w:val="20"/>
                <w:color w:val="auto"/>
              </w:rPr>
            </w:pPr>
            <w:r>
              <w:rPr>
                <w:rFonts w:ascii="Arial" w:cs="Arial" w:eastAsia="Arial" w:hAnsi="Arial"/>
                <w:sz w:val="17"/>
                <w:szCs w:val="17"/>
                <w:b w:val="1"/>
                <w:bCs w:val="1"/>
                <w:color w:val="auto"/>
              </w:rPr>
              <w:t>Carrying Amount</w:t>
            </w:r>
          </w:p>
        </w:tc>
        <w:tc>
          <w:tcPr>
            <w:tcW w:w="200" w:type="dxa"/>
            <w:vAlign w:val="bottom"/>
          </w:tcPr>
          <w:p>
            <w:pPr>
              <w:spacing w:after="0"/>
              <w:rPr>
                <w:sz w:val="15"/>
                <w:szCs w:val="15"/>
                <w:color w:val="auto"/>
              </w:rPr>
            </w:pPr>
          </w:p>
        </w:tc>
        <w:tc>
          <w:tcPr>
            <w:tcW w:w="1320" w:type="dxa"/>
            <w:vAlign w:val="bottom"/>
            <w:gridSpan w:val="2"/>
          </w:tcPr>
          <w:p>
            <w:pPr>
              <w:ind w:left="120"/>
              <w:spacing w:after="0" w:line="174" w:lineRule="exact"/>
              <w:rPr>
                <w:sz w:val="20"/>
                <w:szCs w:val="20"/>
                <w:color w:val="auto"/>
              </w:rPr>
            </w:pPr>
            <w:r>
              <w:rPr>
                <w:rFonts w:ascii="Arial" w:cs="Arial" w:eastAsia="Arial" w:hAnsi="Arial"/>
                <w:sz w:val="17"/>
                <w:szCs w:val="17"/>
                <w:b w:val="1"/>
                <w:bCs w:val="1"/>
                <w:color w:val="auto"/>
              </w:rPr>
              <w:t>Fair Value</w:t>
            </w:r>
          </w:p>
        </w:tc>
        <w:tc>
          <w:tcPr>
            <w:tcW w:w="120" w:type="dxa"/>
            <w:vAlign w:val="bottom"/>
          </w:tcPr>
          <w:p>
            <w:pPr>
              <w:spacing w:after="0"/>
              <w:rPr>
                <w:sz w:val="15"/>
                <w:szCs w:val="15"/>
                <w:color w:val="auto"/>
              </w:rPr>
            </w:pPr>
          </w:p>
        </w:tc>
        <w:tc>
          <w:tcPr>
            <w:tcW w:w="1400" w:type="dxa"/>
            <w:vAlign w:val="bottom"/>
            <w:gridSpan w:val="2"/>
          </w:tcPr>
          <w:p>
            <w:pPr>
              <w:jc w:val="center"/>
              <w:ind w:right="220"/>
              <w:spacing w:after="0" w:line="174" w:lineRule="exact"/>
              <w:rPr>
                <w:sz w:val="20"/>
                <w:szCs w:val="20"/>
                <w:color w:val="auto"/>
              </w:rPr>
            </w:pPr>
            <w:r>
              <w:rPr>
                <w:rFonts w:ascii="Arial" w:cs="Arial" w:eastAsia="Arial" w:hAnsi="Arial"/>
                <w:sz w:val="17"/>
                <w:szCs w:val="17"/>
                <w:b w:val="1"/>
                <w:bCs w:val="1"/>
                <w:color w:val="auto"/>
                <w:w w:val="93"/>
              </w:rPr>
              <w:t>Level 1</w:t>
            </w:r>
          </w:p>
        </w:tc>
        <w:tc>
          <w:tcPr>
            <w:tcW w:w="280" w:type="dxa"/>
            <w:vAlign w:val="bottom"/>
          </w:tcPr>
          <w:p>
            <w:pPr>
              <w:spacing w:after="0"/>
              <w:rPr>
                <w:sz w:val="15"/>
                <w:szCs w:val="15"/>
                <w:color w:val="auto"/>
              </w:rPr>
            </w:pPr>
          </w:p>
        </w:tc>
        <w:tc>
          <w:tcPr>
            <w:tcW w:w="1260" w:type="dxa"/>
            <w:vAlign w:val="bottom"/>
            <w:gridSpan w:val="2"/>
          </w:tcPr>
          <w:p>
            <w:pPr>
              <w:ind w:left="180"/>
              <w:spacing w:after="0" w:line="174" w:lineRule="exact"/>
              <w:rPr>
                <w:sz w:val="20"/>
                <w:szCs w:val="20"/>
                <w:color w:val="auto"/>
              </w:rPr>
            </w:pPr>
            <w:r>
              <w:rPr>
                <w:rFonts w:ascii="Arial" w:cs="Arial" w:eastAsia="Arial" w:hAnsi="Arial"/>
                <w:sz w:val="17"/>
                <w:szCs w:val="17"/>
                <w:b w:val="1"/>
                <w:bCs w:val="1"/>
                <w:color w:val="auto"/>
              </w:rPr>
              <w:t>Level 2</w:t>
            </w:r>
          </w:p>
        </w:tc>
        <w:tc>
          <w:tcPr>
            <w:tcW w:w="280" w:type="dxa"/>
            <w:vAlign w:val="bottom"/>
          </w:tcPr>
          <w:p>
            <w:pPr>
              <w:spacing w:after="0"/>
              <w:rPr>
                <w:sz w:val="15"/>
                <w:szCs w:val="15"/>
                <w:color w:val="auto"/>
              </w:rPr>
            </w:pPr>
          </w:p>
        </w:tc>
        <w:tc>
          <w:tcPr>
            <w:tcW w:w="1140" w:type="dxa"/>
            <w:vAlign w:val="bottom"/>
          </w:tcPr>
          <w:p>
            <w:pPr>
              <w:jc w:val="right"/>
              <w:ind w:right="354"/>
              <w:spacing w:after="0" w:line="174" w:lineRule="exact"/>
              <w:rPr>
                <w:sz w:val="20"/>
                <w:szCs w:val="20"/>
                <w:color w:val="auto"/>
              </w:rPr>
            </w:pPr>
            <w:r>
              <w:rPr>
                <w:rFonts w:ascii="Arial" w:cs="Arial" w:eastAsia="Arial" w:hAnsi="Arial"/>
                <w:sz w:val="17"/>
                <w:szCs w:val="17"/>
                <w:b w:val="1"/>
                <w:bCs w:val="1"/>
                <w:color w:val="auto"/>
              </w:rPr>
              <w:t>Level 3</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700" w:type="dxa"/>
            <w:vAlign w:val="bottom"/>
            <w:tcBorders>
              <w:top w:val="single" w:sz="8" w:color="auto"/>
              <w:bottom w:val="single" w:sz="8" w:color="CCEEFF"/>
            </w:tcBorders>
          </w:tcPr>
          <w:p>
            <w:pPr>
              <w:spacing w:after="0" w:line="20" w:lineRule="exact"/>
              <w:rPr>
                <w:sz w:val="1"/>
                <w:szCs w:val="1"/>
                <w:color w:val="auto"/>
              </w:rPr>
            </w:pPr>
          </w:p>
        </w:tc>
        <w:tc>
          <w:tcPr>
            <w:tcW w:w="298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3700" w:type="dxa"/>
            <w:vAlign w:val="bottom"/>
            <w:gridSpan w:val="3"/>
            <w:shd w:val="clear" w:color="auto" w:fill="CCEEFF"/>
          </w:tcPr>
          <w:p>
            <w:pPr>
              <w:ind w:left="20"/>
              <w:spacing w:after="0"/>
              <w:rPr>
                <w:sz w:val="20"/>
                <w:szCs w:val="20"/>
                <w:color w:val="auto"/>
              </w:rPr>
            </w:pPr>
            <w:r>
              <w:rPr>
                <w:rFonts w:ascii="Arial" w:cs="Arial" w:eastAsia="Arial" w:hAnsi="Arial"/>
                <w:sz w:val="17"/>
                <w:szCs w:val="17"/>
                <w:b w:val="1"/>
                <w:bCs w:val="1"/>
                <w:color w:val="auto"/>
              </w:rPr>
              <w:t>Financial assets:</w:t>
            </w:r>
          </w:p>
        </w:tc>
        <w:tc>
          <w:tcPr>
            <w:tcW w:w="4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680" w:type="dxa"/>
            <w:vAlign w:val="bottom"/>
            <w:gridSpan w:val="2"/>
          </w:tcPr>
          <w:p>
            <w:pPr>
              <w:ind w:left="200"/>
              <w:spacing w:after="0"/>
              <w:rPr>
                <w:sz w:val="20"/>
                <w:szCs w:val="20"/>
                <w:color w:val="auto"/>
              </w:rPr>
            </w:pPr>
            <w:r>
              <w:rPr>
                <w:rFonts w:ascii="Arial" w:cs="Arial" w:eastAsia="Arial" w:hAnsi="Arial"/>
                <w:sz w:val="17"/>
                <w:szCs w:val="17"/>
                <w:color w:val="auto"/>
              </w:rPr>
              <w:t>Cash and cash equivalents</w:t>
            </w:r>
          </w:p>
        </w:tc>
        <w:tc>
          <w:tcPr>
            <w:tcW w:w="460" w:type="dxa"/>
            <w:vAlign w:val="bottom"/>
          </w:tcPr>
          <w:p>
            <w:pPr>
              <w:jc w:val="right"/>
              <w:ind w:right="274"/>
              <w:spacing w:after="0"/>
              <w:rPr>
                <w:sz w:val="20"/>
                <w:szCs w:val="20"/>
                <w:color w:val="auto"/>
              </w:rPr>
            </w:pPr>
            <w:r>
              <w:rPr>
                <w:rFonts w:ascii="Arial" w:cs="Arial" w:eastAsia="Arial" w:hAnsi="Arial"/>
                <w:sz w:val="17"/>
                <w:szCs w:val="17"/>
                <w:color w:val="auto"/>
                <w:w w:val="84"/>
              </w:rPr>
              <w:t>$</w:t>
            </w:r>
          </w:p>
        </w:tc>
        <w:tc>
          <w:tcPr>
            <w:tcW w:w="940" w:type="dxa"/>
            <w:vAlign w:val="bottom"/>
          </w:tcPr>
          <w:p>
            <w:pPr>
              <w:jc w:val="right"/>
              <w:spacing w:after="0"/>
              <w:rPr>
                <w:sz w:val="20"/>
                <w:szCs w:val="20"/>
                <w:color w:val="auto"/>
              </w:rPr>
            </w:pPr>
            <w:r>
              <w:rPr>
                <w:rFonts w:ascii="Arial" w:cs="Arial" w:eastAsia="Arial" w:hAnsi="Arial"/>
                <w:sz w:val="17"/>
                <w:szCs w:val="17"/>
                <w:color w:val="auto"/>
              </w:rPr>
              <w:t>2,062.2</w:t>
            </w:r>
          </w:p>
        </w:tc>
        <w:tc>
          <w:tcPr>
            <w:tcW w:w="120" w:type="dxa"/>
            <w:vAlign w:val="bottom"/>
          </w:tcPr>
          <w:p>
            <w:pPr>
              <w:spacing w:after="0"/>
              <w:rPr>
                <w:sz w:val="18"/>
                <w:szCs w:val="18"/>
                <w:color w:val="auto"/>
              </w:rPr>
            </w:pPr>
          </w:p>
        </w:tc>
        <w:tc>
          <w:tcPr>
            <w:tcW w:w="200" w:type="dxa"/>
            <w:vAlign w:val="bottom"/>
          </w:tcPr>
          <w:p>
            <w:pPr>
              <w:jc w:val="right"/>
              <w:ind w:right="14"/>
              <w:spacing w:after="0"/>
              <w:rPr>
                <w:sz w:val="20"/>
                <w:szCs w:val="20"/>
                <w:color w:val="auto"/>
              </w:rPr>
            </w:pPr>
            <w:r>
              <w:rPr>
                <w:rFonts w:ascii="Arial" w:cs="Arial" w:eastAsia="Arial" w:hAnsi="Arial"/>
                <w:sz w:val="17"/>
                <w:szCs w:val="17"/>
                <w:color w:val="auto"/>
                <w:w w:val="84"/>
              </w:rPr>
              <w:t>$</w:t>
            </w:r>
          </w:p>
        </w:tc>
        <w:tc>
          <w:tcPr>
            <w:tcW w:w="1200" w:type="dxa"/>
            <w:vAlign w:val="bottom"/>
          </w:tcPr>
          <w:p>
            <w:pPr>
              <w:jc w:val="right"/>
              <w:spacing w:after="0"/>
              <w:rPr>
                <w:sz w:val="20"/>
                <w:szCs w:val="20"/>
                <w:color w:val="auto"/>
              </w:rPr>
            </w:pPr>
            <w:r>
              <w:rPr>
                <w:rFonts w:ascii="Arial" w:cs="Arial" w:eastAsia="Arial" w:hAnsi="Arial"/>
                <w:sz w:val="17"/>
                <w:szCs w:val="17"/>
                <w:color w:val="auto"/>
              </w:rPr>
              <w:t>2,062.2</w:t>
            </w:r>
          </w:p>
        </w:tc>
        <w:tc>
          <w:tcPr>
            <w:tcW w:w="1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300" w:type="dxa"/>
            <w:vAlign w:val="bottom"/>
          </w:tcPr>
          <w:p>
            <w:pPr>
              <w:jc w:val="right"/>
              <w:spacing w:after="0"/>
              <w:rPr>
                <w:sz w:val="20"/>
                <w:szCs w:val="20"/>
                <w:color w:val="auto"/>
              </w:rPr>
            </w:pPr>
            <w:r>
              <w:rPr>
                <w:rFonts w:ascii="Arial" w:cs="Arial" w:eastAsia="Arial" w:hAnsi="Arial"/>
                <w:sz w:val="17"/>
                <w:szCs w:val="17"/>
                <w:color w:val="auto"/>
              </w:rPr>
              <w:t>2,062.2</w:t>
            </w:r>
          </w:p>
        </w:tc>
        <w:tc>
          <w:tcPr>
            <w:tcW w:w="100" w:type="dxa"/>
            <w:vAlign w:val="bottom"/>
          </w:tcPr>
          <w:p>
            <w:pPr>
              <w:spacing w:after="0"/>
              <w:rPr>
                <w:sz w:val="18"/>
                <w:szCs w:val="18"/>
                <w:color w:val="auto"/>
              </w:rPr>
            </w:pPr>
          </w:p>
        </w:tc>
        <w:tc>
          <w:tcPr>
            <w:tcW w:w="280" w:type="dxa"/>
            <w:vAlign w:val="bottom"/>
          </w:tcPr>
          <w:p>
            <w:pPr>
              <w:jc w:val="right"/>
              <w:ind w:right="94"/>
              <w:spacing w:after="0"/>
              <w:rPr>
                <w:sz w:val="20"/>
                <w:szCs w:val="20"/>
                <w:color w:val="auto"/>
              </w:rPr>
            </w:pPr>
            <w:r>
              <w:rPr>
                <w:rFonts w:ascii="Arial" w:cs="Arial" w:eastAsia="Arial" w:hAnsi="Arial"/>
                <w:sz w:val="17"/>
                <w:szCs w:val="17"/>
                <w:color w:val="auto"/>
                <w:w w:val="84"/>
              </w:rPr>
              <w:t>$</w:t>
            </w:r>
          </w:p>
        </w:tc>
        <w:tc>
          <w:tcPr>
            <w:tcW w:w="126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80" w:type="dxa"/>
            <w:vAlign w:val="bottom"/>
          </w:tcPr>
          <w:p>
            <w:pPr>
              <w:jc w:val="right"/>
              <w:ind w:right="94"/>
              <w:spacing w:after="0"/>
              <w:rPr>
                <w:sz w:val="20"/>
                <w:szCs w:val="20"/>
                <w:color w:val="auto"/>
              </w:rPr>
            </w:pPr>
            <w:r>
              <w:rPr>
                <w:rFonts w:ascii="Arial" w:cs="Arial" w:eastAsia="Arial" w:hAnsi="Arial"/>
                <w:sz w:val="17"/>
                <w:szCs w:val="17"/>
                <w:color w:val="auto"/>
                <w:w w:val="84"/>
              </w:rPr>
              <w:t>$</w:t>
            </w:r>
          </w:p>
        </w:tc>
        <w:tc>
          <w:tcPr>
            <w:tcW w:w="114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0"/>
        </w:trPr>
        <w:tc>
          <w:tcPr>
            <w:tcW w:w="20" w:type="dxa"/>
            <w:vAlign w:val="bottom"/>
            <w:shd w:val="clear" w:color="auto" w:fill="CCEEFF"/>
          </w:tcPr>
          <w:p>
            <w:pPr>
              <w:spacing w:after="0"/>
              <w:rPr>
                <w:sz w:val="19"/>
                <w:szCs w:val="19"/>
                <w:color w:val="auto"/>
              </w:rPr>
            </w:pPr>
          </w:p>
        </w:tc>
        <w:tc>
          <w:tcPr>
            <w:tcW w:w="3680" w:type="dxa"/>
            <w:vAlign w:val="bottom"/>
            <w:gridSpan w:val="2"/>
            <w:shd w:val="clear" w:color="auto" w:fill="CCEEFF"/>
          </w:tcPr>
          <w:p>
            <w:pPr>
              <w:ind w:left="200"/>
              <w:spacing w:after="0"/>
              <w:rPr>
                <w:sz w:val="20"/>
                <w:szCs w:val="20"/>
                <w:color w:val="auto"/>
              </w:rPr>
            </w:pPr>
            <w:r>
              <w:rPr>
                <w:rFonts w:ascii="Arial" w:cs="Arial" w:eastAsia="Arial" w:hAnsi="Arial"/>
                <w:sz w:val="17"/>
                <w:szCs w:val="17"/>
                <w:color w:val="auto"/>
              </w:rPr>
              <w:t>Equity securities</w:t>
            </w:r>
          </w:p>
        </w:tc>
        <w:tc>
          <w:tcPr>
            <w:tcW w:w="460" w:type="dxa"/>
            <w:vAlign w:val="bottom"/>
            <w:shd w:val="clear" w:color="auto" w:fill="CCEEFF"/>
          </w:tcPr>
          <w:p>
            <w:pPr>
              <w:jc w:val="right"/>
              <w:ind w:right="274"/>
              <w:spacing w:after="0"/>
              <w:rPr>
                <w:sz w:val="20"/>
                <w:szCs w:val="20"/>
                <w:color w:val="auto"/>
              </w:rPr>
            </w:pPr>
            <w:r>
              <w:rPr>
                <w:rFonts w:ascii="Arial" w:cs="Arial" w:eastAsia="Arial" w:hAnsi="Arial"/>
                <w:sz w:val="17"/>
                <w:szCs w:val="17"/>
                <w:color w:val="auto"/>
                <w:w w:val="84"/>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169.3</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w w:val="84"/>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169.3</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280" w:type="dxa"/>
            <w:vAlign w:val="bottom"/>
            <w:shd w:val="clear" w:color="auto" w:fill="CCEEFF"/>
          </w:tcPr>
          <w:p>
            <w:pPr>
              <w:jc w:val="right"/>
              <w:ind w:right="94"/>
              <w:spacing w:after="0"/>
              <w:rPr>
                <w:sz w:val="20"/>
                <w:szCs w:val="20"/>
                <w:color w:val="auto"/>
              </w:rPr>
            </w:pPr>
            <w:r>
              <w:rPr>
                <w:rFonts w:ascii="Arial" w:cs="Arial" w:eastAsia="Arial" w:hAnsi="Arial"/>
                <w:sz w:val="17"/>
                <w:szCs w:val="17"/>
                <w:color w:val="auto"/>
                <w:w w:val="84"/>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169.3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4"/>
              <w:spacing w:after="0"/>
              <w:rPr>
                <w:sz w:val="20"/>
                <w:szCs w:val="20"/>
                <w:color w:val="auto"/>
              </w:rPr>
            </w:pPr>
            <w:r>
              <w:rPr>
                <w:rFonts w:ascii="Arial" w:cs="Arial" w:eastAsia="Arial" w:hAnsi="Arial"/>
                <w:sz w:val="17"/>
                <w:szCs w:val="17"/>
                <w:color w:val="auto"/>
                <w:w w:val="84"/>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680" w:type="dxa"/>
            <w:vAlign w:val="bottom"/>
            <w:gridSpan w:val="2"/>
          </w:tcPr>
          <w:p>
            <w:pPr>
              <w:ind w:left="200"/>
              <w:spacing w:after="0"/>
              <w:rPr>
                <w:sz w:val="20"/>
                <w:szCs w:val="20"/>
                <w:color w:val="auto"/>
              </w:rPr>
            </w:pPr>
            <w:r>
              <w:rPr>
                <w:rFonts w:ascii="Arial" w:cs="Arial" w:eastAsia="Arial" w:hAnsi="Arial"/>
                <w:sz w:val="17"/>
                <w:szCs w:val="17"/>
                <w:color w:val="auto"/>
              </w:rPr>
              <w:t>Held-to-maturity securities</w:t>
            </w:r>
          </w:p>
        </w:tc>
        <w:tc>
          <w:tcPr>
            <w:tcW w:w="460" w:type="dxa"/>
            <w:vAlign w:val="bottom"/>
          </w:tcPr>
          <w:p>
            <w:pPr>
              <w:jc w:val="right"/>
              <w:ind w:right="274"/>
              <w:spacing w:after="0"/>
              <w:rPr>
                <w:sz w:val="20"/>
                <w:szCs w:val="20"/>
                <w:color w:val="auto"/>
              </w:rPr>
            </w:pPr>
            <w:r>
              <w:rPr>
                <w:rFonts w:ascii="Arial" w:cs="Arial" w:eastAsia="Arial" w:hAnsi="Arial"/>
                <w:sz w:val="17"/>
                <w:szCs w:val="17"/>
                <w:color w:val="auto"/>
                <w:w w:val="84"/>
              </w:rPr>
              <w:t>$</w:t>
            </w:r>
          </w:p>
        </w:tc>
        <w:tc>
          <w:tcPr>
            <w:tcW w:w="940" w:type="dxa"/>
            <w:vAlign w:val="bottom"/>
          </w:tcPr>
          <w:p>
            <w:pPr>
              <w:jc w:val="right"/>
              <w:spacing w:after="0"/>
              <w:rPr>
                <w:sz w:val="20"/>
                <w:szCs w:val="20"/>
                <w:color w:val="auto"/>
              </w:rPr>
            </w:pPr>
            <w:r>
              <w:rPr>
                <w:rFonts w:ascii="Arial" w:cs="Arial" w:eastAsia="Arial" w:hAnsi="Arial"/>
                <w:sz w:val="17"/>
                <w:szCs w:val="17"/>
                <w:color w:val="auto"/>
              </w:rPr>
              <w:t>6.7</w:t>
            </w:r>
          </w:p>
        </w:tc>
        <w:tc>
          <w:tcPr>
            <w:tcW w:w="120" w:type="dxa"/>
            <w:vAlign w:val="bottom"/>
          </w:tcPr>
          <w:p>
            <w:pPr>
              <w:spacing w:after="0"/>
              <w:rPr>
                <w:sz w:val="18"/>
                <w:szCs w:val="18"/>
                <w:color w:val="auto"/>
              </w:rPr>
            </w:pPr>
          </w:p>
        </w:tc>
        <w:tc>
          <w:tcPr>
            <w:tcW w:w="200" w:type="dxa"/>
            <w:vAlign w:val="bottom"/>
          </w:tcPr>
          <w:p>
            <w:pPr>
              <w:jc w:val="right"/>
              <w:ind w:right="14"/>
              <w:spacing w:after="0"/>
              <w:rPr>
                <w:sz w:val="20"/>
                <w:szCs w:val="20"/>
                <w:color w:val="auto"/>
              </w:rPr>
            </w:pPr>
            <w:r>
              <w:rPr>
                <w:rFonts w:ascii="Arial" w:cs="Arial" w:eastAsia="Arial" w:hAnsi="Arial"/>
                <w:sz w:val="17"/>
                <w:szCs w:val="17"/>
                <w:color w:val="auto"/>
                <w:w w:val="84"/>
              </w:rPr>
              <w:t>$</w:t>
            </w:r>
          </w:p>
        </w:tc>
        <w:tc>
          <w:tcPr>
            <w:tcW w:w="1200" w:type="dxa"/>
            <w:vAlign w:val="bottom"/>
          </w:tcPr>
          <w:p>
            <w:pPr>
              <w:jc w:val="right"/>
              <w:spacing w:after="0"/>
              <w:rPr>
                <w:sz w:val="20"/>
                <w:szCs w:val="20"/>
                <w:color w:val="auto"/>
              </w:rPr>
            </w:pPr>
            <w:r>
              <w:rPr>
                <w:rFonts w:ascii="Arial" w:cs="Arial" w:eastAsia="Arial" w:hAnsi="Arial"/>
                <w:sz w:val="17"/>
                <w:szCs w:val="17"/>
                <w:color w:val="auto"/>
              </w:rPr>
              <w:t>6.7</w:t>
            </w:r>
          </w:p>
        </w:tc>
        <w:tc>
          <w:tcPr>
            <w:tcW w:w="1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40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280" w:type="dxa"/>
            <w:vAlign w:val="bottom"/>
          </w:tcPr>
          <w:p>
            <w:pPr>
              <w:jc w:val="right"/>
              <w:ind w:right="94"/>
              <w:spacing w:after="0"/>
              <w:rPr>
                <w:sz w:val="20"/>
                <w:szCs w:val="20"/>
                <w:color w:val="auto"/>
              </w:rPr>
            </w:pPr>
            <w:r>
              <w:rPr>
                <w:rFonts w:ascii="Arial" w:cs="Arial" w:eastAsia="Arial" w:hAnsi="Arial"/>
                <w:sz w:val="17"/>
                <w:szCs w:val="17"/>
                <w:color w:val="auto"/>
                <w:w w:val="84"/>
              </w:rPr>
              <w:t>$</w:t>
            </w:r>
          </w:p>
        </w:tc>
        <w:tc>
          <w:tcPr>
            <w:tcW w:w="1160" w:type="dxa"/>
            <w:vAlign w:val="bottom"/>
          </w:tcPr>
          <w:p>
            <w:pPr>
              <w:jc w:val="right"/>
              <w:spacing w:after="0"/>
              <w:rPr>
                <w:sz w:val="20"/>
                <w:szCs w:val="20"/>
                <w:color w:val="auto"/>
              </w:rPr>
            </w:pPr>
            <w:r>
              <w:rPr>
                <w:rFonts w:ascii="Arial" w:cs="Arial" w:eastAsia="Arial" w:hAnsi="Arial"/>
                <w:sz w:val="17"/>
                <w:szCs w:val="17"/>
                <w:color w:val="auto"/>
              </w:rPr>
              <w:t>6.7</w:t>
            </w:r>
          </w:p>
        </w:tc>
        <w:tc>
          <w:tcPr>
            <w:tcW w:w="100" w:type="dxa"/>
            <w:vAlign w:val="bottom"/>
          </w:tcPr>
          <w:p>
            <w:pPr>
              <w:spacing w:after="0"/>
              <w:rPr>
                <w:sz w:val="18"/>
                <w:szCs w:val="18"/>
                <w:color w:val="auto"/>
              </w:rPr>
            </w:pPr>
          </w:p>
        </w:tc>
        <w:tc>
          <w:tcPr>
            <w:tcW w:w="280" w:type="dxa"/>
            <w:vAlign w:val="bottom"/>
          </w:tcPr>
          <w:p>
            <w:pPr>
              <w:jc w:val="right"/>
              <w:ind w:right="94"/>
              <w:spacing w:after="0"/>
              <w:rPr>
                <w:sz w:val="20"/>
                <w:szCs w:val="20"/>
                <w:color w:val="auto"/>
              </w:rPr>
            </w:pPr>
            <w:r>
              <w:rPr>
                <w:rFonts w:ascii="Arial" w:cs="Arial" w:eastAsia="Arial" w:hAnsi="Arial"/>
                <w:sz w:val="17"/>
                <w:szCs w:val="17"/>
                <w:color w:val="auto"/>
                <w:w w:val="84"/>
              </w:rPr>
              <w:t>$</w:t>
            </w:r>
          </w:p>
        </w:tc>
        <w:tc>
          <w:tcPr>
            <w:tcW w:w="114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0"/>
        </w:trPr>
        <w:tc>
          <w:tcPr>
            <w:tcW w:w="20" w:type="dxa"/>
            <w:vAlign w:val="bottom"/>
            <w:shd w:val="clear" w:color="auto" w:fill="CCEEFF"/>
          </w:tcPr>
          <w:p>
            <w:pPr>
              <w:spacing w:after="0"/>
              <w:rPr>
                <w:sz w:val="19"/>
                <w:szCs w:val="19"/>
                <w:color w:val="auto"/>
              </w:rPr>
            </w:pPr>
          </w:p>
        </w:tc>
        <w:tc>
          <w:tcPr>
            <w:tcW w:w="3680" w:type="dxa"/>
            <w:vAlign w:val="bottom"/>
            <w:gridSpan w:val="2"/>
            <w:shd w:val="clear" w:color="auto" w:fill="CCEEFF"/>
          </w:tcPr>
          <w:p>
            <w:pPr>
              <w:ind w:left="200"/>
              <w:spacing w:after="0"/>
              <w:rPr>
                <w:sz w:val="20"/>
                <w:szCs w:val="20"/>
                <w:color w:val="auto"/>
              </w:rPr>
            </w:pPr>
            <w:r>
              <w:rPr>
                <w:rFonts w:ascii="Arial" w:cs="Arial" w:eastAsia="Arial" w:hAnsi="Arial"/>
                <w:sz w:val="17"/>
                <w:szCs w:val="17"/>
                <w:color w:val="auto"/>
              </w:rPr>
              <w:t>Promissory notes</w:t>
            </w:r>
          </w:p>
        </w:tc>
        <w:tc>
          <w:tcPr>
            <w:tcW w:w="460" w:type="dxa"/>
            <w:vAlign w:val="bottom"/>
            <w:shd w:val="clear" w:color="auto" w:fill="CCEEFF"/>
          </w:tcPr>
          <w:p>
            <w:pPr>
              <w:jc w:val="right"/>
              <w:ind w:right="274"/>
              <w:spacing w:after="0"/>
              <w:rPr>
                <w:sz w:val="20"/>
                <w:szCs w:val="20"/>
                <w:color w:val="auto"/>
              </w:rPr>
            </w:pPr>
            <w:r>
              <w:rPr>
                <w:rFonts w:ascii="Arial" w:cs="Arial" w:eastAsia="Arial" w:hAnsi="Arial"/>
                <w:sz w:val="17"/>
                <w:szCs w:val="17"/>
                <w:color w:val="auto"/>
                <w:w w:val="84"/>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15.1</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w w:val="84"/>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15.1</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280" w:type="dxa"/>
            <w:vAlign w:val="bottom"/>
            <w:shd w:val="clear" w:color="auto" w:fill="CCEEFF"/>
          </w:tcPr>
          <w:p>
            <w:pPr>
              <w:jc w:val="right"/>
              <w:ind w:right="94"/>
              <w:spacing w:after="0"/>
              <w:rPr>
                <w:sz w:val="20"/>
                <w:szCs w:val="20"/>
                <w:color w:val="auto"/>
              </w:rPr>
            </w:pPr>
            <w:r>
              <w:rPr>
                <w:rFonts w:ascii="Arial" w:cs="Arial" w:eastAsia="Arial" w:hAnsi="Arial"/>
                <w:sz w:val="17"/>
                <w:szCs w:val="17"/>
                <w:color w:val="auto"/>
                <w:w w:val="84"/>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4"/>
              <w:spacing w:after="0"/>
              <w:rPr>
                <w:sz w:val="20"/>
                <w:szCs w:val="20"/>
                <w:color w:val="auto"/>
              </w:rPr>
            </w:pPr>
            <w:r>
              <w:rPr>
                <w:rFonts w:ascii="Arial" w:cs="Arial" w:eastAsia="Arial" w:hAnsi="Arial"/>
                <w:sz w:val="17"/>
                <w:szCs w:val="17"/>
                <w:color w:val="auto"/>
                <w:w w:val="84"/>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9"/>
        </w:trPr>
        <w:tc>
          <w:tcPr>
            <w:tcW w:w="3700" w:type="dxa"/>
            <w:vAlign w:val="bottom"/>
            <w:gridSpan w:val="3"/>
          </w:tcPr>
          <w:p>
            <w:pPr>
              <w:ind w:left="20"/>
              <w:spacing w:after="0"/>
              <w:rPr>
                <w:sz w:val="20"/>
                <w:szCs w:val="20"/>
                <w:color w:val="auto"/>
              </w:rPr>
            </w:pPr>
            <w:r>
              <w:rPr>
                <w:rFonts w:ascii="Arial" w:cs="Arial" w:eastAsia="Arial" w:hAnsi="Arial"/>
                <w:sz w:val="17"/>
                <w:szCs w:val="17"/>
                <w:b w:val="1"/>
                <w:bCs w:val="1"/>
                <w:color w:val="auto"/>
              </w:rPr>
              <w:t>Financial liabilities:</w:t>
            </w:r>
          </w:p>
        </w:tc>
        <w:tc>
          <w:tcPr>
            <w:tcW w:w="4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3680" w:type="dxa"/>
            <w:vAlign w:val="bottom"/>
            <w:gridSpan w:val="2"/>
            <w:shd w:val="clear" w:color="auto" w:fill="CCEEFF"/>
          </w:tcPr>
          <w:p>
            <w:pPr>
              <w:ind w:left="200"/>
              <w:spacing w:after="0"/>
              <w:rPr>
                <w:sz w:val="20"/>
                <w:szCs w:val="20"/>
                <w:color w:val="auto"/>
              </w:rPr>
            </w:pPr>
            <w:r>
              <w:rPr>
                <w:rFonts w:ascii="Arial" w:cs="Arial" w:eastAsia="Arial" w:hAnsi="Arial"/>
                <w:sz w:val="17"/>
                <w:szCs w:val="17"/>
                <w:color w:val="auto"/>
              </w:rPr>
              <w:t>Long-term debt</w:t>
            </w:r>
          </w:p>
        </w:tc>
        <w:tc>
          <w:tcPr>
            <w:tcW w:w="4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680" w:type="dxa"/>
            <w:vAlign w:val="bottom"/>
            <w:gridSpan w:val="2"/>
          </w:tcPr>
          <w:p>
            <w:pPr>
              <w:ind w:left="420"/>
              <w:spacing w:after="0"/>
              <w:rPr>
                <w:sz w:val="20"/>
                <w:szCs w:val="20"/>
                <w:color w:val="auto"/>
              </w:rPr>
            </w:pPr>
            <w:r>
              <w:rPr>
                <w:rFonts w:ascii="Arial" w:cs="Arial" w:eastAsia="Arial" w:hAnsi="Arial"/>
                <w:sz w:val="17"/>
                <w:szCs w:val="17"/>
                <w:color w:val="auto"/>
              </w:rPr>
              <w:t>Senior Secured Credit Facilities</w:t>
            </w:r>
          </w:p>
        </w:tc>
        <w:tc>
          <w:tcPr>
            <w:tcW w:w="460" w:type="dxa"/>
            <w:vAlign w:val="bottom"/>
          </w:tcPr>
          <w:p>
            <w:pPr>
              <w:jc w:val="right"/>
              <w:ind w:right="274"/>
              <w:spacing w:after="0"/>
              <w:rPr>
                <w:sz w:val="20"/>
                <w:szCs w:val="20"/>
                <w:color w:val="auto"/>
              </w:rPr>
            </w:pPr>
            <w:r>
              <w:rPr>
                <w:rFonts w:ascii="Arial" w:cs="Arial" w:eastAsia="Arial" w:hAnsi="Arial"/>
                <w:sz w:val="17"/>
                <w:szCs w:val="17"/>
                <w:color w:val="auto"/>
                <w:w w:val="84"/>
              </w:rPr>
              <w:t>$</w:t>
            </w:r>
          </w:p>
        </w:tc>
        <w:tc>
          <w:tcPr>
            <w:tcW w:w="940" w:type="dxa"/>
            <w:vAlign w:val="bottom"/>
          </w:tcPr>
          <w:p>
            <w:pPr>
              <w:jc w:val="right"/>
              <w:spacing w:after="0"/>
              <w:rPr>
                <w:sz w:val="20"/>
                <w:szCs w:val="20"/>
                <w:color w:val="auto"/>
              </w:rPr>
            </w:pPr>
            <w:r>
              <w:rPr>
                <w:rFonts w:ascii="Arial" w:cs="Arial" w:eastAsia="Arial" w:hAnsi="Arial"/>
                <w:sz w:val="17"/>
                <w:szCs w:val="17"/>
                <w:color w:val="auto"/>
              </w:rPr>
              <w:t>1,586.4</w:t>
            </w:r>
          </w:p>
        </w:tc>
        <w:tc>
          <w:tcPr>
            <w:tcW w:w="120" w:type="dxa"/>
            <w:vAlign w:val="bottom"/>
          </w:tcPr>
          <w:p>
            <w:pPr>
              <w:spacing w:after="0"/>
              <w:rPr>
                <w:sz w:val="18"/>
                <w:szCs w:val="18"/>
                <w:color w:val="auto"/>
              </w:rPr>
            </w:pPr>
          </w:p>
        </w:tc>
        <w:tc>
          <w:tcPr>
            <w:tcW w:w="200" w:type="dxa"/>
            <w:vAlign w:val="bottom"/>
          </w:tcPr>
          <w:p>
            <w:pPr>
              <w:jc w:val="right"/>
              <w:ind w:right="14"/>
              <w:spacing w:after="0"/>
              <w:rPr>
                <w:sz w:val="20"/>
                <w:szCs w:val="20"/>
                <w:color w:val="auto"/>
              </w:rPr>
            </w:pPr>
            <w:r>
              <w:rPr>
                <w:rFonts w:ascii="Arial" w:cs="Arial" w:eastAsia="Arial" w:hAnsi="Arial"/>
                <w:sz w:val="17"/>
                <w:szCs w:val="17"/>
                <w:color w:val="auto"/>
                <w:w w:val="84"/>
              </w:rPr>
              <w:t>$</w:t>
            </w:r>
          </w:p>
        </w:tc>
        <w:tc>
          <w:tcPr>
            <w:tcW w:w="1200" w:type="dxa"/>
            <w:vAlign w:val="bottom"/>
          </w:tcPr>
          <w:p>
            <w:pPr>
              <w:jc w:val="right"/>
              <w:spacing w:after="0"/>
              <w:rPr>
                <w:sz w:val="20"/>
                <w:szCs w:val="20"/>
                <w:color w:val="auto"/>
              </w:rPr>
            </w:pPr>
            <w:r>
              <w:rPr>
                <w:rFonts w:ascii="Arial" w:cs="Arial" w:eastAsia="Arial" w:hAnsi="Arial"/>
                <w:sz w:val="17"/>
                <w:szCs w:val="17"/>
                <w:color w:val="auto"/>
              </w:rPr>
              <w:t>1,603.9</w:t>
            </w:r>
          </w:p>
        </w:tc>
        <w:tc>
          <w:tcPr>
            <w:tcW w:w="1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300" w:type="dxa"/>
            <w:vAlign w:val="bottom"/>
          </w:tcPr>
          <w:p>
            <w:pPr>
              <w:jc w:val="right"/>
              <w:spacing w:after="0"/>
              <w:rPr>
                <w:sz w:val="20"/>
                <w:szCs w:val="20"/>
                <w:color w:val="auto"/>
              </w:rPr>
            </w:pPr>
            <w:r>
              <w:rPr>
                <w:rFonts w:ascii="Arial" w:cs="Arial" w:eastAsia="Arial" w:hAnsi="Arial"/>
                <w:sz w:val="17"/>
                <w:szCs w:val="17"/>
                <w:color w:val="auto"/>
              </w:rPr>
              <w:t>1,603.9</w:t>
            </w:r>
          </w:p>
        </w:tc>
        <w:tc>
          <w:tcPr>
            <w:tcW w:w="100" w:type="dxa"/>
            <w:vAlign w:val="bottom"/>
          </w:tcPr>
          <w:p>
            <w:pPr>
              <w:spacing w:after="0"/>
              <w:rPr>
                <w:sz w:val="18"/>
                <w:szCs w:val="18"/>
                <w:color w:val="auto"/>
              </w:rPr>
            </w:pPr>
          </w:p>
        </w:tc>
        <w:tc>
          <w:tcPr>
            <w:tcW w:w="280" w:type="dxa"/>
            <w:vAlign w:val="bottom"/>
          </w:tcPr>
          <w:p>
            <w:pPr>
              <w:jc w:val="right"/>
              <w:ind w:right="94"/>
              <w:spacing w:after="0"/>
              <w:rPr>
                <w:sz w:val="20"/>
                <w:szCs w:val="20"/>
                <w:color w:val="auto"/>
              </w:rPr>
            </w:pPr>
            <w:r>
              <w:rPr>
                <w:rFonts w:ascii="Arial" w:cs="Arial" w:eastAsia="Arial" w:hAnsi="Arial"/>
                <w:sz w:val="17"/>
                <w:szCs w:val="17"/>
                <w:color w:val="auto"/>
                <w:w w:val="84"/>
              </w:rPr>
              <w:t>$</w:t>
            </w:r>
          </w:p>
        </w:tc>
        <w:tc>
          <w:tcPr>
            <w:tcW w:w="126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80" w:type="dxa"/>
            <w:vAlign w:val="bottom"/>
          </w:tcPr>
          <w:p>
            <w:pPr>
              <w:jc w:val="right"/>
              <w:ind w:right="94"/>
              <w:spacing w:after="0"/>
              <w:rPr>
                <w:sz w:val="20"/>
                <w:szCs w:val="20"/>
                <w:color w:val="auto"/>
              </w:rPr>
            </w:pPr>
            <w:r>
              <w:rPr>
                <w:rFonts w:ascii="Arial" w:cs="Arial" w:eastAsia="Arial" w:hAnsi="Arial"/>
                <w:sz w:val="17"/>
                <w:szCs w:val="17"/>
                <w:color w:val="auto"/>
                <w:w w:val="84"/>
              </w:rPr>
              <w:t>$</w:t>
            </w:r>
          </w:p>
        </w:tc>
        <w:tc>
          <w:tcPr>
            <w:tcW w:w="114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0"/>
        </w:trPr>
        <w:tc>
          <w:tcPr>
            <w:tcW w:w="20" w:type="dxa"/>
            <w:vAlign w:val="bottom"/>
            <w:shd w:val="clear" w:color="auto" w:fill="CCEEFF"/>
          </w:tcPr>
          <w:p>
            <w:pPr>
              <w:spacing w:after="0"/>
              <w:rPr>
                <w:sz w:val="19"/>
                <w:szCs w:val="19"/>
                <w:color w:val="auto"/>
              </w:rPr>
            </w:pPr>
          </w:p>
        </w:tc>
        <w:tc>
          <w:tcPr>
            <w:tcW w:w="3680" w:type="dxa"/>
            <w:vAlign w:val="bottom"/>
            <w:gridSpan w:val="2"/>
            <w:shd w:val="clear" w:color="auto" w:fill="CCEEFF"/>
          </w:tcPr>
          <w:p>
            <w:pPr>
              <w:ind w:left="420"/>
              <w:spacing w:after="0"/>
              <w:rPr>
                <w:sz w:val="20"/>
                <w:szCs w:val="20"/>
                <w:color w:val="auto"/>
              </w:rPr>
            </w:pPr>
            <w:r>
              <w:rPr>
                <w:rFonts w:ascii="Arial" w:cs="Arial" w:eastAsia="Arial" w:hAnsi="Arial"/>
                <w:sz w:val="17"/>
                <w:szCs w:val="17"/>
                <w:color w:val="auto"/>
              </w:rPr>
              <w:t>5.625% Notes</w:t>
            </w:r>
          </w:p>
        </w:tc>
        <w:tc>
          <w:tcPr>
            <w:tcW w:w="460" w:type="dxa"/>
            <w:vAlign w:val="bottom"/>
            <w:shd w:val="clear" w:color="auto" w:fill="CCEEFF"/>
          </w:tcPr>
          <w:p>
            <w:pPr>
              <w:jc w:val="right"/>
              <w:ind w:right="274"/>
              <w:spacing w:after="0"/>
              <w:rPr>
                <w:sz w:val="20"/>
                <w:szCs w:val="20"/>
                <w:color w:val="auto"/>
              </w:rPr>
            </w:pPr>
            <w:r>
              <w:rPr>
                <w:rFonts w:ascii="Arial" w:cs="Arial" w:eastAsia="Arial" w:hAnsi="Arial"/>
                <w:sz w:val="17"/>
                <w:szCs w:val="17"/>
                <w:color w:val="auto"/>
                <w:w w:val="84"/>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399.5</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w w:val="84"/>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415.5</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415.5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4"/>
              <w:spacing w:after="0"/>
              <w:rPr>
                <w:sz w:val="20"/>
                <w:szCs w:val="20"/>
                <w:color w:val="auto"/>
              </w:rPr>
            </w:pPr>
            <w:r>
              <w:rPr>
                <w:rFonts w:ascii="Arial" w:cs="Arial" w:eastAsia="Arial" w:hAnsi="Arial"/>
                <w:sz w:val="17"/>
                <w:szCs w:val="17"/>
                <w:color w:val="auto"/>
                <w:w w:val="84"/>
              </w:rPr>
              <w:t>$</w:t>
            </w: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80" w:type="dxa"/>
            <w:vAlign w:val="bottom"/>
            <w:shd w:val="clear" w:color="auto" w:fill="CCEEFF"/>
          </w:tcPr>
          <w:p>
            <w:pPr>
              <w:jc w:val="right"/>
              <w:ind w:right="94"/>
              <w:spacing w:after="0"/>
              <w:rPr>
                <w:sz w:val="20"/>
                <w:szCs w:val="20"/>
                <w:color w:val="auto"/>
              </w:rPr>
            </w:pPr>
            <w:r>
              <w:rPr>
                <w:rFonts w:ascii="Arial" w:cs="Arial" w:eastAsia="Arial" w:hAnsi="Arial"/>
                <w:sz w:val="17"/>
                <w:szCs w:val="17"/>
                <w:color w:val="auto"/>
                <w:w w:val="84"/>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680" w:type="dxa"/>
            <w:vAlign w:val="bottom"/>
            <w:gridSpan w:val="2"/>
          </w:tcPr>
          <w:p>
            <w:pPr>
              <w:ind w:left="420"/>
              <w:spacing w:after="0"/>
              <w:rPr>
                <w:sz w:val="20"/>
                <w:szCs w:val="20"/>
                <w:color w:val="auto"/>
              </w:rPr>
            </w:pPr>
            <w:r>
              <w:rPr>
                <w:rFonts w:ascii="Arial" w:cs="Arial" w:eastAsia="Arial" w:hAnsi="Arial"/>
                <w:sz w:val="17"/>
                <w:szCs w:val="17"/>
                <w:color w:val="auto"/>
              </w:rPr>
              <w:t>Convertible Notes</w:t>
            </w:r>
          </w:p>
        </w:tc>
        <w:tc>
          <w:tcPr>
            <w:tcW w:w="460" w:type="dxa"/>
            <w:vAlign w:val="bottom"/>
          </w:tcPr>
          <w:p>
            <w:pPr>
              <w:jc w:val="right"/>
              <w:ind w:right="274"/>
              <w:spacing w:after="0"/>
              <w:rPr>
                <w:sz w:val="20"/>
                <w:szCs w:val="20"/>
                <w:color w:val="auto"/>
              </w:rPr>
            </w:pPr>
            <w:r>
              <w:rPr>
                <w:rFonts w:ascii="Arial" w:cs="Arial" w:eastAsia="Arial" w:hAnsi="Arial"/>
                <w:sz w:val="17"/>
                <w:szCs w:val="17"/>
                <w:color w:val="auto"/>
                <w:w w:val="84"/>
              </w:rPr>
              <w:t>$</w:t>
            </w:r>
          </w:p>
        </w:tc>
        <w:tc>
          <w:tcPr>
            <w:tcW w:w="940" w:type="dxa"/>
            <w:vAlign w:val="bottom"/>
          </w:tcPr>
          <w:p>
            <w:pPr>
              <w:jc w:val="right"/>
              <w:spacing w:after="0"/>
              <w:rPr>
                <w:sz w:val="20"/>
                <w:szCs w:val="20"/>
                <w:color w:val="auto"/>
              </w:rPr>
            </w:pPr>
            <w:r>
              <w:rPr>
                <w:rFonts w:ascii="Arial" w:cs="Arial" w:eastAsia="Arial" w:hAnsi="Arial"/>
                <w:sz w:val="17"/>
                <w:szCs w:val="17"/>
                <w:color w:val="auto"/>
              </w:rPr>
              <w:t>243.1</w:t>
            </w:r>
          </w:p>
        </w:tc>
        <w:tc>
          <w:tcPr>
            <w:tcW w:w="120" w:type="dxa"/>
            <w:vAlign w:val="bottom"/>
          </w:tcPr>
          <w:p>
            <w:pPr>
              <w:spacing w:after="0"/>
              <w:rPr>
                <w:sz w:val="18"/>
                <w:szCs w:val="18"/>
                <w:color w:val="auto"/>
              </w:rPr>
            </w:pPr>
          </w:p>
        </w:tc>
        <w:tc>
          <w:tcPr>
            <w:tcW w:w="200" w:type="dxa"/>
            <w:vAlign w:val="bottom"/>
          </w:tcPr>
          <w:p>
            <w:pPr>
              <w:jc w:val="right"/>
              <w:ind w:right="14"/>
              <w:spacing w:after="0"/>
              <w:rPr>
                <w:sz w:val="20"/>
                <w:szCs w:val="20"/>
                <w:color w:val="auto"/>
              </w:rPr>
            </w:pPr>
            <w:r>
              <w:rPr>
                <w:rFonts w:ascii="Arial" w:cs="Arial" w:eastAsia="Arial" w:hAnsi="Arial"/>
                <w:sz w:val="17"/>
                <w:szCs w:val="17"/>
                <w:color w:val="auto"/>
                <w:w w:val="84"/>
              </w:rPr>
              <w:t>$</w:t>
            </w:r>
          </w:p>
        </w:tc>
        <w:tc>
          <w:tcPr>
            <w:tcW w:w="1200" w:type="dxa"/>
            <w:vAlign w:val="bottom"/>
          </w:tcPr>
          <w:p>
            <w:pPr>
              <w:jc w:val="right"/>
              <w:spacing w:after="0"/>
              <w:rPr>
                <w:sz w:val="20"/>
                <w:szCs w:val="20"/>
                <w:color w:val="auto"/>
              </w:rPr>
            </w:pPr>
            <w:r>
              <w:rPr>
                <w:rFonts w:ascii="Arial" w:cs="Arial" w:eastAsia="Arial" w:hAnsi="Arial"/>
                <w:sz w:val="17"/>
                <w:szCs w:val="17"/>
                <w:color w:val="auto"/>
              </w:rPr>
              <w:t>1,488.9</w:t>
            </w:r>
          </w:p>
        </w:tc>
        <w:tc>
          <w:tcPr>
            <w:tcW w:w="1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300" w:type="dxa"/>
            <w:vAlign w:val="bottom"/>
          </w:tcPr>
          <w:p>
            <w:pPr>
              <w:jc w:val="right"/>
              <w:spacing w:after="0"/>
              <w:rPr>
                <w:sz w:val="20"/>
                <w:szCs w:val="20"/>
                <w:color w:val="auto"/>
              </w:rPr>
            </w:pPr>
            <w:r>
              <w:rPr>
                <w:rFonts w:ascii="Arial" w:cs="Arial" w:eastAsia="Arial" w:hAnsi="Arial"/>
                <w:sz w:val="17"/>
                <w:szCs w:val="17"/>
                <w:color w:val="auto"/>
              </w:rPr>
              <w:t>1,488.9</w:t>
            </w:r>
          </w:p>
        </w:tc>
        <w:tc>
          <w:tcPr>
            <w:tcW w:w="100" w:type="dxa"/>
            <w:vAlign w:val="bottom"/>
          </w:tcPr>
          <w:p>
            <w:pPr>
              <w:spacing w:after="0"/>
              <w:rPr>
                <w:sz w:val="18"/>
                <w:szCs w:val="18"/>
                <w:color w:val="auto"/>
              </w:rPr>
            </w:pPr>
          </w:p>
        </w:tc>
        <w:tc>
          <w:tcPr>
            <w:tcW w:w="280" w:type="dxa"/>
            <w:vAlign w:val="bottom"/>
          </w:tcPr>
          <w:p>
            <w:pPr>
              <w:jc w:val="right"/>
              <w:ind w:right="94"/>
              <w:spacing w:after="0"/>
              <w:rPr>
                <w:sz w:val="20"/>
                <w:szCs w:val="20"/>
                <w:color w:val="auto"/>
              </w:rPr>
            </w:pPr>
            <w:r>
              <w:rPr>
                <w:rFonts w:ascii="Arial" w:cs="Arial" w:eastAsia="Arial" w:hAnsi="Arial"/>
                <w:sz w:val="17"/>
                <w:szCs w:val="17"/>
                <w:color w:val="auto"/>
                <w:w w:val="84"/>
              </w:rPr>
              <w:t>$</w:t>
            </w:r>
          </w:p>
        </w:tc>
        <w:tc>
          <w:tcPr>
            <w:tcW w:w="126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80" w:type="dxa"/>
            <w:vAlign w:val="bottom"/>
          </w:tcPr>
          <w:p>
            <w:pPr>
              <w:jc w:val="right"/>
              <w:ind w:right="94"/>
              <w:spacing w:after="0"/>
              <w:rPr>
                <w:sz w:val="20"/>
                <w:szCs w:val="20"/>
                <w:color w:val="auto"/>
              </w:rPr>
            </w:pPr>
            <w:r>
              <w:rPr>
                <w:rFonts w:ascii="Arial" w:cs="Arial" w:eastAsia="Arial" w:hAnsi="Arial"/>
                <w:sz w:val="17"/>
                <w:szCs w:val="17"/>
                <w:color w:val="auto"/>
                <w:w w:val="84"/>
              </w:rPr>
              <w:t>$</w:t>
            </w:r>
          </w:p>
        </w:tc>
        <w:tc>
          <w:tcPr>
            <w:tcW w:w="114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0"/>
        </w:trPr>
        <w:tc>
          <w:tcPr>
            <w:tcW w:w="20" w:type="dxa"/>
            <w:vAlign w:val="bottom"/>
            <w:shd w:val="clear" w:color="auto" w:fill="CCEEFF"/>
          </w:tcPr>
          <w:p>
            <w:pPr>
              <w:spacing w:after="0"/>
              <w:rPr>
                <w:sz w:val="19"/>
                <w:szCs w:val="19"/>
                <w:color w:val="auto"/>
              </w:rPr>
            </w:pPr>
          </w:p>
        </w:tc>
        <w:tc>
          <w:tcPr>
            <w:tcW w:w="3680" w:type="dxa"/>
            <w:vAlign w:val="bottom"/>
            <w:gridSpan w:val="2"/>
            <w:shd w:val="clear" w:color="auto" w:fill="CCEEFF"/>
          </w:tcPr>
          <w:p>
            <w:pPr>
              <w:ind w:left="420"/>
              <w:spacing w:after="0"/>
              <w:rPr>
                <w:sz w:val="20"/>
                <w:szCs w:val="20"/>
                <w:color w:val="auto"/>
              </w:rPr>
            </w:pPr>
            <w:r>
              <w:rPr>
                <w:rFonts w:ascii="Arial" w:cs="Arial" w:eastAsia="Arial" w:hAnsi="Arial"/>
                <w:sz w:val="17"/>
                <w:szCs w:val="17"/>
                <w:color w:val="auto"/>
              </w:rPr>
              <w:t>Other long-term obligations</w:t>
            </w:r>
          </w:p>
        </w:tc>
        <w:tc>
          <w:tcPr>
            <w:tcW w:w="460" w:type="dxa"/>
            <w:vAlign w:val="bottom"/>
            <w:shd w:val="clear" w:color="auto" w:fill="CCEEFF"/>
          </w:tcPr>
          <w:p>
            <w:pPr>
              <w:jc w:val="right"/>
              <w:ind w:right="274"/>
              <w:spacing w:after="0"/>
              <w:rPr>
                <w:sz w:val="20"/>
                <w:szCs w:val="20"/>
                <w:color w:val="auto"/>
              </w:rPr>
            </w:pPr>
            <w:r>
              <w:rPr>
                <w:rFonts w:ascii="Arial" w:cs="Arial" w:eastAsia="Arial" w:hAnsi="Arial"/>
                <w:sz w:val="17"/>
                <w:szCs w:val="17"/>
                <w:color w:val="auto"/>
                <w:w w:val="84"/>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146.3</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w w:val="84"/>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146.3</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280" w:type="dxa"/>
            <w:vAlign w:val="bottom"/>
            <w:shd w:val="clear" w:color="auto" w:fill="CCEEFF"/>
          </w:tcPr>
          <w:p>
            <w:pPr>
              <w:jc w:val="right"/>
              <w:ind w:right="94"/>
              <w:spacing w:after="0"/>
              <w:rPr>
                <w:sz w:val="20"/>
                <w:szCs w:val="20"/>
                <w:color w:val="auto"/>
              </w:rPr>
            </w:pPr>
            <w:r>
              <w:rPr>
                <w:rFonts w:ascii="Arial" w:cs="Arial" w:eastAsia="Arial" w:hAnsi="Arial"/>
                <w:sz w:val="17"/>
                <w:szCs w:val="17"/>
                <w:color w:val="auto"/>
                <w:w w:val="84"/>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72.3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4"/>
              <w:spacing w:after="0"/>
              <w:rPr>
                <w:sz w:val="20"/>
                <w:szCs w:val="20"/>
                <w:color w:val="auto"/>
              </w:rPr>
            </w:pPr>
            <w:r>
              <w:rPr>
                <w:rFonts w:ascii="Arial" w:cs="Arial" w:eastAsia="Arial" w:hAnsi="Arial"/>
                <w:sz w:val="17"/>
                <w:szCs w:val="17"/>
                <w:color w:val="auto"/>
                <w:w w:val="84"/>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74.0</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680" w:type="dxa"/>
            <w:vAlign w:val="bottom"/>
            <w:gridSpan w:val="2"/>
          </w:tcPr>
          <w:p>
            <w:pPr>
              <w:ind w:left="200"/>
              <w:spacing w:after="0"/>
              <w:rPr>
                <w:sz w:val="20"/>
                <w:szCs w:val="20"/>
                <w:color w:val="auto"/>
              </w:rPr>
            </w:pPr>
            <w:r>
              <w:rPr>
                <w:rFonts w:ascii="Arial" w:cs="Arial" w:eastAsia="Arial" w:hAnsi="Arial"/>
                <w:sz w:val="17"/>
                <w:szCs w:val="17"/>
                <w:color w:val="auto"/>
              </w:rPr>
              <w:t>Other liabilities</w:t>
            </w:r>
          </w:p>
        </w:tc>
        <w:tc>
          <w:tcPr>
            <w:tcW w:w="460" w:type="dxa"/>
            <w:vAlign w:val="bottom"/>
          </w:tcPr>
          <w:p>
            <w:pPr>
              <w:jc w:val="right"/>
              <w:ind w:right="274"/>
              <w:spacing w:after="0"/>
              <w:rPr>
                <w:sz w:val="20"/>
                <w:szCs w:val="20"/>
                <w:color w:val="auto"/>
              </w:rPr>
            </w:pPr>
            <w:r>
              <w:rPr>
                <w:rFonts w:ascii="Arial" w:cs="Arial" w:eastAsia="Arial" w:hAnsi="Arial"/>
                <w:sz w:val="17"/>
                <w:szCs w:val="17"/>
                <w:color w:val="auto"/>
                <w:w w:val="84"/>
              </w:rPr>
              <w:t>$</w:t>
            </w:r>
          </w:p>
        </w:tc>
        <w:tc>
          <w:tcPr>
            <w:tcW w:w="940" w:type="dxa"/>
            <w:vAlign w:val="bottom"/>
          </w:tcPr>
          <w:p>
            <w:pPr>
              <w:jc w:val="right"/>
              <w:spacing w:after="0"/>
              <w:rPr>
                <w:sz w:val="20"/>
                <w:szCs w:val="20"/>
                <w:color w:val="auto"/>
              </w:rPr>
            </w:pPr>
            <w:r>
              <w:rPr>
                <w:rFonts w:ascii="Arial" w:cs="Arial" w:eastAsia="Arial" w:hAnsi="Arial"/>
                <w:sz w:val="17"/>
                <w:szCs w:val="17"/>
                <w:color w:val="auto"/>
              </w:rPr>
              <w:t>10.2</w:t>
            </w:r>
          </w:p>
        </w:tc>
        <w:tc>
          <w:tcPr>
            <w:tcW w:w="120" w:type="dxa"/>
            <w:vAlign w:val="bottom"/>
          </w:tcPr>
          <w:p>
            <w:pPr>
              <w:spacing w:after="0"/>
              <w:rPr>
                <w:sz w:val="18"/>
                <w:szCs w:val="18"/>
                <w:color w:val="auto"/>
              </w:rPr>
            </w:pPr>
          </w:p>
        </w:tc>
        <w:tc>
          <w:tcPr>
            <w:tcW w:w="200" w:type="dxa"/>
            <w:vAlign w:val="bottom"/>
          </w:tcPr>
          <w:p>
            <w:pPr>
              <w:jc w:val="right"/>
              <w:ind w:right="14"/>
              <w:spacing w:after="0"/>
              <w:rPr>
                <w:sz w:val="20"/>
                <w:szCs w:val="20"/>
                <w:color w:val="auto"/>
              </w:rPr>
            </w:pPr>
            <w:r>
              <w:rPr>
                <w:rFonts w:ascii="Arial" w:cs="Arial" w:eastAsia="Arial" w:hAnsi="Arial"/>
                <w:sz w:val="17"/>
                <w:szCs w:val="17"/>
                <w:color w:val="auto"/>
                <w:w w:val="84"/>
              </w:rPr>
              <w:t>$</w:t>
            </w:r>
          </w:p>
        </w:tc>
        <w:tc>
          <w:tcPr>
            <w:tcW w:w="1200" w:type="dxa"/>
            <w:vAlign w:val="bottom"/>
          </w:tcPr>
          <w:p>
            <w:pPr>
              <w:jc w:val="right"/>
              <w:spacing w:after="0"/>
              <w:rPr>
                <w:sz w:val="20"/>
                <w:szCs w:val="20"/>
                <w:color w:val="auto"/>
              </w:rPr>
            </w:pPr>
            <w:r>
              <w:rPr>
                <w:rFonts w:ascii="Arial" w:cs="Arial" w:eastAsia="Arial" w:hAnsi="Arial"/>
                <w:sz w:val="17"/>
                <w:szCs w:val="17"/>
                <w:color w:val="auto"/>
              </w:rPr>
              <w:t>10.0</w:t>
            </w:r>
          </w:p>
        </w:tc>
        <w:tc>
          <w:tcPr>
            <w:tcW w:w="1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40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280" w:type="dxa"/>
            <w:vAlign w:val="bottom"/>
          </w:tcPr>
          <w:p>
            <w:pPr>
              <w:jc w:val="right"/>
              <w:ind w:right="94"/>
              <w:spacing w:after="0"/>
              <w:rPr>
                <w:sz w:val="20"/>
                <w:szCs w:val="20"/>
                <w:color w:val="auto"/>
              </w:rPr>
            </w:pPr>
            <w:r>
              <w:rPr>
                <w:rFonts w:ascii="Arial" w:cs="Arial" w:eastAsia="Arial" w:hAnsi="Arial"/>
                <w:sz w:val="17"/>
                <w:szCs w:val="17"/>
                <w:color w:val="auto"/>
                <w:w w:val="84"/>
              </w:rPr>
              <w:t>$</w:t>
            </w:r>
          </w:p>
        </w:tc>
        <w:tc>
          <w:tcPr>
            <w:tcW w:w="1160" w:type="dxa"/>
            <w:vAlign w:val="bottom"/>
          </w:tcPr>
          <w:p>
            <w:pPr>
              <w:jc w:val="right"/>
              <w:spacing w:after="0"/>
              <w:rPr>
                <w:sz w:val="20"/>
                <w:szCs w:val="20"/>
                <w:color w:val="auto"/>
              </w:rPr>
            </w:pPr>
            <w:r>
              <w:rPr>
                <w:rFonts w:ascii="Arial" w:cs="Arial" w:eastAsia="Arial" w:hAnsi="Arial"/>
                <w:sz w:val="17"/>
                <w:szCs w:val="17"/>
                <w:color w:val="auto"/>
              </w:rPr>
              <w:t>2.6</w:t>
            </w:r>
          </w:p>
        </w:tc>
        <w:tc>
          <w:tcPr>
            <w:tcW w:w="100" w:type="dxa"/>
            <w:vAlign w:val="bottom"/>
          </w:tcPr>
          <w:p>
            <w:pPr>
              <w:spacing w:after="0"/>
              <w:rPr>
                <w:sz w:val="18"/>
                <w:szCs w:val="18"/>
                <w:color w:val="auto"/>
              </w:rPr>
            </w:pPr>
          </w:p>
        </w:tc>
        <w:tc>
          <w:tcPr>
            <w:tcW w:w="280" w:type="dxa"/>
            <w:vAlign w:val="bottom"/>
          </w:tcPr>
          <w:p>
            <w:pPr>
              <w:jc w:val="right"/>
              <w:ind w:right="94"/>
              <w:spacing w:after="0"/>
              <w:rPr>
                <w:sz w:val="20"/>
                <w:szCs w:val="20"/>
                <w:color w:val="auto"/>
              </w:rPr>
            </w:pPr>
            <w:r>
              <w:rPr>
                <w:rFonts w:ascii="Arial" w:cs="Arial" w:eastAsia="Arial" w:hAnsi="Arial"/>
                <w:sz w:val="17"/>
                <w:szCs w:val="17"/>
                <w:color w:val="auto"/>
                <w:w w:val="84"/>
              </w:rPr>
              <w:t>$</w:t>
            </w:r>
          </w:p>
        </w:tc>
        <w:tc>
          <w:tcPr>
            <w:tcW w:w="1140" w:type="dxa"/>
            <w:vAlign w:val="bottom"/>
          </w:tcPr>
          <w:p>
            <w:pPr>
              <w:jc w:val="right"/>
              <w:spacing w:after="0"/>
              <w:rPr>
                <w:sz w:val="20"/>
                <w:szCs w:val="20"/>
                <w:color w:val="auto"/>
              </w:rPr>
            </w:pPr>
            <w:r>
              <w:rPr>
                <w:rFonts w:ascii="Arial" w:cs="Arial" w:eastAsia="Arial" w:hAnsi="Arial"/>
                <w:sz w:val="17"/>
                <w:szCs w:val="17"/>
                <w:color w:val="auto"/>
              </w:rPr>
              <w:t>7.4</w:t>
            </w:r>
          </w:p>
        </w:tc>
        <w:tc>
          <w:tcPr>
            <w:tcW w:w="0" w:type="dxa"/>
            <w:vAlign w:val="bottom"/>
          </w:tcPr>
          <w:p>
            <w:pPr>
              <w:spacing w:after="0"/>
              <w:rPr>
                <w:sz w:val="1"/>
                <w:szCs w:val="1"/>
                <w:color w:val="auto"/>
              </w:rPr>
            </w:pPr>
          </w:p>
        </w:tc>
      </w:tr>
      <w:tr>
        <w:trPr>
          <w:trHeight w:val="169"/>
        </w:trPr>
        <w:tc>
          <w:tcPr>
            <w:tcW w:w="20" w:type="dxa"/>
            <w:vAlign w:val="bottom"/>
            <w:shd w:val="clear" w:color="auto" w:fill="CCEEFF"/>
          </w:tcPr>
          <w:p>
            <w:pPr>
              <w:spacing w:after="0"/>
              <w:rPr>
                <w:sz w:val="14"/>
                <w:szCs w:val="14"/>
                <w:color w:val="auto"/>
              </w:rPr>
            </w:pPr>
          </w:p>
        </w:tc>
        <w:tc>
          <w:tcPr>
            <w:tcW w:w="3680" w:type="dxa"/>
            <w:vAlign w:val="bottom"/>
            <w:gridSpan w:val="2"/>
            <w:shd w:val="clear" w:color="auto" w:fill="CCEEFF"/>
          </w:tcPr>
          <w:p>
            <w:pPr>
              <w:ind w:left="200"/>
              <w:spacing w:after="0" w:line="169" w:lineRule="exact"/>
              <w:rPr>
                <w:sz w:val="20"/>
                <w:szCs w:val="20"/>
                <w:color w:val="auto"/>
              </w:rPr>
            </w:pPr>
            <w:r>
              <w:rPr>
                <w:rFonts w:ascii="Arial" w:cs="Arial" w:eastAsia="Arial" w:hAnsi="Arial"/>
                <w:sz w:val="17"/>
                <w:szCs w:val="17"/>
                <w:color w:val="auto"/>
                <w:w w:val="96"/>
              </w:rPr>
              <w:t>Puts and calls related to certain Barstool Sports</w:t>
            </w:r>
          </w:p>
        </w:tc>
        <w:tc>
          <w:tcPr>
            <w:tcW w:w="460" w:type="dxa"/>
            <w:vAlign w:val="bottom"/>
            <w:vMerge w:val="restart"/>
            <w:shd w:val="clear" w:color="auto" w:fill="CCEEFF"/>
          </w:tcPr>
          <w:p>
            <w:pPr>
              <w:jc w:val="right"/>
              <w:ind w:right="274"/>
              <w:spacing w:after="0"/>
              <w:rPr>
                <w:sz w:val="20"/>
                <w:szCs w:val="20"/>
                <w:color w:val="auto"/>
              </w:rPr>
            </w:pPr>
            <w:r>
              <w:rPr>
                <w:rFonts w:ascii="Arial" w:cs="Arial" w:eastAsia="Arial" w:hAnsi="Arial"/>
                <w:sz w:val="17"/>
                <w:szCs w:val="17"/>
                <w:color w:val="auto"/>
                <w:w w:val="84"/>
              </w:rPr>
              <w:t>$</w:t>
            </w: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3.1</w:t>
            </w:r>
          </w:p>
        </w:tc>
        <w:tc>
          <w:tcPr>
            <w:tcW w:w="120" w:type="dxa"/>
            <w:vAlign w:val="bottom"/>
            <w:shd w:val="clear" w:color="auto" w:fill="CCEEFF"/>
          </w:tcPr>
          <w:p>
            <w:pPr>
              <w:spacing w:after="0"/>
              <w:rPr>
                <w:sz w:val="14"/>
                <w:szCs w:val="14"/>
                <w:color w:val="auto"/>
              </w:rPr>
            </w:pPr>
          </w:p>
        </w:tc>
        <w:tc>
          <w:tcPr>
            <w:tcW w:w="200" w:type="dxa"/>
            <w:vAlign w:val="bottom"/>
            <w:vMerge w:val="restart"/>
            <w:shd w:val="clear" w:color="auto" w:fill="CCEEFF"/>
          </w:tcPr>
          <w:p>
            <w:pPr>
              <w:jc w:val="right"/>
              <w:ind w:right="14"/>
              <w:spacing w:after="0"/>
              <w:rPr>
                <w:sz w:val="20"/>
                <w:szCs w:val="20"/>
                <w:color w:val="auto"/>
              </w:rPr>
            </w:pPr>
            <w:r>
              <w:rPr>
                <w:rFonts w:ascii="Arial" w:cs="Arial" w:eastAsia="Arial" w:hAnsi="Arial"/>
                <w:sz w:val="17"/>
                <w:szCs w:val="17"/>
                <w:color w:val="auto"/>
                <w:w w:val="84"/>
              </w:rPr>
              <w:t>$</w:t>
            </w: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3.1</w:t>
            </w:r>
          </w:p>
        </w:tc>
        <w:tc>
          <w:tcPr>
            <w:tcW w:w="120" w:type="dxa"/>
            <w:vAlign w:val="bottom"/>
            <w:shd w:val="clear" w:color="auto" w:fill="CCEEFF"/>
          </w:tcPr>
          <w:p>
            <w:pPr>
              <w:spacing w:after="0"/>
              <w:rPr>
                <w:sz w:val="14"/>
                <w:szCs w:val="14"/>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4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280" w:type="dxa"/>
            <w:vAlign w:val="bottom"/>
            <w:vMerge w:val="restart"/>
            <w:shd w:val="clear" w:color="auto" w:fill="CCEEFF"/>
          </w:tcPr>
          <w:p>
            <w:pPr>
              <w:jc w:val="right"/>
              <w:ind w:right="94"/>
              <w:spacing w:after="0"/>
              <w:rPr>
                <w:sz w:val="20"/>
                <w:szCs w:val="20"/>
                <w:color w:val="auto"/>
              </w:rPr>
            </w:pPr>
            <w:r>
              <w:rPr>
                <w:rFonts w:ascii="Arial" w:cs="Arial" w:eastAsia="Arial" w:hAnsi="Arial"/>
                <w:sz w:val="17"/>
                <w:szCs w:val="17"/>
                <w:color w:val="auto"/>
                <w:w w:val="84"/>
              </w:rPr>
              <w:t>$</w:t>
            </w: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3.1</w:t>
            </w:r>
          </w:p>
        </w:tc>
        <w:tc>
          <w:tcPr>
            <w:tcW w:w="100" w:type="dxa"/>
            <w:vAlign w:val="bottom"/>
            <w:shd w:val="clear" w:color="auto" w:fill="CCEEFF"/>
          </w:tcPr>
          <w:p>
            <w:pPr>
              <w:spacing w:after="0"/>
              <w:rPr>
                <w:sz w:val="14"/>
                <w:szCs w:val="14"/>
                <w:color w:val="auto"/>
              </w:rPr>
            </w:pPr>
          </w:p>
        </w:tc>
        <w:tc>
          <w:tcPr>
            <w:tcW w:w="280" w:type="dxa"/>
            <w:vAlign w:val="bottom"/>
            <w:vMerge w:val="restart"/>
            <w:shd w:val="clear" w:color="auto" w:fill="CCEEFF"/>
          </w:tcPr>
          <w:p>
            <w:pPr>
              <w:jc w:val="right"/>
              <w:ind w:right="94"/>
              <w:spacing w:after="0"/>
              <w:rPr>
                <w:sz w:val="20"/>
                <w:szCs w:val="20"/>
                <w:color w:val="auto"/>
              </w:rPr>
            </w:pPr>
            <w:r>
              <w:rPr>
                <w:rFonts w:ascii="Arial" w:cs="Arial" w:eastAsia="Arial" w:hAnsi="Arial"/>
                <w:sz w:val="17"/>
                <w:szCs w:val="17"/>
                <w:color w:val="auto"/>
                <w:w w:val="84"/>
              </w:rPr>
              <w:t>$</w:t>
            </w: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3680" w:type="dxa"/>
            <w:vAlign w:val="bottom"/>
            <w:gridSpan w:val="2"/>
            <w:shd w:val="clear" w:color="auto" w:fill="CCEEFF"/>
          </w:tcPr>
          <w:p>
            <w:pPr>
              <w:ind w:left="200"/>
              <w:spacing w:after="0"/>
              <w:rPr>
                <w:sz w:val="20"/>
                <w:szCs w:val="20"/>
                <w:color w:val="auto"/>
              </w:rPr>
            </w:pPr>
            <w:r>
              <w:rPr>
                <w:rFonts w:ascii="Arial" w:cs="Arial" w:eastAsia="Arial" w:hAnsi="Arial"/>
                <w:sz w:val="17"/>
                <w:szCs w:val="17"/>
                <w:color w:val="auto"/>
              </w:rPr>
              <w:t>shares</w:t>
            </w:r>
          </w:p>
        </w:tc>
        <w:tc>
          <w:tcPr>
            <w:tcW w:w="460" w:type="dxa"/>
            <w:vAlign w:val="bottom"/>
            <w:vMerge w:val="continue"/>
            <w:shd w:val="clear" w:color="auto" w:fill="CCEEFF"/>
          </w:tcPr>
          <w:p>
            <w:pPr>
              <w:spacing w:after="0"/>
              <w:rPr>
                <w:sz w:val="19"/>
                <w:szCs w:val="19"/>
                <w:color w:val="auto"/>
              </w:rPr>
            </w:pPr>
          </w:p>
        </w:tc>
        <w:tc>
          <w:tcPr>
            <w:tcW w:w="94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vMerge w:val="continue"/>
            <w:shd w:val="clear" w:color="auto" w:fill="CCEEFF"/>
          </w:tcPr>
          <w:p>
            <w:pPr>
              <w:spacing w:after="0"/>
              <w:rPr>
                <w:sz w:val="19"/>
                <w:szCs w:val="19"/>
                <w:color w:val="auto"/>
              </w:rPr>
            </w:pPr>
          </w:p>
        </w:tc>
        <w:tc>
          <w:tcPr>
            <w:tcW w:w="120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vMerge w:val="continue"/>
            <w:shd w:val="clear" w:color="auto" w:fill="CCEEFF"/>
          </w:tcPr>
          <w:p>
            <w:pPr>
              <w:spacing w:after="0"/>
              <w:rPr>
                <w:sz w:val="19"/>
                <w:szCs w:val="19"/>
                <w:color w:val="auto"/>
              </w:rPr>
            </w:pPr>
          </w:p>
        </w:tc>
        <w:tc>
          <w:tcPr>
            <w:tcW w:w="1400" w:type="dxa"/>
            <w:vAlign w:val="bottom"/>
            <w:gridSpan w:val="2"/>
            <w:vMerge w:val="continue"/>
            <w:shd w:val="clear" w:color="auto" w:fill="CCEEFF"/>
          </w:tcPr>
          <w:p>
            <w:pPr>
              <w:spacing w:after="0"/>
              <w:rPr>
                <w:sz w:val="19"/>
                <w:szCs w:val="19"/>
                <w:color w:val="auto"/>
              </w:rPr>
            </w:pPr>
          </w:p>
        </w:tc>
        <w:tc>
          <w:tcPr>
            <w:tcW w:w="280" w:type="dxa"/>
            <w:vAlign w:val="bottom"/>
            <w:vMerge w:val="continue"/>
            <w:shd w:val="clear" w:color="auto" w:fill="CCEEFF"/>
          </w:tcPr>
          <w:p>
            <w:pPr>
              <w:spacing w:after="0"/>
              <w:rPr>
                <w:sz w:val="19"/>
                <w:szCs w:val="19"/>
                <w:color w:val="auto"/>
              </w:rPr>
            </w:pPr>
          </w:p>
        </w:tc>
        <w:tc>
          <w:tcPr>
            <w:tcW w:w="11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vMerge w:val="continue"/>
            <w:shd w:val="clear" w:color="auto" w:fill="CCEEFF"/>
          </w:tcPr>
          <w:p>
            <w:pPr>
              <w:spacing w:after="0"/>
              <w:rPr>
                <w:sz w:val="19"/>
                <w:szCs w:val="19"/>
                <w:color w:val="auto"/>
              </w:rPr>
            </w:pPr>
          </w:p>
        </w:tc>
        <w:tc>
          <w:tcPr>
            <w:tcW w:w="11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980" w:type="dxa"/>
            <w:vAlign w:val="bottom"/>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gridSpan w:val="3"/>
          </w:tcPr>
          <w:p>
            <w:pPr>
              <w:ind w:left="20"/>
              <w:spacing w:after="0"/>
              <w:rPr>
                <w:sz w:val="20"/>
                <w:szCs w:val="20"/>
                <w:color w:val="auto"/>
              </w:rPr>
            </w:pPr>
            <w:r>
              <w:rPr>
                <w:rFonts w:ascii="Arial" w:cs="Arial" w:eastAsia="Arial" w:hAnsi="Arial"/>
                <w:sz w:val="17"/>
                <w:szCs w:val="17"/>
                <w:b w:val="1"/>
                <w:bCs w:val="1"/>
                <w:color w:val="auto"/>
                <w:w w:val="96"/>
              </w:rPr>
              <w:t>December 31, 2020</w:t>
            </w: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74"/>
        </w:trPr>
        <w:tc>
          <w:tcPr>
            <w:tcW w:w="3700" w:type="dxa"/>
            <w:vAlign w:val="bottom"/>
            <w:gridSpan w:val="3"/>
          </w:tcPr>
          <w:p>
            <w:pPr>
              <w:ind w:left="20"/>
              <w:spacing w:after="0"/>
              <w:rPr>
                <w:sz w:val="20"/>
                <w:szCs w:val="20"/>
                <w:color w:val="auto"/>
              </w:rPr>
            </w:pPr>
            <w:r>
              <w:rPr>
                <w:rFonts w:ascii="Arial" w:cs="Arial" w:eastAsia="Arial" w:hAnsi="Arial"/>
                <w:sz w:val="14"/>
                <w:szCs w:val="14"/>
                <w:b w:val="1"/>
                <w:bCs w:val="1"/>
                <w:i w:val="1"/>
                <w:iCs w:val="1"/>
                <w:color w:val="auto"/>
              </w:rPr>
              <w:t>(in millions)</w:t>
            </w:r>
          </w:p>
        </w:tc>
        <w:tc>
          <w:tcPr>
            <w:tcW w:w="1520" w:type="dxa"/>
            <w:vAlign w:val="bottom"/>
            <w:gridSpan w:val="3"/>
          </w:tcPr>
          <w:p>
            <w:pPr>
              <w:ind w:left="40"/>
              <w:spacing w:after="0" w:line="174" w:lineRule="exact"/>
              <w:rPr>
                <w:sz w:val="20"/>
                <w:szCs w:val="20"/>
                <w:color w:val="auto"/>
              </w:rPr>
            </w:pPr>
            <w:r>
              <w:rPr>
                <w:rFonts w:ascii="Arial" w:cs="Arial" w:eastAsia="Arial" w:hAnsi="Arial"/>
                <w:sz w:val="17"/>
                <w:szCs w:val="17"/>
                <w:b w:val="1"/>
                <w:bCs w:val="1"/>
                <w:color w:val="auto"/>
              </w:rPr>
              <w:t>Carrying Amount</w:t>
            </w:r>
          </w:p>
        </w:tc>
        <w:tc>
          <w:tcPr>
            <w:tcW w:w="200" w:type="dxa"/>
            <w:vAlign w:val="bottom"/>
          </w:tcPr>
          <w:p>
            <w:pPr>
              <w:spacing w:after="0"/>
              <w:rPr>
                <w:sz w:val="15"/>
                <w:szCs w:val="15"/>
                <w:color w:val="auto"/>
              </w:rPr>
            </w:pPr>
          </w:p>
        </w:tc>
        <w:tc>
          <w:tcPr>
            <w:tcW w:w="1320" w:type="dxa"/>
            <w:vAlign w:val="bottom"/>
            <w:gridSpan w:val="2"/>
          </w:tcPr>
          <w:p>
            <w:pPr>
              <w:ind w:left="120"/>
              <w:spacing w:after="0" w:line="174" w:lineRule="exact"/>
              <w:rPr>
                <w:sz w:val="20"/>
                <w:szCs w:val="20"/>
                <w:color w:val="auto"/>
              </w:rPr>
            </w:pPr>
            <w:r>
              <w:rPr>
                <w:rFonts w:ascii="Arial" w:cs="Arial" w:eastAsia="Arial" w:hAnsi="Arial"/>
                <w:sz w:val="17"/>
                <w:szCs w:val="17"/>
                <w:b w:val="1"/>
                <w:bCs w:val="1"/>
                <w:color w:val="auto"/>
              </w:rPr>
              <w:t>Fair Value</w:t>
            </w:r>
          </w:p>
        </w:tc>
        <w:tc>
          <w:tcPr>
            <w:tcW w:w="260" w:type="dxa"/>
            <w:vAlign w:val="bottom"/>
          </w:tcPr>
          <w:p>
            <w:pPr>
              <w:spacing w:after="0"/>
              <w:rPr>
                <w:sz w:val="15"/>
                <w:szCs w:val="15"/>
                <w:color w:val="auto"/>
              </w:rPr>
            </w:pPr>
          </w:p>
        </w:tc>
        <w:tc>
          <w:tcPr>
            <w:tcW w:w="1260" w:type="dxa"/>
            <w:vAlign w:val="bottom"/>
            <w:gridSpan w:val="2"/>
          </w:tcPr>
          <w:p>
            <w:pPr>
              <w:ind w:left="180"/>
              <w:spacing w:after="0" w:line="174" w:lineRule="exact"/>
              <w:rPr>
                <w:sz w:val="20"/>
                <w:szCs w:val="20"/>
                <w:color w:val="auto"/>
              </w:rPr>
            </w:pPr>
            <w:r>
              <w:rPr>
                <w:rFonts w:ascii="Arial" w:cs="Arial" w:eastAsia="Arial" w:hAnsi="Arial"/>
                <w:sz w:val="17"/>
                <w:szCs w:val="17"/>
                <w:b w:val="1"/>
                <w:bCs w:val="1"/>
                <w:color w:val="auto"/>
              </w:rPr>
              <w:t>Level 1</w:t>
            </w:r>
          </w:p>
        </w:tc>
        <w:tc>
          <w:tcPr>
            <w:tcW w:w="280" w:type="dxa"/>
            <w:vAlign w:val="bottom"/>
          </w:tcPr>
          <w:p>
            <w:pPr>
              <w:spacing w:after="0"/>
              <w:rPr>
                <w:sz w:val="15"/>
                <w:szCs w:val="15"/>
                <w:color w:val="auto"/>
              </w:rPr>
            </w:pPr>
          </w:p>
        </w:tc>
        <w:tc>
          <w:tcPr>
            <w:tcW w:w="1240" w:type="dxa"/>
            <w:vAlign w:val="bottom"/>
            <w:gridSpan w:val="2"/>
          </w:tcPr>
          <w:p>
            <w:pPr>
              <w:ind w:left="180"/>
              <w:spacing w:after="0" w:line="174" w:lineRule="exact"/>
              <w:rPr>
                <w:sz w:val="20"/>
                <w:szCs w:val="20"/>
                <w:color w:val="auto"/>
              </w:rPr>
            </w:pPr>
            <w:r>
              <w:rPr>
                <w:rFonts w:ascii="Arial" w:cs="Arial" w:eastAsia="Arial" w:hAnsi="Arial"/>
                <w:sz w:val="17"/>
                <w:szCs w:val="17"/>
                <w:b w:val="1"/>
                <w:bCs w:val="1"/>
                <w:color w:val="auto"/>
              </w:rPr>
              <w:t>Level 2</w:t>
            </w:r>
          </w:p>
        </w:tc>
        <w:tc>
          <w:tcPr>
            <w:tcW w:w="280" w:type="dxa"/>
            <w:vAlign w:val="bottom"/>
          </w:tcPr>
          <w:p>
            <w:pPr>
              <w:spacing w:after="0"/>
              <w:rPr>
                <w:sz w:val="15"/>
                <w:szCs w:val="15"/>
                <w:color w:val="auto"/>
              </w:rPr>
            </w:pPr>
          </w:p>
        </w:tc>
        <w:tc>
          <w:tcPr>
            <w:tcW w:w="1160" w:type="dxa"/>
            <w:vAlign w:val="bottom"/>
          </w:tcPr>
          <w:p>
            <w:pPr>
              <w:jc w:val="right"/>
              <w:ind w:right="374"/>
              <w:spacing w:after="0" w:line="174" w:lineRule="exact"/>
              <w:rPr>
                <w:sz w:val="20"/>
                <w:szCs w:val="20"/>
                <w:color w:val="auto"/>
              </w:rPr>
            </w:pPr>
            <w:r>
              <w:rPr>
                <w:rFonts w:ascii="Arial" w:cs="Arial" w:eastAsia="Arial" w:hAnsi="Arial"/>
                <w:sz w:val="17"/>
                <w:szCs w:val="17"/>
                <w:b w:val="1"/>
                <w:bCs w:val="1"/>
                <w:color w:val="auto"/>
              </w:rPr>
              <w:t>Level 3</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700" w:type="dxa"/>
            <w:vAlign w:val="bottom"/>
            <w:tcBorders>
              <w:top w:val="single" w:sz="8" w:color="auto"/>
              <w:bottom w:val="single" w:sz="8" w:color="CCEEFF"/>
            </w:tcBorders>
          </w:tcPr>
          <w:p>
            <w:pPr>
              <w:spacing w:after="0" w:line="20" w:lineRule="exact"/>
              <w:rPr>
                <w:sz w:val="1"/>
                <w:szCs w:val="1"/>
                <w:color w:val="auto"/>
              </w:rPr>
            </w:pPr>
          </w:p>
        </w:tc>
        <w:tc>
          <w:tcPr>
            <w:tcW w:w="298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3700" w:type="dxa"/>
            <w:vAlign w:val="bottom"/>
            <w:gridSpan w:val="3"/>
            <w:shd w:val="clear" w:color="auto" w:fill="CCEEFF"/>
          </w:tcPr>
          <w:p>
            <w:pPr>
              <w:ind w:left="20"/>
              <w:spacing w:after="0"/>
              <w:rPr>
                <w:sz w:val="20"/>
                <w:szCs w:val="20"/>
                <w:color w:val="auto"/>
              </w:rPr>
            </w:pPr>
            <w:r>
              <w:rPr>
                <w:rFonts w:ascii="Arial" w:cs="Arial" w:eastAsia="Arial" w:hAnsi="Arial"/>
                <w:sz w:val="17"/>
                <w:szCs w:val="17"/>
                <w:b w:val="1"/>
                <w:bCs w:val="1"/>
                <w:color w:val="auto"/>
              </w:rPr>
              <w:t>Financial assets:</w:t>
            </w:r>
          </w:p>
        </w:tc>
        <w:tc>
          <w:tcPr>
            <w:tcW w:w="4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680" w:type="dxa"/>
            <w:vAlign w:val="bottom"/>
            <w:gridSpan w:val="2"/>
          </w:tcPr>
          <w:p>
            <w:pPr>
              <w:ind w:left="200"/>
              <w:spacing w:after="0"/>
              <w:rPr>
                <w:sz w:val="20"/>
                <w:szCs w:val="20"/>
                <w:color w:val="auto"/>
              </w:rPr>
            </w:pPr>
            <w:r>
              <w:rPr>
                <w:rFonts w:ascii="Arial" w:cs="Arial" w:eastAsia="Arial" w:hAnsi="Arial"/>
                <w:sz w:val="17"/>
                <w:szCs w:val="17"/>
                <w:color w:val="auto"/>
              </w:rPr>
              <w:t>Cash and cash equivalents</w:t>
            </w:r>
          </w:p>
        </w:tc>
        <w:tc>
          <w:tcPr>
            <w:tcW w:w="460" w:type="dxa"/>
            <w:vAlign w:val="bottom"/>
          </w:tcPr>
          <w:p>
            <w:pPr>
              <w:jc w:val="right"/>
              <w:ind w:right="274"/>
              <w:spacing w:after="0"/>
              <w:rPr>
                <w:sz w:val="20"/>
                <w:szCs w:val="20"/>
                <w:color w:val="auto"/>
              </w:rPr>
            </w:pPr>
            <w:r>
              <w:rPr>
                <w:rFonts w:ascii="Arial" w:cs="Arial" w:eastAsia="Arial" w:hAnsi="Arial"/>
                <w:sz w:val="17"/>
                <w:szCs w:val="17"/>
                <w:color w:val="auto"/>
                <w:w w:val="84"/>
              </w:rPr>
              <w:t>$</w:t>
            </w:r>
          </w:p>
        </w:tc>
        <w:tc>
          <w:tcPr>
            <w:tcW w:w="940" w:type="dxa"/>
            <w:vAlign w:val="bottom"/>
          </w:tcPr>
          <w:p>
            <w:pPr>
              <w:jc w:val="right"/>
              <w:spacing w:after="0"/>
              <w:rPr>
                <w:sz w:val="20"/>
                <w:szCs w:val="20"/>
                <w:color w:val="auto"/>
              </w:rPr>
            </w:pPr>
            <w:r>
              <w:rPr>
                <w:rFonts w:ascii="Arial" w:cs="Arial" w:eastAsia="Arial" w:hAnsi="Arial"/>
                <w:sz w:val="17"/>
                <w:szCs w:val="17"/>
                <w:color w:val="auto"/>
              </w:rPr>
              <w:t>1,853.8</w:t>
            </w:r>
          </w:p>
        </w:tc>
        <w:tc>
          <w:tcPr>
            <w:tcW w:w="120" w:type="dxa"/>
            <w:vAlign w:val="bottom"/>
          </w:tcPr>
          <w:p>
            <w:pPr>
              <w:spacing w:after="0"/>
              <w:rPr>
                <w:sz w:val="18"/>
                <w:szCs w:val="18"/>
                <w:color w:val="auto"/>
              </w:rPr>
            </w:pPr>
          </w:p>
        </w:tc>
        <w:tc>
          <w:tcPr>
            <w:tcW w:w="200" w:type="dxa"/>
            <w:vAlign w:val="bottom"/>
          </w:tcPr>
          <w:p>
            <w:pPr>
              <w:jc w:val="right"/>
              <w:ind w:right="14"/>
              <w:spacing w:after="0"/>
              <w:rPr>
                <w:sz w:val="20"/>
                <w:szCs w:val="20"/>
                <w:color w:val="auto"/>
              </w:rPr>
            </w:pPr>
            <w:r>
              <w:rPr>
                <w:rFonts w:ascii="Arial" w:cs="Arial" w:eastAsia="Arial" w:hAnsi="Arial"/>
                <w:sz w:val="17"/>
                <w:szCs w:val="17"/>
                <w:color w:val="auto"/>
                <w:w w:val="84"/>
              </w:rPr>
              <w:t>$</w:t>
            </w:r>
          </w:p>
        </w:tc>
        <w:tc>
          <w:tcPr>
            <w:tcW w:w="1200" w:type="dxa"/>
            <w:vAlign w:val="bottom"/>
          </w:tcPr>
          <w:p>
            <w:pPr>
              <w:jc w:val="right"/>
              <w:spacing w:after="0"/>
              <w:rPr>
                <w:sz w:val="20"/>
                <w:szCs w:val="20"/>
                <w:color w:val="auto"/>
              </w:rPr>
            </w:pPr>
            <w:r>
              <w:rPr>
                <w:rFonts w:ascii="Arial" w:cs="Arial" w:eastAsia="Arial" w:hAnsi="Arial"/>
                <w:sz w:val="17"/>
                <w:szCs w:val="17"/>
                <w:color w:val="auto"/>
              </w:rPr>
              <w:t>1,853.8</w:t>
            </w:r>
          </w:p>
        </w:tc>
        <w:tc>
          <w:tcPr>
            <w:tcW w:w="120" w:type="dxa"/>
            <w:vAlign w:val="bottom"/>
          </w:tcPr>
          <w:p>
            <w:pPr>
              <w:spacing w:after="0"/>
              <w:rPr>
                <w:sz w:val="18"/>
                <w:szCs w:val="18"/>
                <w:color w:val="auto"/>
              </w:rPr>
            </w:pPr>
          </w:p>
        </w:tc>
        <w:tc>
          <w:tcPr>
            <w:tcW w:w="260" w:type="dxa"/>
            <w:vAlign w:val="bottom"/>
          </w:tcPr>
          <w:p>
            <w:pPr>
              <w:spacing w:after="0"/>
              <w:rPr>
                <w:sz w:val="20"/>
                <w:szCs w:val="20"/>
                <w:color w:val="auto"/>
              </w:rPr>
            </w:pPr>
            <w:r>
              <w:rPr>
                <w:rFonts w:ascii="Arial" w:cs="Arial" w:eastAsia="Arial" w:hAnsi="Arial"/>
                <w:sz w:val="17"/>
                <w:szCs w:val="17"/>
                <w:color w:val="auto"/>
              </w:rPr>
              <w:t>$</w:t>
            </w:r>
          </w:p>
        </w:tc>
        <w:tc>
          <w:tcPr>
            <w:tcW w:w="1160" w:type="dxa"/>
            <w:vAlign w:val="bottom"/>
          </w:tcPr>
          <w:p>
            <w:pPr>
              <w:jc w:val="right"/>
              <w:spacing w:after="0"/>
              <w:rPr>
                <w:sz w:val="20"/>
                <w:szCs w:val="20"/>
                <w:color w:val="auto"/>
              </w:rPr>
            </w:pPr>
            <w:r>
              <w:rPr>
                <w:rFonts w:ascii="Arial" w:cs="Arial" w:eastAsia="Arial" w:hAnsi="Arial"/>
                <w:sz w:val="17"/>
                <w:szCs w:val="17"/>
                <w:color w:val="auto"/>
              </w:rPr>
              <w:t>1,853.8</w:t>
            </w:r>
          </w:p>
        </w:tc>
        <w:tc>
          <w:tcPr>
            <w:tcW w:w="100" w:type="dxa"/>
            <w:vAlign w:val="bottom"/>
          </w:tcPr>
          <w:p>
            <w:pPr>
              <w:spacing w:after="0"/>
              <w:rPr>
                <w:sz w:val="18"/>
                <w:szCs w:val="18"/>
                <w:color w:val="auto"/>
              </w:rPr>
            </w:pPr>
          </w:p>
        </w:tc>
        <w:tc>
          <w:tcPr>
            <w:tcW w:w="280" w:type="dxa"/>
            <w:vAlign w:val="bottom"/>
          </w:tcPr>
          <w:p>
            <w:pPr>
              <w:jc w:val="right"/>
              <w:ind w:right="94"/>
              <w:spacing w:after="0"/>
              <w:rPr>
                <w:sz w:val="20"/>
                <w:szCs w:val="20"/>
                <w:color w:val="auto"/>
              </w:rPr>
            </w:pPr>
            <w:r>
              <w:rPr>
                <w:rFonts w:ascii="Arial" w:cs="Arial" w:eastAsia="Arial" w:hAnsi="Arial"/>
                <w:sz w:val="17"/>
                <w:szCs w:val="17"/>
                <w:color w:val="auto"/>
                <w:w w:val="84"/>
              </w:rPr>
              <w:t>$</w:t>
            </w:r>
          </w:p>
        </w:tc>
        <w:tc>
          <w:tcPr>
            <w:tcW w:w="124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280" w:type="dxa"/>
            <w:vAlign w:val="bottom"/>
          </w:tcPr>
          <w:p>
            <w:pPr>
              <w:jc w:val="right"/>
              <w:ind w:right="74"/>
              <w:spacing w:after="0"/>
              <w:rPr>
                <w:sz w:val="20"/>
                <w:szCs w:val="20"/>
                <w:color w:val="auto"/>
              </w:rPr>
            </w:pPr>
            <w:r>
              <w:rPr>
                <w:rFonts w:ascii="Arial" w:cs="Arial" w:eastAsia="Arial" w:hAnsi="Arial"/>
                <w:sz w:val="17"/>
                <w:szCs w:val="17"/>
                <w:color w:val="auto"/>
              </w:rPr>
              <w:t>$</w:t>
            </w:r>
          </w:p>
        </w:tc>
        <w:tc>
          <w:tcPr>
            <w:tcW w:w="116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0"/>
        </w:trPr>
        <w:tc>
          <w:tcPr>
            <w:tcW w:w="20" w:type="dxa"/>
            <w:vAlign w:val="bottom"/>
            <w:shd w:val="clear" w:color="auto" w:fill="CCEEFF"/>
          </w:tcPr>
          <w:p>
            <w:pPr>
              <w:spacing w:after="0"/>
              <w:rPr>
                <w:sz w:val="19"/>
                <w:szCs w:val="19"/>
                <w:color w:val="auto"/>
              </w:rPr>
            </w:pPr>
          </w:p>
        </w:tc>
        <w:tc>
          <w:tcPr>
            <w:tcW w:w="3680" w:type="dxa"/>
            <w:vAlign w:val="bottom"/>
            <w:gridSpan w:val="2"/>
            <w:shd w:val="clear" w:color="auto" w:fill="CCEEFF"/>
          </w:tcPr>
          <w:p>
            <w:pPr>
              <w:ind w:left="200"/>
              <w:spacing w:after="0"/>
              <w:rPr>
                <w:sz w:val="20"/>
                <w:szCs w:val="20"/>
                <w:color w:val="auto"/>
              </w:rPr>
            </w:pPr>
            <w:r>
              <w:rPr>
                <w:rFonts w:ascii="Arial" w:cs="Arial" w:eastAsia="Arial" w:hAnsi="Arial"/>
                <w:sz w:val="17"/>
                <w:szCs w:val="17"/>
                <w:color w:val="auto"/>
              </w:rPr>
              <w:t>Equity securities</w:t>
            </w:r>
          </w:p>
        </w:tc>
        <w:tc>
          <w:tcPr>
            <w:tcW w:w="460" w:type="dxa"/>
            <w:vAlign w:val="bottom"/>
            <w:shd w:val="clear" w:color="auto" w:fill="CCEEFF"/>
          </w:tcPr>
          <w:p>
            <w:pPr>
              <w:jc w:val="right"/>
              <w:ind w:right="274"/>
              <w:spacing w:after="0"/>
              <w:rPr>
                <w:sz w:val="20"/>
                <w:szCs w:val="20"/>
                <w:color w:val="auto"/>
              </w:rPr>
            </w:pPr>
            <w:r>
              <w:rPr>
                <w:rFonts w:ascii="Arial" w:cs="Arial" w:eastAsia="Arial" w:hAnsi="Arial"/>
                <w:sz w:val="17"/>
                <w:szCs w:val="17"/>
                <w:color w:val="auto"/>
                <w:w w:val="84"/>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143.1</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w w:val="84"/>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143.1</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280" w:type="dxa"/>
            <w:vAlign w:val="bottom"/>
            <w:shd w:val="clear" w:color="auto" w:fill="CCEEFF"/>
          </w:tcPr>
          <w:p>
            <w:pPr>
              <w:jc w:val="right"/>
              <w:ind w:right="94"/>
              <w:spacing w:after="0"/>
              <w:rPr>
                <w:sz w:val="20"/>
                <w:szCs w:val="20"/>
                <w:color w:val="auto"/>
              </w:rPr>
            </w:pPr>
            <w:r>
              <w:rPr>
                <w:rFonts w:ascii="Arial" w:cs="Arial" w:eastAsia="Arial" w:hAnsi="Arial"/>
                <w:sz w:val="17"/>
                <w:szCs w:val="17"/>
                <w:color w:val="auto"/>
                <w:w w:val="84"/>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143.1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4"/>
              <w:spacing w:after="0"/>
              <w:rPr>
                <w:sz w:val="20"/>
                <w:szCs w:val="20"/>
                <w:color w:val="auto"/>
              </w:rPr>
            </w:pPr>
            <w:r>
              <w:rPr>
                <w:rFonts w:ascii="Arial" w:cs="Arial" w:eastAsia="Arial" w:hAnsi="Arial"/>
                <w:sz w:val="17"/>
                <w:szCs w:val="17"/>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680" w:type="dxa"/>
            <w:vAlign w:val="bottom"/>
            <w:gridSpan w:val="2"/>
          </w:tcPr>
          <w:p>
            <w:pPr>
              <w:ind w:left="200"/>
              <w:spacing w:after="0"/>
              <w:rPr>
                <w:sz w:val="20"/>
                <w:szCs w:val="20"/>
                <w:color w:val="auto"/>
              </w:rPr>
            </w:pPr>
            <w:r>
              <w:rPr>
                <w:rFonts w:ascii="Arial" w:cs="Arial" w:eastAsia="Arial" w:hAnsi="Arial"/>
                <w:sz w:val="17"/>
                <w:szCs w:val="17"/>
                <w:color w:val="auto"/>
              </w:rPr>
              <w:t>Held-to-maturity securities</w:t>
            </w:r>
          </w:p>
        </w:tc>
        <w:tc>
          <w:tcPr>
            <w:tcW w:w="460" w:type="dxa"/>
            <w:vAlign w:val="bottom"/>
          </w:tcPr>
          <w:p>
            <w:pPr>
              <w:jc w:val="right"/>
              <w:ind w:right="274"/>
              <w:spacing w:after="0"/>
              <w:rPr>
                <w:sz w:val="20"/>
                <w:szCs w:val="20"/>
                <w:color w:val="auto"/>
              </w:rPr>
            </w:pPr>
            <w:r>
              <w:rPr>
                <w:rFonts w:ascii="Arial" w:cs="Arial" w:eastAsia="Arial" w:hAnsi="Arial"/>
                <w:sz w:val="17"/>
                <w:szCs w:val="17"/>
                <w:color w:val="auto"/>
                <w:w w:val="84"/>
              </w:rPr>
              <w:t>$</w:t>
            </w:r>
          </w:p>
        </w:tc>
        <w:tc>
          <w:tcPr>
            <w:tcW w:w="940" w:type="dxa"/>
            <w:vAlign w:val="bottom"/>
          </w:tcPr>
          <w:p>
            <w:pPr>
              <w:jc w:val="right"/>
              <w:spacing w:after="0"/>
              <w:rPr>
                <w:sz w:val="20"/>
                <w:szCs w:val="20"/>
                <w:color w:val="auto"/>
              </w:rPr>
            </w:pPr>
            <w:r>
              <w:rPr>
                <w:rFonts w:ascii="Arial" w:cs="Arial" w:eastAsia="Arial" w:hAnsi="Arial"/>
                <w:sz w:val="17"/>
                <w:szCs w:val="17"/>
                <w:color w:val="auto"/>
              </w:rPr>
              <w:t>6.7</w:t>
            </w:r>
          </w:p>
        </w:tc>
        <w:tc>
          <w:tcPr>
            <w:tcW w:w="120" w:type="dxa"/>
            <w:vAlign w:val="bottom"/>
          </w:tcPr>
          <w:p>
            <w:pPr>
              <w:spacing w:after="0"/>
              <w:rPr>
                <w:sz w:val="18"/>
                <w:szCs w:val="18"/>
                <w:color w:val="auto"/>
              </w:rPr>
            </w:pPr>
          </w:p>
        </w:tc>
        <w:tc>
          <w:tcPr>
            <w:tcW w:w="200" w:type="dxa"/>
            <w:vAlign w:val="bottom"/>
          </w:tcPr>
          <w:p>
            <w:pPr>
              <w:jc w:val="right"/>
              <w:ind w:right="14"/>
              <w:spacing w:after="0"/>
              <w:rPr>
                <w:sz w:val="20"/>
                <w:szCs w:val="20"/>
                <w:color w:val="auto"/>
              </w:rPr>
            </w:pPr>
            <w:r>
              <w:rPr>
                <w:rFonts w:ascii="Arial" w:cs="Arial" w:eastAsia="Arial" w:hAnsi="Arial"/>
                <w:sz w:val="17"/>
                <w:szCs w:val="17"/>
                <w:color w:val="auto"/>
                <w:w w:val="84"/>
              </w:rPr>
              <w:t>$</w:t>
            </w:r>
          </w:p>
        </w:tc>
        <w:tc>
          <w:tcPr>
            <w:tcW w:w="1200" w:type="dxa"/>
            <w:vAlign w:val="bottom"/>
          </w:tcPr>
          <w:p>
            <w:pPr>
              <w:jc w:val="right"/>
              <w:spacing w:after="0"/>
              <w:rPr>
                <w:sz w:val="20"/>
                <w:szCs w:val="20"/>
                <w:color w:val="auto"/>
              </w:rPr>
            </w:pPr>
            <w:r>
              <w:rPr>
                <w:rFonts w:ascii="Arial" w:cs="Arial" w:eastAsia="Arial" w:hAnsi="Arial"/>
                <w:sz w:val="17"/>
                <w:szCs w:val="17"/>
                <w:color w:val="auto"/>
              </w:rPr>
              <w:t>6.7</w:t>
            </w:r>
          </w:p>
        </w:tc>
        <w:tc>
          <w:tcPr>
            <w:tcW w:w="120" w:type="dxa"/>
            <w:vAlign w:val="bottom"/>
          </w:tcPr>
          <w:p>
            <w:pPr>
              <w:spacing w:after="0"/>
              <w:rPr>
                <w:sz w:val="18"/>
                <w:szCs w:val="18"/>
                <w:color w:val="auto"/>
              </w:rPr>
            </w:pPr>
          </w:p>
        </w:tc>
        <w:tc>
          <w:tcPr>
            <w:tcW w:w="260" w:type="dxa"/>
            <w:vAlign w:val="bottom"/>
          </w:tcPr>
          <w:p>
            <w:pPr>
              <w:spacing w:after="0"/>
              <w:rPr>
                <w:sz w:val="20"/>
                <w:szCs w:val="20"/>
                <w:color w:val="auto"/>
              </w:rPr>
            </w:pPr>
            <w:r>
              <w:rPr>
                <w:rFonts w:ascii="Arial" w:cs="Arial" w:eastAsia="Arial" w:hAnsi="Arial"/>
                <w:sz w:val="17"/>
                <w:szCs w:val="17"/>
                <w:color w:val="auto"/>
              </w:rPr>
              <w:t>$</w:t>
            </w:r>
          </w:p>
        </w:tc>
        <w:tc>
          <w:tcPr>
            <w:tcW w:w="12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280" w:type="dxa"/>
            <w:vAlign w:val="bottom"/>
          </w:tcPr>
          <w:p>
            <w:pPr>
              <w:jc w:val="right"/>
              <w:ind w:right="94"/>
              <w:spacing w:after="0"/>
              <w:rPr>
                <w:sz w:val="20"/>
                <w:szCs w:val="20"/>
                <w:color w:val="auto"/>
              </w:rPr>
            </w:pPr>
            <w:r>
              <w:rPr>
                <w:rFonts w:ascii="Arial" w:cs="Arial" w:eastAsia="Arial" w:hAnsi="Arial"/>
                <w:sz w:val="17"/>
                <w:szCs w:val="17"/>
                <w:color w:val="auto"/>
                <w:w w:val="84"/>
              </w:rPr>
              <w:t>$</w:t>
            </w:r>
          </w:p>
        </w:tc>
        <w:tc>
          <w:tcPr>
            <w:tcW w:w="1140" w:type="dxa"/>
            <w:vAlign w:val="bottom"/>
          </w:tcPr>
          <w:p>
            <w:pPr>
              <w:jc w:val="right"/>
              <w:spacing w:after="0"/>
              <w:rPr>
                <w:sz w:val="20"/>
                <w:szCs w:val="20"/>
                <w:color w:val="auto"/>
              </w:rPr>
            </w:pPr>
            <w:r>
              <w:rPr>
                <w:rFonts w:ascii="Arial" w:cs="Arial" w:eastAsia="Arial" w:hAnsi="Arial"/>
                <w:sz w:val="17"/>
                <w:szCs w:val="17"/>
                <w:color w:val="auto"/>
              </w:rPr>
              <w:t>6.7</w:t>
            </w:r>
          </w:p>
        </w:tc>
        <w:tc>
          <w:tcPr>
            <w:tcW w:w="100" w:type="dxa"/>
            <w:vAlign w:val="bottom"/>
          </w:tcPr>
          <w:p>
            <w:pPr>
              <w:spacing w:after="0"/>
              <w:rPr>
                <w:sz w:val="18"/>
                <w:szCs w:val="18"/>
                <w:color w:val="auto"/>
              </w:rPr>
            </w:pPr>
          </w:p>
        </w:tc>
        <w:tc>
          <w:tcPr>
            <w:tcW w:w="280" w:type="dxa"/>
            <w:vAlign w:val="bottom"/>
          </w:tcPr>
          <w:p>
            <w:pPr>
              <w:jc w:val="right"/>
              <w:ind w:right="74"/>
              <w:spacing w:after="0"/>
              <w:rPr>
                <w:sz w:val="20"/>
                <w:szCs w:val="20"/>
                <w:color w:val="auto"/>
              </w:rPr>
            </w:pPr>
            <w:r>
              <w:rPr>
                <w:rFonts w:ascii="Arial" w:cs="Arial" w:eastAsia="Arial" w:hAnsi="Arial"/>
                <w:sz w:val="17"/>
                <w:szCs w:val="17"/>
                <w:color w:val="auto"/>
              </w:rPr>
              <w:t>$</w:t>
            </w:r>
          </w:p>
        </w:tc>
        <w:tc>
          <w:tcPr>
            <w:tcW w:w="116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0"/>
        </w:trPr>
        <w:tc>
          <w:tcPr>
            <w:tcW w:w="20" w:type="dxa"/>
            <w:vAlign w:val="bottom"/>
            <w:shd w:val="clear" w:color="auto" w:fill="CCEEFF"/>
          </w:tcPr>
          <w:p>
            <w:pPr>
              <w:spacing w:after="0"/>
              <w:rPr>
                <w:sz w:val="19"/>
                <w:szCs w:val="19"/>
                <w:color w:val="auto"/>
              </w:rPr>
            </w:pPr>
          </w:p>
        </w:tc>
        <w:tc>
          <w:tcPr>
            <w:tcW w:w="3680" w:type="dxa"/>
            <w:vAlign w:val="bottom"/>
            <w:gridSpan w:val="2"/>
            <w:shd w:val="clear" w:color="auto" w:fill="CCEEFF"/>
          </w:tcPr>
          <w:p>
            <w:pPr>
              <w:ind w:left="200"/>
              <w:spacing w:after="0"/>
              <w:rPr>
                <w:sz w:val="20"/>
                <w:szCs w:val="20"/>
                <w:color w:val="auto"/>
              </w:rPr>
            </w:pPr>
            <w:r>
              <w:rPr>
                <w:rFonts w:ascii="Arial" w:cs="Arial" w:eastAsia="Arial" w:hAnsi="Arial"/>
                <w:sz w:val="17"/>
                <w:szCs w:val="17"/>
                <w:color w:val="auto"/>
              </w:rPr>
              <w:t>Promissory notes</w:t>
            </w:r>
          </w:p>
        </w:tc>
        <w:tc>
          <w:tcPr>
            <w:tcW w:w="460" w:type="dxa"/>
            <w:vAlign w:val="bottom"/>
            <w:shd w:val="clear" w:color="auto" w:fill="CCEEFF"/>
          </w:tcPr>
          <w:p>
            <w:pPr>
              <w:jc w:val="right"/>
              <w:ind w:right="274"/>
              <w:spacing w:after="0"/>
              <w:rPr>
                <w:sz w:val="20"/>
                <w:szCs w:val="20"/>
                <w:color w:val="auto"/>
              </w:rPr>
            </w:pPr>
            <w:r>
              <w:rPr>
                <w:rFonts w:ascii="Arial" w:cs="Arial" w:eastAsia="Arial" w:hAnsi="Arial"/>
                <w:sz w:val="17"/>
                <w:szCs w:val="17"/>
                <w:color w:val="auto"/>
                <w:w w:val="84"/>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15.1</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w w:val="84"/>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15.1</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280" w:type="dxa"/>
            <w:vAlign w:val="bottom"/>
            <w:shd w:val="clear" w:color="auto" w:fill="CCEEFF"/>
          </w:tcPr>
          <w:p>
            <w:pPr>
              <w:jc w:val="right"/>
              <w:ind w:right="94"/>
              <w:spacing w:after="0"/>
              <w:rPr>
                <w:sz w:val="20"/>
                <w:szCs w:val="20"/>
                <w:color w:val="auto"/>
              </w:rPr>
            </w:pPr>
            <w:r>
              <w:rPr>
                <w:rFonts w:ascii="Arial" w:cs="Arial" w:eastAsia="Arial" w:hAnsi="Arial"/>
                <w:sz w:val="17"/>
                <w:szCs w:val="17"/>
                <w:color w:val="auto"/>
                <w:w w:val="84"/>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4"/>
              <w:spacing w:after="0"/>
              <w:rPr>
                <w:sz w:val="20"/>
                <w:szCs w:val="20"/>
                <w:color w:val="auto"/>
              </w:rPr>
            </w:pPr>
            <w:r>
              <w:rPr>
                <w:rFonts w:ascii="Arial" w:cs="Arial" w:eastAsia="Arial" w:hAnsi="Arial"/>
                <w:sz w:val="17"/>
                <w:szCs w:val="17"/>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9"/>
        </w:trPr>
        <w:tc>
          <w:tcPr>
            <w:tcW w:w="3700" w:type="dxa"/>
            <w:vAlign w:val="bottom"/>
            <w:gridSpan w:val="3"/>
          </w:tcPr>
          <w:p>
            <w:pPr>
              <w:ind w:left="20"/>
              <w:spacing w:after="0"/>
              <w:rPr>
                <w:sz w:val="20"/>
                <w:szCs w:val="20"/>
                <w:color w:val="auto"/>
              </w:rPr>
            </w:pPr>
            <w:r>
              <w:rPr>
                <w:rFonts w:ascii="Arial" w:cs="Arial" w:eastAsia="Arial" w:hAnsi="Arial"/>
                <w:sz w:val="17"/>
                <w:szCs w:val="17"/>
                <w:b w:val="1"/>
                <w:bCs w:val="1"/>
                <w:color w:val="auto"/>
              </w:rPr>
              <w:t>Financial liabilities:</w:t>
            </w:r>
          </w:p>
        </w:tc>
        <w:tc>
          <w:tcPr>
            <w:tcW w:w="4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3680" w:type="dxa"/>
            <w:vAlign w:val="bottom"/>
            <w:gridSpan w:val="2"/>
            <w:shd w:val="clear" w:color="auto" w:fill="CCEEFF"/>
          </w:tcPr>
          <w:p>
            <w:pPr>
              <w:ind w:left="200"/>
              <w:spacing w:after="0"/>
              <w:rPr>
                <w:sz w:val="20"/>
                <w:szCs w:val="20"/>
                <w:color w:val="auto"/>
              </w:rPr>
            </w:pPr>
            <w:r>
              <w:rPr>
                <w:rFonts w:ascii="Arial" w:cs="Arial" w:eastAsia="Arial" w:hAnsi="Arial"/>
                <w:sz w:val="17"/>
                <w:szCs w:val="17"/>
                <w:color w:val="auto"/>
              </w:rPr>
              <w:t>Long-term debt</w:t>
            </w:r>
          </w:p>
        </w:tc>
        <w:tc>
          <w:tcPr>
            <w:tcW w:w="4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680" w:type="dxa"/>
            <w:vAlign w:val="bottom"/>
            <w:gridSpan w:val="2"/>
          </w:tcPr>
          <w:p>
            <w:pPr>
              <w:ind w:left="420"/>
              <w:spacing w:after="0"/>
              <w:rPr>
                <w:sz w:val="20"/>
                <w:szCs w:val="20"/>
                <w:color w:val="auto"/>
              </w:rPr>
            </w:pPr>
            <w:r>
              <w:rPr>
                <w:rFonts w:ascii="Arial" w:cs="Arial" w:eastAsia="Arial" w:hAnsi="Arial"/>
                <w:sz w:val="17"/>
                <w:szCs w:val="17"/>
                <w:color w:val="auto"/>
              </w:rPr>
              <w:t>Senior Secured Credit Facilities</w:t>
            </w:r>
          </w:p>
        </w:tc>
        <w:tc>
          <w:tcPr>
            <w:tcW w:w="460" w:type="dxa"/>
            <w:vAlign w:val="bottom"/>
          </w:tcPr>
          <w:p>
            <w:pPr>
              <w:jc w:val="right"/>
              <w:ind w:right="274"/>
              <w:spacing w:after="0"/>
              <w:rPr>
                <w:sz w:val="20"/>
                <w:szCs w:val="20"/>
                <w:color w:val="auto"/>
              </w:rPr>
            </w:pPr>
            <w:r>
              <w:rPr>
                <w:rFonts w:ascii="Arial" w:cs="Arial" w:eastAsia="Arial" w:hAnsi="Arial"/>
                <w:sz w:val="17"/>
                <w:szCs w:val="17"/>
                <w:color w:val="auto"/>
                <w:w w:val="84"/>
              </w:rPr>
              <w:t>$</w:t>
            </w:r>
          </w:p>
        </w:tc>
        <w:tc>
          <w:tcPr>
            <w:tcW w:w="940" w:type="dxa"/>
            <w:vAlign w:val="bottom"/>
          </w:tcPr>
          <w:p>
            <w:pPr>
              <w:jc w:val="right"/>
              <w:spacing w:after="0"/>
              <w:rPr>
                <w:sz w:val="20"/>
                <w:szCs w:val="20"/>
                <w:color w:val="auto"/>
              </w:rPr>
            </w:pPr>
            <w:r>
              <w:rPr>
                <w:rFonts w:ascii="Arial" w:cs="Arial" w:eastAsia="Arial" w:hAnsi="Arial"/>
                <w:sz w:val="17"/>
                <w:szCs w:val="17"/>
                <w:color w:val="auto"/>
              </w:rPr>
              <w:t>1,600.3</w:t>
            </w:r>
          </w:p>
        </w:tc>
        <w:tc>
          <w:tcPr>
            <w:tcW w:w="120" w:type="dxa"/>
            <w:vAlign w:val="bottom"/>
          </w:tcPr>
          <w:p>
            <w:pPr>
              <w:spacing w:after="0"/>
              <w:rPr>
                <w:sz w:val="18"/>
                <w:szCs w:val="18"/>
                <w:color w:val="auto"/>
              </w:rPr>
            </w:pPr>
          </w:p>
        </w:tc>
        <w:tc>
          <w:tcPr>
            <w:tcW w:w="200" w:type="dxa"/>
            <w:vAlign w:val="bottom"/>
          </w:tcPr>
          <w:p>
            <w:pPr>
              <w:jc w:val="right"/>
              <w:ind w:right="14"/>
              <w:spacing w:after="0"/>
              <w:rPr>
                <w:sz w:val="20"/>
                <w:szCs w:val="20"/>
                <w:color w:val="auto"/>
              </w:rPr>
            </w:pPr>
            <w:r>
              <w:rPr>
                <w:rFonts w:ascii="Arial" w:cs="Arial" w:eastAsia="Arial" w:hAnsi="Arial"/>
                <w:sz w:val="17"/>
                <w:szCs w:val="17"/>
                <w:color w:val="auto"/>
                <w:w w:val="84"/>
              </w:rPr>
              <w:t>$</w:t>
            </w:r>
          </w:p>
        </w:tc>
        <w:tc>
          <w:tcPr>
            <w:tcW w:w="1200" w:type="dxa"/>
            <w:vAlign w:val="bottom"/>
          </w:tcPr>
          <w:p>
            <w:pPr>
              <w:jc w:val="right"/>
              <w:spacing w:after="0"/>
              <w:rPr>
                <w:sz w:val="20"/>
                <w:szCs w:val="20"/>
                <w:color w:val="auto"/>
              </w:rPr>
            </w:pPr>
            <w:r>
              <w:rPr>
                <w:rFonts w:ascii="Arial" w:cs="Arial" w:eastAsia="Arial" w:hAnsi="Arial"/>
                <w:sz w:val="17"/>
                <w:szCs w:val="17"/>
                <w:color w:val="auto"/>
              </w:rPr>
              <w:t>1,609.3</w:t>
            </w:r>
          </w:p>
        </w:tc>
        <w:tc>
          <w:tcPr>
            <w:tcW w:w="120" w:type="dxa"/>
            <w:vAlign w:val="bottom"/>
          </w:tcPr>
          <w:p>
            <w:pPr>
              <w:spacing w:after="0"/>
              <w:rPr>
                <w:sz w:val="18"/>
                <w:szCs w:val="18"/>
                <w:color w:val="auto"/>
              </w:rPr>
            </w:pPr>
          </w:p>
        </w:tc>
        <w:tc>
          <w:tcPr>
            <w:tcW w:w="260" w:type="dxa"/>
            <w:vAlign w:val="bottom"/>
          </w:tcPr>
          <w:p>
            <w:pPr>
              <w:spacing w:after="0"/>
              <w:rPr>
                <w:sz w:val="20"/>
                <w:szCs w:val="20"/>
                <w:color w:val="auto"/>
              </w:rPr>
            </w:pPr>
            <w:r>
              <w:rPr>
                <w:rFonts w:ascii="Arial" w:cs="Arial" w:eastAsia="Arial" w:hAnsi="Arial"/>
                <w:sz w:val="17"/>
                <w:szCs w:val="17"/>
                <w:color w:val="auto"/>
              </w:rPr>
              <w:t>$</w:t>
            </w:r>
          </w:p>
        </w:tc>
        <w:tc>
          <w:tcPr>
            <w:tcW w:w="1160" w:type="dxa"/>
            <w:vAlign w:val="bottom"/>
          </w:tcPr>
          <w:p>
            <w:pPr>
              <w:jc w:val="right"/>
              <w:spacing w:after="0"/>
              <w:rPr>
                <w:sz w:val="20"/>
                <w:szCs w:val="20"/>
                <w:color w:val="auto"/>
              </w:rPr>
            </w:pPr>
            <w:r>
              <w:rPr>
                <w:rFonts w:ascii="Arial" w:cs="Arial" w:eastAsia="Arial" w:hAnsi="Arial"/>
                <w:sz w:val="17"/>
                <w:szCs w:val="17"/>
                <w:color w:val="auto"/>
              </w:rPr>
              <w:t>1,609.3</w:t>
            </w:r>
          </w:p>
        </w:tc>
        <w:tc>
          <w:tcPr>
            <w:tcW w:w="100" w:type="dxa"/>
            <w:vAlign w:val="bottom"/>
          </w:tcPr>
          <w:p>
            <w:pPr>
              <w:spacing w:after="0"/>
              <w:rPr>
                <w:sz w:val="18"/>
                <w:szCs w:val="18"/>
                <w:color w:val="auto"/>
              </w:rPr>
            </w:pPr>
          </w:p>
        </w:tc>
        <w:tc>
          <w:tcPr>
            <w:tcW w:w="280" w:type="dxa"/>
            <w:vAlign w:val="bottom"/>
          </w:tcPr>
          <w:p>
            <w:pPr>
              <w:jc w:val="right"/>
              <w:ind w:right="94"/>
              <w:spacing w:after="0"/>
              <w:rPr>
                <w:sz w:val="20"/>
                <w:szCs w:val="20"/>
                <w:color w:val="auto"/>
              </w:rPr>
            </w:pPr>
            <w:r>
              <w:rPr>
                <w:rFonts w:ascii="Arial" w:cs="Arial" w:eastAsia="Arial" w:hAnsi="Arial"/>
                <w:sz w:val="17"/>
                <w:szCs w:val="17"/>
                <w:color w:val="auto"/>
                <w:w w:val="84"/>
              </w:rPr>
              <w:t>$</w:t>
            </w:r>
          </w:p>
        </w:tc>
        <w:tc>
          <w:tcPr>
            <w:tcW w:w="124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280" w:type="dxa"/>
            <w:vAlign w:val="bottom"/>
          </w:tcPr>
          <w:p>
            <w:pPr>
              <w:jc w:val="right"/>
              <w:ind w:right="74"/>
              <w:spacing w:after="0"/>
              <w:rPr>
                <w:sz w:val="20"/>
                <w:szCs w:val="20"/>
                <w:color w:val="auto"/>
              </w:rPr>
            </w:pPr>
            <w:r>
              <w:rPr>
                <w:rFonts w:ascii="Arial" w:cs="Arial" w:eastAsia="Arial" w:hAnsi="Arial"/>
                <w:sz w:val="17"/>
                <w:szCs w:val="17"/>
                <w:color w:val="auto"/>
              </w:rPr>
              <w:t>$</w:t>
            </w:r>
          </w:p>
        </w:tc>
        <w:tc>
          <w:tcPr>
            <w:tcW w:w="116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0"/>
        </w:trPr>
        <w:tc>
          <w:tcPr>
            <w:tcW w:w="20" w:type="dxa"/>
            <w:vAlign w:val="bottom"/>
            <w:shd w:val="clear" w:color="auto" w:fill="CCEEFF"/>
          </w:tcPr>
          <w:p>
            <w:pPr>
              <w:spacing w:after="0"/>
              <w:rPr>
                <w:sz w:val="19"/>
                <w:szCs w:val="19"/>
                <w:color w:val="auto"/>
              </w:rPr>
            </w:pPr>
          </w:p>
        </w:tc>
        <w:tc>
          <w:tcPr>
            <w:tcW w:w="3680" w:type="dxa"/>
            <w:vAlign w:val="bottom"/>
            <w:gridSpan w:val="2"/>
            <w:shd w:val="clear" w:color="auto" w:fill="CCEEFF"/>
          </w:tcPr>
          <w:p>
            <w:pPr>
              <w:ind w:left="420"/>
              <w:spacing w:after="0"/>
              <w:rPr>
                <w:sz w:val="20"/>
                <w:szCs w:val="20"/>
                <w:color w:val="auto"/>
              </w:rPr>
            </w:pPr>
            <w:r>
              <w:rPr>
                <w:rFonts w:ascii="Arial" w:cs="Arial" w:eastAsia="Arial" w:hAnsi="Arial"/>
                <w:sz w:val="17"/>
                <w:szCs w:val="17"/>
                <w:color w:val="auto"/>
              </w:rPr>
              <w:t>5.625% Notes</w:t>
            </w:r>
          </w:p>
        </w:tc>
        <w:tc>
          <w:tcPr>
            <w:tcW w:w="460" w:type="dxa"/>
            <w:vAlign w:val="bottom"/>
            <w:shd w:val="clear" w:color="auto" w:fill="CCEEFF"/>
          </w:tcPr>
          <w:p>
            <w:pPr>
              <w:jc w:val="right"/>
              <w:ind w:right="274"/>
              <w:spacing w:after="0"/>
              <w:rPr>
                <w:sz w:val="20"/>
                <w:szCs w:val="20"/>
                <w:color w:val="auto"/>
              </w:rPr>
            </w:pPr>
            <w:r>
              <w:rPr>
                <w:rFonts w:ascii="Arial" w:cs="Arial" w:eastAsia="Arial" w:hAnsi="Arial"/>
                <w:sz w:val="17"/>
                <w:szCs w:val="17"/>
                <w:color w:val="auto"/>
                <w:w w:val="84"/>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399.5</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w w:val="84"/>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418.0</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418.0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4"/>
              <w:spacing w:after="0"/>
              <w:rPr>
                <w:sz w:val="20"/>
                <w:szCs w:val="20"/>
                <w:color w:val="auto"/>
              </w:rPr>
            </w:pPr>
            <w:r>
              <w:rPr>
                <w:rFonts w:ascii="Arial" w:cs="Arial" w:eastAsia="Arial" w:hAnsi="Arial"/>
                <w:sz w:val="17"/>
                <w:szCs w:val="17"/>
                <w:color w:val="auto"/>
                <w:w w:val="84"/>
              </w:rPr>
              <w:t>$</w:t>
            </w: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280" w:type="dxa"/>
            <w:vAlign w:val="bottom"/>
            <w:shd w:val="clear" w:color="auto" w:fill="CCEEFF"/>
          </w:tcPr>
          <w:p>
            <w:pPr>
              <w:jc w:val="right"/>
              <w:ind w:right="74"/>
              <w:spacing w:after="0"/>
              <w:rPr>
                <w:sz w:val="20"/>
                <w:szCs w:val="20"/>
                <w:color w:val="auto"/>
              </w:rPr>
            </w:pPr>
            <w:r>
              <w:rPr>
                <w:rFonts w:ascii="Arial" w:cs="Arial" w:eastAsia="Arial" w:hAnsi="Arial"/>
                <w:sz w:val="17"/>
                <w:szCs w:val="17"/>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680" w:type="dxa"/>
            <w:vAlign w:val="bottom"/>
            <w:gridSpan w:val="2"/>
          </w:tcPr>
          <w:p>
            <w:pPr>
              <w:ind w:left="420"/>
              <w:spacing w:after="0"/>
              <w:rPr>
                <w:sz w:val="20"/>
                <w:szCs w:val="20"/>
                <w:color w:val="auto"/>
              </w:rPr>
            </w:pPr>
            <w:r>
              <w:rPr>
                <w:rFonts w:ascii="Arial" w:cs="Arial" w:eastAsia="Arial" w:hAnsi="Arial"/>
                <w:sz w:val="17"/>
                <w:szCs w:val="17"/>
                <w:color w:val="auto"/>
              </w:rPr>
              <w:t>Convertible notes</w:t>
            </w:r>
          </w:p>
        </w:tc>
        <w:tc>
          <w:tcPr>
            <w:tcW w:w="460" w:type="dxa"/>
            <w:vAlign w:val="bottom"/>
          </w:tcPr>
          <w:p>
            <w:pPr>
              <w:jc w:val="right"/>
              <w:ind w:right="274"/>
              <w:spacing w:after="0"/>
              <w:rPr>
                <w:sz w:val="20"/>
                <w:szCs w:val="20"/>
                <w:color w:val="auto"/>
              </w:rPr>
            </w:pPr>
            <w:r>
              <w:rPr>
                <w:rFonts w:ascii="Arial" w:cs="Arial" w:eastAsia="Arial" w:hAnsi="Arial"/>
                <w:sz w:val="17"/>
                <w:szCs w:val="17"/>
                <w:color w:val="auto"/>
                <w:w w:val="84"/>
              </w:rPr>
              <w:t>$</w:t>
            </w:r>
          </w:p>
        </w:tc>
        <w:tc>
          <w:tcPr>
            <w:tcW w:w="940" w:type="dxa"/>
            <w:vAlign w:val="bottom"/>
          </w:tcPr>
          <w:p>
            <w:pPr>
              <w:jc w:val="right"/>
              <w:spacing w:after="0"/>
              <w:rPr>
                <w:sz w:val="20"/>
                <w:szCs w:val="20"/>
                <w:color w:val="auto"/>
              </w:rPr>
            </w:pPr>
            <w:r>
              <w:rPr>
                <w:rFonts w:ascii="Arial" w:cs="Arial" w:eastAsia="Arial" w:hAnsi="Arial"/>
                <w:sz w:val="17"/>
                <w:szCs w:val="17"/>
                <w:color w:val="auto"/>
              </w:rPr>
              <w:t>239.8</w:t>
            </w:r>
          </w:p>
        </w:tc>
        <w:tc>
          <w:tcPr>
            <w:tcW w:w="120" w:type="dxa"/>
            <w:vAlign w:val="bottom"/>
          </w:tcPr>
          <w:p>
            <w:pPr>
              <w:spacing w:after="0"/>
              <w:rPr>
                <w:sz w:val="18"/>
                <w:szCs w:val="18"/>
                <w:color w:val="auto"/>
              </w:rPr>
            </w:pPr>
          </w:p>
        </w:tc>
        <w:tc>
          <w:tcPr>
            <w:tcW w:w="200" w:type="dxa"/>
            <w:vAlign w:val="bottom"/>
          </w:tcPr>
          <w:p>
            <w:pPr>
              <w:jc w:val="right"/>
              <w:ind w:right="14"/>
              <w:spacing w:after="0"/>
              <w:rPr>
                <w:sz w:val="20"/>
                <w:szCs w:val="20"/>
                <w:color w:val="auto"/>
              </w:rPr>
            </w:pPr>
            <w:r>
              <w:rPr>
                <w:rFonts w:ascii="Arial" w:cs="Arial" w:eastAsia="Arial" w:hAnsi="Arial"/>
                <w:sz w:val="17"/>
                <w:szCs w:val="17"/>
                <w:color w:val="auto"/>
                <w:w w:val="84"/>
              </w:rPr>
              <w:t>$</w:t>
            </w:r>
          </w:p>
        </w:tc>
        <w:tc>
          <w:tcPr>
            <w:tcW w:w="1200" w:type="dxa"/>
            <w:vAlign w:val="bottom"/>
          </w:tcPr>
          <w:p>
            <w:pPr>
              <w:jc w:val="right"/>
              <w:spacing w:after="0"/>
              <w:rPr>
                <w:sz w:val="20"/>
                <w:szCs w:val="20"/>
                <w:color w:val="auto"/>
              </w:rPr>
            </w:pPr>
            <w:r>
              <w:rPr>
                <w:rFonts w:ascii="Arial" w:cs="Arial" w:eastAsia="Arial" w:hAnsi="Arial"/>
                <w:sz w:val="17"/>
                <w:szCs w:val="17"/>
                <w:color w:val="auto"/>
              </w:rPr>
              <w:t>1,274.5</w:t>
            </w:r>
          </w:p>
        </w:tc>
        <w:tc>
          <w:tcPr>
            <w:tcW w:w="120" w:type="dxa"/>
            <w:vAlign w:val="bottom"/>
          </w:tcPr>
          <w:p>
            <w:pPr>
              <w:spacing w:after="0"/>
              <w:rPr>
                <w:sz w:val="18"/>
                <w:szCs w:val="18"/>
                <w:color w:val="auto"/>
              </w:rPr>
            </w:pPr>
          </w:p>
        </w:tc>
        <w:tc>
          <w:tcPr>
            <w:tcW w:w="260" w:type="dxa"/>
            <w:vAlign w:val="bottom"/>
          </w:tcPr>
          <w:p>
            <w:pPr>
              <w:spacing w:after="0"/>
              <w:rPr>
                <w:sz w:val="20"/>
                <w:szCs w:val="20"/>
                <w:color w:val="auto"/>
              </w:rPr>
            </w:pPr>
            <w:r>
              <w:rPr>
                <w:rFonts w:ascii="Arial" w:cs="Arial" w:eastAsia="Arial" w:hAnsi="Arial"/>
                <w:sz w:val="17"/>
                <w:szCs w:val="17"/>
                <w:color w:val="auto"/>
              </w:rPr>
              <w:t>$</w:t>
            </w:r>
          </w:p>
        </w:tc>
        <w:tc>
          <w:tcPr>
            <w:tcW w:w="1160" w:type="dxa"/>
            <w:vAlign w:val="bottom"/>
          </w:tcPr>
          <w:p>
            <w:pPr>
              <w:jc w:val="right"/>
              <w:spacing w:after="0"/>
              <w:rPr>
                <w:sz w:val="20"/>
                <w:szCs w:val="20"/>
                <w:color w:val="auto"/>
              </w:rPr>
            </w:pPr>
            <w:r>
              <w:rPr>
                <w:rFonts w:ascii="Arial" w:cs="Arial" w:eastAsia="Arial" w:hAnsi="Arial"/>
                <w:sz w:val="17"/>
                <w:szCs w:val="17"/>
                <w:color w:val="auto"/>
              </w:rPr>
              <w:t>1,274.5</w:t>
            </w:r>
          </w:p>
        </w:tc>
        <w:tc>
          <w:tcPr>
            <w:tcW w:w="100" w:type="dxa"/>
            <w:vAlign w:val="bottom"/>
          </w:tcPr>
          <w:p>
            <w:pPr>
              <w:spacing w:after="0"/>
              <w:rPr>
                <w:sz w:val="18"/>
                <w:szCs w:val="18"/>
                <w:color w:val="auto"/>
              </w:rPr>
            </w:pPr>
          </w:p>
        </w:tc>
        <w:tc>
          <w:tcPr>
            <w:tcW w:w="280" w:type="dxa"/>
            <w:vAlign w:val="bottom"/>
          </w:tcPr>
          <w:p>
            <w:pPr>
              <w:jc w:val="right"/>
              <w:ind w:right="94"/>
              <w:spacing w:after="0"/>
              <w:rPr>
                <w:sz w:val="20"/>
                <w:szCs w:val="20"/>
                <w:color w:val="auto"/>
              </w:rPr>
            </w:pPr>
            <w:r>
              <w:rPr>
                <w:rFonts w:ascii="Arial" w:cs="Arial" w:eastAsia="Arial" w:hAnsi="Arial"/>
                <w:sz w:val="17"/>
                <w:szCs w:val="17"/>
                <w:color w:val="auto"/>
                <w:w w:val="84"/>
              </w:rPr>
              <w:t>$</w:t>
            </w:r>
          </w:p>
        </w:tc>
        <w:tc>
          <w:tcPr>
            <w:tcW w:w="124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280" w:type="dxa"/>
            <w:vAlign w:val="bottom"/>
          </w:tcPr>
          <w:p>
            <w:pPr>
              <w:jc w:val="right"/>
              <w:ind w:right="74"/>
              <w:spacing w:after="0"/>
              <w:rPr>
                <w:sz w:val="20"/>
                <w:szCs w:val="20"/>
                <w:color w:val="auto"/>
              </w:rPr>
            </w:pPr>
            <w:r>
              <w:rPr>
                <w:rFonts w:ascii="Arial" w:cs="Arial" w:eastAsia="Arial" w:hAnsi="Arial"/>
                <w:sz w:val="17"/>
                <w:szCs w:val="17"/>
                <w:color w:val="auto"/>
              </w:rPr>
              <w:t>$</w:t>
            </w:r>
          </w:p>
        </w:tc>
        <w:tc>
          <w:tcPr>
            <w:tcW w:w="116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0"/>
        </w:trPr>
        <w:tc>
          <w:tcPr>
            <w:tcW w:w="20" w:type="dxa"/>
            <w:vAlign w:val="bottom"/>
            <w:shd w:val="clear" w:color="auto" w:fill="CCEEFF"/>
          </w:tcPr>
          <w:p>
            <w:pPr>
              <w:spacing w:after="0"/>
              <w:rPr>
                <w:sz w:val="19"/>
                <w:szCs w:val="19"/>
                <w:color w:val="auto"/>
              </w:rPr>
            </w:pPr>
          </w:p>
        </w:tc>
        <w:tc>
          <w:tcPr>
            <w:tcW w:w="3680" w:type="dxa"/>
            <w:vAlign w:val="bottom"/>
            <w:gridSpan w:val="2"/>
            <w:shd w:val="clear" w:color="auto" w:fill="CCEEFF"/>
          </w:tcPr>
          <w:p>
            <w:pPr>
              <w:ind w:left="420"/>
              <w:spacing w:after="0"/>
              <w:rPr>
                <w:sz w:val="20"/>
                <w:szCs w:val="20"/>
                <w:color w:val="auto"/>
              </w:rPr>
            </w:pPr>
            <w:r>
              <w:rPr>
                <w:rFonts w:ascii="Arial" w:cs="Arial" w:eastAsia="Arial" w:hAnsi="Arial"/>
                <w:sz w:val="17"/>
                <w:szCs w:val="17"/>
                <w:color w:val="auto"/>
              </w:rPr>
              <w:t>Other long-term obligations</w:t>
            </w:r>
          </w:p>
        </w:tc>
        <w:tc>
          <w:tcPr>
            <w:tcW w:w="460" w:type="dxa"/>
            <w:vAlign w:val="bottom"/>
            <w:shd w:val="clear" w:color="auto" w:fill="CCEEFF"/>
          </w:tcPr>
          <w:p>
            <w:pPr>
              <w:jc w:val="right"/>
              <w:ind w:right="274"/>
              <w:spacing w:after="0"/>
              <w:rPr>
                <w:sz w:val="20"/>
                <w:szCs w:val="20"/>
                <w:color w:val="auto"/>
              </w:rPr>
            </w:pPr>
            <w:r>
              <w:rPr>
                <w:rFonts w:ascii="Arial" w:cs="Arial" w:eastAsia="Arial" w:hAnsi="Arial"/>
                <w:sz w:val="17"/>
                <w:szCs w:val="17"/>
                <w:color w:val="auto"/>
                <w:w w:val="84"/>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73.0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w w:val="84"/>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72.8</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280" w:type="dxa"/>
            <w:vAlign w:val="bottom"/>
            <w:shd w:val="clear" w:color="auto" w:fill="CCEEFF"/>
          </w:tcPr>
          <w:p>
            <w:pPr>
              <w:jc w:val="right"/>
              <w:ind w:right="94"/>
              <w:spacing w:after="0"/>
              <w:rPr>
                <w:sz w:val="20"/>
                <w:szCs w:val="20"/>
                <w:color w:val="auto"/>
              </w:rPr>
            </w:pPr>
            <w:r>
              <w:rPr>
                <w:rFonts w:ascii="Arial" w:cs="Arial" w:eastAsia="Arial" w:hAnsi="Arial"/>
                <w:sz w:val="17"/>
                <w:szCs w:val="17"/>
                <w:color w:val="auto"/>
                <w:w w:val="84"/>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72.8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4"/>
              <w:spacing w:after="0"/>
              <w:rPr>
                <w:sz w:val="20"/>
                <w:szCs w:val="20"/>
                <w:color w:val="auto"/>
              </w:rPr>
            </w:pPr>
            <w:r>
              <w:rPr>
                <w:rFonts w:ascii="Arial" w:cs="Arial" w:eastAsia="Arial" w:hAnsi="Arial"/>
                <w:sz w:val="17"/>
                <w:szCs w:val="17"/>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680" w:type="dxa"/>
            <w:vAlign w:val="bottom"/>
            <w:gridSpan w:val="2"/>
          </w:tcPr>
          <w:p>
            <w:pPr>
              <w:ind w:left="200"/>
              <w:spacing w:after="0"/>
              <w:rPr>
                <w:sz w:val="20"/>
                <w:szCs w:val="20"/>
                <w:color w:val="auto"/>
              </w:rPr>
            </w:pPr>
            <w:r>
              <w:rPr>
                <w:rFonts w:ascii="Arial" w:cs="Arial" w:eastAsia="Arial" w:hAnsi="Arial"/>
                <w:sz w:val="17"/>
                <w:szCs w:val="17"/>
                <w:color w:val="auto"/>
              </w:rPr>
              <w:t>Other liabilities</w:t>
            </w:r>
          </w:p>
        </w:tc>
        <w:tc>
          <w:tcPr>
            <w:tcW w:w="460" w:type="dxa"/>
            <w:vAlign w:val="bottom"/>
          </w:tcPr>
          <w:p>
            <w:pPr>
              <w:jc w:val="right"/>
              <w:ind w:right="274"/>
              <w:spacing w:after="0"/>
              <w:rPr>
                <w:sz w:val="20"/>
                <w:szCs w:val="20"/>
                <w:color w:val="auto"/>
              </w:rPr>
            </w:pPr>
            <w:r>
              <w:rPr>
                <w:rFonts w:ascii="Arial" w:cs="Arial" w:eastAsia="Arial" w:hAnsi="Arial"/>
                <w:sz w:val="17"/>
                <w:szCs w:val="17"/>
                <w:color w:val="auto"/>
                <w:w w:val="84"/>
              </w:rPr>
              <w:t>$</w:t>
            </w:r>
          </w:p>
        </w:tc>
        <w:tc>
          <w:tcPr>
            <w:tcW w:w="940" w:type="dxa"/>
            <w:vAlign w:val="bottom"/>
          </w:tcPr>
          <w:p>
            <w:pPr>
              <w:jc w:val="right"/>
              <w:spacing w:after="0"/>
              <w:rPr>
                <w:sz w:val="20"/>
                <w:szCs w:val="20"/>
                <w:color w:val="auto"/>
              </w:rPr>
            </w:pPr>
            <w:r>
              <w:rPr>
                <w:rFonts w:ascii="Arial" w:cs="Arial" w:eastAsia="Arial" w:hAnsi="Arial"/>
                <w:sz w:val="17"/>
                <w:szCs w:val="17"/>
                <w:color w:val="auto"/>
              </w:rPr>
              <w:t>10.1</w:t>
            </w:r>
          </w:p>
        </w:tc>
        <w:tc>
          <w:tcPr>
            <w:tcW w:w="120" w:type="dxa"/>
            <w:vAlign w:val="bottom"/>
          </w:tcPr>
          <w:p>
            <w:pPr>
              <w:spacing w:after="0"/>
              <w:rPr>
                <w:sz w:val="18"/>
                <w:szCs w:val="18"/>
                <w:color w:val="auto"/>
              </w:rPr>
            </w:pPr>
          </w:p>
        </w:tc>
        <w:tc>
          <w:tcPr>
            <w:tcW w:w="200" w:type="dxa"/>
            <w:vAlign w:val="bottom"/>
          </w:tcPr>
          <w:p>
            <w:pPr>
              <w:jc w:val="right"/>
              <w:ind w:right="14"/>
              <w:spacing w:after="0"/>
              <w:rPr>
                <w:sz w:val="20"/>
                <w:szCs w:val="20"/>
                <w:color w:val="auto"/>
              </w:rPr>
            </w:pPr>
            <w:r>
              <w:rPr>
                <w:rFonts w:ascii="Arial" w:cs="Arial" w:eastAsia="Arial" w:hAnsi="Arial"/>
                <w:sz w:val="17"/>
                <w:szCs w:val="17"/>
                <w:color w:val="auto"/>
                <w:w w:val="84"/>
              </w:rPr>
              <w:t>$</w:t>
            </w:r>
          </w:p>
        </w:tc>
        <w:tc>
          <w:tcPr>
            <w:tcW w:w="1200" w:type="dxa"/>
            <w:vAlign w:val="bottom"/>
          </w:tcPr>
          <w:p>
            <w:pPr>
              <w:jc w:val="right"/>
              <w:spacing w:after="0"/>
              <w:rPr>
                <w:sz w:val="20"/>
                <w:szCs w:val="20"/>
                <w:color w:val="auto"/>
              </w:rPr>
            </w:pPr>
            <w:r>
              <w:rPr>
                <w:rFonts w:ascii="Arial" w:cs="Arial" w:eastAsia="Arial" w:hAnsi="Arial"/>
                <w:sz w:val="17"/>
                <w:szCs w:val="17"/>
                <w:color w:val="auto"/>
              </w:rPr>
              <w:t>10.1</w:t>
            </w:r>
          </w:p>
        </w:tc>
        <w:tc>
          <w:tcPr>
            <w:tcW w:w="120" w:type="dxa"/>
            <w:vAlign w:val="bottom"/>
          </w:tcPr>
          <w:p>
            <w:pPr>
              <w:spacing w:after="0"/>
              <w:rPr>
                <w:sz w:val="18"/>
                <w:szCs w:val="18"/>
                <w:color w:val="auto"/>
              </w:rPr>
            </w:pPr>
          </w:p>
        </w:tc>
        <w:tc>
          <w:tcPr>
            <w:tcW w:w="260" w:type="dxa"/>
            <w:vAlign w:val="bottom"/>
          </w:tcPr>
          <w:p>
            <w:pPr>
              <w:spacing w:after="0"/>
              <w:rPr>
                <w:sz w:val="20"/>
                <w:szCs w:val="20"/>
                <w:color w:val="auto"/>
              </w:rPr>
            </w:pPr>
            <w:r>
              <w:rPr>
                <w:rFonts w:ascii="Arial" w:cs="Arial" w:eastAsia="Arial" w:hAnsi="Arial"/>
                <w:sz w:val="17"/>
                <w:szCs w:val="17"/>
                <w:color w:val="auto"/>
              </w:rPr>
              <w:t>$</w:t>
            </w:r>
          </w:p>
        </w:tc>
        <w:tc>
          <w:tcPr>
            <w:tcW w:w="12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280" w:type="dxa"/>
            <w:vAlign w:val="bottom"/>
          </w:tcPr>
          <w:p>
            <w:pPr>
              <w:jc w:val="right"/>
              <w:ind w:right="94"/>
              <w:spacing w:after="0"/>
              <w:rPr>
                <w:sz w:val="20"/>
                <w:szCs w:val="20"/>
                <w:color w:val="auto"/>
              </w:rPr>
            </w:pPr>
            <w:r>
              <w:rPr>
                <w:rFonts w:ascii="Arial" w:cs="Arial" w:eastAsia="Arial" w:hAnsi="Arial"/>
                <w:sz w:val="17"/>
                <w:szCs w:val="17"/>
                <w:color w:val="auto"/>
                <w:w w:val="84"/>
              </w:rPr>
              <w:t>$</w:t>
            </w:r>
          </w:p>
        </w:tc>
        <w:tc>
          <w:tcPr>
            <w:tcW w:w="1140" w:type="dxa"/>
            <w:vAlign w:val="bottom"/>
          </w:tcPr>
          <w:p>
            <w:pPr>
              <w:jc w:val="right"/>
              <w:spacing w:after="0"/>
              <w:rPr>
                <w:sz w:val="20"/>
                <w:szCs w:val="20"/>
                <w:color w:val="auto"/>
              </w:rPr>
            </w:pPr>
            <w:r>
              <w:rPr>
                <w:rFonts w:ascii="Arial" w:cs="Arial" w:eastAsia="Arial" w:hAnsi="Arial"/>
                <w:sz w:val="17"/>
                <w:szCs w:val="17"/>
                <w:color w:val="auto"/>
              </w:rPr>
              <w:t>2.8</w:t>
            </w:r>
          </w:p>
        </w:tc>
        <w:tc>
          <w:tcPr>
            <w:tcW w:w="100" w:type="dxa"/>
            <w:vAlign w:val="bottom"/>
          </w:tcPr>
          <w:p>
            <w:pPr>
              <w:spacing w:after="0"/>
              <w:rPr>
                <w:sz w:val="18"/>
                <w:szCs w:val="18"/>
                <w:color w:val="auto"/>
              </w:rPr>
            </w:pPr>
          </w:p>
        </w:tc>
        <w:tc>
          <w:tcPr>
            <w:tcW w:w="280" w:type="dxa"/>
            <w:vAlign w:val="bottom"/>
          </w:tcPr>
          <w:p>
            <w:pPr>
              <w:jc w:val="right"/>
              <w:ind w:right="74"/>
              <w:spacing w:after="0"/>
              <w:rPr>
                <w:sz w:val="20"/>
                <w:szCs w:val="20"/>
                <w:color w:val="auto"/>
              </w:rPr>
            </w:pPr>
            <w:r>
              <w:rPr>
                <w:rFonts w:ascii="Arial" w:cs="Arial" w:eastAsia="Arial" w:hAnsi="Arial"/>
                <w:sz w:val="17"/>
                <w:szCs w:val="17"/>
                <w:color w:val="auto"/>
              </w:rPr>
              <w:t>$</w:t>
            </w:r>
          </w:p>
        </w:tc>
        <w:tc>
          <w:tcPr>
            <w:tcW w:w="1160" w:type="dxa"/>
            <w:vAlign w:val="bottom"/>
          </w:tcPr>
          <w:p>
            <w:pPr>
              <w:jc w:val="right"/>
              <w:spacing w:after="0"/>
              <w:rPr>
                <w:sz w:val="20"/>
                <w:szCs w:val="20"/>
                <w:color w:val="auto"/>
              </w:rPr>
            </w:pPr>
            <w:r>
              <w:rPr>
                <w:rFonts w:ascii="Arial" w:cs="Arial" w:eastAsia="Arial" w:hAnsi="Arial"/>
                <w:sz w:val="17"/>
                <w:szCs w:val="17"/>
                <w:color w:val="auto"/>
              </w:rPr>
              <w:t>7.3</w:t>
            </w:r>
          </w:p>
        </w:tc>
        <w:tc>
          <w:tcPr>
            <w:tcW w:w="0" w:type="dxa"/>
            <w:vAlign w:val="bottom"/>
          </w:tcPr>
          <w:p>
            <w:pPr>
              <w:spacing w:after="0"/>
              <w:rPr>
                <w:sz w:val="1"/>
                <w:szCs w:val="1"/>
                <w:color w:val="auto"/>
              </w:rPr>
            </w:pPr>
          </w:p>
        </w:tc>
      </w:tr>
      <w:tr>
        <w:trPr>
          <w:trHeight w:val="169"/>
        </w:trPr>
        <w:tc>
          <w:tcPr>
            <w:tcW w:w="20" w:type="dxa"/>
            <w:vAlign w:val="bottom"/>
            <w:shd w:val="clear" w:color="auto" w:fill="CCEEFF"/>
          </w:tcPr>
          <w:p>
            <w:pPr>
              <w:spacing w:after="0"/>
              <w:rPr>
                <w:sz w:val="14"/>
                <w:szCs w:val="14"/>
                <w:color w:val="auto"/>
              </w:rPr>
            </w:pPr>
          </w:p>
        </w:tc>
        <w:tc>
          <w:tcPr>
            <w:tcW w:w="3680" w:type="dxa"/>
            <w:vAlign w:val="bottom"/>
            <w:gridSpan w:val="2"/>
            <w:shd w:val="clear" w:color="auto" w:fill="CCEEFF"/>
          </w:tcPr>
          <w:p>
            <w:pPr>
              <w:ind w:left="200"/>
              <w:spacing w:after="0" w:line="169" w:lineRule="exact"/>
              <w:rPr>
                <w:sz w:val="20"/>
                <w:szCs w:val="20"/>
                <w:color w:val="auto"/>
              </w:rPr>
            </w:pPr>
            <w:r>
              <w:rPr>
                <w:rFonts w:ascii="Arial" w:cs="Arial" w:eastAsia="Arial" w:hAnsi="Arial"/>
                <w:sz w:val="17"/>
                <w:szCs w:val="17"/>
                <w:color w:val="auto"/>
                <w:w w:val="96"/>
              </w:rPr>
              <w:t>Puts and calls related to certain Barstool Sports</w:t>
            </w:r>
          </w:p>
        </w:tc>
        <w:tc>
          <w:tcPr>
            <w:tcW w:w="460" w:type="dxa"/>
            <w:vAlign w:val="bottom"/>
            <w:vMerge w:val="restart"/>
            <w:shd w:val="clear" w:color="auto" w:fill="CCEEFF"/>
          </w:tcPr>
          <w:p>
            <w:pPr>
              <w:jc w:val="right"/>
              <w:ind w:right="274"/>
              <w:spacing w:after="0"/>
              <w:rPr>
                <w:sz w:val="20"/>
                <w:szCs w:val="20"/>
                <w:color w:val="auto"/>
              </w:rPr>
            </w:pPr>
            <w:r>
              <w:rPr>
                <w:rFonts w:ascii="Arial" w:cs="Arial" w:eastAsia="Arial" w:hAnsi="Arial"/>
                <w:sz w:val="17"/>
                <w:szCs w:val="17"/>
                <w:color w:val="auto"/>
                <w:w w:val="84"/>
              </w:rPr>
              <w:t>$</w:t>
            </w: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0.3</w:t>
            </w:r>
          </w:p>
        </w:tc>
        <w:tc>
          <w:tcPr>
            <w:tcW w:w="120" w:type="dxa"/>
            <w:vAlign w:val="bottom"/>
            <w:shd w:val="clear" w:color="auto" w:fill="CCEEFF"/>
          </w:tcPr>
          <w:p>
            <w:pPr>
              <w:spacing w:after="0"/>
              <w:rPr>
                <w:sz w:val="14"/>
                <w:szCs w:val="14"/>
                <w:color w:val="auto"/>
              </w:rPr>
            </w:pPr>
          </w:p>
        </w:tc>
        <w:tc>
          <w:tcPr>
            <w:tcW w:w="200" w:type="dxa"/>
            <w:vAlign w:val="bottom"/>
            <w:vMerge w:val="restart"/>
            <w:shd w:val="clear" w:color="auto" w:fill="CCEEFF"/>
          </w:tcPr>
          <w:p>
            <w:pPr>
              <w:jc w:val="right"/>
              <w:ind w:right="14"/>
              <w:spacing w:after="0"/>
              <w:rPr>
                <w:sz w:val="20"/>
                <w:szCs w:val="20"/>
                <w:color w:val="auto"/>
              </w:rPr>
            </w:pPr>
            <w:r>
              <w:rPr>
                <w:rFonts w:ascii="Arial" w:cs="Arial" w:eastAsia="Arial" w:hAnsi="Arial"/>
                <w:sz w:val="17"/>
                <w:szCs w:val="17"/>
                <w:color w:val="auto"/>
                <w:w w:val="84"/>
              </w:rPr>
              <w:t>$</w:t>
            </w: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0.3</w:t>
            </w:r>
          </w:p>
        </w:tc>
        <w:tc>
          <w:tcPr>
            <w:tcW w:w="120" w:type="dxa"/>
            <w:vAlign w:val="bottom"/>
            <w:shd w:val="clear" w:color="auto" w:fill="CCEEFF"/>
          </w:tcPr>
          <w:p>
            <w:pPr>
              <w:spacing w:after="0"/>
              <w:rPr>
                <w:sz w:val="14"/>
                <w:szCs w:val="14"/>
                <w:color w:val="auto"/>
              </w:rPr>
            </w:pPr>
          </w:p>
        </w:tc>
        <w:tc>
          <w:tcPr>
            <w:tcW w:w="260" w:type="dxa"/>
            <w:vAlign w:val="bottom"/>
            <w:vMerge w:val="restart"/>
            <w:shd w:val="clear" w:color="auto" w:fill="CCEEFF"/>
          </w:tcPr>
          <w:p>
            <w:pPr>
              <w:spacing w:after="0"/>
              <w:rPr>
                <w:sz w:val="20"/>
                <w:szCs w:val="20"/>
                <w:color w:val="auto"/>
              </w:rPr>
            </w:pPr>
            <w:r>
              <w:rPr>
                <w:rFonts w:ascii="Arial" w:cs="Arial" w:eastAsia="Arial" w:hAnsi="Arial"/>
                <w:sz w:val="17"/>
                <w:szCs w:val="17"/>
                <w:color w:val="auto"/>
              </w:rPr>
              <w:t>$</w:t>
            </w:r>
          </w:p>
        </w:tc>
        <w:tc>
          <w:tcPr>
            <w:tcW w:w="12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280" w:type="dxa"/>
            <w:vAlign w:val="bottom"/>
            <w:vMerge w:val="restart"/>
            <w:shd w:val="clear" w:color="auto" w:fill="CCEEFF"/>
          </w:tcPr>
          <w:p>
            <w:pPr>
              <w:jc w:val="right"/>
              <w:ind w:right="94"/>
              <w:spacing w:after="0"/>
              <w:rPr>
                <w:sz w:val="20"/>
                <w:szCs w:val="20"/>
                <w:color w:val="auto"/>
              </w:rPr>
            </w:pPr>
            <w:r>
              <w:rPr>
                <w:rFonts w:ascii="Arial" w:cs="Arial" w:eastAsia="Arial" w:hAnsi="Arial"/>
                <w:sz w:val="17"/>
                <w:szCs w:val="17"/>
                <w:color w:val="auto"/>
                <w:w w:val="84"/>
              </w:rPr>
              <w:t>$</w:t>
            </w: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0.3</w:t>
            </w:r>
          </w:p>
        </w:tc>
        <w:tc>
          <w:tcPr>
            <w:tcW w:w="100" w:type="dxa"/>
            <w:vAlign w:val="bottom"/>
            <w:shd w:val="clear" w:color="auto" w:fill="CCEEFF"/>
          </w:tcPr>
          <w:p>
            <w:pPr>
              <w:spacing w:after="0"/>
              <w:rPr>
                <w:sz w:val="14"/>
                <w:szCs w:val="14"/>
                <w:color w:val="auto"/>
              </w:rPr>
            </w:pPr>
          </w:p>
        </w:tc>
        <w:tc>
          <w:tcPr>
            <w:tcW w:w="280" w:type="dxa"/>
            <w:vAlign w:val="bottom"/>
            <w:vMerge w:val="restart"/>
            <w:shd w:val="clear" w:color="auto" w:fill="CCEEFF"/>
          </w:tcPr>
          <w:p>
            <w:pPr>
              <w:jc w:val="right"/>
              <w:ind w:right="74"/>
              <w:spacing w:after="0"/>
              <w:rPr>
                <w:sz w:val="20"/>
                <w:szCs w:val="20"/>
                <w:color w:val="auto"/>
              </w:rPr>
            </w:pPr>
            <w:r>
              <w:rPr>
                <w:rFonts w:ascii="Arial" w:cs="Arial" w:eastAsia="Arial" w:hAnsi="Arial"/>
                <w:sz w:val="17"/>
                <w:szCs w:val="17"/>
                <w:color w:val="auto"/>
              </w:rPr>
              <w:t>$</w:t>
            </w: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3680" w:type="dxa"/>
            <w:vAlign w:val="bottom"/>
            <w:gridSpan w:val="2"/>
            <w:shd w:val="clear" w:color="auto" w:fill="CCEEFF"/>
          </w:tcPr>
          <w:p>
            <w:pPr>
              <w:ind w:left="200"/>
              <w:spacing w:after="0"/>
              <w:rPr>
                <w:sz w:val="20"/>
                <w:szCs w:val="20"/>
                <w:color w:val="auto"/>
              </w:rPr>
            </w:pPr>
            <w:r>
              <w:rPr>
                <w:rFonts w:ascii="Arial" w:cs="Arial" w:eastAsia="Arial" w:hAnsi="Arial"/>
                <w:sz w:val="17"/>
                <w:szCs w:val="17"/>
                <w:color w:val="auto"/>
              </w:rPr>
              <w:t>shares</w:t>
            </w:r>
          </w:p>
        </w:tc>
        <w:tc>
          <w:tcPr>
            <w:tcW w:w="460" w:type="dxa"/>
            <w:vAlign w:val="bottom"/>
            <w:vMerge w:val="continue"/>
            <w:shd w:val="clear" w:color="auto" w:fill="CCEEFF"/>
          </w:tcPr>
          <w:p>
            <w:pPr>
              <w:spacing w:after="0"/>
              <w:rPr>
                <w:sz w:val="19"/>
                <w:szCs w:val="19"/>
                <w:color w:val="auto"/>
              </w:rPr>
            </w:pPr>
          </w:p>
        </w:tc>
        <w:tc>
          <w:tcPr>
            <w:tcW w:w="94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vMerge w:val="continue"/>
            <w:shd w:val="clear" w:color="auto" w:fill="CCEEFF"/>
          </w:tcPr>
          <w:p>
            <w:pPr>
              <w:spacing w:after="0"/>
              <w:rPr>
                <w:sz w:val="19"/>
                <w:szCs w:val="19"/>
                <w:color w:val="auto"/>
              </w:rPr>
            </w:pPr>
          </w:p>
        </w:tc>
        <w:tc>
          <w:tcPr>
            <w:tcW w:w="120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vMerge w:val="continue"/>
            <w:shd w:val="clear" w:color="auto" w:fill="CCEEFF"/>
          </w:tcPr>
          <w:p>
            <w:pPr>
              <w:spacing w:after="0"/>
              <w:rPr>
                <w:sz w:val="19"/>
                <w:szCs w:val="19"/>
                <w:color w:val="auto"/>
              </w:rPr>
            </w:pPr>
          </w:p>
        </w:tc>
        <w:tc>
          <w:tcPr>
            <w:tcW w:w="1260" w:type="dxa"/>
            <w:vAlign w:val="bottom"/>
            <w:gridSpan w:val="2"/>
            <w:vMerge w:val="continue"/>
            <w:shd w:val="clear" w:color="auto" w:fill="CCEEFF"/>
          </w:tcPr>
          <w:p>
            <w:pPr>
              <w:spacing w:after="0"/>
              <w:rPr>
                <w:sz w:val="19"/>
                <w:szCs w:val="19"/>
                <w:color w:val="auto"/>
              </w:rPr>
            </w:pPr>
          </w:p>
        </w:tc>
        <w:tc>
          <w:tcPr>
            <w:tcW w:w="280" w:type="dxa"/>
            <w:vAlign w:val="bottom"/>
            <w:vMerge w:val="continue"/>
            <w:shd w:val="clear" w:color="auto" w:fill="CCEEFF"/>
          </w:tcPr>
          <w:p>
            <w:pPr>
              <w:spacing w:after="0"/>
              <w:rPr>
                <w:sz w:val="19"/>
                <w:szCs w:val="19"/>
                <w:color w:val="auto"/>
              </w:rPr>
            </w:pPr>
          </w:p>
        </w:tc>
        <w:tc>
          <w:tcPr>
            <w:tcW w:w="11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vMerge w:val="continue"/>
            <w:shd w:val="clear" w:color="auto" w:fill="CCEEFF"/>
          </w:tcPr>
          <w:p>
            <w:pPr>
              <w:spacing w:after="0"/>
              <w:rPr>
                <w:sz w:val="19"/>
                <w:szCs w:val="19"/>
                <w:color w:val="auto"/>
              </w:rPr>
            </w:pPr>
          </w:p>
        </w:tc>
        <w:tc>
          <w:tcPr>
            <w:tcW w:w="11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245"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The following table summarizes the changes in fair value of our Level 3 liabilities measured on a recurring basis:</w:t>
      </w:r>
    </w:p>
    <w:p>
      <w:pPr>
        <w:sectPr>
          <w:pgSz w:w="11900" w:h="16838" w:orient="portrait"/>
          <w:cols w:equalWidth="0" w:num="1">
            <w:col w:w="11220"/>
          </w:cols>
          <w:pgMar w:left="320" w:top="127" w:right="359" w:bottom="1440" w:gutter="0" w:footer="0" w:header="0"/>
        </w:sectPr>
      </w:pPr>
    </w:p>
    <w:p>
      <w:pPr>
        <w:spacing w:after="0" w:line="172" w:lineRule="exact"/>
        <w:rPr>
          <w:sz w:val="20"/>
          <w:szCs w:val="20"/>
          <w:color w:val="auto"/>
        </w:rPr>
      </w:pPr>
    </w:p>
    <w:p>
      <w:pPr>
        <w:ind w:left="20"/>
        <w:spacing w:after="0"/>
        <w:rPr>
          <w:sz w:val="20"/>
          <w:szCs w:val="20"/>
          <w:color w:val="auto"/>
        </w:rPr>
      </w:pPr>
      <w:r>
        <w:rPr>
          <w:rFonts w:ascii="Arial" w:cs="Arial" w:eastAsia="Arial" w:hAnsi="Arial"/>
          <w:sz w:val="14"/>
          <w:szCs w:val="14"/>
          <w:b w:val="1"/>
          <w:bCs w:val="1"/>
          <w:i w:val="1"/>
          <w:iCs w:val="1"/>
          <w:u w:val="single" w:color="auto"/>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15875</wp:posOffset>
            </wp:positionV>
            <wp:extent cx="7122160" cy="14732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22160" cy="147320"/>
                    </a:xfrm>
                    <a:prstGeom prst="rect">
                      <a:avLst/>
                    </a:prstGeom>
                    <a:noFill/>
                  </pic:spPr>
                </pic:pic>
              </a:graphicData>
            </a:graphic>
          </wp:anchor>
        </w:drawing>
      </w:r>
    </w:p>
    <w:p>
      <w:pPr>
        <w:spacing w:after="0" w:line="12" w:lineRule="exact"/>
        <w:rPr>
          <w:sz w:val="20"/>
          <w:szCs w:val="20"/>
          <w:color w:val="auto"/>
        </w:rPr>
      </w:pPr>
    </w:p>
    <w:p>
      <w:pPr>
        <w:ind w:left="20"/>
        <w:spacing w:after="0"/>
        <w:rPr>
          <w:sz w:val="20"/>
          <w:szCs w:val="20"/>
          <w:color w:val="auto"/>
        </w:rPr>
      </w:pPr>
      <w:r>
        <w:rPr>
          <w:rFonts w:ascii="Arial" w:cs="Arial" w:eastAsia="Arial" w:hAnsi="Arial"/>
          <w:sz w:val="15"/>
          <w:szCs w:val="15"/>
          <w:b w:val="1"/>
          <w:bCs w:val="1"/>
          <w:color w:val="auto"/>
        </w:rPr>
        <w:t>Balance as of January 1, 2021</w:t>
      </w:r>
    </w:p>
    <w:p>
      <w:pPr>
        <w:spacing w:after="0" w:line="53" w:lineRule="exact"/>
        <w:rPr>
          <w:sz w:val="20"/>
          <w:szCs w:val="20"/>
          <w:color w:val="auto"/>
        </w:rPr>
      </w:pPr>
    </w:p>
    <w:p>
      <w:pPr>
        <w:ind w:left="20"/>
        <w:spacing w:after="0"/>
        <w:rPr>
          <w:sz w:val="20"/>
          <w:szCs w:val="20"/>
          <w:color w:val="auto"/>
        </w:rPr>
      </w:pPr>
      <w:r>
        <w:rPr>
          <w:rFonts w:ascii="Arial" w:cs="Arial" w:eastAsia="Arial" w:hAnsi="Arial"/>
          <w:sz w:val="17"/>
          <w:szCs w:val="17"/>
          <w:color w:val="auto"/>
        </w:rPr>
        <w:t>Additions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7122160" cy="13906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22160" cy="139065"/>
                    </a:xfrm>
                    <a:prstGeom prst="rect">
                      <a:avLst/>
                    </a:prstGeom>
                    <a:noFill/>
                  </pic:spPr>
                </pic:pic>
              </a:graphicData>
            </a:graphic>
          </wp:anchor>
        </w:drawing>
      </w:r>
    </w:p>
    <w:p>
      <w:pPr>
        <w:spacing w:after="0" w:line="4" w:lineRule="exact"/>
        <w:rPr>
          <w:sz w:val="20"/>
          <w:szCs w:val="20"/>
          <w:color w:val="auto"/>
        </w:rPr>
      </w:pPr>
    </w:p>
    <w:p>
      <w:pPr>
        <w:ind w:left="20"/>
        <w:spacing w:after="0"/>
        <w:rPr>
          <w:sz w:val="20"/>
          <w:szCs w:val="20"/>
          <w:color w:val="auto"/>
        </w:rPr>
      </w:pPr>
      <w:r>
        <w:rPr>
          <w:rFonts w:ascii="Arial" w:cs="Arial" w:eastAsia="Arial" w:hAnsi="Arial"/>
          <w:sz w:val="17"/>
          <w:szCs w:val="17"/>
          <w:color w:val="auto"/>
        </w:rPr>
        <w:t>Interest</w:t>
      </w:r>
    </w:p>
    <w:p>
      <w:pPr>
        <w:spacing w:after="0" w:line="22" w:lineRule="exact"/>
        <w:rPr>
          <w:sz w:val="20"/>
          <w:szCs w:val="20"/>
          <w:color w:val="auto"/>
        </w:rPr>
      </w:pPr>
    </w:p>
    <w:p>
      <w:pPr>
        <w:ind w:left="20"/>
        <w:spacing w:after="0"/>
        <w:rPr>
          <w:sz w:val="20"/>
          <w:szCs w:val="20"/>
          <w:color w:val="auto"/>
        </w:rPr>
      </w:pPr>
      <w:r>
        <w:rPr>
          <w:rFonts w:ascii="Arial" w:cs="Arial" w:eastAsia="Arial" w:hAnsi="Arial"/>
          <w:sz w:val="17"/>
          <w:szCs w:val="17"/>
          <w:color w:val="auto"/>
        </w:rPr>
        <w:t xml:space="preserve">Included in earnings </w:t>
      </w:r>
      <w:r>
        <w:rPr>
          <w:rFonts w:ascii="Arial" w:cs="Arial" w:eastAsia="Arial" w:hAnsi="Arial"/>
          <w:sz w:val="22"/>
          <w:szCs w:val="22"/>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-19685</wp:posOffset>
            </wp:positionV>
            <wp:extent cx="7122160" cy="16383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22160" cy="163830"/>
                    </a:xfrm>
                    <a:prstGeom prst="rect">
                      <a:avLst/>
                    </a:prstGeom>
                    <a:noFill/>
                  </pic:spPr>
                </pic:pic>
              </a:graphicData>
            </a:graphic>
          </wp:anchor>
        </w:drawing>
      </w:r>
    </w:p>
    <w:p>
      <w:pPr>
        <w:spacing w:after="0" w:line="1" w:lineRule="exact"/>
        <w:rPr>
          <w:sz w:val="20"/>
          <w:szCs w:val="20"/>
          <w:color w:val="auto"/>
        </w:rPr>
      </w:pPr>
    </w:p>
    <w:p>
      <w:pPr>
        <w:ind w:left="20"/>
        <w:spacing w:after="0"/>
        <w:rPr>
          <w:sz w:val="20"/>
          <w:szCs w:val="20"/>
          <w:color w:val="auto"/>
        </w:rPr>
      </w:pPr>
      <w:r>
        <w:rPr>
          <w:rFonts w:ascii="Arial" w:cs="Arial" w:eastAsia="Arial" w:hAnsi="Arial"/>
          <w:sz w:val="15"/>
          <w:szCs w:val="15"/>
          <w:b w:val="1"/>
          <w:bCs w:val="1"/>
          <w:color w:val="auto"/>
        </w:rPr>
        <w:t>Balance as of March 31, 2021</w:t>
      </w:r>
    </w:p>
    <w:p>
      <w:pPr>
        <w:spacing w:after="0" w:line="20" w:lineRule="exact"/>
        <w:rPr>
          <w:sz w:val="20"/>
          <w:szCs w:val="20"/>
          <w:color w:val="auto"/>
        </w:rPr>
      </w:pPr>
      <w:r>
        <w:rPr>
          <w:sz w:val="20"/>
          <w:szCs w:val="20"/>
          <w:color w:val="auto"/>
        </w:rPr>
        <w:br w:type="column"/>
      </w:r>
    </w:p>
    <w:p>
      <w:pPr>
        <w:spacing w:after="0" w:line="11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4"/>
        </w:trPr>
        <w:tc>
          <w:tcPr>
            <w:tcW w:w="22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ind w:right="254"/>
              <w:spacing w:after="0"/>
              <w:rPr>
                <w:sz w:val="20"/>
                <w:szCs w:val="20"/>
                <w:color w:val="auto"/>
              </w:rPr>
            </w:pPr>
            <w:r>
              <w:rPr>
                <w:rFonts w:ascii="Arial" w:cs="Arial" w:eastAsia="Arial" w:hAnsi="Arial"/>
                <w:sz w:val="17"/>
                <w:szCs w:val="17"/>
                <w:b w:val="1"/>
                <w:bCs w:val="1"/>
                <w:color w:val="auto"/>
              </w:rPr>
              <w:t>Other Liabilities</w:t>
            </w:r>
          </w:p>
        </w:tc>
      </w:tr>
      <w:tr>
        <w:trPr>
          <w:trHeight w:val="211"/>
        </w:trPr>
        <w:tc>
          <w:tcPr>
            <w:tcW w:w="220" w:type="dxa"/>
            <w:vAlign w:val="bottom"/>
          </w:tcPr>
          <w:p>
            <w:pPr>
              <w:jc w:val="right"/>
              <w:ind w:right="34"/>
              <w:spacing w:after="0"/>
              <w:rPr>
                <w:sz w:val="20"/>
                <w:szCs w:val="20"/>
                <w:color w:val="auto"/>
              </w:rPr>
            </w:pPr>
            <w:r>
              <w:rPr>
                <w:rFonts w:ascii="Arial" w:cs="Arial" w:eastAsia="Arial" w:hAnsi="Arial"/>
                <w:sz w:val="17"/>
                <w:szCs w:val="17"/>
                <w:color w:val="auto"/>
                <w:w w:val="84"/>
              </w:rPr>
              <w:t>$</w:t>
            </w:r>
          </w:p>
        </w:tc>
        <w:tc>
          <w:tcPr>
            <w:tcW w:w="1680" w:type="dxa"/>
            <w:vAlign w:val="bottom"/>
          </w:tcPr>
          <w:p>
            <w:pPr>
              <w:jc w:val="right"/>
              <w:spacing w:after="0"/>
              <w:rPr>
                <w:sz w:val="20"/>
                <w:szCs w:val="20"/>
                <w:color w:val="auto"/>
              </w:rPr>
            </w:pPr>
            <w:r>
              <w:rPr>
                <w:rFonts w:ascii="Arial" w:cs="Arial" w:eastAsia="Arial" w:hAnsi="Arial"/>
                <w:sz w:val="17"/>
                <w:szCs w:val="17"/>
                <w:color w:val="auto"/>
              </w:rPr>
              <w:t>7.3</w:t>
            </w:r>
          </w:p>
        </w:tc>
      </w:tr>
      <w:tr>
        <w:trPr>
          <w:trHeight w:val="219"/>
        </w:trPr>
        <w:tc>
          <w:tcPr>
            <w:tcW w:w="22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7"/>
                <w:szCs w:val="17"/>
                <w:color w:val="auto"/>
              </w:rPr>
              <w:t>72.5</w:t>
            </w:r>
          </w:p>
        </w:tc>
      </w:tr>
      <w:tr>
        <w:trPr>
          <w:trHeight w:val="219"/>
        </w:trPr>
        <w:tc>
          <w:tcPr>
            <w:tcW w:w="22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7"/>
                <w:szCs w:val="17"/>
                <w:color w:val="auto"/>
              </w:rPr>
              <w:t>1.5</w:t>
            </w:r>
          </w:p>
        </w:tc>
      </w:tr>
      <w:tr>
        <w:trPr>
          <w:trHeight w:val="220"/>
        </w:trPr>
        <w:tc>
          <w:tcPr>
            <w:tcW w:w="22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0.1</w:t>
            </w:r>
          </w:p>
        </w:tc>
      </w:tr>
      <w:tr>
        <w:trPr>
          <w:trHeight w:val="212"/>
        </w:trPr>
        <w:tc>
          <w:tcPr>
            <w:tcW w:w="220" w:type="dxa"/>
            <w:vAlign w:val="bottom"/>
            <w:tcBorders>
              <w:bottom w:val="single" w:sz="8" w:color="auto"/>
            </w:tcBorders>
          </w:tcPr>
          <w:p>
            <w:pPr>
              <w:jc w:val="right"/>
              <w:ind w:right="34"/>
              <w:spacing w:after="0"/>
              <w:rPr>
                <w:sz w:val="20"/>
                <w:szCs w:val="20"/>
                <w:color w:val="auto"/>
              </w:rPr>
            </w:pPr>
            <w:r>
              <w:rPr>
                <w:rFonts w:ascii="Arial" w:cs="Arial" w:eastAsia="Arial" w:hAnsi="Arial"/>
                <w:sz w:val="17"/>
                <w:szCs w:val="17"/>
                <w:color w:val="auto"/>
                <w:w w:val="84"/>
              </w:rPr>
              <w:t>$</w:t>
            </w: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81.4</w:t>
            </w:r>
          </w:p>
        </w:tc>
      </w:tr>
      <w:tr>
        <w:trPr>
          <w:trHeight w:val="20"/>
        </w:trPr>
        <w:tc>
          <w:tcPr>
            <w:tcW w:w="22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r>
    </w:tbl>
    <w:p>
      <w:pPr>
        <w:spacing w:after="0" w:line="123" w:lineRule="exact"/>
        <w:rPr>
          <w:sz w:val="20"/>
          <w:szCs w:val="20"/>
          <w:color w:val="auto"/>
        </w:rPr>
      </w:pPr>
    </w:p>
    <w:p>
      <w:pPr>
        <w:sectPr>
          <w:pgSz w:w="11900" w:h="16838" w:orient="portrait"/>
          <w:cols w:equalWidth="0" w:num="2">
            <w:col w:w="8600" w:space="720"/>
            <w:col w:w="1900"/>
          </w:cols>
          <w:pgMar w:left="320" w:top="127" w:right="359" w:bottom="1440" w:gutter="0" w:footer="0" w:header="0"/>
          <w:type w:val="continuous"/>
        </w:sectPr>
      </w:pPr>
    </w:p>
    <w:p>
      <w:pPr>
        <w:ind w:left="620" w:hanging="307"/>
        <w:spacing w:after="0"/>
        <w:tabs>
          <w:tab w:leader="none" w:pos="620" w:val="left"/>
        </w:tabs>
        <w:numPr>
          <w:ilvl w:val="0"/>
          <w:numId w:val="13"/>
        </w:numPr>
        <w:rPr>
          <w:rFonts w:ascii="Arial" w:cs="Arial" w:eastAsia="Arial" w:hAnsi="Arial"/>
          <w:sz w:val="11"/>
          <w:szCs w:val="11"/>
          <w:color w:val="auto"/>
        </w:rPr>
      </w:pPr>
      <w:r>
        <w:rPr>
          <w:rFonts w:ascii="Arial" w:cs="Arial" w:eastAsia="Arial" w:hAnsi="Arial"/>
          <w:sz w:val="11"/>
          <w:szCs w:val="11"/>
          <w:color w:val="auto"/>
        </w:rPr>
        <w:t>The expense is included in “General and administrative” within our unaudited Consolidated Statements of Operations and Comprehensive Income (Loss).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173990</wp:posOffset>
            </wp:positionV>
            <wp:extent cx="7164070" cy="419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type w:val="continuous"/>
        </w:sectPr>
      </w:pPr>
    </w:p>
    <w:bookmarkStart w:id="28" w:name="page29"/>
    <w:bookmarkEnd w:id="28"/>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339" w:lineRule="exact"/>
        <w:rPr>
          <w:sz w:val="20"/>
          <w:szCs w:val="20"/>
          <w:color w:val="auto"/>
        </w:rPr>
      </w:pPr>
    </w:p>
    <w:p>
      <w:pPr>
        <w:ind w:left="320"/>
        <w:spacing w:after="0"/>
        <w:rPr>
          <w:sz w:val="20"/>
          <w:szCs w:val="20"/>
          <w:color w:val="auto"/>
        </w:rPr>
      </w:pPr>
      <w:r>
        <w:rPr>
          <w:rFonts w:ascii="Arial" w:cs="Arial" w:eastAsia="Arial" w:hAnsi="Arial"/>
          <w:sz w:val="16"/>
          <w:szCs w:val="16"/>
          <w:color w:val="auto"/>
        </w:rPr>
        <w:t>The following table summarizes the significant unobservable inputs used in calculating fair value for our Level 3 liabilities on a recurring basis as of</w:t>
      </w:r>
    </w:p>
    <w:p>
      <w:pPr>
        <w:spacing w:after="0" w:line="33" w:lineRule="exact"/>
        <w:rPr>
          <w:sz w:val="20"/>
          <w:szCs w:val="20"/>
          <w:color w:val="auto"/>
        </w:rPr>
      </w:pPr>
    </w:p>
    <w:p>
      <w:pPr>
        <w:spacing w:after="0"/>
        <w:rPr>
          <w:sz w:val="20"/>
          <w:szCs w:val="20"/>
          <w:color w:val="auto"/>
        </w:rPr>
      </w:pPr>
      <w:r>
        <w:rPr>
          <w:rFonts w:ascii="Arial" w:cs="Arial" w:eastAsia="Arial" w:hAnsi="Arial"/>
          <w:sz w:val="17"/>
          <w:szCs w:val="17"/>
          <w:color w:val="auto"/>
        </w:rPr>
        <w:t>March 31, 2021:</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4900" w:type="dxa"/>
            <w:vAlign w:val="bottom"/>
            <w:tcBorders>
              <w:bottom w:val="single" w:sz="8" w:color="CCEEFF"/>
            </w:tcBorders>
          </w:tcPr>
          <w:p>
            <w:pPr>
              <w:spacing w:after="0"/>
              <w:rPr>
                <w:sz w:val="19"/>
                <w:szCs w:val="19"/>
                <w:color w:val="auto"/>
              </w:rPr>
            </w:pPr>
          </w:p>
        </w:tc>
        <w:tc>
          <w:tcPr>
            <w:tcW w:w="2440" w:type="dxa"/>
            <w:vAlign w:val="bottom"/>
            <w:tcBorders>
              <w:bottom w:val="single" w:sz="8" w:color="auto"/>
            </w:tcBorders>
          </w:tcPr>
          <w:p>
            <w:pPr>
              <w:ind w:left="460"/>
              <w:spacing w:after="0"/>
              <w:rPr>
                <w:sz w:val="20"/>
                <w:szCs w:val="20"/>
                <w:color w:val="auto"/>
              </w:rPr>
            </w:pPr>
            <w:r>
              <w:rPr>
                <w:rFonts w:ascii="Arial" w:cs="Arial" w:eastAsia="Arial" w:hAnsi="Arial"/>
                <w:sz w:val="17"/>
                <w:szCs w:val="17"/>
                <w:b w:val="1"/>
                <w:bCs w:val="1"/>
                <w:color w:val="auto"/>
              </w:rPr>
              <w:t>Valuation Technique</w:t>
            </w:r>
          </w:p>
        </w:tc>
        <w:tc>
          <w:tcPr>
            <w:tcW w:w="100" w:type="dxa"/>
            <w:vAlign w:val="bottom"/>
            <w:tcBorders>
              <w:bottom w:val="single" w:sz="8" w:color="CCEEFF"/>
            </w:tcBorders>
          </w:tcPr>
          <w:p>
            <w:pPr>
              <w:spacing w:after="0"/>
              <w:rPr>
                <w:sz w:val="19"/>
                <w:szCs w:val="19"/>
                <w:color w:val="auto"/>
              </w:rPr>
            </w:pPr>
          </w:p>
        </w:tc>
        <w:tc>
          <w:tcPr>
            <w:tcW w:w="210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91"/>
              </w:rPr>
              <w:t>Unobservable Input</w:t>
            </w:r>
          </w:p>
        </w:tc>
        <w:tc>
          <w:tcPr>
            <w:tcW w:w="100" w:type="dxa"/>
            <w:vAlign w:val="bottom"/>
            <w:tcBorders>
              <w:bottom w:val="single" w:sz="8" w:color="CCEEFF"/>
            </w:tcBorders>
          </w:tcPr>
          <w:p>
            <w:pPr>
              <w:spacing w:after="0"/>
              <w:rPr>
                <w:sz w:val="19"/>
                <w:szCs w:val="19"/>
                <w:color w:val="auto"/>
              </w:rPr>
            </w:pPr>
          </w:p>
        </w:tc>
        <w:tc>
          <w:tcPr>
            <w:tcW w:w="1560" w:type="dxa"/>
            <w:vAlign w:val="bottom"/>
            <w:tcBorders>
              <w:bottom w:val="single" w:sz="8" w:color="auto"/>
            </w:tcBorders>
          </w:tcPr>
          <w:p>
            <w:pPr>
              <w:ind w:left="260"/>
              <w:spacing w:after="0"/>
              <w:rPr>
                <w:sz w:val="20"/>
                <w:szCs w:val="20"/>
                <w:color w:val="auto"/>
              </w:rPr>
            </w:pPr>
            <w:r>
              <w:rPr>
                <w:rFonts w:ascii="Arial" w:cs="Arial" w:eastAsia="Arial" w:hAnsi="Arial"/>
                <w:sz w:val="17"/>
                <w:szCs w:val="17"/>
                <w:b w:val="1"/>
                <w:bCs w:val="1"/>
                <w:color w:val="auto"/>
              </w:rPr>
              <w:t>Discount Rate</w:t>
            </w:r>
          </w:p>
        </w:tc>
      </w:tr>
      <w:tr>
        <w:trPr>
          <w:trHeight w:val="213"/>
        </w:trPr>
        <w:tc>
          <w:tcPr>
            <w:tcW w:w="4900" w:type="dxa"/>
            <w:vAlign w:val="bottom"/>
            <w:shd w:val="clear" w:color="auto" w:fill="CCEEFF"/>
          </w:tcPr>
          <w:p>
            <w:pPr>
              <w:ind w:left="20"/>
              <w:spacing w:after="0"/>
              <w:rPr>
                <w:sz w:val="20"/>
                <w:szCs w:val="20"/>
                <w:color w:val="auto"/>
              </w:rPr>
            </w:pPr>
            <w:r>
              <w:rPr>
                <w:rFonts w:ascii="Arial" w:cs="Arial" w:eastAsia="Arial" w:hAnsi="Arial"/>
                <w:sz w:val="17"/>
                <w:szCs w:val="17"/>
                <w:color w:val="auto"/>
              </w:rPr>
              <w:t>Other long-term obligation</w:t>
            </w:r>
          </w:p>
        </w:tc>
        <w:tc>
          <w:tcPr>
            <w:tcW w:w="2540" w:type="dxa"/>
            <w:vAlign w:val="bottom"/>
            <w:gridSpan w:val="2"/>
            <w:shd w:val="clear" w:color="auto" w:fill="CCEEFF"/>
          </w:tcPr>
          <w:p>
            <w:pPr>
              <w:ind w:left="480"/>
              <w:spacing w:after="0"/>
              <w:rPr>
                <w:sz w:val="20"/>
                <w:szCs w:val="20"/>
                <w:color w:val="auto"/>
              </w:rPr>
            </w:pPr>
            <w:r>
              <w:rPr>
                <w:rFonts w:ascii="Arial" w:cs="Arial" w:eastAsia="Arial" w:hAnsi="Arial"/>
                <w:sz w:val="17"/>
                <w:szCs w:val="17"/>
                <w:color w:val="auto"/>
              </w:rPr>
              <w:t>Discounted cash flow</w:t>
            </w:r>
          </w:p>
        </w:tc>
        <w:tc>
          <w:tcPr>
            <w:tcW w:w="2200" w:type="dxa"/>
            <w:vAlign w:val="bottom"/>
            <w:gridSpan w:val="2"/>
            <w:shd w:val="clear" w:color="auto" w:fill="CCEEFF"/>
          </w:tcPr>
          <w:p>
            <w:pPr>
              <w:jc w:val="center"/>
              <w:ind w:right="80"/>
              <w:spacing w:after="0"/>
              <w:rPr>
                <w:sz w:val="20"/>
                <w:szCs w:val="20"/>
                <w:color w:val="auto"/>
              </w:rPr>
            </w:pPr>
            <w:r>
              <w:rPr>
                <w:rFonts w:ascii="Arial" w:cs="Arial" w:eastAsia="Arial" w:hAnsi="Arial"/>
                <w:sz w:val="17"/>
                <w:szCs w:val="17"/>
                <w:color w:val="auto"/>
                <w:w w:val="91"/>
              </w:rPr>
              <w:t>Discount rate</w:t>
            </w:r>
          </w:p>
        </w:tc>
        <w:tc>
          <w:tcPr>
            <w:tcW w:w="1560" w:type="dxa"/>
            <w:vAlign w:val="bottom"/>
            <w:shd w:val="clear" w:color="auto" w:fill="CCEEFF"/>
          </w:tcPr>
          <w:p>
            <w:pPr>
              <w:jc w:val="right"/>
              <w:ind w:right="414"/>
              <w:spacing w:after="0"/>
              <w:rPr>
                <w:sz w:val="20"/>
                <w:szCs w:val="20"/>
                <w:color w:val="auto"/>
              </w:rPr>
            </w:pPr>
            <w:r>
              <w:rPr>
                <w:rFonts w:ascii="Arial" w:cs="Arial" w:eastAsia="Arial" w:hAnsi="Arial"/>
                <w:sz w:val="17"/>
                <w:szCs w:val="17"/>
                <w:color w:val="auto"/>
              </w:rPr>
              <w:t>25.00%</w:t>
            </w:r>
          </w:p>
        </w:tc>
      </w:tr>
      <w:tr>
        <w:trPr>
          <w:trHeight w:val="218"/>
        </w:trPr>
        <w:tc>
          <w:tcPr>
            <w:tcW w:w="4900" w:type="dxa"/>
            <w:vAlign w:val="bottom"/>
          </w:tcPr>
          <w:p>
            <w:pPr>
              <w:ind w:left="20"/>
              <w:spacing w:after="0"/>
              <w:rPr>
                <w:sz w:val="20"/>
                <w:szCs w:val="20"/>
                <w:color w:val="auto"/>
              </w:rPr>
            </w:pPr>
            <w:r>
              <w:rPr>
                <w:rFonts w:ascii="Arial" w:cs="Arial" w:eastAsia="Arial" w:hAnsi="Arial"/>
                <w:sz w:val="17"/>
                <w:szCs w:val="17"/>
                <w:color w:val="auto"/>
              </w:rPr>
              <w:t>Contingent purchase price - Plainridge Park Casino</w:t>
            </w:r>
          </w:p>
        </w:tc>
        <w:tc>
          <w:tcPr>
            <w:tcW w:w="2540" w:type="dxa"/>
            <w:vAlign w:val="bottom"/>
            <w:gridSpan w:val="2"/>
          </w:tcPr>
          <w:p>
            <w:pPr>
              <w:ind w:left="480"/>
              <w:spacing w:after="0"/>
              <w:rPr>
                <w:sz w:val="20"/>
                <w:szCs w:val="20"/>
                <w:color w:val="auto"/>
              </w:rPr>
            </w:pPr>
            <w:r>
              <w:rPr>
                <w:rFonts w:ascii="Arial" w:cs="Arial" w:eastAsia="Arial" w:hAnsi="Arial"/>
                <w:sz w:val="17"/>
                <w:szCs w:val="17"/>
                <w:color w:val="auto"/>
              </w:rPr>
              <w:t>Discounted cash flow</w:t>
            </w:r>
          </w:p>
        </w:tc>
        <w:tc>
          <w:tcPr>
            <w:tcW w:w="2200" w:type="dxa"/>
            <w:vAlign w:val="bottom"/>
            <w:gridSpan w:val="2"/>
          </w:tcPr>
          <w:p>
            <w:pPr>
              <w:jc w:val="center"/>
              <w:ind w:right="80"/>
              <w:spacing w:after="0"/>
              <w:rPr>
                <w:sz w:val="20"/>
                <w:szCs w:val="20"/>
                <w:color w:val="auto"/>
              </w:rPr>
            </w:pPr>
            <w:r>
              <w:rPr>
                <w:rFonts w:ascii="Arial" w:cs="Arial" w:eastAsia="Arial" w:hAnsi="Arial"/>
                <w:sz w:val="17"/>
                <w:szCs w:val="17"/>
                <w:color w:val="auto"/>
                <w:w w:val="91"/>
              </w:rPr>
              <w:t>Discount rate</w:t>
            </w:r>
          </w:p>
        </w:tc>
        <w:tc>
          <w:tcPr>
            <w:tcW w:w="1560" w:type="dxa"/>
            <w:vAlign w:val="bottom"/>
          </w:tcPr>
          <w:p>
            <w:pPr>
              <w:jc w:val="right"/>
              <w:ind w:right="474"/>
              <w:spacing w:after="0"/>
              <w:rPr>
                <w:sz w:val="20"/>
                <w:szCs w:val="20"/>
                <w:color w:val="auto"/>
              </w:rPr>
            </w:pPr>
            <w:r>
              <w:rPr>
                <w:rFonts w:ascii="Arial" w:cs="Arial" w:eastAsia="Arial" w:hAnsi="Arial"/>
                <w:sz w:val="17"/>
                <w:szCs w:val="17"/>
                <w:color w:val="auto"/>
              </w:rPr>
              <w:t>5.28%</w:t>
            </w:r>
          </w:p>
        </w:tc>
      </w:tr>
    </w:tbl>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16—Segment Information</w:t>
      </w:r>
    </w:p>
    <w:p>
      <w:pPr>
        <w:spacing w:after="0" w:line="184" w:lineRule="exact"/>
        <w:rPr>
          <w:sz w:val="20"/>
          <w:szCs w:val="20"/>
          <w:color w:val="auto"/>
        </w:rPr>
      </w:pPr>
    </w:p>
    <w:p>
      <w:pPr>
        <w:jc w:val="both"/>
        <w:ind w:right="120" w:firstLine="309"/>
        <w:spacing w:after="0" w:line="266" w:lineRule="auto"/>
        <w:rPr>
          <w:sz w:val="20"/>
          <w:szCs w:val="20"/>
          <w:color w:val="auto"/>
        </w:rPr>
      </w:pPr>
      <w:r>
        <w:rPr>
          <w:rFonts w:ascii="Arial" w:cs="Arial" w:eastAsia="Arial" w:hAnsi="Arial"/>
          <w:sz w:val="17"/>
          <w:szCs w:val="17"/>
          <w:color w:val="auto"/>
        </w:rPr>
        <w:t>We have aggregated our operating segments into four reportable segments based on the similar characteristics of the operating segments within the regions in which they operate: Northeast, South, West and Midwest. The Other category is included in the following tables in order to reconcile the segment information to the consolidated information.</w:t>
      </w:r>
    </w:p>
    <w:p>
      <w:pPr>
        <w:spacing w:after="0" w:line="149" w:lineRule="exact"/>
        <w:rPr>
          <w:sz w:val="20"/>
          <w:szCs w:val="20"/>
          <w:color w:val="auto"/>
        </w:rPr>
      </w:pPr>
    </w:p>
    <w:p>
      <w:pPr>
        <w:ind w:right="520" w:firstLine="309"/>
        <w:spacing w:after="0" w:line="312" w:lineRule="auto"/>
        <w:rPr>
          <w:sz w:val="20"/>
          <w:szCs w:val="20"/>
          <w:color w:val="auto"/>
        </w:rPr>
      </w:pPr>
      <w:r>
        <w:rPr>
          <w:rFonts w:ascii="Arial" w:cs="Arial" w:eastAsia="Arial" w:hAnsi="Arial"/>
          <w:sz w:val="16"/>
          <w:szCs w:val="16"/>
          <w:color w:val="auto"/>
        </w:rPr>
        <w:t>The Company utilizes Adjusted EBITDAR (as defined below) as its measure of segment profit or loss. The following table highlights our revenues and Adjusted EBITDAR for each reportable segment and reconciles Adjusted EBITDAR on a consolidated basis to net income (loss).</w:t>
      </w:r>
    </w:p>
    <w:p>
      <w:pPr>
        <w:spacing w:after="0" w:line="44" w:lineRule="exact"/>
        <w:rPr>
          <w:sz w:val="20"/>
          <w:szCs w:val="20"/>
          <w:color w:val="auto"/>
        </w:rPr>
      </w:pPr>
    </w:p>
    <w:p>
      <w:pPr>
        <w:ind w:left="8260"/>
        <w:spacing w:after="0"/>
        <w:rPr>
          <w:sz w:val="20"/>
          <w:szCs w:val="20"/>
          <w:color w:val="auto"/>
        </w:rPr>
      </w:pPr>
      <w:r>
        <w:rPr>
          <w:rFonts w:ascii="Arial" w:cs="Arial" w:eastAsia="Arial" w:hAnsi="Arial"/>
          <w:sz w:val="16"/>
          <w:szCs w:val="16"/>
          <w:b w:val="1"/>
          <w:bCs w:val="1"/>
          <w:color w:val="auto"/>
        </w:rPr>
        <w:t>For the three months ended March 31,</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020" w:type="dxa"/>
            <w:vAlign w:val="bottom"/>
            <w:gridSpan w:val="3"/>
          </w:tcPr>
          <w:p>
            <w:pPr>
              <w:ind w:left="20"/>
              <w:spacing w:after="0"/>
              <w:rPr>
                <w:sz w:val="20"/>
                <w:szCs w:val="20"/>
                <w:color w:val="auto"/>
              </w:rPr>
            </w:pPr>
            <w:r>
              <w:rPr>
                <w:rFonts w:ascii="Arial" w:cs="Arial" w:eastAsia="Arial" w:hAnsi="Arial"/>
                <w:sz w:val="15"/>
                <w:szCs w:val="15"/>
                <w:b w:val="1"/>
                <w:bCs w:val="1"/>
                <w:i w:val="1"/>
                <w:iCs w:val="1"/>
                <w:color w:val="auto"/>
              </w:rPr>
              <w:t>(in millions)</w:t>
            </w:r>
          </w:p>
        </w:tc>
        <w:tc>
          <w:tcPr>
            <w:tcW w:w="3080" w:type="dxa"/>
            <w:vAlign w:val="bottom"/>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1180" w:type="dxa"/>
            <w:vAlign w:val="bottom"/>
            <w:tcBorders>
              <w:top w:val="single" w:sz="8" w:color="auto"/>
            </w:tcBorders>
          </w:tcPr>
          <w:p>
            <w:pPr>
              <w:jc w:val="right"/>
              <w:ind w:right="494"/>
              <w:spacing w:after="0" w:line="175" w:lineRule="exact"/>
              <w:rPr>
                <w:sz w:val="20"/>
                <w:szCs w:val="20"/>
                <w:color w:val="auto"/>
              </w:rPr>
            </w:pPr>
            <w:r>
              <w:rPr>
                <w:rFonts w:ascii="Arial" w:cs="Arial" w:eastAsia="Arial" w:hAnsi="Arial"/>
                <w:sz w:val="17"/>
                <w:szCs w:val="17"/>
                <w:b w:val="1"/>
                <w:bCs w:val="1"/>
                <w:color w:val="auto"/>
              </w:rPr>
              <w:t>2021</w:t>
            </w:r>
          </w:p>
        </w:tc>
        <w:tc>
          <w:tcPr>
            <w:tcW w:w="100" w:type="dxa"/>
            <w:vAlign w:val="bottom"/>
            <w:tcBorders>
              <w:top w:val="single" w:sz="8" w:color="auto"/>
            </w:tcBorders>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1180" w:type="dxa"/>
            <w:vAlign w:val="bottom"/>
            <w:tcBorders>
              <w:top w:val="single" w:sz="8" w:color="auto"/>
            </w:tcBorders>
          </w:tcPr>
          <w:p>
            <w:pPr>
              <w:jc w:val="right"/>
              <w:ind w:right="494"/>
              <w:spacing w:after="0" w:line="175" w:lineRule="exact"/>
              <w:rPr>
                <w:sz w:val="20"/>
                <w:szCs w:val="20"/>
                <w:color w:val="auto"/>
              </w:rPr>
            </w:pPr>
            <w:r>
              <w:rPr>
                <w:rFonts w:ascii="Arial" w:cs="Arial" w:eastAsia="Arial" w:hAnsi="Arial"/>
                <w:sz w:val="17"/>
                <w:szCs w:val="17"/>
                <w:b w:val="1"/>
                <w:bCs w:val="1"/>
                <w:color w:val="auto"/>
              </w:rPr>
              <w:t>2020</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780" w:type="dxa"/>
            <w:vAlign w:val="bottom"/>
            <w:tcBorders>
              <w:top w:val="single" w:sz="8" w:color="auto"/>
              <w:bottom w:val="single" w:sz="8" w:color="CCEEFF"/>
            </w:tcBorders>
          </w:tcPr>
          <w:p>
            <w:pPr>
              <w:spacing w:after="0" w:line="20" w:lineRule="exact"/>
              <w:rPr>
                <w:sz w:val="1"/>
                <w:szCs w:val="1"/>
                <w:color w:val="auto"/>
              </w:rPr>
            </w:pPr>
          </w:p>
        </w:tc>
        <w:tc>
          <w:tcPr>
            <w:tcW w:w="4220" w:type="dxa"/>
            <w:vAlign w:val="bottom"/>
            <w:tcBorders>
              <w:bottom w:val="single" w:sz="8" w:color="CCEEFF"/>
            </w:tcBorders>
          </w:tcPr>
          <w:p>
            <w:pPr>
              <w:spacing w:after="0" w:line="20" w:lineRule="exact"/>
              <w:rPr>
                <w:sz w:val="1"/>
                <w:szCs w:val="1"/>
                <w:color w:val="auto"/>
              </w:rPr>
            </w:pPr>
          </w:p>
        </w:tc>
        <w:tc>
          <w:tcPr>
            <w:tcW w:w="30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211"/>
        </w:trPr>
        <w:tc>
          <w:tcPr>
            <w:tcW w:w="5020" w:type="dxa"/>
            <w:vAlign w:val="bottom"/>
            <w:gridSpan w:val="3"/>
            <w:shd w:val="clear" w:color="auto" w:fill="CCEEFF"/>
          </w:tcPr>
          <w:p>
            <w:pPr>
              <w:ind w:left="20"/>
              <w:spacing w:after="0"/>
              <w:rPr>
                <w:sz w:val="20"/>
                <w:szCs w:val="20"/>
                <w:color w:val="auto"/>
              </w:rPr>
            </w:pPr>
            <w:r>
              <w:rPr>
                <w:rFonts w:ascii="Arial" w:cs="Arial" w:eastAsia="Arial" w:hAnsi="Arial"/>
                <w:sz w:val="17"/>
                <w:szCs w:val="17"/>
                <w:b w:val="1"/>
                <w:bCs w:val="1"/>
                <w:color w:val="auto"/>
              </w:rPr>
              <w:t>Revenues:</w:t>
            </w:r>
          </w:p>
        </w:tc>
        <w:tc>
          <w:tcPr>
            <w:tcW w:w="30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r>
      <w:tr>
        <w:trPr>
          <w:trHeight w:val="218"/>
        </w:trPr>
        <w:tc>
          <w:tcPr>
            <w:tcW w:w="20" w:type="dxa"/>
            <w:vAlign w:val="bottom"/>
          </w:tcPr>
          <w:p>
            <w:pPr>
              <w:spacing w:after="0"/>
              <w:rPr>
                <w:sz w:val="18"/>
                <w:szCs w:val="18"/>
                <w:color w:val="auto"/>
              </w:rPr>
            </w:pPr>
          </w:p>
        </w:tc>
        <w:tc>
          <w:tcPr>
            <w:tcW w:w="5000" w:type="dxa"/>
            <w:vAlign w:val="bottom"/>
            <w:gridSpan w:val="2"/>
          </w:tcPr>
          <w:p>
            <w:pPr>
              <w:ind w:left="200"/>
              <w:spacing w:after="0"/>
              <w:rPr>
                <w:sz w:val="20"/>
                <w:szCs w:val="20"/>
                <w:color w:val="auto"/>
              </w:rPr>
            </w:pPr>
            <w:r>
              <w:rPr>
                <w:rFonts w:ascii="Arial" w:cs="Arial" w:eastAsia="Arial" w:hAnsi="Arial"/>
                <w:sz w:val="17"/>
                <w:szCs w:val="17"/>
                <w:color w:val="auto"/>
              </w:rPr>
              <w:t>Northeast segment</w:t>
            </w:r>
          </w:p>
        </w:tc>
        <w:tc>
          <w:tcPr>
            <w:tcW w:w="342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1180" w:type="dxa"/>
            <w:vAlign w:val="bottom"/>
          </w:tcPr>
          <w:p>
            <w:pPr>
              <w:jc w:val="right"/>
              <w:spacing w:after="0"/>
              <w:rPr>
                <w:sz w:val="20"/>
                <w:szCs w:val="20"/>
                <w:color w:val="auto"/>
              </w:rPr>
            </w:pPr>
            <w:r>
              <w:rPr>
                <w:rFonts w:ascii="Arial" w:cs="Arial" w:eastAsia="Arial" w:hAnsi="Arial"/>
                <w:sz w:val="17"/>
                <w:szCs w:val="17"/>
                <w:color w:val="auto"/>
              </w:rPr>
              <w:t>570.9</w:t>
            </w:r>
          </w:p>
        </w:tc>
        <w:tc>
          <w:tcPr>
            <w:tcW w:w="100" w:type="dxa"/>
            <w:vAlign w:val="bottom"/>
          </w:tcPr>
          <w:p>
            <w:pPr>
              <w:spacing w:after="0"/>
              <w:rPr>
                <w:sz w:val="18"/>
                <w:szCs w:val="18"/>
                <w:color w:val="auto"/>
              </w:rPr>
            </w:pPr>
          </w:p>
        </w:tc>
        <w:tc>
          <w:tcPr>
            <w:tcW w:w="340" w:type="dxa"/>
            <w:vAlign w:val="bottom"/>
          </w:tcPr>
          <w:p>
            <w:pPr>
              <w:jc w:val="right"/>
              <w:ind w:right="154"/>
              <w:spacing w:after="0"/>
              <w:rPr>
                <w:sz w:val="20"/>
                <w:szCs w:val="20"/>
                <w:color w:val="auto"/>
              </w:rPr>
            </w:pPr>
            <w:r>
              <w:rPr>
                <w:rFonts w:ascii="Arial" w:cs="Arial" w:eastAsia="Arial" w:hAnsi="Arial"/>
                <w:sz w:val="17"/>
                <w:szCs w:val="17"/>
                <w:color w:val="auto"/>
                <w:w w:val="84"/>
              </w:rPr>
              <w:t>$</w:t>
            </w:r>
          </w:p>
        </w:tc>
        <w:tc>
          <w:tcPr>
            <w:tcW w:w="1180" w:type="dxa"/>
            <w:vAlign w:val="bottom"/>
          </w:tcPr>
          <w:p>
            <w:pPr>
              <w:jc w:val="right"/>
              <w:spacing w:after="0"/>
              <w:rPr>
                <w:sz w:val="20"/>
                <w:szCs w:val="20"/>
                <w:color w:val="auto"/>
              </w:rPr>
            </w:pPr>
            <w:r>
              <w:rPr>
                <w:rFonts w:ascii="Arial" w:cs="Arial" w:eastAsia="Arial" w:hAnsi="Arial"/>
                <w:sz w:val="17"/>
                <w:szCs w:val="17"/>
                <w:color w:val="auto"/>
              </w:rPr>
              <w:t>520.7</w:t>
            </w:r>
          </w:p>
        </w:tc>
      </w:tr>
      <w:tr>
        <w:trPr>
          <w:trHeight w:val="220"/>
        </w:trPr>
        <w:tc>
          <w:tcPr>
            <w:tcW w:w="20" w:type="dxa"/>
            <w:vAlign w:val="bottom"/>
            <w:shd w:val="clear" w:color="auto" w:fill="CCEEFF"/>
          </w:tcPr>
          <w:p>
            <w:pPr>
              <w:spacing w:after="0"/>
              <w:rPr>
                <w:sz w:val="19"/>
                <w:szCs w:val="19"/>
                <w:color w:val="auto"/>
              </w:rPr>
            </w:pPr>
          </w:p>
        </w:tc>
        <w:tc>
          <w:tcPr>
            <w:tcW w:w="5000" w:type="dxa"/>
            <w:vAlign w:val="bottom"/>
            <w:gridSpan w:val="2"/>
            <w:shd w:val="clear" w:color="auto" w:fill="CCEEFF"/>
          </w:tcPr>
          <w:p>
            <w:pPr>
              <w:ind w:left="200"/>
              <w:spacing w:after="0"/>
              <w:rPr>
                <w:sz w:val="20"/>
                <w:szCs w:val="20"/>
                <w:color w:val="auto"/>
              </w:rPr>
            </w:pPr>
            <w:r>
              <w:rPr>
                <w:rFonts w:ascii="Arial" w:cs="Arial" w:eastAsia="Arial" w:hAnsi="Arial"/>
                <w:sz w:val="17"/>
                <w:szCs w:val="17"/>
                <w:color w:val="auto"/>
              </w:rPr>
              <w:t>South segment</w:t>
            </w:r>
          </w:p>
        </w:tc>
        <w:tc>
          <w:tcPr>
            <w:tcW w:w="30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295.9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223.3</w:t>
            </w:r>
          </w:p>
        </w:tc>
      </w:tr>
      <w:tr>
        <w:trPr>
          <w:trHeight w:val="218"/>
        </w:trPr>
        <w:tc>
          <w:tcPr>
            <w:tcW w:w="20" w:type="dxa"/>
            <w:vAlign w:val="bottom"/>
          </w:tcPr>
          <w:p>
            <w:pPr>
              <w:spacing w:after="0"/>
              <w:rPr>
                <w:sz w:val="18"/>
                <w:szCs w:val="18"/>
                <w:color w:val="auto"/>
              </w:rPr>
            </w:pPr>
          </w:p>
        </w:tc>
        <w:tc>
          <w:tcPr>
            <w:tcW w:w="5000" w:type="dxa"/>
            <w:vAlign w:val="bottom"/>
            <w:gridSpan w:val="2"/>
          </w:tcPr>
          <w:p>
            <w:pPr>
              <w:ind w:left="200"/>
              <w:spacing w:after="0"/>
              <w:rPr>
                <w:sz w:val="20"/>
                <w:szCs w:val="20"/>
                <w:color w:val="auto"/>
              </w:rPr>
            </w:pPr>
            <w:r>
              <w:rPr>
                <w:rFonts w:ascii="Arial" w:cs="Arial" w:eastAsia="Arial" w:hAnsi="Arial"/>
                <w:sz w:val="17"/>
                <w:szCs w:val="17"/>
                <w:color w:val="auto"/>
              </w:rPr>
              <w:t>West segment</w:t>
            </w:r>
          </w:p>
        </w:tc>
        <w:tc>
          <w:tcPr>
            <w:tcW w:w="30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96.6</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126.6</w:t>
            </w:r>
          </w:p>
        </w:tc>
      </w:tr>
      <w:tr>
        <w:trPr>
          <w:trHeight w:val="220"/>
        </w:trPr>
        <w:tc>
          <w:tcPr>
            <w:tcW w:w="20" w:type="dxa"/>
            <w:vAlign w:val="bottom"/>
            <w:shd w:val="clear" w:color="auto" w:fill="CCEEFF"/>
          </w:tcPr>
          <w:p>
            <w:pPr>
              <w:spacing w:after="0"/>
              <w:rPr>
                <w:sz w:val="19"/>
                <w:szCs w:val="19"/>
                <w:color w:val="auto"/>
              </w:rPr>
            </w:pPr>
          </w:p>
        </w:tc>
        <w:tc>
          <w:tcPr>
            <w:tcW w:w="5000" w:type="dxa"/>
            <w:vAlign w:val="bottom"/>
            <w:gridSpan w:val="2"/>
            <w:shd w:val="clear" w:color="auto" w:fill="CCEEFF"/>
          </w:tcPr>
          <w:p>
            <w:pPr>
              <w:ind w:left="200"/>
              <w:spacing w:after="0"/>
              <w:rPr>
                <w:sz w:val="20"/>
                <w:szCs w:val="20"/>
                <w:color w:val="auto"/>
              </w:rPr>
            </w:pPr>
            <w:r>
              <w:rPr>
                <w:rFonts w:ascii="Arial" w:cs="Arial" w:eastAsia="Arial" w:hAnsi="Arial"/>
                <w:sz w:val="17"/>
                <w:szCs w:val="17"/>
                <w:color w:val="auto"/>
              </w:rPr>
              <w:t>Midwest segment</w:t>
            </w:r>
          </w:p>
        </w:tc>
        <w:tc>
          <w:tcPr>
            <w:tcW w:w="30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234.7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228.1</w:t>
            </w:r>
          </w:p>
        </w:tc>
      </w:tr>
      <w:tr>
        <w:trPr>
          <w:trHeight w:val="219"/>
        </w:trPr>
        <w:tc>
          <w:tcPr>
            <w:tcW w:w="20" w:type="dxa"/>
            <w:vAlign w:val="bottom"/>
          </w:tcPr>
          <w:p>
            <w:pPr>
              <w:spacing w:after="0"/>
              <w:rPr>
                <w:sz w:val="19"/>
                <w:szCs w:val="19"/>
                <w:color w:val="auto"/>
              </w:rPr>
            </w:pPr>
          </w:p>
        </w:tc>
        <w:tc>
          <w:tcPr>
            <w:tcW w:w="5000" w:type="dxa"/>
            <w:vAlign w:val="bottom"/>
            <w:gridSpan w:val="2"/>
          </w:tcPr>
          <w:p>
            <w:pPr>
              <w:ind w:left="200"/>
              <w:spacing w:after="0" w:line="219" w:lineRule="exact"/>
              <w:rPr>
                <w:sz w:val="20"/>
                <w:szCs w:val="20"/>
                <w:color w:val="auto"/>
              </w:rPr>
            </w:pPr>
            <w:r>
              <w:rPr>
                <w:rFonts w:ascii="Arial" w:cs="Arial" w:eastAsia="Arial" w:hAnsi="Arial"/>
                <w:sz w:val="17"/>
                <w:szCs w:val="17"/>
                <w:color w:val="auto"/>
              </w:rPr>
              <w:t xml:space="preserve">Other </w:t>
            </w:r>
            <w:r>
              <w:rPr>
                <w:rFonts w:ascii="Arial" w:cs="Arial" w:eastAsia="Arial" w:hAnsi="Arial"/>
                <w:sz w:val="22"/>
                <w:szCs w:val="22"/>
                <w:color w:val="auto"/>
                <w:vertAlign w:val="superscript"/>
              </w:rPr>
              <w:t>(1)</w:t>
            </w:r>
          </w:p>
        </w:tc>
        <w:tc>
          <w:tcPr>
            <w:tcW w:w="30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87.9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20.3</w:t>
            </w:r>
          </w:p>
        </w:tc>
      </w:tr>
      <w:tr>
        <w:trPr>
          <w:trHeight w:val="219"/>
        </w:trPr>
        <w:tc>
          <w:tcPr>
            <w:tcW w:w="20" w:type="dxa"/>
            <w:vAlign w:val="bottom"/>
            <w:shd w:val="clear" w:color="auto" w:fill="CCEEFF"/>
          </w:tcPr>
          <w:p>
            <w:pPr>
              <w:spacing w:after="0"/>
              <w:rPr>
                <w:sz w:val="19"/>
                <w:szCs w:val="19"/>
                <w:color w:val="auto"/>
              </w:rPr>
            </w:pPr>
          </w:p>
        </w:tc>
        <w:tc>
          <w:tcPr>
            <w:tcW w:w="5000" w:type="dxa"/>
            <w:vAlign w:val="bottom"/>
            <w:gridSpan w:val="2"/>
            <w:shd w:val="clear" w:color="auto" w:fill="CCEEFF"/>
          </w:tcPr>
          <w:p>
            <w:pPr>
              <w:ind w:left="200"/>
              <w:spacing w:after="0" w:line="219" w:lineRule="exact"/>
              <w:rPr>
                <w:sz w:val="20"/>
                <w:szCs w:val="20"/>
                <w:color w:val="auto"/>
              </w:rPr>
            </w:pPr>
            <w:r>
              <w:rPr>
                <w:rFonts w:ascii="Arial" w:cs="Arial" w:eastAsia="Arial" w:hAnsi="Arial"/>
                <w:sz w:val="17"/>
                <w:szCs w:val="17"/>
                <w:color w:val="auto"/>
              </w:rPr>
              <w:t xml:space="preserve">Intersegment eliminations </w:t>
            </w:r>
            <w:r>
              <w:rPr>
                <w:rFonts w:ascii="Arial" w:cs="Arial" w:eastAsia="Arial" w:hAnsi="Arial"/>
                <w:sz w:val="22"/>
                <w:szCs w:val="22"/>
                <w:color w:val="auto"/>
                <w:vertAlign w:val="superscript"/>
              </w:rPr>
              <w:t>(2)</w:t>
            </w:r>
          </w:p>
        </w:tc>
        <w:tc>
          <w:tcPr>
            <w:tcW w:w="30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(11.1)</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(2.9)</w:t>
            </w:r>
          </w:p>
        </w:tc>
      </w:tr>
      <w:tr>
        <w:trPr>
          <w:trHeight w:val="212"/>
        </w:trPr>
        <w:tc>
          <w:tcPr>
            <w:tcW w:w="20" w:type="dxa"/>
            <w:vAlign w:val="bottom"/>
          </w:tcPr>
          <w:p>
            <w:pPr>
              <w:spacing w:after="0"/>
              <w:rPr>
                <w:sz w:val="18"/>
                <w:szCs w:val="18"/>
                <w:color w:val="auto"/>
              </w:rPr>
            </w:pPr>
          </w:p>
        </w:tc>
        <w:tc>
          <w:tcPr>
            <w:tcW w:w="5000" w:type="dxa"/>
            <w:vAlign w:val="bottom"/>
            <w:gridSpan w:val="2"/>
          </w:tcPr>
          <w:p>
            <w:pPr>
              <w:ind w:left="420"/>
              <w:spacing w:after="0"/>
              <w:rPr>
                <w:sz w:val="20"/>
                <w:szCs w:val="20"/>
                <w:color w:val="auto"/>
              </w:rPr>
            </w:pPr>
            <w:r>
              <w:rPr>
                <w:rFonts w:ascii="Arial" w:cs="Arial" w:eastAsia="Arial" w:hAnsi="Arial"/>
                <w:sz w:val="17"/>
                <w:szCs w:val="17"/>
                <w:b w:val="1"/>
                <w:bCs w:val="1"/>
                <w:color w:val="auto"/>
              </w:rPr>
              <w:t>Total</w:t>
            </w:r>
          </w:p>
        </w:tc>
        <w:tc>
          <w:tcPr>
            <w:tcW w:w="342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1180" w:type="dxa"/>
            <w:vAlign w:val="bottom"/>
          </w:tcPr>
          <w:p>
            <w:pPr>
              <w:jc w:val="right"/>
              <w:spacing w:after="0"/>
              <w:rPr>
                <w:sz w:val="20"/>
                <w:szCs w:val="20"/>
                <w:color w:val="auto"/>
              </w:rPr>
            </w:pPr>
            <w:r>
              <w:rPr>
                <w:rFonts w:ascii="Arial" w:cs="Arial" w:eastAsia="Arial" w:hAnsi="Arial"/>
                <w:sz w:val="17"/>
                <w:szCs w:val="17"/>
                <w:color w:val="auto"/>
              </w:rPr>
              <w:t>1,274.9</w:t>
            </w:r>
          </w:p>
        </w:tc>
        <w:tc>
          <w:tcPr>
            <w:tcW w:w="100" w:type="dxa"/>
            <w:vAlign w:val="bottom"/>
          </w:tcPr>
          <w:p>
            <w:pPr>
              <w:spacing w:after="0"/>
              <w:rPr>
                <w:sz w:val="18"/>
                <w:szCs w:val="18"/>
                <w:color w:val="auto"/>
              </w:rPr>
            </w:pPr>
          </w:p>
        </w:tc>
        <w:tc>
          <w:tcPr>
            <w:tcW w:w="340" w:type="dxa"/>
            <w:vAlign w:val="bottom"/>
          </w:tcPr>
          <w:p>
            <w:pPr>
              <w:jc w:val="right"/>
              <w:ind w:right="154"/>
              <w:spacing w:after="0"/>
              <w:rPr>
                <w:sz w:val="20"/>
                <w:szCs w:val="20"/>
                <w:color w:val="auto"/>
              </w:rPr>
            </w:pPr>
            <w:r>
              <w:rPr>
                <w:rFonts w:ascii="Arial" w:cs="Arial" w:eastAsia="Arial" w:hAnsi="Arial"/>
                <w:sz w:val="17"/>
                <w:szCs w:val="17"/>
                <w:color w:val="auto"/>
                <w:w w:val="84"/>
              </w:rPr>
              <w:t>$</w:t>
            </w:r>
          </w:p>
        </w:tc>
        <w:tc>
          <w:tcPr>
            <w:tcW w:w="1180" w:type="dxa"/>
            <w:vAlign w:val="bottom"/>
          </w:tcPr>
          <w:p>
            <w:pPr>
              <w:jc w:val="right"/>
              <w:spacing w:after="0"/>
              <w:rPr>
                <w:sz w:val="20"/>
                <w:szCs w:val="20"/>
                <w:color w:val="auto"/>
              </w:rPr>
            </w:pPr>
            <w:r>
              <w:rPr>
                <w:rFonts w:ascii="Arial" w:cs="Arial" w:eastAsia="Arial" w:hAnsi="Arial"/>
                <w:sz w:val="17"/>
                <w:szCs w:val="17"/>
                <w:color w:val="auto"/>
              </w:rPr>
              <w:t>1,116.1</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CCEEFF"/>
            </w:tcBorders>
          </w:tcPr>
          <w:p>
            <w:pPr>
              <w:spacing w:after="0" w:line="20" w:lineRule="exact"/>
              <w:rPr>
                <w:sz w:val="1"/>
                <w:szCs w:val="1"/>
                <w:color w:val="auto"/>
              </w:rPr>
            </w:pPr>
          </w:p>
        </w:tc>
        <w:tc>
          <w:tcPr>
            <w:tcW w:w="4220" w:type="dxa"/>
            <w:vAlign w:val="bottom"/>
            <w:tcBorders>
              <w:bottom w:val="single" w:sz="8" w:color="CCEEFF"/>
            </w:tcBorders>
          </w:tcPr>
          <w:p>
            <w:pPr>
              <w:spacing w:after="0" w:line="20" w:lineRule="exact"/>
              <w:rPr>
                <w:sz w:val="1"/>
                <w:szCs w:val="1"/>
                <w:color w:val="auto"/>
              </w:rPr>
            </w:pPr>
          </w:p>
        </w:tc>
        <w:tc>
          <w:tcPr>
            <w:tcW w:w="3080" w:type="dxa"/>
            <w:vAlign w:val="bottom"/>
            <w:tcBorders>
              <w:bottom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r>
      <w:tr>
        <w:trPr>
          <w:trHeight w:val="211"/>
        </w:trPr>
        <w:tc>
          <w:tcPr>
            <w:tcW w:w="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220" w:type="dxa"/>
            <w:vAlign w:val="bottom"/>
            <w:shd w:val="clear" w:color="auto" w:fill="CCEEFF"/>
          </w:tcPr>
          <w:p>
            <w:pPr>
              <w:spacing w:after="0"/>
              <w:rPr>
                <w:sz w:val="18"/>
                <w:szCs w:val="18"/>
                <w:color w:val="auto"/>
              </w:rPr>
            </w:pPr>
          </w:p>
        </w:tc>
        <w:tc>
          <w:tcPr>
            <w:tcW w:w="30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r>
      <w:tr>
        <w:trPr>
          <w:trHeight w:val="219"/>
        </w:trPr>
        <w:tc>
          <w:tcPr>
            <w:tcW w:w="5020" w:type="dxa"/>
            <w:vAlign w:val="bottom"/>
            <w:gridSpan w:val="3"/>
          </w:tcPr>
          <w:p>
            <w:pPr>
              <w:ind w:left="20"/>
              <w:spacing w:after="0" w:line="219" w:lineRule="exact"/>
              <w:rPr>
                <w:sz w:val="20"/>
                <w:szCs w:val="20"/>
                <w:color w:val="auto"/>
              </w:rPr>
            </w:pPr>
            <w:r>
              <w:rPr>
                <w:rFonts w:ascii="Arial" w:cs="Arial" w:eastAsia="Arial" w:hAnsi="Arial"/>
                <w:sz w:val="17"/>
                <w:szCs w:val="17"/>
                <w:b w:val="1"/>
                <w:bCs w:val="1"/>
                <w:color w:val="auto"/>
              </w:rPr>
              <w:t xml:space="preserve">Adjusted EBITDAR </w:t>
            </w:r>
            <w:r>
              <w:rPr>
                <w:rFonts w:ascii="Arial" w:cs="Arial" w:eastAsia="Arial" w:hAnsi="Arial"/>
                <w:sz w:val="22"/>
                <w:szCs w:val="22"/>
                <w:b w:val="1"/>
                <w:bCs w:val="1"/>
                <w:color w:val="auto"/>
                <w:vertAlign w:val="superscript"/>
              </w:rPr>
              <w:t>(3)</w:t>
            </w:r>
            <w:r>
              <w:rPr>
                <w:rFonts w:ascii="Arial" w:cs="Arial" w:eastAsia="Arial" w:hAnsi="Arial"/>
                <w:sz w:val="17"/>
                <w:szCs w:val="17"/>
                <w:b w:val="1"/>
                <w:bCs w:val="1"/>
                <w:color w:val="auto"/>
              </w:rPr>
              <w:t>:</w:t>
            </w:r>
          </w:p>
        </w:tc>
        <w:tc>
          <w:tcPr>
            <w:tcW w:w="30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19"/>
        </w:trPr>
        <w:tc>
          <w:tcPr>
            <w:tcW w:w="20" w:type="dxa"/>
            <w:vAlign w:val="bottom"/>
            <w:shd w:val="clear" w:color="auto" w:fill="CCEEFF"/>
          </w:tcPr>
          <w:p>
            <w:pPr>
              <w:spacing w:after="0"/>
              <w:rPr>
                <w:sz w:val="19"/>
                <w:szCs w:val="19"/>
                <w:color w:val="auto"/>
              </w:rPr>
            </w:pPr>
          </w:p>
        </w:tc>
        <w:tc>
          <w:tcPr>
            <w:tcW w:w="5000" w:type="dxa"/>
            <w:vAlign w:val="bottom"/>
            <w:gridSpan w:val="2"/>
            <w:shd w:val="clear" w:color="auto" w:fill="CCEEFF"/>
          </w:tcPr>
          <w:p>
            <w:pPr>
              <w:ind w:left="200"/>
              <w:spacing w:after="0"/>
              <w:rPr>
                <w:sz w:val="20"/>
                <w:szCs w:val="20"/>
                <w:color w:val="auto"/>
              </w:rPr>
            </w:pPr>
            <w:r>
              <w:rPr>
                <w:rFonts w:ascii="Arial" w:cs="Arial" w:eastAsia="Arial" w:hAnsi="Arial"/>
                <w:sz w:val="17"/>
                <w:szCs w:val="17"/>
                <w:color w:val="auto"/>
              </w:rPr>
              <w:t>Northeast segment</w:t>
            </w:r>
          </w:p>
        </w:tc>
        <w:tc>
          <w:tcPr>
            <w:tcW w:w="342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193.2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4"/>
              <w:spacing w:after="0"/>
              <w:rPr>
                <w:sz w:val="20"/>
                <w:szCs w:val="20"/>
                <w:color w:val="auto"/>
              </w:rPr>
            </w:pPr>
            <w:r>
              <w:rPr>
                <w:rFonts w:ascii="Arial" w:cs="Arial" w:eastAsia="Arial" w:hAnsi="Arial"/>
                <w:sz w:val="17"/>
                <w:szCs w:val="17"/>
                <w:color w:val="auto"/>
                <w:w w:val="84"/>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124.5</w:t>
            </w:r>
          </w:p>
        </w:tc>
      </w:tr>
      <w:tr>
        <w:trPr>
          <w:trHeight w:val="218"/>
        </w:trPr>
        <w:tc>
          <w:tcPr>
            <w:tcW w:w="20" w:type="dxa"/>
            <w:vAlign w:val="bottom"/>
          </w:tcPr>
          <w:p>
            <w:pPr>
              <w:spacing w:after="0"/>
              <w:rPr>
                <w:sz w:val="18"/>
                <w:szCs w:val="18"/>
                <w:color w:val="auto"/>
              </w:rPr>
            </w:pPr>
          </w:p>
        </w:tc>
        <w:tc>
          <w:tcPr>
            <w:tcW w:w="5000" w:type="dxa"/>
            <w:vAlign w:val="bottom"/>
            <w:gridSpan w:val="2"/>
          </w:tcPr>
          <w:p>
            <w:pPr>
              <w:ind w:left="200"/>
              <w:spacing w:after="0"/>
              <w:rPr>
                <w:sz w:val="20"/>
                <w:szCs w:val="20"/>
                <w:color w:val="auto"/>
              </w:rPr>
            </w:pPr>
            <w:r>
              <w:rPr>
                <w:rFonts w:ascii="Arial" w:cs="Arial" w:eastAsia="Arial" w:hAnsi="Arial"/>
                <w:sz w:val="17"/>
                <w:szCs w:val="17"/>
                <w:color w:val="auto"/>
              </w:rPr>
              <w:t>South segment</w:t>
            </w:r>
          </w:p>
        </w:tc>
        <w:tc>
          <w:tcPr>
            <w:tcW w:w="30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133.9</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52.6</w:t>
            </w:r>
          </w:p>
        </w:tc>
      </w:tr>
      <w:tr>
        <w:trPr>
          <w:trHeight w:val="220"/>
        </w:trPr>
        <w:tc>
          <w:tcPr>
            <w:tcW w:w="20" w:type="dxa"/>
            <w:vAlign w:val="bottom"/>
            <w:shd w:val="clear" w:color="auto" w:fill="CCEEFF"/>
          </w:tcPr>
          <w:p>
            <w:pPr>
              <w:spacing w:after="0"/>
              <w:rPr>
                <w:sz w:val="19"/>
                <w:szCs w:val="19"/>
                <w:color w:val="auto"/>
              </w:rPr>
            </w:pPr>
          </w:p>
        </w:tc>
        <w:tc>
          <w:tcPr>
            <w:tcW w:w="5000" w:type="dxa"/>
            <w:vAlign w:val="bottom"/>
            <w:gridSpan w:val="2"/>
            <w:shd w:val="clear" w:color="auto" w:fill="CCEEFF"/>
          </w:tcPr>
          <w:p>
            <w:pPr>
              <w:ind w:left="200"/>
              <w:spacing w:after="0"/>
              <w:rPr>
                <w:sz w:val="20"/>
                <w:szCs w:val="20"/>
                <w:color w:val="auto"/>
              </w:rPr>
            </w:pPr>
            <w:r>
              <w:rPr>
                <w:rFonts w:ascii="Arial" w:cs="Arial" w:eastAsia="Arial" w:hAnsi="Arial"/>
                <w:sz w:val="17"/>
                <w:szCs w:val="17"/>
                <w:color w:val="auto"/>
              </w:rPr>
              <w:t>West segment</w:t>
            </w:r>
          </w:p>
        </w:tc>
        <w:tc>
          <w:tcPr>
            <w:tcW w:w="30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24.6</w:t>
            </w:r>
          </w:p>
        </w:tc>
      </w:tr>
      <w:tr>
        <w:trPr>
          <w:trHeight w:val="218"/>
        </w:trPr>
        <w:tc>
          <w:tcPr>
            <w:tcW w:w="20" w:type="dxa"/>
            <w:vAlign w:val="bottom"/>
          </w:tcPr>
          <w:p>
            <w:pPr>
              <w:spacing w:after="0"/>
              <w:rPr>
                <w:sz w:val="18"/>
                <w:szCs w:val="18"/>
                <w:color w:val="auto"/>
              </w:rPr>
            </w:pPr>
          </w:p>
        </w:tc>
        <w:tc>
          <w:tcPr>
            <w:tcW w:w="5000" w:type="dxa"/>
            <w:vAlign w:val="bottom"/>
            <w:gridSpan w:val="2"/>
          </w:tcPr>
          <w:p>
            <w:pPr>
              <w:ind w:left="200"/>
              <w:spacing w:after="0"/>
              <w:rPr>
                <w:sz w:val="20"/>
                <w:szCs w:val="20"/>
                <w:color w:val="auto"/>
              </w:rPr>
            </w:pPr>
            <w:r>
              <w:rPr>
                <w:rFonts w:ascii="Arial" w:cs="Arial" w:eastAsia="Arial" w:hAnsi="Arial"/>
                <w:sz w:val="17"/>
                <w:szCs w:val="17"/>
                <w:color w:val="auto"/>
              </w:rPr>
              <w:t>Midwest segment</w:t>
            </w:r>
          </w:p>
        </w:tc>
        <w:tc>
          <w:tcPr>
            <w:tcW w:w="30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106.0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69.5</w:t>
            </w:r>
          </w:p>
        </w:tc>
      </w:tr>
      <w:tr>
        <w:trPr>
          <w:trHeight w:val="220"/>
        </w:trPr>
        <w:tc>
          <w:tcPr>
            <w:tcW w:w="20" w:type="dxa"/>
            <w:vAlign w:val="bottom"/>
            <w:shd w:val="clear" w:color="auto" w:fill="CCEEFF"/>
          </w:tcPr>
          <w:p>
            <w:pPr>
              <w:spacing w:after="0"/>
              <w:rPr>
                <w:sz w:val="19"/>
                <w:szCs w:val="19"/>
                <w:color w:val="auto"/>
              </w:rPr>
            </w:pPr>
          </w:p>
        </w:tc>
        <w:tc>
          <w:tcPr>
            <w:tcW w:w="5000" w:type="dxa"/>
            <w:vAlign w:val="bottom"/>
            <w:gridSpan w:val="2"/>
            <w:shd w:val="clear" w:color="auto" w:fill="CCEEFF"/>
          </w:tcPr>
          <w:p>
            <w:pPr>
              <w:ind w:left="200"/>
              <w:spacing w:after="0" w:line="220" w:lineRule="exact"/>
              <w:rPr>
                <w:sz w:val="20"/>
                <w:szCs w:val="20"/>
                <w:color w:val="auto"/>
              </w:rPr>
            </w:pPr>
            <w:r>
              <w:rPr>
                <w:rFonts w:ascii="Arial" w:cs="Arial" w:eastAsia="Arial" w:hAnsi="Arial"/>
                <w:sz w:val="17"/>
                <w:szCs w:val="17"/>
                <w:color w:val="auto"/>
              </w:rPr>
              <w:t xml:space="preserve">Other </w:t>
            </w:r>
            <w:r>
              <w:rPr>
                <w:rFonts w:ascii="Arial" w:cs="Arial" w:eastAsia="Arial" w:hAnsi="Arial"/>
                <w:sz w:val="22"/>
                <w:szCs w:val="22"/>
                <w:color w:val="auto"/>
                <w:vertAlign w:val="superscript"/>
              </w:rPr>
              <w:t>(1)</w:t>
            </w:r>
          </w:p>
        </w:tc>
        <w:tc>
          <w:tcPr>
            <w:tcW w:w="30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(21.3)</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(18.9)</w:t>
            </w:r>
          </w:p>
        </w:tc>
      </w:tr>
      <w:tr>
        <w:trPr>
          <w:trHeight w:val="212"/>
        </w:trPr>
        <w:tc>
          <w:tcPr>
            <w:tcW w:w="20" w:type="dxa"/>
            <w:vAlign w:val="bottom"/>
          </w:tcPr>
          <w:p>
            <w:pPr>
              <w:spacing w:after="0"/>
              <w:rPr>
                <w:sz w:val="18"/>
                <w:szCs w:val="18"/>
                <w:color w:val="auto"/>
              </w:rPr>
            </w:pPr>
          </w:p>
        </w:tc>
        <w:tc>
          <w:tcPr>
            <w:tcW w:w="5000" w:type="dxa"/>
            <w:vAlign w:val="bottom"/>
            <w:gridSpan w:val="2"/>
          </w:tcPr>
          <w:p>
            <w:pPr>
              <w:ind w:left="420"/>
              <w:spacing w:after="0" w:line="212" w:lineRule="exact"/>
              <w:rPr>
                <w:sz w:val="20"/>
                <w:szCs w:val="20"/>
                <w:color w:val="auto"/>
              </w:rPr>
            </w:pPr>
            <w:r>
              <w:rPr>
                <w:rFonts w:ascii="Arial" w:cs="Arial" w:eastAsia="Arial" w:hAnsi="Arial"/>
                <w:sz w:val="17"/>
                <w:szCs w:val="17"/>
                <w:b w:val="1"/>
                <w:bCs w:val="1"/>
                <w:color w:val="auto"/>
              </w:rPr>
              <w:t xml:space="preserve">Total </w:t>
            </w:r>
            <w:r>
              <w:rPr>
                <w:rFonts w:ascii="Arial" w:cs="Arial" w:eastAsia="Arial" w:hAnsi="Arial"/>
                <w:sz w:val="22"/>
                <w:szCs w:val="22"/>
                <w:b w:val="1"/>
                <w:bCs w:val="1"/>
                <w:color w:val="auto"/>
                <w:vertAlign w:val="superscript"/>
              </w:rPr>
              <w:t>(3)</w:t>
            </w:r>
          </w:p>
        </w:tc>
        <w:tc>
          <w:tcPr>
            <w:tcW w:w="30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447.0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252.3</w:t>
            </w:r>
          </w:p>
        </w:tc>
      </w:tr>
      <w:tr>
        <w:trPr>
          <w:trHeight w:val="245"/>
        </w:trPr>
        <w:tc>
          <w:tcPr>
            <w:tcW w:w="2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4220" w:type="dxa"/>
            <w:vAlign w:val="bottom"/>
            <w:shd w:val="clear" w:color="auto" w:fill="CCEEFF"/>
          </w:tcPr>
          <w:p>
            <w:pPr>
              <w:spacing w:after="0"/>
              <w:rPr>
                <w:sz w:val="21"/>
                <w:szCs w:val="21"/>
                <w:color w:val="auto"/>
              </w:rPr>
            </w:pPr>
          </w:p>
        </w:tc>
        <w:tc>
          <w:tcPr>
            <w:tcW w:w="30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r>
      <w:tr>
        <w:trPr>
          <w:trHeight w:val="219"/>
        </w:trPr>
        <w:tc>
          <w:tcPr>
            <w:tcW w:w="5020" w:type="dxa"/>
            <w:vAlign w:val="bottom"/>
            <w:gridSpan w:val="3"/>
          </w:tcPr>
          <w:p>
            <w:pPr>
              <w:ind w:left="20"/>
              <w:spacing w:after="0"/>
              <w:rPr>
                <w:sz w:val="20"/>
                <w:szCs w:val="20"/>
                <w:color w:val="auto"/>
              </w:rPr>
            </w:pPr>
            <w:r>
              <w:rPr>
                <w:rFonts w:ascii="Arial" w:cs="Arial" w:eastAsia="Arial" w:hAnsi="Arial"/>
                <w:sz w:val="17"/>
                <w:szCs w:val="17"/>
                <w:b w:val="1"/>
                <w:bCs w:val="1"/>
                <w:color w:val="auto"/>
                <w:w w:val="98"/>
              </w:rPr>
              <w:t>Other operating benefits (costs) and other income (expenses):</w:t>
            </w:r>
          </w:p>
        </w:tc>
        <w:tc>
          <w:tcPr>
            <w:tcW w:w="30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19"/>
        </w:trPr>
        <w:tc>
          <w:tcPr>
            <w:tcW w:w="20" w:type="dxa"/>
            <w:vAlign w:val="bottom"/>
            <w:shd w:val="clear" w:color="auto" w:fill="CCEEFF"/>
          </w:tcPr>
          <w:p>
            <w:pPr>
              <w:spacing w:after="0"/>
              <w:rPr>
                <w:sz w:val="19"/>
                <w:szCs w:val="19"/>
                <w:color w:val="auto"/>
              </w:rPr>
            </w:pPr>
          </w:p>
        </w:tc>
        <w:tc>
          <w:tcPr>
            <w:tcW w:w="5000" w:type="dxa"/>
            <w:vAlign w:val="bottom"/>
            <w:gridSpan w:val="2"/>
            <w:shd w:val="clear" w:color="auto" w:fill="CCEEFF"/>
          </w:tcPr>
          <w:p>
            <w:pPr>
              <w:ind w:left="200"/>
              <w:spacing w:after="0" w:line="219" w:lineRule="exact"/>
              <w:rPr>
                <w:sz w:val="20"/>
                <w:szCs w:val="20"/>
                <w:color w:val="auto"/>
              </w:rPr>
            </w:pPr>
            <w:r>
              <w:rPr>
                <w:rFonts w:ascii="Arial" w:cs="Arial" w:eastAsia="Arial" w:hAnsi="Arial"/>
                <w:sz w:val="17"/>
                <w:szCs w:val="17"/>
                <w:color w:val="auto"/>
              </w:rPr>
              <w:t xml:space="preserve">Rent expense associated with triple net operating leases </w:t>
            </w:r>
            <w:r>
              <w:rPr>
                <w:rFonts w:ascii="Arial" w:cs="Arial" w:eastAsia="Arial" w:hAnsi="Arial"/>
                <w:sz w:val="22"/>
                <w:szCs w:val="22"/>
                <w:color w:val="auto"/>
                <w:vertAlign w:val="superscript"/>
              </w:rPr>
              <w:t>(4)</w:t>
            </w:r>
          </w:p>
        </w:tc>
        <w:tc>
          <w:tcPr>
            <w:tcW w:w="30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(110.4)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(97.5)</w:t>
            </w:r>
          </w:p>
        </w:tc>
      </w:tr>
      <w:tr>
        <w:trPr>
          <w:trHeight w:val="218"/>
        </w:trPr>
        <w:tc>
          <w:tcPr>
            <w:tcW w:w="20" w:type="dxa"/>
            <w:vAlign w:val="bottom"/>
          </w:tcPr>
          <w:p>
            <w:pPr>
              <w:spacing w:after="0"/>
              <w:rPr>
                <w:sz w:val="18"/>
                <w:szCs w:val="18"/>
                <w:color w:val="auto"/>
              </w:rPr>
            </w:pPr>
          </w:p>
        </w:tc>
        <w:tc>
          <w:tcPr>
            <w:tcW w:w="5000" w:type="dxa"/>
            <w:vAlign w:val="bottom"/>
            <w:gridSpan w:val="2"/>
          </w:tcPr>
          <w:p>
            <w:pPr>
              <w:ind w:left="200"/>
              <w:spacing w:after="0"/>
              <w:rPr>
                <w:sz w:val="20"/>
                <w:szCs w:val="20"/>
                <w:color w:val="auto"/>
              </w:rPr>
            </w:pPr>
            <w:r>
              <w:rPr>
                <w:rFonts w:ascii="Arial" w:cs="Arial" w:eastAsia="Arial" w:hAnsi="Arial"/>
                <w:sz w:val="17"/>
                <w:szCs w:val="17"/>
                <w:color w:val="auto"/>
              </w:rPr>
              <w:t>Stock-based compensation</w:t>
            </w:r>
          </w:p>
        </w:tc>
        <w:tc>
          <w:tcPr>
            <w:tcW w:w="30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(4.2)</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(6.0)</w:t>
            </w:r>
          </w:p>
        </w:tc>
      </w:tr>
      <w:tr>
        <w:trPr>
          <w:trHeight w:val="220"/>
        </w:trPr>
        <w:tc>
          <w:tcPr>
            <w:tcW w:w="20" w:type="dxa"/>
            <w:vAlign w:val="bottom"/>
            <w:shd w:val="clear" w:color="auto" w:fill="CCEEFF"/>
          </w:tcPr>
          <w:p>
            <w:pPr>
              <w:spacing w:after="0"/>
              <w:rPr>
                <w:sz w:val="19"/>
                <w:szCs w:val="19"/>
                <w:color w:val="auto"/>
              </w:rPr>
            </w:pPr>
          </w:p>
        </w:tc>
        <w:tc>
          <w:tcPr>
            <w:tcW w:w="5000" w:type="dxa"/>
            <w:vAlign w:val="bottom"/>
            <w:gridSpan w:val="2"/>
            <w:shd w:val="clear" w:color="auto" w:fill="CCEEFF"/>
          </w:tcPr>
          <w:p>
            <w:pPr>
              <w:ind w:left="200"/>
              <w:spacing w:after="0"/>
              <w:rPr>
                <w:sz w:val="20"/>
                <w:szCs w:val="20"/>
                <w:color w:val="auto"/>
              </w:rPr>
            </w:pPr>
            <w:r>
              <w:rPr>
                <w:rFonts w:ascii="Arial" w:cs="Arial" w:eastAsia="Arial" w:hAnsi="Arial"/>
                <w:sz w:val="17"/>
                <w:szCs w:val="17"/>
                <w:color w:val="auto"/>
              </w:rPr>
              <w:t>Cash-settled stock-based awards variance</w:t>
            </w:r>
          </w:p>
        </w:tc>
        <w:tc>
          <w:tcPr>
            <w:tcW w:w="30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8.9</w:t>
            </w:r>
          </w:p>
        </w:tc>
      </w:tr>
      <w:tr>
        <w:trPr>
          <w:trHeight w:val="218"/>
        </w:trPr>
        <w:tc>
          <w:tcPr>
            <w:tcW w:w="20" w:type="dxa"/>
            <w:vAlign w:val="bottom"/>
          </w:tcPr>
          <w:p>
            <w:pPr>
              <w:spacing w:after="0"/>
              <w:rPr>
                <w:sz w:val="18"/>
                <w:szCs w:val="18"/>
                <w:color w:val="auto"/>
              </w:rPr>
            </w:pPr>
          </w:p>
        </w:tc>
        <w:tc>
          <w:tcPr>
            <w:tcW w:w="5000" w:type="dxa"/>
            <w:vAlign w:val="bottom"/>
            <w:gridSpan w:val="2"/>
          </w:tcPr>
          <w:p>
            <w:pPr>
              <w:ind w:left="200"/>
              <w:spacing w:after="0"/>
              <w:rPr>
                <w:sz w:val="20"/>
                <w:szCs w:val="20"/>
                <w:color w:val="auto"/>
              </w:rPr>
            </w:pPr>
            <w:r>
              <w:rPr>
                <w:rFonts w:ascii="Arial" w:cs="Arial" w:eastAsia="Arial" w:hAnsi="Arial"/>
                <w:sz w:val="17"/>
                <w:szCs w:val="17"/>
                <w:color w:val="auto"/>
              </w:rPr>
              <w:t>Gain (loss) on disposal of assets</w:t>
            </w:r>
          </w:p>
        </w:tc>
        <w:tc>
          <w:tcPr>
            <w:tcW w:w="30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0.1</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(0.6)</w:t>
            </w:r>
          </w:p>
        </w:tc>
      </w:tr>
      <w:tr>
        <w:trPr>
          <w:trHeight w:val="220"/>
        </w:trPr>
        <w:tc>
          <w:tcPr>
            <w:tcW w:w="20" w:type="dxa"/>
            <w:vAlign w:val="bottom"/>
            <w:shd w:val="clear" w:color="auto" w:fill="CCEEFF"/>
          </w:tcPr>
          <w:p>
            <w:pPr>
              <w:spacing w:after="0"/>
              <w:rPr>
                <w:sz w:val="19"/>
                <w:szCs w:val="19"/>
                <w:color w:val="auto"/>
              </w:rPr>
            </w:pPr>
          </w:p>
        </w:tc>
        <w:tc>
          <w:tcPr>
            <w:tcW w:w="5000" w:type="dxa"/>
            <w:vAlign w:val="bottom"/>
            <w:gridSpan w:val="2"/>
            <w:shd w:val="clear" w:color="auto" w:fill="CCEEFF"/>
          </w:tcPr>
          <w:p>
            <w:pPr>
              <w:ind w:left="200"/>
              <w:spacing w:after="0"/>
              <w:rPr>
                <w:sz w:val="20"/>
                <w:szCs w:val="20"/>
                <w:color w:val="auto"/>
              </w:rPr>
            </w:pPr>
            <w:r>
              <w:rPr>
                <w:rFonts w:ascii="Arial" w:cs="Arial" w:eastAsia="Arial" w:hAnsi="Arial"/>
                <w:sz w:val="17"/>
                <w:szCs w:val="17"/>
                <w:color w:val="auto"/>
              </w:rPr>
              <w:t>Contingent purchase price</w:t>
            </w:r>
          </w:p>
        </w:tc>
        <w:tc>
          <w:tcPr>
            <w:tcW w:w="30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w:t>
            </w:r>
          </w:p>
        </w:tc>
      </w:tr>
      <w:tr>
        <w:trPr>
          <w:trHeight w:val="218"/>
        </w:trPr>
        <w:tc>
          <w:tcPr>
            <w:tcW w:w="20" w:type="dxa"/>
            <w:vAlign w:val="bottom"/>
          </w:tcPr>
          <w:p>
            <w:pPr>
              <w:spacing w:after="0"/>
              <w:rPr>
                <w:sz w:val="18"/>
                <w:szCs w:val="18"/>
                <w:color w:val="auto"/>
              </w:rPr>
            </w:pPr>
          </w:p>
        </w:tc>
        <w:tc>
          <w:tcPr>
            <w:tcW w:w="5000" w:type="dxa"/>
            <w:vAlign w:val="bottom"/>
            <w:gridSpan w:val="2"/>
          </w:tcPr>
          <w:p>
            <w:pPr>
              <w:ind w:left="200"/>
              <w:spacing w:after="0"/>
              <w:rPr>
                <w:sz w:val="20"/>
                <w:szCs w:val="20"/>
                <w:color w:val="auto"/>
              </w:rPr>
            </w:pPr>
            <w:r>
              <w:rPr>
                <w:rFonts w:ascii="Arial" w:cs="Arial" w:eastAsia="Arial" w:hAnsi="Arial"/>
                <w:sz w:val="17"/>
                <w:szCs w:val="17"/>
                <w:color w:val="auto"/>
              </w:rPr>
              <w:t>Pre-opening and acquisition costs</w:t>
            </w:r>
          </w:p>
        </w:tc>
        <w:tc>
          <w:tcPr>
            <w:tcW w:w="30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(1.6)</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(3.2)</w:t>
            </w:r>
          </w:p>
        </w:tc>
      </w:tr>
      <w:tr>
        <w:trPr>
          <w:trHeight w:val="220"/>
        </w:trPr>
        <w:tc>
          <w:tcPr>
            <w:tcW w:w="20" w:type="dxa"/>
            <w:vAlign w:val="bottom"/>
            <w:shd w:val="clear" w:color="auto" w:fill="CCEEFF"/>
          </w:tcPr>
          <w:p>
            <w:pPr>
              <w:spacing w:after="0"/>
              <w:rPr>
                <w:sz w:val="19"/>
                <w:szCs w:val="19"/>
                <w:color w:val="auto"/>
              </w:rPr>
            </w:pPr>
          </w:p>
        </w:tc>
        <w:tc>
          <w:tcPr>
            <w:tcW w:w="5000" w:type="dxa"/>
            <w:vAlign w:val="bottom"/>
            <w:gridSpan w:val="2"/>
            <w:shd w:val="clear" w:color="auto" w:fill="CCEEFF"/>
          </w:tcPr>
          <w:p>
            <w:pPr>
              <w:ind w:left="200"/>
              <w:spacing w:after="0"/>
              <w:rPr>
                <w:sz w:val="20"/>
                <w:szCs w:val="20"/>
                <w:color w:val="auto"/>
              </w:rPr>
            </w:pPr>
            <w:r>
              <w:rPr>
                <w:rFonts w:ascii="Arial" w:cs="Arial" w:eastAsia="Arial" w:hAnsi="Arial"/>
                <w:sz w:val="17"/>
                <w:szCs w:val="17"/>
                <w:color w:val="auto"/>
              </w:rPr>
              <w:t>Depreciation and amortization</w:t>
            </w:r>
          </w:p>
        </w:tc>
        <w:tc>
          <w:tcPr>
            <w:tcW w:w="30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(81.3)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(95.7)</w:t>
            </w:r>
          </w:p>
        </w:tc>
      </w:tr>
      <w:tr>
        <w:trPr>
          <w:trHeight w:val="218"/>
        </w:trPr>
        <w:tc>
          <w:tcPr>
            <w:tcW w:w="20" w:type="dxa"/>
            <w:vAlign w:val="bottom"/>
          </w:tcPr>
          <w:p>
            <w:pPr>
              <w:spacing w:after="0"/>
              <w:rPr>
                <w:sz w:val="18"/>
                <w:szCs w:val="18"/>
                <w:color w:val="auto"/>
              </w:rPr>
            </w:pPr>
          </w:p>
        </w:tc>
        <w:tc>
          <w:tcPr>
            <w:tcW w:w="5000" w:type="dxa"/>
            <w:vAlign w:val="bottom"/>
            <w:gridSpan w:val="2"/>
          </w:tcPr>
          <w:p>
            <w:pPr>
              <w:ind w:left="200"/>
              <w:spacing w:after="0"/>
              <w:rPr>
                <w:sz w:val="20"/>
                <w:szCs w:val="20"/>
                <w:color w:val="auto"/>
              </w:rPr>
            </w:pPr>
            <w:r>
              <w:rPr>
                <w:rFonts w:ascii="Arial" w:cs="Arial" w:eastAsia="Arial" w:hAnsi="Arial"/>
                <w:sz w:val="17"/>
                <w:szCs w:val="17"/>
                <w:color w:val="auto"/>
              </w:rPr>
              <w:t>Impairment losses</w:t>
            </w:r>
          </w:p>
        </w:tc>
        <w:tc>
          <w:tcPr>
            <w:tcW w:w="30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(616.1)</w:t>
            </w:r>
          </w:p>
        </w:tc>
      </w:tr>
      <w:tr>
        <w:trPr>
          <w:trHeight w:val="220"/>
        </w:trPr>
        <w:tc>
          <w:tcPr>
            <w:tcW w:w="20" w:type="dxa"/>
            <w:vAlign w:val="bottom"/>
            <w:shd w:val="clear" w:color="auto" w:fill="CCEEFF"/>
          </w:tcPr>
          <w:p>
            <w:pPr>
              <w:spacing w:after="0"/>
              <w:rPr>
                <w:sz w:val="19"/>
                <w:szCs w:val="19"/>
                <w:color w:val="auto"/>
              </w:rPr>
            </w:pPr>
          </w:p>
        </w:tc>
        <w:tc>
          <w:tcPr>
            <w:tcW w:w="5000" w:type="dxa"/>
            <w:vAlign w:val="bottom"/>
            <w:gridSpan w:val="2"/>
            <w:shd w:val="clear" w:color="auto" w:fill="CCEEFF"/>
          </w:tcPr>
          <w:p>
            <w:pPr>
              <w:ind w:left="200"/>
              <w:spacing w:after="0"/>
              <w:rPr>
                <w:sz w:val="20"/>
                <w:szCs w:val="20"/>
                <w:color w:val="auto"/>
              </w:rPr>
            </w:pPr>
            <w:r>
              <w:rPr>
                <w:rFonts w:ascii="Arial" w:cs="Arial" w:eastAsia="Arial" w:hAnsi="Arial"/>
                <w:sz w:val="17"/>
                <w:szCs w:val="17"/>
                <w:color w:val="auto"/>
              </w:rPr>
              <w:t>Insurance recoveries, net of deductible charges</w:t>
            </w:r>
          </w:p>
        </w:tc>
        <w:tc>
          <w:tcPr>
            <w:tcW w:w="30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0.1</w:t>
            </w:r>
          </w:p>
        </w:tc>
      </w:tr>
      <w:tr>
        <w:trPr>
          <w:trHeight w:val="219"/>
        </w:trPr>
        <w:tc>
          <w:tcPr>
            <w:tcW w:w="20" w:type="dxa"/>
            <w:vAlign w:val="bottom"/>
          </w:tcPr>
          <w:p>
            <w:pPr>
              <w:spacing w:after="0"/>
              <w:rPr>
                <w:sz w:val="19"/>
                <w:szCs w:val="19"/>
                <w:color w:val="auto"/>
              </w:rPr>
            </w:pPr>
          </w:p>
        </w:tc>
        <w:tc>
          <w:tcPr>
            <w:tcW w:w="5000" w:type="dxa"/>
            <w:vAlign w:val="bottom"/>
            <w:gridSpan w:val="2"/>
          </w:tcPr>
          <w:p>
            <w:pPr>
              <w:ind w:left="200"/>
              <w:spacing w:after="0" w:line="219" w:lineRule="exact"/>
              <w:rPr>
                <w:sz w:val="20"/>
                <w:szCs w:val="20"/>
                <w:color w:val="auto"/>
              </w:rPr>
            </w:pPr>
            <w:r>
              <w:rPr>
                <w:rFonts w:ascii="Arial" w:cs="Arial" w:eastAsia="Arial" w:hAnsi="Arial"/>
                <w:sz w:val="17"/>
                <w:szCs w:val="17"/>
                <w:color w:val="auto"/>
              </w:rPr>
              <w:t xml:space="preserve">Non-operating items of equity method investments </w:t>
            </w:r>
            <w:r>
              <w:rPr>
                <w:rFonts w:ascii="Arial" w:cs="Arial" w:eastAsia="Arial" w:hAnsi="Arial"/>
                <w:sz w:val="22"/>
                <w:szCs w:val="22"/>
                <w:color w:val="auto"/>
                <w:vertAlign w:val="superscript"/>
              </w:rPr>
              <w:t>(5)</w:t>
            </w:r>
          </w:p>
        </w:tc>
        <w:tc>
          <w:tcPr>
            <w:tcW w:w="30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(1.6)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(0.9)</w:t>
            </w:r>
          </w:p>
        </w:tc>
      </w:tr>
      <w:tr>
        <w:trPr>
          <w:trHeight w:val="219"/>
        </w:trPr>
        <w:tc>
          <w:tcPr>
            <w:tcW w:w="20" w:type="dxa"/>
            <w:vAlign w:val="bottom"/>
            <w:shd w:val="clear" w:color="auto" w:fill="CCEEFF"/>
          </w:tcPr>
          <w:p>
            <w:pPr>
              <w:spacing w:after="0"/>
              <w:rPr>
                <w:sz w:val="19"/>
                <w:szCs w:val="19"/>
                <w:color w:val="auto"/>
              </w:rPr>
            </w:pPr>
          </w:p>
        </w:tc>
        <w:tc>
          <w:tcPr>
            <w:tcW w:w="5000" w:type="dxa"/>
            <w:vAlign w:val="bottom"/>
            <w:gridSpan w:val="2"/>
            <w:shd w:val="clear" w:color="auto" w:fill="CCEEFF"/>
          </w:tcPr>
          <w:p>
            <w:pPr>
              <w:ind w:left="200"/>
              <w:spacing w:after="0"/>
              <w:rPr>
                <w:sz w:val="20"/>
                <w:szCs w:val="20"/>
                <w:color w:val="auto"/>
              </w:rPr>
            </w:pPr>
            <w:r>
              <w:rPr>
                <w:rFonts w:ascii="Arial" w:cs="Arial" w:eastAsia="Arial" w:hAnsi="Arial"/>
                <w:sz w:val="17"/>
                <w:szCs w:val="17"/>
                <w:color w:val="auto"/>
              </w:rPr>
              <w:t>Interest expense, net</w:t>
            </w:r>
          </w:p>
        </w:tc>
        <w:tc>
          <w:tcPr>
            <w:tcW w:w="30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(135.7)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(129.8)</w:t>
            </w:r>
          </w:p>
        </w:tc>
      </w:tr>
      <w:tr>
        <w:trPr>
          <w:trHeight w:val="219"/>
        </w:trPr>
        <w:tc>
          <w:tcPr>
            <w:tcW w:w="20" w:type="dxa"/>
            <w:vAlign w:val="bottom"/>
          </w:tcPr>
          <w:p>
            <w:pPr>
              <w:spacing w:after="0"/>
              <w:rPr>
                <w:sz w:val="19"/>
                <w:szCs w:val="19"/>
                <w:color w:val="auto"/>
              </w:rPr>
            </w:pPr>
          </w:p>
        </w:tc>
        <w:tc>
          <w:tcPr>
            <w:tcW w:w="5000" w:type="dxa"/>
            <w:vAlign w:val="bottom"/>
            <w:gridSpan w:val="2"/>
          </w:tcPr>
          <w:p>
            <w:pPr>
              <w:ind w:left="200"/>
              <w:spacing w:after="0" w:line="219" w:lineRule="exact"/>
              <w:rPr>
                <w:sz w:val="20"/>
                <w:szCs w:val="20"/>
                <w:color w:val="auto"/>
              </w:rPr>
            </w:pPr>
            <w:r>
              <w:rPr>
                <w:rFonts w:ascii="Arial" w:cs="Arial" w:eastAsia="Arial" w:hAnsi="Arial"/>
                <w:sz w:val="17"/>
                <w:szCs w:val="17"/>
                <w:color w:val="auto"/>
              </w:rPr>
              <w:t xml:space="preserve">Other </w:t>
            </w:r>
            <w:r>
              <w:rPr>
                <w:rFonts w:ascii="Arial" w:cs="Arial" w:eastAsia="Arial" w:hAnsi="Arial"/>
                <w:sz w:val="22"/>
                <w:szCs w:val="22"/>
                <w:color w:val="auto"/>
                <w:vertAlign w:val="superscript"/>
              </w:rPr>
              <w:t>(6)</w:t>
            </w:r>
          </w:p>
        </w:tc>
        <w:tc>
          <w:tcPr>
            <w:tcW w:w="308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20.8</w:t>
            </w:r>
          </w:p>
        </w:tc>
        <w:tc>
          <w:tcPr>
            <w:tcW w:w="1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(21.8)</w:t>
            </w:r>
          </w:p>
        </w:tc>
      </w:tr>
      <w:tr>
        <w:trPr>
          <w:trHeight w:val="700"/>
        </w:trPr>
        <w:tc>
          <w:tcPr>
            <w:tcW w:w="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220" w:type="dxa"/>
            <w:vAlign w:val="bottom"/>
          </w:tcPr>
          <w:p>
            <w:pPr>
              <w:spacing w:after="0"/>
              <w:rPr>
                <w:sz w:val="24"/>
                <w:szCs w:val="24"/>
                <w:color w:val="auto"/>
              </w:rPr>
            </w:pPr>
          </w:p>
        </w:tc>
        <w:tc>
          <w:tcPr>
            <w:tcW w:w="3080" w:type="dxa"/>
            <w:vAlign w:val="bottom"/>
          </w:tcPr>
          <w:p>
            <w:pPr>
              <w:jc w:val="right"/>
              <w:ind w:right="2314"/>
              <w:spacing w:after="0"/>
              <w:rPr>
                <w:sz w:val="20"/>
                <w:szCs w:val="20"/>
                <w:color w:val="auto"/>
              </w:rPr>
            </w:pPr>
            <w:r>
              <w:rPr>
                <w:rFonts w:ascii="Arial" w:cs="Arial" w:eastAsia="Arial" w:hAnsi="Arial"/>
                <w:sz w:val="17"/>
                <w:szCs w:val="17"/>
                <w:color w:val="auto"/>
              </w:rPr>
              <w:t>27</w:t>
            </w:r>
          </w:p>
        </w:tc>
        <w:tc>
          <w:tcPr>
            <w:tcW w:w="3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278"/>
        </w:trPr>
        <w:tc>
          <w:tcPr>
            <w:tcW w:w="2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4220" w:type="dxa"/>
            <w:vAlign w:val="bottom"/>
            <w:tcBorders>
              <w:bottom w:val="single" w:sz="8" w:color="9A9A9A"/>
            </w:tcBorders>
          </w:tcPr>
          <w:p>
            <w:pPr>
              <w:spacing w:after="0"/>
              <w:rPr>
                <w:sz w:val="24"/>
                <w:szCs w:val="24"/>
                <w:color w:val="auto"/>
              </w:rPr>
            </w:pPr>
          </w:p>
        </w:tc>
        <w:tc>
          <w:tcPr>
            <w:tcW w:w="308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9" w:name="page30"/>
    <w:bookmarkEnd w:id="29"/>
    <w:tbl>
      <w:tblPr>
        <w:tblLayout w:type="fixed"/>
        <w:tblInd w:w="0" w:type="dxa"/>
        <w:tblCellMar>
          <w:top w:w="0" w:type="dxa"/>
          <w:left w:w="0" w:type="dxa"/>
          <w:bottom w:w="0" w:type="dxa"/>
          <w:right w:w="0" w:type="dxa"/>
        </w:tblCellMar>
      </w:tblPr>
      <w:tr>
        <w:trPr>
          <w:trHeight w:val="195"/>
        </w:trPr>
        <w:tc>
          <w:tcPr>
            <w:tcW w:w="8100" w:type="dxa"/>
            <w:vAlign w:val="bottom"/>
            <w:gridSpan w:val="2"/>
          </w:tcPr>
          <w:p>
            <w:pPr>
              <w:spacing w:after="0"/>
              <w:rPr>
                <w:rFonts w:ascii="Arial" w:cs="Arial" w:eastAsia="Arial" w:hAnsi="Arial"/>
                <w:sz w:val="17"/>
                <w:szCs w:val="17"/>
                <w:color w:val="0000FF"/>
              </w:rPr>
            </w:pPr>
            <w:hyperlink w:anchor="page1">
              <w:r>
                <w:rPr>
                  <w:rFonts w:ascii="Arial" w:cs="Arial" w:eastAsia="Arial" w:hAnsi="Arial"/>
                  <w:sz w:val="17"/>
                  <w:szCs w:val="17"/>
                  <w:color w:val="0000FF"/>
                </w:rPr>
                <w:t>Table of Contents</w:t>
              </w:r>
            </w:hyperlink>
          </w:p>
        </w:tc>
        <w:tc>
          <w:tcPr>
            <w:tcW w:w="6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663"/>
        </w:trPr>
        <w:tc>
          <w:tcPr>
            <w:tcW w:w="1220" w:type="dxa"/>
            <w:vAlign w:val="bottom"/>
            <w:tcBorders>
              <w:top w:val="single" w:sz="8" w:color="0000FF"/>
              <w:bottom w:val="single" w:sz="8" w:color="CCEEFF"/>
            </w:tcBorders>
          </w:tcPr>
          <w:p>
            <w:pPr>
              <w:spacing w:after="0"/>
              <w:rPr>
                <w:sz w:val="24"/>
                <w:szCs w:val="24"/>
                <w:color w:val="auto"/>
              </w:rPr>
            </w:pPr>
          </w:p>
        </w:tc>
        <w:tc>
          <w:tcPr>
            <w:tcW w:w="6880" w:type="dxa"/>
            <w:vAlign w:val="bottom"/>
            <w:tcBorders>
              <w:bottom w:val="single" w:sz="8" w:color="CCEEFF"/>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r>
      <w:tr>
        <w:trPr>
          <w:trHeight w:val="212"/>
        </w:trPr>
        <w:tc>
          <w:tcPr>
            <w:tcW w:w="8100" w:type="dxa"/>
            <w:vAlign w:val="bottom"/>
            <w:gridSpan w:val="2"/>
            <w:shd w:val="clear" w:color="auto" w:fill="CCEEFF"/>
          </w:tcPr>
          <w:p>
            <w:pPr>
              <w:ind w:left="20"/>
              <w:spacing w:after="0"/>
              <w:rPr>
                <w:sz w:val="20"/>
                <w:szCs w:val="20"/>
                <w:color w:val="auto"/>
              </w:rPr>
            </w:pPr>
            <w:r>
              <w:rPr>
                <w:rFonts w:ascii="Arial" w:cs="Arial" w:eastAsia="Arial" w:hAnsi="Arial"/>
                <w:sz w:val="17"/>
                <w:szCs w:val="17"/>
                <w:b w:val="1"/>
                <w:bCs w:val="1"/>
                <w:color w:val="auto"/>
              </w:rPr>
              <w:t>Income (loss) before income taxes</w:t>
            </w:r>
          </w:p>
        </w:tc>
        <w:tc>
          <w:tcPr>
            <w:tcW w:w="6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111.5</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(708.1)</w:t>
            </w:r>
          </w:p>
        </w:tc>
      </w:tr>
      <w:tr>
        <w:trPr>
          <w:trHeight w:val="218"/>
        </w:trPr>
        <w:tc>
          <w:tcPr>
            <w:tcW w:w="8100" w:type="dxa"/>
            <w:vAlign w:val="bottom"/>
            <w:tcBorders>
              <w:bottom w:val="single" w:sz="8" w:color="CCEEFF"/>
            </w:tcBorders>
            <w:gridSpan w:val="2"/>
          </w:tcPr>
          <w:p>
            <w:pPr>
              <w:ind w:left="20"/>
              <w:spacing w:after="0"/>
              <w:rPr>
                <w:sz w:val="20"/>
                <w:szCs w:val="20"/>
                <w:color w:val="auto"/>
              </w:rPr>
            </w:pPr>
            <w:r>
              <w:rPr>
                <w:rFonts w:ascii="Arial" w:cs="Arial" w:eastAsia="Arial" w:hAnsi="Arial"/>
                <w:sz w:val="17"/>
                <w:szCs w:val="17"/>
                <w:color w:val="auto"/>
              </w:rPr>
              <w:t>Income tax benefit (expense)</w:t>
            </w:r>
          </w:p>
        </w:tc>
        <w:tc>
          <w:tcPr>
            <w:tcW w:w="6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(20.6)</w:t>
            </w:r>
          </w:p>
        </w:tc>
        <w:tc>
          <w:tcPr>
            <w:tcW w:w="100" w:type="dxa"/>
            <w:vAlign w:val="bottom"/>
            <w:tcBorders>
              <w:bottom w:val="single" w:sz="8" w:color="CCEEFF"/>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99.5</w:t>
            </w:r>
          </w:p>
        </w:tc>
      </w:tr>
      <w:tr>
        <w:trPr>
          <w:trHeight w:val="238"/>
        </w:trPr>
        <w:tc>
          <w:tcPr>
            <w:tcW w:w="81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b w:val="1"/>
                <w:bCs w:val="1"/>
                <w:color w:val="auto"/>
              </w:rPr>
              <w:t>Net income (loss)</w:t>
            </w:r>
          </w:p>
        </w:tc>
        <w:tc>
          <w:tcPr>
            <w:tcW w:w="600" w:type="dxa"/>
            <w:vAlign w:val="bottom"/>
            <w:tcBorders>
              <w:bottom w:val="single" w:sz="8" w:color="auto"/>
            </w:tcBorders>
            <w:shd w:val="clear" w:color="auto" w:fill="CCEEFF"/>
          </w:tcPr>
          <w:p>
            <w:pPr>
              <w:jc w:val="right"/>
              <w:ind w:right="414"/>
              <w:spacing w:after="0"/>
              <w:rPr>
                <w:sz w:val="20"/>
                <w:szCs w:val="20"/>
                <w:color w:val="auto"/>
              </w:rPr>
            </w:pPr>
            <w:r>
              <w:rPr>
                <w:rFonts w:ascii="Arial" w:cs="Arial" w:eastAsia="Arial" w:hAnsi="Arial"/>
                <w:sz w:val="17"/>
                <w:szCs w:val="17"/>
                <w:color w:val="auto"/>
                <w:w w:val="84"/>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90.9</w:t>
            </w:r>
          </w:p>
        </w:tc>
        <w:tc>
          <w:tcPr>
            <w:tcW w:w="10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auto"/>
            </w:tcBorders>
            <w:shd w:val="clear" w:color="auto" w:fill="CCEEFF"/>
          </w:tcPr>
          <w:p>
            <w:pPr>
              <w:jc w:val="right"/>
              <w:ind w:right="374"/>
              <w:spacing w:after="0"/>
              <w:rPr>
                <w:sz w:val="20"/>
                <w:szCs w:val="20"/>
                <w:color w:val="auto"/>
              </w:rPr>
            </w:pPr>
            <w:r>
              <w:rPr>
                <w:rFonts w:ascii="Arial" w:cs="Arial" w:eastAsia="Arial" w:hAnsi="Arial"/>
                <w:sz w:val="17"/>
                <w:szCs w:val="17"/>
                <w:color w:val="auto"/>
                <w:w w:val="84"/>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(608.6)</w:t>
            </w:r>
          </w:p>
        </w:tc>
      </w:tr>
      <w:tr>
        <w:trPr>
          <w:trHeight w:val="20"/>
        </w:trPr>
        <w:tc>
          <w:tcPr>
            <w:tcW w:w="1220" w:type="dxa"/>
            <w:vAlign w:val="bottom"/>
            <w:tcBorders>
              <w:top w:val="single" w:sz="8" w:color="CCEEFF"/>
            </w:tcBorders>
          </w:tcPr>
          <w:p>
            <w:pPr>
              <w:spacing w:after="0" w:line="20" w:lineRule="exact"/>
              <w:rPr>
                <w:sz w:val="1"/>
                <w:szCs w:val="1"/>
                <w:color w:val="auto"/>
              </w:rPr>
            </w:pPr>
          </w:p>
        </w:tc>
        <w:tc>
          <w:tcPr>
            <w:tcW w:w="688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110" w:lineRule="exact"/>
        <w:rPr>
          <w:sz w:val="20"/>
          <w:szCs w:val="20"/>
          <w:color w:val="auto"/>
        </w:rPr>
      </w:pPr>
    </w:p>
    <w:p>
      <w:pPr>
        <w:ind w:left="620" w:right="20" w:hanging="307"/>
        <w:spacing w:after="0" w:line="255" w:lineRule="auto"/>
        <w:tabs>
          <w:tab w:leader="none" w:pos="612" w:val="left"/>
        </w:tabs>
        <w:numPr>
          <w:ilvl w:val="0"/>
          <w:numId w:val="14"/>
        </w:numPr>
        <w:rPr>
          <w:rFonts w:ascii="Arial" w:cs="Arial" w:eastAsia="Arial" w:hAnsi="Arial"/>
          <w:sz w:val="13"/>
          <w:szCs w:val="13"/>
          <w:color w:val="auto"/>
        </w:rPr>
      </w:pPr>
      <w:r>
        <w:rPr>
          <w:rFonts w:ascii="Arial" w:cs="Arial" w:eastAsia="Arial" w:hAnsi="Arial"/>
          <w:sz w:val="13"/>
          <w:szCs w:val="13"/>
          <w:color w:val="auto"/>
        </w:rPr>
        <w:t>The Other category consists of the Company’s stand-alone racing operations, namely Sanford-Orlando Kennel Club and the Company’s JV interests in Sam Houston Race Park, Valley Race Park, and Freehold Raceway; our management contract for Retama Park Racetrack and our live and televised poker tournament series that operates under the trade name, Heartland Poker Tour (“HPT”). The Other category also includes Penn Interactive, which operates social gaming, our internally-branded retail sportsbooks, iGaming and our Barstool Sports online sports betting app. Expenses incurred for corporate and shared services activities that are directly attributable to a property or are otherwise incurred to support a property are allocated to each property. The Other category also includes corporate overhead costs, which consist of certain expenses, such as: payroll, professional fees, travel expenses and other general and administrative expenses that do not directly relate to or have not otherwise been allocated to a property. In addition, the Other category includes our proportionate share of the Adjusted EBITDAR of Barstool Sports (as determined and discussed in footnotes (3) and (5) below).</w:t>
      </w:r>
    </w:p>
    <w:p>
      <w:pPr>
        <w:spacing w:after="0" w:line="22" w:lineRule="exact"/>
        <w:rPr>
          <w:rFonts w:ascii="Arial" w:cs="Arial" w:eastAsia="Arial" w:hAnsi="Arial"/>
          <w:sz w:val="13"/>
          <w:szCs w:val="13"/>
          <w:color w:val="auto"/>
        </w:rPr>
      </w:pPr>
    </w:p>
    <w:p>
      <w:pPr>
        <w:ind w:left="620" w:hanging="307"/>
        <w:spacing w:after="0"/>
        <w:tabs>
          <w:tab w:leader="none" w:pos="620" w:val="left"/>
        </w:tabs>
        <w:numPr>
          <w:ilvl w:val="0"/>
          <w:numId w:val="14"/>
        </w:numPr>
        <w:rPr>
          <w:rFonts w:ascii="Arial" w:cs="Arial" w:eastAsia="Arial" w:hAnsi="Arial"/>
          <w:sz w:val="14"/>
          <w:szCs w:val="14"/>
          <w:color w:val="auto"/>
        </w:rPr>
      </w:pPr>
      <w:r>
        <w:rPr>
          <w:rFonts w:ascii="Arial" w:cs="Arial" w:eastAsia="Arial" w:hAnsi="Arial"/>
          <w:sz w:val="14"/>
          <w:szCs w:val="14"/>
          <w:color w:val="auto"/>
        </w:rPr>
        <w:t>Primarily represents the elimination of intersegment revenues associated with our internally-branded retail sportsbooks, which are operated by Penn Interactive.</w:t>
      </w:r>
    </w:p>
    <w:p>
      <w:pPr>
        <w:spacing w:after="0" w:line="45" w:lineRule="exact"/>
        <w:rPr>
          <w:rFonts w:ascii="Arial" w:cs="Arial" w:eastAsia="Arial" w:hAnsi="Arial"/>
          <w:sz w:val="14"/>
          <w:szCs w:val="14"/>
          <w:color w:val="auto"/>
        </w:rPr>
      </w:pPr>
    </w:p>
    <w:p>
      <w:pPr>
        <w:ind w:left="620" w:hanging="307"/>
        <w:spacing w:after="0" w:line="236" w:lineRule="auto"/>
        <w:tabs>
          <w:tab w:leader="none" w:pos="612" w:val="left"/>
        </w:tabs>
        <w:numPr>
          <w:ilvl w:val="0"/>
          <w:numId w:val="14"/>
        </w:numPr>
        <w:rPr>
          <w:rFonts w:ascii="Arial" w:cs="Arial" w:eastAsia="Arial" w:hAnsi="Arial"/>
          <w:sz w:val="14"/>
          <w:szCs w:val="14"/>
          <w:color w:val="auto"/>
        </w:rPr>
      </w:pPr>
      <w:r>
        <w:rPr>
          <w:rFonts w:ascii="Arial" w:cs="Arial" w:eastAsia="Arial" w:hAnsi="Arial"/>
          <w:sz w:val="14"/>
          <w:szCs w:val="14"/>
          <w:color w:val="auto"/>
        </w:rPr>
        <w:t>We define Adjusted EBITDAR as earnings before interest expense, net; income taxes; depreciation and amortization; rent expense associated with triple net operating leases (see footnote (4) below); stock-based compensation; debt extinguishment and financing charges; impairment losses; insurance recoveries, net of deductible charges; changes in the estimated fair value of our contingent purchase price obligations; gain or loss on disposal of assets; the difference between budget and actual expense for cash-settled stock-based awards; pre-opening and acquisition costs; and other income or expenses. Adjusted EBITDAR is also inclusive of income or loss from unconsolidated affiliates, with our share of non-operating items (see footnote (5) below) added back for Barstool Sports and our Kansas Entertainment JV.</w:t>
      </w:r>
    </w:p>
    <w:p>
      <w:pPr>
        <w:spacing w:after="0" w:line="33" w:lineRule="exact"/>
        <w:rPr>
          <w:rFonts w:ascii="Arial" w:cs="Arial" w:eastAsia="Arial" w:hAnsi="Arial"/>
          <w:sz w:val="14"/>
          <w:szCs w:val="14"/>
          <w:color w:val="auto"/>
        </w:rPr>
      </w:pPr>
    </w:p>
    <w:p>
      <w:pPr>
        <w:ind w:left="620" w:right="400" w:hanging="307"/>
        <w:spacing w:after="0" w:line="250" w:lineRule="auto"/>
        <w:tabs>
          <w:tab w:leader="none" w:pos="612" w:val="left"/>
        </w:tabs>
        <w:numPr>
          <w:ilvl w:val="0"/>
          <w:numId w:val="14"/>
        </w:numPr>
        <w:rPr>
          <w:rFonts w:ascii="Arial" w:cs="Arial" w:eastAsia="Arial" w:hAnsi="Arial"/>
          <w:sz w:val="14"/>
          <w:szCs w:val="14"/>
          <w:color w:val="auto"/>
        </w:rPr>
      </w:pPr>
      <w:r>
        <w:rPr>
          <w:rFonts w:ascii="Arial" w:cs="Arial" w:eastAsia="Arial" w:hAnsi="Arial"/>
          <w:sz w:val="14"/>
          <w:szCs w:val="14"/>
          <w:color w:val="auto"/>
        </w:rPr>
        <w:t>The Company’s triple net operating leases include certain components of the Master Leases (primarily land), the Meadows Lease, the Margaritaville Lease, the Greektown Lease, and the Tropicana Lease.</w:t>
      </w:r>
    </w:p>
    <w:p>
      <w:pPr>
        <w:spacing w:after="0" w:line="25" w:lineRule="exact"/>
        <w:rPr>
          <w:rFonts w:ascii="Arial" w:cs="Arial" w:eastAsia="Arial" w:hAnsi="Arial"/>
          <w:sz w:val="14"/>
          <w:szCs w:val="14"/>
          <w:color w:val="auto"/>
        </w:rPr>
      </w:pPr>
    </w:p>
    <w:p>
      <w:pPr>
        <w:ind w:left="620" w:right="40" w:hanging="307"/>
        <w:spacing w:after="0" w:line="250" w:lineRule="auto"/>
        <w:tabs>
          <w:tab w:leader="none" w:pos="612" w:val="left"/>
        </w:tabs>
        <w:numPr>
          <w:ilvl w:val="0"/>
          <w:numId w:val="14"/>
        </w:numPr>
        <w:rPr>
          <w:rFonts w:ascii="Arial" w:cs="Arial" w:eastAsia="Arial" w:hAnsi="Arial"/>
          <w:sz w:val="14"/>
          <w:szCs w:val="14"/>
          <w:color w:val="auto"/>
        </w:rPr>
      </w:pPr>
      <w:r>
        <w:rPr>
          <w:rFonts w:ascii="Arial" w:cs="Arial" w:eastAsia="Arial" w:hAnsi="Arial"/>
          <w:sz w:val="14"/>
          <w:szCs w:val="14"/>
          <w:color w:val="auto"/>
        </w:rPr>
        <w:t>Consists principally of interest expense, net; income taxes; depreciation and amortization; and stock-based compensation expense associated with Barstool Sports and our Kansas Entertainment JV.</w:t>
      </w:r>
    </w:p>
    <w:p>
      <w:pPr>
        <w:spacing w:after="0" w:line="25" w:lineRule="exact"/>
        <w:rPr>
          <w:rFonts w:ascii="Arial" w:cs="Arial" w:eastAsia="Arial" w:hAnsi="Arial"/>
          <w:sz w:val="14"/>
          <w:szCs w:val="14"/>
          <w:color w:val="auto"/>
        </w:rPr>
      </w:pPr>
    </w:p>
    <w:p>
      <w:pPr>
        <w:ind w:left="620" w:right="200" w:hanging="307"/>
        <w:spacing w:after="0"/>
        <w:tabs>
          <w:tab w:leader="none" w:pos="612" w:val="left"/>
        </w:tabs>
        <w:numPr>
          <w:ilvl w:val="0"/>
          <w:numId w:val="14"/>
        </w:numPr>
        <w:rPr>
          <w:rFonts w:ascii="Arial" w:cs="Arial" w:eastAsia="Arial" w:hAnsi="Arial"/>
          <w:sz w:val="14"/>
          <w:szCs w:val="14"/>
          <w:color w:val="auto"/>
        </w:rPr>
      </w:pPr>
      <w:r>
        <w:rPr>
          <w:rFonts w:ascii="Arial" w:cs="Arial" w:eastAsia="Arial" w:hAnsi="Arial"/>
          <w:sz w:val="14"/>
          <w:szCs w:val="14"/>
          <w:color w:val="auto"/>
        </w:rPr>
        <w:t xml:space="preserve">Principally includes holding gains on our equity securities, which are discussed in </w:t>
      </w:r>
      <w:hyperlink w:anchor="page26">
        <w:r>
          <w:rPr>
            <w:rFonts w:ascii="Arial" w:cs="Arial" w:eastAsia="Arial" w:hAnsi="Arial"/>
            <w:sz w:val="14"/>
            <w:szCs w:val="14"/>
            <w:u w:val="single" w:color="auto"/>
            <w:color w:val="0000FF"/>
          </w:rPr>
          <w:t>Note 15, “Fair Value Measurements.”</w:t>
        </w:r>
        <w:r>
          <w:rPr>
            <w:rFonts w:ascii="Arial" w:cs="Arial" w:eastAsia="Arial" w:hAnsi="Arial"/>
            <w:sz w:val="14"/>
            <w:szCs w:val="14"/>
            <w:u w:val="single" w:color="auto"/>
            <w:color w:val="auto"/>
          </w:rPr>
          <w:t xml:space="preserve"> </w:t>
        </w:r>
      </w:hyperlink>
      <w:r>
        <w:rPr>
          <w:rFonts w:ascii="Arial" w:cs="Arial" w:eastAsia="Arial" w:hAnsi="Arial"/>
          <w:sz w:val="14"/>
          <w:szCs w:val="14"/>
          <w:color w:val="auto"/>
        </w:rPr>
        <w:t>Additionally, includes non-recurring restructuring charges (primarily severance) associated with a company-wide initiative, triggered by the COVID-19 pandemic, designed to (i) improve the operational effectiveness across our property portfolio; and (ii) improve the effectiveness and efficiency of our Corporate functional support areas.</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720" w:type="dxa"/>
            <w:vAlign w:val="bottom"/>
            <w:gridSpan w:val="9"/>
          </w:tcPr>
          <w:p>
            <w:pPr>
              <w:ind w:left="80"/>
              <w:spacing w:after="0"/>
              <w:rPr>
                <w:sz w:val="20"/>
                <w:szCs w:val="20"/>
                <w:color w:val="auto"/>
              </w:rPr>
            </w:pPr>
            <w:r>
              <w:rPr>
                <w:rFonts w:ascii="Arial" w:cs="Arial" w:eastAsia="Arial" w:hAnsi="Arial"/>
                <w:sz w:val="17"/>
                <w:szCs w:val="17"/>
                <w:b w:val="1"/>
                <w:bCs w:val="1"/>
                <w:color w:val="auto"/>
                <w:w w:val="93"/>
              </w:rPr>
              <w:t>For the three months ended March</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gridSpan w:val="5"/>
          </w:tcPr>
          <w:p>
            <w:pPr>
              <w:jc w:val="right"/>
              <w:ind w:right="220"/>
              <w:spacing w:after="0"/>
              <w:rPr>
                <w:sz w:val="20"/>
                <w:szCs w:val="20"/>
                <w:color w:val="auto"/>
              </w:rPr>
            </w:pPr>
            <w:r>
              <w:rPr>
                <w:rFonts w:ascii="Arial" w:cs="Arial" w:eastAsia="Arial" w:hAnsi="Arial"/>
                <w:sz w:val="17"/>
                <w:szCs w:val="17"/>
                <w:b w:val="1"/>
                <w:bCs w:val="1"/>
                <w:color w:val="auto"/>
                <w:w w:val="84"/>
              </w:rPr>
              <w:t>31,</w:t>
            </w:r>
          </w:p>
        </w:tc>
        <w:tc>
          <w:tcPr>
            <w:tcW w:w="100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840" w:type="dxa"/>
            <w:vAlign w:val="bottom"/>
            <w:gridSpan w:val="3"/>
          </w:tcPr>
          <w:p>
            <w:pPr>
              <w:ind w:left="20"/>
              <w:spacing w:after="0"/>
              <w:rPr>
                <w:sz w:val="20"/>
                <w:szCs w:val="20"/>
                <w:color w:val="auto"/>
              </w:rPr>
            </w:pPr>
            <w:r>
              <w:rPr>
                <w:rFonts w:ascii="Arial" w:cs="Arial" w:eastAsia="Arial" w:hAnsi="Arial"/>
                <w:sz w:val="14"/>
                <w:szCs w:val="14"/>
                <w:b w:val="1"/>
                <w:bCs w:val="1"/>
                <w:i w:val="1"/>
                <w:iCs w:val="1"/>
                <w:color w:val="auto"/>
              </w:rPr>
              <w:t>(in millions)</w:t>
            </w:r>
          </w:p>
        </w:tc>
        <w:tc>
          <w:tcPr>
            <w:tcW w:w="2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jc w:val="right"/>
              <w:ind w:right="334"/>
              <w:spacing w:after="0" w:line="173" w:lineRule="exact"/>
              <w:rPr>
                <w:sz w:val="20"/>
                <w:szCs w:val="20"/>
                <w:color w:val="auto"/>
              </w:rPr>
            </w:pPr>
            <w:r>
              <w:rPr>
                <w:rFonts w:ascii="Arial" w:cs="Arial" w:eastAsia="Arial" w:hAnsi="Arial"/>
                <w:sz w:val="17"/>
                <w:szCs w:val="17"/>
                <w:b w:val="1"/>
                <w:bCs w:val="1"/>
                <w:color w:val="auto"/>
              </w:rPr>
              <w:t>2021</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0" w:type="dxa"/>
            <w:vAlign w:val="bottom"/>
          </w:tcPr>
          <w:p>
            <w:pPr>
              <w:jc w:val="right"/>
              <w:ind w:right="354"/>
              <w:spacing w:after="0" w:line="173" w:lineRule="exact"/>
              <w:rPr>
                <w:sz w:val="20"/>
                <w:szCs w:val="20"/>
                <w:color w:val="auto"/>
              </w:rPr>
            </w:pPr>
            <w:r>
              <w:rPr>
                <w:rFonts w:ascii="Arial" w:cs="Arial" w:eastAsia="Arial" w:hAnsi="Arial"/>
                <w:sz w:val="17"/>
                <w:szCs w:val="17"/>
                <w:b w:val="1"/>
                <w:bCs w:val="1"/>
                <w:color w:val="auto"/>
              </w:rPr>
              <w:t>2020</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700" w:type="dxa"/>
            <w:vAlign w:val="bottom"/>
            <w:tcBorders>
              <w:top w:val="single" w:sz="8" w:color="auto"/>
              <w:bottom w:val="single" w:sz="8" w:color="CCEEFF"/>
            </w:tcBorders>
          </w:tcPr>
          <w:p>
            <w:pPr>
              <w:spacing w:after="0" w:line="20" w:lineRule="exact"/>
              <w:rPr>
                <w:sz w:val="1"/>
                <w:szCs w:val="1"/>
                <w:color w:val="auto"/>
              </w:rPr>
            </w:pPr>
          </w:p>
        </w:tc>
        <w:tc>
          <w:tcPr>
            <w:tcW w:w="2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840" w:type="dxa"/>
            <w:vAlign w:val="bottom"/>
            <w:gridSpan w:val="3"/>
            <w:shd w:val="clear" w:color="auto" w:fill="CCEEFF"/>
          </w:tcPr>
          <w:p>
            <w:pPr>
              <w:ind w:left="20"/>
              <w:spacing w:after="0"/>
              <w:rPr>
                <w:sz w:val="20"/>
                <w:szCs w:val="20"/>
                <w:color w:val="auto"/>
              </w:rPr>
            </w:pPr>
            <w:r>
              <w:rPr>
                <w:rFonts w:ascii="Arial" w:cs="Arial" w:eastAsia="Arial" w:hAnsi="Arial"/>
                <w:sz w:val="17"/>
                <w:szCs w:val="17"/>
                <w:b w:val="1"/>
                <w:bCs w:val="1"/>
                <w:color w:val="auto"/>
              </w:rPr>
              <w:t>Capital expenditures:</w:t>
            </w: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2820" w:type="dxa"/>
            <w:vAlign w:val="bottom"/>
            <w:gridSpan w:val="2"/>
          </w:tcPr>
          <w:p>
            <w:pPr>
              <w:ind w:left="200"/>
              <w:spacing w:after="0"/>
              <w:rPr>
                <w:sz w:val="20"/>
                <w:szCs w:val="20"/>
                <w:color w:val="auto"/>
              </w:rPr>
            </w:pPr>
            <w:r>
              <w:rPr>
                <w:rFonts w:ascii="Arial" w:cs="Arial" w:eastAsia="Arial" w:hAnsi="Arial"/>
                <w:sz w:val="17"/>
                <w:szCs w:val="17"/>
                <w:color w:val="auto"/>
              </w:rPr>
              <w:t>Northeast segment</w:t>
            </w: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gridSpan w:val="2"/>
          </w:tcPr>
          <w:p>
            <w:pPr>
              <w:jc w:val="right"/>
              <w:ind w:right="14"/>
              <w:spacing w:after="0"/>
              <w:rPr>
                <w:sz w:val="20"/>
                <w:szCs w:val="20"/>
                <w:color w:val="auto"/>
              </w:rPr>
            </w:pPr>
            <w:r>
              <w:rPr>
                <w:rFonts w:ascii="Arial" w:cs="Arial" w:eastAsia="Arial" w:hAnsi="Arial"/>
                <w:sz w:val="17"/>
                <w:szCs w:val="17"/>
                <w:color w:val="auto"/>
              </w:rPr>
              <w:t>$</w:t>
            </w:r>
          </w:p>
        </w:tc>
        <w:tc>
          <w:tcPr>
            <w:tcW w:w="1040" w:type="dxa"/>
            <w:vAlign w:val="bottom"/>
          </w:tcPr>
          <w:p>
            <w:pPr>
              <w:jc w:val="right"/>
              <w:spacing w:after="0"/>
              <w:rPr>
                <w:sz w:val="20"/>
                <w:szCs w:val="20"/>
                <w:color w:val="auto"/>
              </w:rPr>
            </w:pPr>
            <w:r>
              <w:rPr>
                <w:rFonts w:ascii="Arial" w:cs="Arial" w:eastAsia="Arial" w:hAnsi="Arial"/>
                <w:sz w:val="17"/>
                <w:szCs w:val="17"/>
                <w:color w:val="auto"/>
              </w:rPr>
              <w:t>15.4</w:t>
            </w:r>
          </w:p>
        </w:tc>
        <w:tc>
          <w:tcPr>
            <w:tcW w:w="440" w:type="dxa"/>
            <w:vAlign w:val="bottom"/>
            <w:gridSpan w:val="5"/>
          </w:tcPr>
          <w:p>
            <w:pPr>
              <w:jc w:val="right"/>
              <w:ind w:right="160"/>
              <w:spacing w:after="0"/>
              <w:rPr>
                <w:sz w:val="20"/>
                <w:szCs w:val="20"/>
                <w:color w:val="auto"/>
              </w:rPr>
            </w:pPr>
            <w:r>
              <w:rPr>
                <w:rFonts w:ascii="Arial" w:cs="Arial" w:eastAsia="Arial" w:hAnsi="Arial"/>
                <w:sz w:val="17"/>
                <w:szCs w:val="17"/>
                <w:color w:val="auto"/>
              </w:rPr>
              <w:t>$</w:t>
            </w:r>
          </w:p>
        </w:tc>
        <w:tc>
          <w:tcPr>
            <w:tcW w:w="1000" w:type="dxa"/>
            <w:vAlign w:val="bottom"/>
          </w:tcPr>
          <w:p>
            <w:pPr>
              <w:jc w:val="right"/>
              <w:spacing w:after="0"/>
              <w:rPr>
                <w:sz w:val="20"/>
                <w:szCs w:val="20"/>
                <w:color w:val="auto"/>
              </w:rPr>
            </w:pPr>
            <w:r>
              <w:rPr>
                <w:rFonts w:ascii="Arial" w:cs="Arial" w:eastAsia="Arial" w:hAnsi="Arial"/>
                <w:sz w:val="17"/>
                <w:szCs w:val="17"/>
                <w:color w:val="auto"/>
              </w:rPr>
              <w:t>30.3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20" w:type="dxa"/>
            <w:vAlign w:val="bottom"/>
            <w:shd w:val="clear" w:color="auto" w:fill="CCEEFF"/>
          </w:tcPr>
          <w:p>
            <w:pPr>
              <w:spacing w:after="0"/>
              <w:rPr>
                <w:sz w:val="19"/>
                <w:szCs w:val="19"/>
                <w:color w:val="auto"/>
              </w:rPr>
            </w:pPr>
          </w:p>
        </w:tc>
        <w:tc>
          <w:tcPr>
            <w:tcW w:w="2820" w:type="dxa"/>
            <w:vAlign w:val="bottom"/>
            <w:gridSpan w:val="2"/>
            <w:shd w:val="clear" w:color="auto" w:fill="CCEEFF"/>
          </w:tcPr>
          <w:p>
            <w:pPr>
              <w:ind w:left="200"/>
              <w:spacing w:after="0"/>
              <w:rPr>
                <w:sz w:val="20"/>
                <w:szCs w:val="20"/>
                <w:color w:val="auto"/>
              </w:rPr>
            </w:pPr>
            <w:r>
              <w:rPr>
                <w:rFonts w:ascii="Arial" w:cs="Arial" w:eastAsia="Arial" w:hAnsi="Arial"/>
                <w:sz w:val="17"/>
                <w:szCs w:val="17"/>
                <w:color w:val="auto"/>
              </w:rPr>
              <w:t>South segment</w:t>
            </w: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w:t>
            </w: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w:t>
            </w: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2820" w:type="dxa"/>
            <w:vAlign w:val="bottom"/>
            <w:gridSpan w:val="2"/>
          </w:tcPr>
          <w:p>
            <w:pPr>
              <w:ind w:left="200"/>
              <w:spacing w:after="0"/>
              <w:rPr>
                <w:sz w:val="20"/>
                <w:szCs w:val="20"/>
                <w:color w:val="auto"/>
              </w:rPr>
            </w:pPr>
            <w:r>
              <w:rPr>
                <w:rFonts w:ascii="Arial" w:cs="Arial" w:eastAsia="Arial" w:hAnsi="Arial"/>
                <w:sz w:val="17"/>
                <w:szCs w:val="17"/>
                <w:color w:val="auto"/>
              </w:rPr>
              <w:t>West segment</w:t>
            </w: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3.2</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2.5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20" w:type="dxa"/>
            <w:vAlign w:val="bottom"/>
            <w:shd w:val="clear" w:color="auto" w:fill="CCEEFF"/>
          </w:tcPr>
          <w:p>
            <w:pPr>
              <w:spacing w:after="0"/>
              <w:rPr>
                <w:sz w:val="19"/>
                <w:szCs w:val="19"/>
                <w:color w:val="auto"/>
              </w:rPr>
            </w:pPr>
          </w:p>
        </w:tc>
        <w:tc>
          <w:tcPr>
            <w:tcW w:w="2820" w:type="dxa"/>
            <w:vAlign w:val="bottom"/>
            <w:gridSpan w:val="2"/>
            <w:shd w:val="clear" w:color="auto" w:fill="CCEEFF"/>
          </w:tcPr>
          <w:p>
            <w:pPr>
              <w:ind w:left="200"/>
              <w:spacing w:after="0"/>
              <w:rPr>
                <w:sz w:val="20"/>
                <w:szCs w:val="20"/>
                <w:color w:val="auto"/>
              </w:rPr>
            </w:pPr>
            <w:r>
              <w:rPr>
                <w:rFonts w:ascii="Arial" w:cs="Arial" w:eastAsia="Arial" w:hAnsi="Arial"/>
                <w:sz w:val="17"/>
                <w:szCs w:val="17"/>
                <w:color w:val="auto"/>
              </w:rPr>
              <w:t>Midwest segment</w:t>
            </w: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w:t>
            </w: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w:t>
            </w: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Borders>
              <w:bottom w:val="single" w:sz="8" w:color="CCEEFF"/>
            </w:tcBorders>
          </w:tcPr>
          <w:p>
            <w:pPr>
              <w:spacing w:after="0"/>
              <w:rPr>
                <w:sz w:val="18"/>
                <w:szCs w:val="18"/>
                <w:color w:val="auto"/>
              </w:rPr>
            </w:pPr>
          </w:p>
        </w:tc>
        <w:tc>
          <w:tcPr>
            <w:tcW w:w="2820" w:type="dxa"/>
            <w:vAlign w:val="bottom"/>
            <w:tcBorders>
              <w:bottom w:val="single" w:sz="8" w:color="CCEEFF"/>
            </w:tcBorders>
            <w:gridSpan w:val="2"/>
          </w:tcPr>
          <w:p>
            <w:pPr>
              <w:ind w:left="200"/>
              <w:spacing w:after="0"/>
              <w:rPr>
                <w:sz w:val="20"/>
                <w:szCs w:val="20"/>
                <w:color w:val="auto"/>
              </w:rPr>
            </w:pPr>
            <w:r>
              <w:rPr>
                <w:rFonts w:ascii="Arial" w:cs="Arial" w:eastAsia="Arial" w:hAnsi="Arial"/>
                <w:sz w:val="17"/>
                <w:szCs w:val="17"/>
                <w:color w:val="auto"/>
              </w:rPr>
              <w:t>Other</w:t>
            </w:r>
          </w:p>
        </w:tc>
        <w:tc>
          <w:tcPr>
            <w:tcW w:w="200" w:type="dxa"/>
            <w:vAlign w:val="bottom"/>
            <w:tcBorders>
              <w:bottom w:val="single" w:sz="8" w:color="CCEEFF"/>
            </w:tcBorders>
          </w:tcPr>
          <w:p>
            <w:pPr>
              <w:spacing w:after="0"/>
              <w:rPr>
                <w:sz w:val="18"/>
                <w:szCs w:val="18"/>
                <w:color w:val="auto"/>
              </w:rPr>
            </w:pPr>
          </w:p>
        </w:tc>
        <w:tc>
          <w:tcPr>
            <w:tcW w:w="11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CCEEFF"/>
            </w:tcBorders>
          </w:tcPr>
          <w:p>
            <w:pPr>
              <w:spacing w:after="0"/>
              <w:rPr>
                <w:sz w:val="18"/>
                <w:szCs w:val="18"/>
                <w:color w:val="auto"/>
              </w:rPr>
            </w:pPr>
          </w:p>
        </w:tc>
        <w:tc>
          <w:tcPr>
            <w:tcW w:w="10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CCEEFF"/>
            </w:tcBorders>
          </w:tcPr>
          <w:p>
            <w:pPr>
              <w:spacing w:after="0"/>
              <w:rPr>
                <w:sz w:val="18"/>
                <w:szCs w:val="18"/>
                <w:color w:val="auto"/>
              </w:rPr>
            </w:pPr>
          </w:p>
        </w:tc>
        <w:tc>
          <w:tcPr>
            <w:tcW w:w="10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10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3.4</w:t>
            </w:r>
          </w:p>
        </w:tc>
        <w:tc>
          <w:tcPr>
            <w:tcW w:w="2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2.6</w:t>
            </w:r>
          </w:p>
        </w:tc>
        <w:tc>
          <w:tcPr>
            <w:tcW w:w="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20" w:type="dxa"/>
            <w:vAlign w:val="bottom"/>
            <w:shd w:val="clear" w:color="auto" w:fill="CCEEFF"/>
          </w:tcPr>
          <w:p>
            <w:pPr>
              <w:spacing w:after="0"/>
              <w:rPr>
                <w:sz w:val="20"/>
                <w:szCs w:val="20"/>
                <w:color w:val="auto"/>
              </w:rPr>
            </w:pPr>
          </w:p>
        </w:tc>
        <w:tc>
          <w:tcPr>
            <w:tcW w:w="2820" w:type="dxa"/>
            <w:vAlign w:val="bottom"/>
            <w:gridSpan w:val="2"/>
            <w:shd w:val="clear" w:color="auto" w:fill="CCEEFF"/>
          </w:tcPr>
          <w:p>
            <w:pPr>
              <w:ind w:left="420"/>
              <w:spacing w:after="0"/>
              <w:rPr>
                <w:sz w:val="20"/>
                <w:szCs w:val="20"/>
                <w:color w:val="auto"/>
              </w:rPr>
            </w:pPr>
            <w:r>
              <w:rPr>
                <w:rFonts w:ascii="Arial" w:cs="Arial" w:eastAsia="Arial" w:hAnsi="Arial"/>
                <w:sz w:val="17"/>
                <w:szCs w:val="17"/>
                <w:b w:val="1"/>
                <w:bCs w:val="1"/>
                <w:color w:val="auto"/>
              </w:rPr>
              <w:t>Total capital expenditures</w:t>
            </w:r>
          </w:p>
        </w:tc>
        <w:tc>
          <w:tcPr>
            <w:tcW w:w="20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gridSpan w:val="2"/>
            <w:shd w:val="clear" w:color="auto" w:fill="CCEEFF"/>
          </w:tcPr>
          <w:p>
            <w:pPr>
              <w:jc w:val="right"/>
              <w:ind w:right="14"/>
              <w:spacing w:after="0"/>
              <w:rPr>
                <w:sz w:val="20"/>
                <w:szCs w:val="20"/>
                <w:color w:val="auto"/>
              </w:rPr>
            </w:pPr>
            <w:r>
              <w:rPr>
                <w:rFonts w:ascii="Arial" w:cs="Arial" w:eastAsia="Arial" w:hAnsi="Arial"/>
                <w:sz w:val="17"/>
                <w:szCs w:val="17"/>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25.7</w:t>
            </w:r>
          </w:p>
        </w:tc>
        <w:tc>
          <w:tcPr>
            <w:tcW w:w="440" w:type="dxa"/>
            <w:vAlign w:val="bottom"/>
            <w:gridSpan w:val="5"/>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42.8</w:t>
            </w:r>
          </w:p>
        </w:tc>
        <w:tc>
          <w:tcPr>
            <w:tcW w:w="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2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2"/>
        </w:trPr>
        <w:tc>
          <w:tcPr>
            <w:tcW w:w="2840" w:type="dxa"/>
            <w:vAlign w:val="bottom"/>
            <w:gridSpan w:val="3"/>
          </w:tcPr>
          <w:p>
            <w:pPr>
              <w:ind w:left="20"/>
              <w:spacing w:after="0"/>
              <w:rPr>
                <w:sz w:val="20"/>
                <w:szCs w:val="20"/>
                <w:color w:val="auto"/>
              </w:rPr>
            </w:pPr>
            <w:r>
              <w:rPr>
                <w:rFonts w:ascii="Arial" w:cs="Arial" w:eastAsia="Arial" w:hAnsi="Arial"/>
                <w:sz w:val="14"/>
                <w:szCs w:val="14"/>
                <w:b w:val="1"/>
                <w:bCs w:val="1"/>
                <w:i w:val="1"/>
                <w:iCs w:val="1"/>
                <w:color w:val="auto"/>
              </w:rPr>
              <w:t>(in millions)</w:t>
            </w:r>
          </w:p>
        </w:tc>
        <w:tc>
          <w:tcPr>
            <w:tcW w:w="200" w:type="dxa"/>
            <w:vAlign w:val="bottom"/>
          </w:tcPr>
          <w:p>
            <w:pPr>
              <w:spacing w:after="0"/>
              <w:rPr>
                <w:sz w:val="24"/>
                <w:szCs w:val="24"/>
                <w:color w:val="auto"/>
              </w:rPr>
            </w:pPr>
          </w:p>
        </w:tc>
        <w:tc>
          <w:tcPr>
            <w:tcW w:w="1200" w:type="dxa"/>
            <w:vAlign w:val="bottom"/>
            <w:gridSpan w:val="2"/>
          </w:tcPr>
          <w:p>
            <w:pPr>
              <w:ind w:left="80"/>
              <w:spacing w:after="0"/>
              <w:rPr>
                <w:sz w:val="20"/>
                <w:szCs w:val="20"/>
                <w:color w:val="auto"/>
              </w:rPr>
            </w:pPr>
            <w:r>
              <w:rPr>
                <w:rFonts w:ascii="Arial" w:cs="Arial" w:eastAsia="Arial" w:hAnsi="Arial"/>
                <w:sz w:val="17"/>
                <w:szCs w:val="17"/>
                <w:b w:val="1"/>
                <w:bCs w:val="1"/>
                <w:color w:val="auto"/>
              </w:rPr>
              <w:t>Northeast</w:t>
            </w:r>
          </w:p>
        </w:tc>
        <w:tc>
          <w:tcPr>
            <w:tcW w:w="280" w:type="dxa"/>
            <w:vAlign w:val="bottom"/>
          </w:tcPr>
          <w:p>
            <w:pPr>
              <w:spacing w:after="0"/>
              <w:rPr>
                <w:sz w:val="24"/>
                <w:szCs w:val="24"/>
                <w:color w:val="auto"/>
              </w:rPr>
            </w:pPr>
          </w:p>
        </w:tc>
        <w:tc>
          <w:tcPr>
            <w:tcW w:w="1120" w:type="dxa"/>
            <w:vAlign w:val="bottom"/>
            <w:gridSpan w:val="2"/>
          </w:tcPr>
          <w:p>
            <w:pPr>
              <w:ind w:left="160"/>
              <w:spacing w:after="0"/>
              <w:rPr>
                <w:sz w:val="20"/>
                <w:szCs w:val="20"/>
                <w:color w:val="auto"/>
              </w:rPr>
            </w:pPr>
            <w:r>
              <w:rPr>
                <w:rFonts w:ascii="Arial" w:cs="Arial" w:eastAsia="Arial" w:hAnsi="Arial"/>
                <w:sz w:val="17"/>
                <w:szCs w:val="17"/>
                <w:b w:val="1"/>
                <w:bCs w:val="1"/>
                <w:color w:val="auto"/>
              </w:rPr>
              <w:t>South</w:t>
            </w:r>
          </w:p>
        </w:tc>
        <w:tc>
          <w:tcPr>
            <w:tcW w:w="300" w:type="dxa"/>
            <w:vAlign w:val="bottom"/>
          </w:tcPr>
          <w:p>
            <w:pPr>
              <w:spacing w:after="0"/>
              <w:rPr>
                <w:sz w:val="24"/>
                <w:szCs w:val="24"/>
                <w:color w:val="auto"/>
              </w:rPr>
            </w:pPr>
          </w:p>
        </w:tc>
        <w:tc>
          <w:tcPr>
            <w:tcW w:w="1120" w:type="dxa"/>
            <w:vAlign w:val="bottom"/>
            <w:gridSpan w:val="2"/>
          </w:tcPr>
          <w:p>
            <w:pPr>
              <w:ind w:left="180"/>
              <w:spacing w:after="0"/>
              <w:rPr>
                <w:sz w:val="20"/>
                <w:szCs w:val="20"/>
                <w:color w:val="auto"/>
              </w:rPr>
            </w:pPr>
            <w:r>
              <w:rPr>
                <w:rFonts w:ascii="Arial" w:cs="Arial" w:eastAsia="Arial" w:hAnsi="Arial"/>
                <w:sz w:val="17"/>
                <w:szCs w:val="17"/>
                <w:b w:val="1"/>
                <w:bCs w:val="1"/>
                <w:color w:val="auto"/>
              </w:rPr>
              <w:t>West</w:t>
            </w:r>
          </w:p>
        </w:tc>
        <w:tc>
          <w:tcPr>
            <w:tcW w:w="220" w:type="dxa"/>
            <w:vAlign w:val="bottom"/>
          </w:tcPr>
          <w:p>
            <w:pPr>
              <w:spacing w:after="0"/>
              <w:rPr>
                <w:sz w:val="24"/>
                <w:szCs w:val="24"/>
                <w:color w:val="auto"/>
              </w:rPr>
            </w:pPr>
          </w:p>
        </w:tc>
        <w:tc>
          <w:tcPr>
            <w:tcW w:w="1180" w:type="dxa"/>
            <w:vAlign w:val="bottom"/>
            <w:gridSpan w:val="2"/>
          </w:tcPr>
          <w:p>
            <w:pPr>
              <w:ind w:left="120"/>
              <w:spacing w:after="0"/>
              <w:rPr>
                <w:sz w:val="20"/>
                <w:szCs w:val="20"/>
                <w:color w:val="auto"/>
              </w:rPr>
            </w:pPr>
            <w:r>
              <w:rPr>
                <w:rFonts w:ascii="Arial" w:cs="Arial" w:eastAsia="Arial" w:hAnsi="Arial"/>
                <w:sz w:val="17"/>
                <w:szCs w:val="17"/>
                <w:b w:val="1"/>
                <w:bCs w:val="1"/>
                <w:color w:val="auto"/>
              </w:rPr>
              <w:t>Midwest</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jc w:val="right"/>
              <w:ind w:right="254"/>
              <w:spacing w:after="0"/>
              <w:rPr>
                <w:sz w:val="20"/>
                <w:szCs w:val="20"/>
                <w:color w:val="auto"/>
              </w:rPr>
            </w:pPr>
            <w:r>
              <w:rPr>
                <w:rFonts w:ascii="Arial" w:cs="Arial" w:eastAsia="Arial" w:hAnsi="Arial"/>
                <w:sz w:val="17"/>
                <w:szCs w:val="17"/>
                <w:b w:val="1"/>
                <w:bCs w:val="1"/>
                <w:color w:val="auto"/>
                <w:w w:val="99"/>
              </w:rPr>
              <w:t xml:space="preserve">Other </w:t>
            </w:r>
            <w:r>
              <w:rPr>
                <w:rFonts w:ascii="Arial" w:cs="Arial" w:eastAsia="Arial" w:hAnsi="Arial"/>
                <w:sz w:val="22"/>
                <w:szCs w:val="22"/>
                <w:b w:val="1"/>
                <w:bCs w:val="1"/>
                <w:color w:val="auto"/>
                <w:w w:val="99"/>
                <w:vertAlign w:val="superscript"/>
              </w:rPr>
              <w:t>(1)</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gridSpan w:val="2"/>
          </w:tcPr>
          <w:p>
            <w:pPr>
              <w:ind w:left="140"/>
              <w:spacing w:after="0"/>
              <w:rPr>
                <w:sz w:val="20"/>
                <w:szCs w:val="20"/>
                <w:color w:val="auto"/>
              </w:rPr>
            </w:pPr>
            <w:r>
              <w:rPr>
                <w:rFonts w:ascii="Arial" w:cs="Arial" w:eastAsia="Arial" w:hAnsi="Arial"/>
                <w:sz w:val="17"/>
                <w:szCs w:val="17"/>
                <w:b w:val="1"/>
                <w:bCs w:val="1"/>
                <w:color w:val="auto"/>
              </w:rPr>
              <w:t>Total</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700" w:type="dxa"/>
            <w:vAlign w:val="bottom"/>
            <w:tcBorders>
              <w:top w:val="single" w:sz="8" w:color="auto"/>
              <w:bottom w:val="single" w:sz="8" w:color="CCEEFF"/>
            </w:tcBorders>
          </w:tcPr>
          <w:p>
            <w:pPr>
              <w:spacing w:after="0" w:line="20" w:lineRule="exact"/>
              <w:rPr>
                <w:sz w:val="1"/>
                <w:szCs w:val="1"/>
                <w:color w:val="auto"/>
              </w:rPr>
            </w:pPr>
          </w:p>
        </w:tc>
        <w:tc>
          <w:tcPr>
            <w:tcW w:w="2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2840" w:type="dxa"/>
            <w:vAlign w:val="bottom"/>
            <w:gridSpan w:val="3"/>
            <w:shd w:val="clear" w:color="auto" w:fill="CCEEFF"/>
          </w:tcPr>
          <w:p>
            <w:pPr>
              <w:ind w:left="20"/>
              <w:spacing w:after="0"/>
              <w:rPr>
                <w:sz w:val="20"/>
                <w:szCs w:val="20"/>
                <w:color w:val="auto"/>
              </w:rPr>
            </w:pPr>
            <w:r>
              <w:rPr>
                <w:rFonts w:ascii="Arial" w:cs="Arial" w:eastAsia="Arial" w:hAnsi="Arial"/>
                <w:sz w:val="17"/>
                <w:szCs w:val="17"/>
                <w:b w:val="1"/>
                <w:bCs w:val="1"/>
                <w:color w:val="auto"/>
              </w:rPr>
              <w:t>As of March 31, 2021</w:t>
            </w:r>
          </w:p>
        </w:tc>
        <w:tc>
          <w:tcPr>
            <w:tcW w:w="2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8"/>
        </w:trPr>
        <w:tc>
          <w:tcPr>
            <w:tcW w:w="2840" w:type="dxa"/>
            <w:vAlign w:val="bottom"/>
            <w:gridSpan w:val="3"/>
          </w:tcPr>
          <w:p>
            <w:pPr>
              <w:ind w:left="20"/>
              <w:spacing w:after="0" w:line="167" w:lineRule="exact"/>
              <w:rPr>
                <w:sz w:val="20"/>
                <w:szCs w:val="20"/>
                <w:color w:val="auto"/>
              </w:rPr>
            </w:pPr>
            <w:r>
              <w:rPr>
                <w:rFonts w:ascii="Arial" w:cs="Arial" w:eastAsia="Arial" w:hAnsi="Arial"/>
                <w:sz w:val="17"/>
                <w:szCs w:val="17"/>
                <w:color w:val="auto"/>
              </w:rPr>
              <w:t>Investment in and advances to</w:t>
            </w:r>
          </w:p>
        </w:tc>
        <w:tc>
          <w:tcPr>
            <w:tcW w:w="200" w:type="dxa"/>
            <w:vAlign w:val="bottom"/>
            <w:vMerge w:val="restart"/>
          </w:tcPr>
          <w:p>
            <w:pPr>
              <w:jc w:val="right"/>
              <w:ind w:right="14"/>
              <w:spacing w:after="0"/>
              <w:rPr>
                <w:sz w:val="20"/>
                <w:szCs w:val="20"/>
                <w:color w:val="auto"/>
              </w:rPr>
            </w:pPr>
            <w:r>
              <w:rPr>
                <w:rFonts w:ascii="Arial" w:cs="Arial" w:eastAsia="Arial" w:hAnsi="Arial"/>
                <w:sz w:val="17"/>
                <w:szCs w:val="17"/>
                <w:color w:val="auto"/>
                <w:w w:val="84"/>
              </w:rPr>
              <w:t>$</w:t>
            </w:r>
          </w:p>
        </w:tc>
        <w:tc>
          <w:tcPr>
            <w:tcW w:w="1100" w:type="dxa"/>
            <w:vAlign w:val="bottom"/>
            <w:vMerge w:val="restart"/>
          </w:tcPr>
          <w:p>
            <w:pPr>
              <w:jc w:val="right"/>
              <w:spacing w:after="0"/>
              <w:rPr>
                <w:sz w:val="20"/>
                <w:szCs w:val="20"/>
                <w:color w:val="auto"/>
              </w:rPr>
            </w:pPr>
            <w:r>
              <w:rPr>
                <w:rFonts w:ascii="Arial" w:cs="Arial" w:eastAsia="Arial" w:hAnsi="Arial"/>
                <w:sz w:val="17"/>
                <w:szCs w:val="17"/>
                <w:color w:val="auto"/>
              </w:rPr>
              <w:t>0.1</w:t>
            </w:r>
          </w:p>
        </w:tc>
        <w:tc>
          <w:tcPr>
            <w:tcW w:w="100" w:type="dxa"/>
            <w:vAlign w:val="bottom"/>
          </w:tcPr>
          <w:p>
            <w:pPr>
              <w:spacing w:after="0"/>
              <w:rPr>
                <w:sz w:val="14"/>
                <w:szCs w:val="14"/>
                <w:color w:val="auto"/>
              </w:rPr>
            </w:pPr>
          </w:p>
        </w:tc>
        <w:tc>
          <w:tcPr>
            <w:tcW w:w="280" w:type="dxa"/>
            <w:vAlign w:val="bottom"/>
            <w:vMerge w:val="restart"/>
          </w:tcPr>
          <w:p>
            <w:pPr>
              <w:jc w:val="right"/>
              <w:ind w:right="94"/>
              <w:spacing w:after="0"/>
              <w:rPr>
                <w:sz w:val="20"/>
                <w:szCs w:val="20"/>
                <w:color w:val="auto"/>
              </w:rPr>
            </w:pPr>
            <w:r>
              <w:rPr>
                <w:rFonts w:ascii="Arial" w:cs="Arial" w:eastAsia="Arial" w:hAnsi="Arial"/>
                <w:sz w:val="17"/>
                <w:szCs w:val="17"/>
                <w:color w:val="auto"/>
                <w:w w:val="84"/>
              </w:rPr>
              <w:t>$</w:t>
            </w:r>
          </w:p>
        </w:tc>
        <w:tc>
          <w:tcPr>
            <w:tcW w:w="1120" w:type="dxa"/>
            <w:vAlign w:val="bottom"/>
            <w:gridSpan w:val="2"/>
            <w:vMerge w:val="restart"/>
          </w:tcPr>
          <w:p>
            <w:pPr>
              <w:jc w:val="right"/>
              <w:ind w:right="160"/>
              <w:spacing w:after="0"/>
              <w:rPr>
                <w:sz w:val="20"/>
                <w:szCs w:val="20"/>
                <w:color w:val="auto"/>
              </w:rPr>
            </w:pPr>
            <w:r>
              <w:rPr>
                <w:rFonts w:ascii="Arial" w:cs="Arial" w:eastAsia="Arial" w:hAnsi="Arial"/>
                <w:sz w:val="17"/>
                <w:szCs w:val="17"/>
                <w:color w:val="auto"/>
              </w:rPr>
              <w:t>—</w:t>
            </w:r>
          </w:p>
        </w:tc>
        <w:tc>
          <w:tcPr>
            <w:tcW w:w="300" w:type="dxa"/>
            <w:vAlign w:val="bottom"/>
            <w:vMerge w:val="restart"/>
          </w:tcPr>
          <w:p>
            <w:pPr>
              <w:jc w:val="right"/>
              <w:ind w:right="94"/>
              <w:spacing w:after="0"/>
              <w:rPr>
                <w:sz w:val="20"/>
                <w:szCs w:val="20"/>
                <w:color w:val="auto"/>
              </w:rPr>
            </w:pPr>
            <w:r>
              <w:rPr>
                <w:rFonts w:ascii="Arial" w:cs="Arial" w:eastAsia="Arial" w:hAnsi="Arial"/>
                <w:sz w:val="17"/>
                <w:szCs w:val="17"/>
                <w:color w:val="auto"/>
              </w:rPr>
              <w:t>$</w:t>
            </w:r>
          </w:p>
        </w:tc>
        <w:tc>
          <w:tcPr>
            <w:tcW w:w="1120" w:type="dxa"/>
            <w:vAlign w:val="bottom"/>
            <w:gridSpan w:val="2"/>
            <w:vMerge w:val="restart"/>
          </w:tcPr>
          <w:p>
            <w:pPr>
              <w:jc w:val="right"/>
              <w:ind w:right="180"/>
              <w:spacing w:after="0"/>
              <w:rPr>
                <w:sz w:val="20"/>
                <w:szCs w:val="20"/>
                <w:color w:val="auto"/>
              </w:rPr>
            </w:pPr>
            <w:r>
              <w:rPr>
                <w:rFonts w:ascii="Arial" w:cs="Arial" w:eastAsia="Arial" w:hAnsi="Arial"/>
                <w:sz w:val="17"/>
                <w:szCs w:val="17"/>
                <w:color w:val="auto"/>
              </w:rPr>
              <w:t>—</w:t>
            </w:r>
          </w:p>
        </w:tc>
        <w:tc>
          <w:tcPr>
            <w:tcW w:w="220" w:type="dxa"/>
            <w:vAlign w:val="bottom"/>
            <w:vMerge w:val="restart"/>
          </w:tcPr>
          <w:p>
            <w:pPr>
              <w:jc w:val="right"/>
              <w:ind w:right="34"/>
              <w:spacing w:after="0"/>
              <w:rPr>
                <w:sz w:val="20"/>
                <w:szCs w:val="20"/>
                <w:color w:val="auto"/>
              </w:rPr>
            </w:pPr>
            <w:r>
              <w:rPr>
                <w:rFonts w:ascii="Arial" w:cs="Arial" w:eastAsia="Arial" w:hAnsi="Arial"/>
                <w:sz w:val="17"/>
                <w:szCs w:val="17"/>
                <w:color w:val="auto"/>
                <w:w w:val="84"/>
              </w:rPr>
              <w:t>$</w:t>
            </w:r>
          </w:p>
        </w:tc>
        <w:tc>
          <w:tcPr>
            <w:tcW w:w="1080" w:type="dxa"/>
            <w:vAlign w:val="bottom"/>
            <w:vMerge w:val="restart"/>
          </w:tcPr>
          <w:p>
            <w:pPr>
              <w:jc w:val="right"/>
              <w:spacing w:after="0"/>
              <w:rPr>
                <w:sz w:val="20"/>
                <w:szCs w:val="20"/>
                <w:color w:val="auto"/>
              </w:rPr>
            </w:pPr>
            <w:r>
              <w:rPr>
                <w:rFonts w:ascii="Arial" w:cs="Arial" w:eastAsia="Arial" w:hAnsi="Arial"/>
                <w:sz w:val="17"/>
                <w:szCs w:val="17"/>
                <w:color w:val="auto"/>
              </w:rPr>
              <w:t>85.9</w:t>
            </w:r>
          </w:p>
        </w:tc>
        <w:tc>
          <w:tcPr>
            <w:tcW w:w="100" w:type="dxa"/>
            <w:vAlign w:val="bottom"/>
          </w:tcPr>
          <w:p>
            <w:pPr>
              <w:spacing w:after="0"/>
              <w:rPr>
                <w:sz w:val="14"/>
                <w:szCs w:val="14"/>
                <w:color w:val="auto"/>
              </w:rPr>
            </w:pPr>
          </w:p>
        </w:tc>
        <w:tc>
          <w:tcPr>
            <w:tcW w:w="260" w:type="dxa"/>
            <w:vAlign w:val="bottom"/>
            <w:gridSpan w:val="2"/>
            <w:vMerge w:val="restart"/>
          </w:tcPr>
          <w:p>
            <w:pPr>
              <w:jc w:val="right"/>
              <w:ind w:right="74"/>
              <w:spacing w:after="0"/>
              <w:rPr>
                <w:sz w:val="20"/>
                <w:szCs w:val="20"/>
                <w:color w:val="auto"/>
              </w:rPr>
            </w:pPr>
            <w:r>
              <w:rPr>
                <w:rFonts w:ascii="Arial" w:cs="Arial" w:eastAsia="Arial" w:hAnsi="Arial"/>
                <w:sz w:val="17"/>
                <w:szCs w:val="17"/>
                <w:color w:val="auto"/>
                <w:w w:val="84"/>
              </w:rPr>
              <w:t>$</w:t>
            </w:r>
          </w:p>
        </w:tc>
        <w:tc>
          <w:tcPr>
            <w:tcW w:w="1040" w:type="dxa"/>
            <w:vAlign w:val="bottom"/>
            <w:vMerge w:val="restart"/>
          </w:tcPr>
          <w:p>
            <w:pPr>
              <w:jc w:val="right"/>
              <w:spacing w:after="0"/>
              <w:rPr>
                <w:sz w:val="20"/>
                <w:szCs w:val="20"/>
                <w:color w:val="auto"/>
              </w:rPr>
            </w:pPr>
            <w:r>
              <w:rPr>
                <w:rFonts w:ascii="Arial" w:cs="Arial" w:eastAsia="Arial" w:hAnsi="Arial"/>
                <w:sz w:val="17"/>
                <w:szCs w:val="17"/>
                <w:color w:val="auto"/>
              </w:rPr>
              <w:t>189.8</w:t>
            </w:r>
          </w:p>
        </w:tc>
        <w:tc>
          <w:tcPr>
            <w:tcW w:w="440" w:type="dxa"/>
            <w:vAlign w:val="bottom"/>
            <w:gridSpan w:val="5"/>
            <w:vMerge w:val="restart"/>
          </w:tcPr>
          <w:p>
            <w:pPr>
              <w:jc w:val="right"/>
              <w:ind w:right="220"/>
              <w:spacing w:after="0"/>
              <w:rPr>
                <w:sz w:val="20"/>
                <w:szCs w:val="20"/>
                <w:color w:val="auto"/>
              </w:rPr>
            </w:pPr>
            <w:r>
              <w:rPr>
                <w:rFonts w:ascii="Arial" w:cs="Arial" w:eastAsia="Arial" w:hAnsi="Arial"/>
                <w:sz w:val="17"/>
                <w:szCs w:val="17"/>
                <w:color w:val="auto"/>
              </w:rPr>
              <w:t>$</w:t>
            </w:r>
          </w:p>
        </w:tc>
        <w:tc>
          <w:tcPr>
            <w:tcW w:w="1000" w:type="dxa"/>
            <w:vAlign w:val="bottom"/>
            <w:vMerge w:val="restart"/>
          </w:tcPr>
          <w:p>
            <w:pPr>
              <w:jc w:val="right"/>
              <w:spacing w:after="0"/>
              <w:rPr>
                <w:sz w:val="20"/>
                <w:szCs w:val="20"/>
                <w:color w:val="auto"/>
              </w:rPr>
            </w:pPr>
            <w:r>
              <w:rPr>
                <w:rFonts w:ascii="Arial" w:cs="Arial" w:eastAsia="Arial" w:hAnsi="Arial"/>
                <w:sz w:val="17"/>
                <w:szCs w:val="17"/>
                <w:color w:val="auto"/>
              </w:rPr>
              <w:t>275.8</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9"/>
        </w:trPr>
        <w:tc>
          <w:tcPr>
            <w:tcW w:w="2840" w:type="dxa"/>
            <w:vAlign w:val="bottom"/>
            <w:gridSpan w:val="3"/>
          </w:tcPr>
          <w:p>
            <w:pPr>
              <w:ind w:left="20"/>
              <w:spacing w:after="0" w:line="219" w:lineRule="exact"/>
              <w:rPr>
                <w:sz w:val="20"/>
                <w:szCs w:val="20"/>
                <w:color w:val="auto"/>
              </w:rPr>
            </w:pPr>
            <w:r>
              <w:rPr>
                <w:rFonts w:ascii="Arial" w:cs="Arial" w:eastAsia="Arial" w:hAnsi="Arial"/>
                <w:sz w:val="17"/>
                <w:szCs w:val="17"/>
                <w:color w:val="auto"/>
              </w:rPr>
              <w:t xml:space="preserve">unconsolidated affiliates </w:t>
            </w:r>
            <w:r>
              <w:rPr>
                <w:rFonts w:ascii="Arial" w:cs="Arial" w:eastAsia="Arial" w:hAnsi="Arial"/>
                <w:sz w:val="22"/>
                <w:szCs w:val="22"/>
                <w:color w:val="auto"/>
                <w:vertAlign w:val="superscript"/>
              </w:rPr>
              <w:t>(2)</w:t>
            </w:r>
          </w:p>
        </w:tc>
        <w:tc>
          <w:tcPr>
            <w:tcW w:w="200" w:type="dxa"/>
            <w:vAlign w:val="bottom"/>
            <w:vMerge w:val="continue"/>
          </w:tcPr>
          <w:p>
            <w:pPr>
              <w:spacing w:after="0"/>
              <w:rPr>
                <w:sz w:val="19"/>
                <w:szCs w:val="19"/>
                <w:color w:val="auto"/>
              </w:rPr>
            </w:pPr>
          </w:p>
        </w:tc>
        <w:tc>
          <w:tcPr>
            <w:tcW w:w="11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vMerge w:val="continue"/>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300" w:type="dxa"/>
            <w:vAlign w:val="bottom"/>
            <w:vMerge w:val="continue"/>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220" w:type="dxa"/>
            <w:vAlign w:val="bottom"/>
            <w:vMerge w:val="continue"/>
          </w:tcPr>
          <w:p>
            <w:pPr>
              <w:spacing w:after="0"/>
              <w:rPr>
                <w:sz w:val="19"/>
                <w:szCs w:val="19"/>
                <w:color w:val="auto"/>
              </w:rPr>
            </w:pPr>
          </w:p>
        </w:tc>
        <w:tc>
          <w:tcPr>
            <w:tcW w:w="10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gridSpan w:val="2"/>
            <w:vMerge w:val="continue"/>
          </w:tcPr>
          <w:p>
            <w:pPr>
              <w:spacing w:after="0"/>
              <w:rPr>
                <w:sz w:val="19"/>
                <w:szCs w:val="19"/>
                <w:color w:val="auto"/>
              </w:rPr>
            </w:pPr>
          </w:p>
        </w:tc>
        <w:tc>
          <w:tcPr>
            <w:tcW w:w="1040" w:type="dxa"/>
            <w:vAlign w:val="bottom"/>
            <w:vMerge w:val="continue"/>
          </w:tcPr>
          <w:p>
            <w:pPr>
              <w:spacing w:after="0"/>
              <w:rPr>
                <w:sz w:val="19"/>
                <w:szCs w:val="19"/>
                <w:color w:val="auto"/>
              </w:rPr>
            </w:pPr>
          </w:p>
        </w:tc>
        <w:tc>
          <w:tcPr>
            <w:tcW w:w="440" w:type="dxa"/>
            <w:vAlign w:val="bottom"/>
            <w:gridSpan w:val="5"/>
            <w:vMerge w:val="continue"/>
          </w:tcPr>
          <w:p>
            <w:pPr>
              <w:spacing w:after="0"/>
              <w:rPr>
                <w:sz w:val="19"/>
                <w:szCs w:val="19"/>
                <w:color w:val="auto"/>
              </w:rPr>
            </w:pPr>
          </w:p>
        </w:tc>
        <w:tc>
          <w:tcPr>
            <w:tcW w:w="1000" w:type="dxa"/>
            <w:vAlign w:val="bottom"/>
            <w:vMerge w:val="continue"/>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840" w:type="dxa"/>
            <w:vAlign w:val="bottom"/>
            <w:gridSpan w:val="3"/>
            <w:shd w:val="clear" w:color="auto" w:fill="CCEEFF"/>
          </w:tcPr>
          <w:p>
            <w:pPr>
              <w:ind w:left="20"/>
              <w:spacing w:after="0"/>
              <w:rPr>
                <w:sz w:val="20"/>
                <w:szCs w:val="20"/>
                <w:color w:val="auto"/>
              </w:rPr>
            </w:pPr>
            <w:r>
              <w:rPr>
                <w:rFonts w:ascii="Arial" w:cs="Arial" w:eastAsia="Arial" w:hAnsi="Arial"/>
                <w:sz w:val="17"/>
                <w:szCs w:val="17"/>
                <w:color w:val="auto"/>
              </w:rPr>
              <w:t>Total assets</w:t>
            </w:r>
          </w:p>
        </w:tc>
        <w:tc>
          <w:tcPr>
            <w:tcW w:w="20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w w:val="84"/>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2,040.3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4"/>
              <w:spacing w:after="0"/>
              <w:rPr>
                <w:sz w:val="20"/>
                <w:szCs w:val="20"/>
                <w:color w:val="auto"/>
              </w:rPr>
            </w:pPr>
            <w:r>
              <w:rPr>
                <w:rFonts w:ascii="Arial" w:cs="Arial" w:eastAsia="Arial" w:hAnsi="Arial"/>
                <w:sz w:val="17"/>
                <w:szCs w:val="17"/>
                <w:color w:val="auto"/>
                <w:w w:val="84"/>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1,184.8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4"/>
              <w:spacing w:after="0"/>
              <w:rPr>
                <w:sz w:val="20"/>
                <w:szCs w:val="20"/>
                <w:color w:val="auto"/>
              </w:rPr>
            </w:pPr>
            <w:r>
              <w:rPr>
                <w:rFonts w:ascii="Arial" w:cs="Arial" w:eastAsia="Arial" w:hAnsi="Arial"/>
                <w:sz w:val="17"/>
                <w:szCs w:val="17"/>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402.6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w w:val="84"/>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1,213.7</w:t>
            </w:r>
          </w:p>
        </w:tc>
        <w:tc>
          <w:tcPr>
            <w:tcW w:w="100" w:type="dxa"/>
            <w:vAlign w:val="bottom"/>
            <w:shd w:val="clear" w:color="auto" w:fill="CCEEFF"/>
          </w:tcPr>
          <w:p>
            <w:pPr>
              <w:spacing w:after="0"/>
              <w:rPr>
                <w:sz w:val="19"/>
                <w:szCs w:val="19"/>
                <w:color w:val="auto"/>
              </w:rPr>
            </w:pPr>
          </w:p>
        </w:tc>
        <w:tc>
          <w:tcPr>
            <w:tcW w:w="260" w:type="dxa"/>
            <w:vAlign w:val="bottom"/>
            <w:gridSpan w:val="2"/>
            <w:shd w:val="clear" w:color="auto" w:fill="CCEEFF"/>
          </w:tcPr>
          <w:p>
            <w:pPr>
              <w:jc w:val="right"/>
              <w:ind w:right="74"/>
              <w:spacing w:after="0"/>
              <w:rPr>
                <w:sz w:val="20"/>
                <w:szCs w:val="20"/>
                <w:color w:val="auto"/>
              </w:rPr>
            </w:pPr>
            <w:r>
              <w:rPr>
                <w:rFonts w:ascii="Arial" w:cs="Arial" w:eastAsia="Arial" w:hAnsi="Arial"/>
                <w:sz w:val="17"/>
                <w:szCs w:val="17"/>
                <w:color w:val="auto"/>
                <w:w w:val="84"/>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10,046.8</w:t>
            </w:r>
          </w:p>
        </w:tc>
        <w:tc>
          <w:tcPr>
            <w:tcW w:w="440" w:type="dxa"/>
            <w:vAlign w:val="bottom"/>
            <w:gridSpan w:val="5"/>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14,888.2</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8"/>
        </w:trPr>
        <w:tc>
          <w:tcPr>
            <w:tcW w:w="2840" w:type="dxa"/>
            <w:vAlign w:val="bottom"/>
            <w:gridSpan w:val="3"/>
          </w:tcPr>
          <w:p>
            <w:pPr>
              <w:spacing w:after="0"/>
              <w:rPr>
                <w:sz w:val="22"/>
                <w:szCs w:val="22"/>
                <w:color w:val="auto"/>
              </w:rPr>
            </w:pPr>
          </w:p>
        </w:tc>
        <w:tc>
          <w:tcPr>
            <w:tcW w:w="20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9"/>
        </w:trPr>
        <w:tc>
          <w:tcPr>
            <w:tcW w:w="2840" w:type="dxa"/>
            <w:vAlign w:val="bottom"/>
            <w:gridSpan w:val="3"/>
            <w:shd w:val="clear" w:color="auto" w:fill="CCEEFF"/>
          </w:tcPr>
          <w:p>
            <w:pPr>
              <w:ind w:left="20"/>
              <w:spacing w:after="0"/>
              <w:rPr>
                <w:sz w:val="20"/>
                <w:szCs w:val="20"/>
                <w:color w:val="auto"/>
              </w:rPr>
            </w:pPr>
            <w:r>
              <w:rPr>
                <w:rFonts w:ascii="Arial" w:cs="Arial" w:eastAsia="Arial" w:hAnsi="Arial"/>
                <w:sz w:val="17"/>
                <w:szCs w:val="17"/>
                <w:b w:val="1"/>
                <w:bCs w:val="1"/>
                <w:color w:val="auto"/>
              </w:rPr>
              <w:t>As of December 31, 2020</w:t>
            </w: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8"/>
        </w:trPr>
        <w:tc>
          <w:tcPr>
            <w:tcW w:w="2840" w:type="dxa"/>
            <w:vAlign w:val="bottom"/>
            <w:gridSpan w:val="3"/>
          </w:tcPr>
          <w:p>
            <w:pPr>
              <w:ind w:left="20"/>
              <w:spacing w:after="0" w:line="167" w:lineRule="exact"/>
              <w:rPr>
                <w:sz w:val="20"/>
                <w:szCs w:val="20"/>
                <w:color w:val="auto"/>
              </w:rPr>
            </w:pPr>
            <w:r>
              <w:rPr>
                <w:rFonts w:ascii="Arial" w:cs="Arial" w:eastAsia="Arial" w:hAnsi="Arial"/>
                <w:sz w:val="17"/>
                <w:szCs w:val="17"/>
                <w:color w:val="auto"/>
              </w:rPr>
              <w:t>Investment in and advances to</w:t>
            </w:r>
          </w:p>
        </w:tc>
        <w:tc>
          <w:tcPr>
            <w:tcW w:w="200" w:type="dxa"/>
            <w:vAlign w:val="bottom"/>
            <w:vMerge w:val="restart"/>
          </w:tcPr>
          <w:p>
            <w:pPr>
              <w:jc w:val="right"/>
              <w:ind w:right="14"/>
              <w:spacing w:after="0"/>
              <w:rPr>
                <w:sz w:val="20"/>
                <w:szCs w:val="20"/>
                <w:color w:val="auto"/>
              </w:rPr>
            </w:pPr>
            <w:r>
              <w:rPr>
                <w:rFonts w:ascii="Arial" w:cs="Arial" w:eastAsia="Arial" w:hAnsi="Arial"/>
                <w:sz w:val="17"/>
                <w:szCs w:val="17"/>
                <w:color w:val="auto"/>
                <w:w w:val="84"/>
              </w:rPr>
              <w:t>$</w:t>
            </w:r>
          </w:p>
        </w:tc>
        <w:tc>
          <w:tcPr>
            <w:tcW w:w="1100" w:type="dxa"/>
            <w:vAlign w:val="bottom"/>
            <w:vMerge w:val="restart"/>
          </w:tcPr>
          <w:p>
            <w:pPr>
              <w:jc w:val="right"/>
              <w:spacing w:after="0"/>
              <w:rPr>
                <w:sz w:val="20"/>
                <w:szCs w:val="20"/>
                <w:color w:val="auto"/>
              </w:rPr>
            </w:pPr>
            <w:r>
              <w:rPr>
                <w:rFonts w:ascii="Arial" w:cs="Arial" w:eastAsia="Arial" w:hAnsi="Arial"/>
                <w:sz w:val="17"/>
                <w:szCs w:val="17"/>
                <w:color w:val="auto"/>
              </w:rPr>
              <w:t>0.1</w:t>
            </w:r>
          </w:p>
        </w:tc>
        <w:tc>
          <w:tcPr>
            <w:tcW w:w="100" w:type="dxa"/>
            <w:vAlign w:val="bottom"/>
          </w:tcPr>
          <w:p>
            <w:pPr>
              <w:spacing w:after="0"/>
              <w:rPr>
                <w:sz w:val="14"/>
                <w:szCs w:val="14"/>
                <w:color w:val="auto"/>
              </w:rPr>
            </w:pPr>
          </w:p>
        </w:tc>
        <w:tc>
          <w:tcPr>
            <w:tcW w:w="280" w:type="dxa"/>
            <w:vAlign w:val="bottom"/>
            <w:vMerge w:val="restart"/>
          </w:tcPr>
          <w:p>
            <w:pPr>
              <w:jc w:val="right"/>
              <w:ind w:right="94"/>
              <w:spacing w:after="0"/>
              <w:rPr>
                <w:sz w:val="20"/>
                <w:szCs w:val="20"/>
                <w:color w:val="auto"/>
              </w:rPr>
            </w:pPr>
            <w:r>
              <w:rPr>
                <w:rFonts w:ascii="Arial" w:cs="Arial" w:eastAsia="Arial" w:hAnsi="Arial"/>
                <w:sz w:val="17"/>
                <w:szCs w:val="17"/>
                <w:color w:val="auto"/>
                <w:w w:val="84"/>
              </w:rPr>
              <w:t>$</w:t>
            </w:r>
          </w:p>
        </w:tc>
        <w:tc>
          <w:tcPr>
            <w:tcW w:w="1120" w:type="dxa"/>
            <w:vAlign w:val="bottom"/>
            <w:gridSpan w:val="2"/>
            <w:vMerge w:val="restart"/>
          </w:tcPr>
          <w:p>
            <w:pPr>
              <w:jc w:val="right"/>
              <w:ind w:right="160"/>
              <w:spacing w:after="0"/>
              <w:rPr>
                <w:sz w:val="20"/>
                <w:szCs w:val="20"/>
                <w:color w:val="auto"/>
              </w:rPr>
            </w:pPr>
            <w:r>
              <w:rPr>
                <w:rFonts w:ascii="Arial" w:cs="Arial" w:eastAsia="Arial" w:hAnsi="Arial"/>
                <w:sz w:val="17"/>
                <w:szCs w:val="17"/>
                <w:color w:val="auto"/>
              </w:rPr>
              <w:t>—</w:t>
            </w:r>
          </w:p>
        </w:tc>
        <w:tc>
          <w:tcPr>
            <w:tcW w:w="300" w:type="dxa"/>
            <w:vAlign w:val="bottom"/>
            <w:vMerge w:val="restart"/>
          </w:tcPr>
          <w:p>
            <w:pPr>
              <w:jc w:val="right"/>
              <w:ind w:right="94"/>
              <w:spacing w:after="0"/>
              <w:rPr>
                <w:sz w:val="20"/>
                <w:szCs w:val="20"/>
                <w:color w:val="auto"/>
              </w:rPr>
            </w:pPr>
            <w:r>
              <w:rPr>
                <w:rFonts w:ascii="Arial" w:cs="Arial" w:eastAsia="Arial" w:hAnsi="Arial"/>
                <w:sz w:val="17"/>
                <w:szCs w:val="17"/>
                <w:color w:val="auto"/>
              </w:rPr>
              <w:t>$</w:t>
            </w:r>
          </w:p>
        </w:tc>
        <w:tc>
          <w:tcPr>
            <w:tcW w:w="1120" w:type="dxa"/>
            <w:vAlign w:val="bottom"/>
            <w:gridSpan w:val="2"/>
            <w:vMerge w:val="restart"/>
          </w:tcPr>
          <w:p>
            <w:pPr>
              <w:jc w:val="right"/>
              <w:ind w:right="180"/>
              <w:spacing w:after="0"/>
              <w:rPr>
                <w:sz w:val="20"/>
                <w:szCs w:val="20"/>
                <w:color w:val="auto"/>
              </w:rPr>
            </w:pPr>
            <w:r>
              <w:rPr>
                <w:rFonts w:ascii="Arial" w:cs="Arial" w:eastAsia="Arial" w:hAnsi="Arial"/>
                <w:sz w:val="17"/>
                <w:szCs w:val="17"/>
                <w:color w:val="auto"/>
              </w:rPr>
              <w:t>—</w:t>
            </w:r>
          </w:p>
        </w:tc>
        <w:tc>
          <w:tcPr>
            <w:tcW w:w="220" w:type="dxa"/>
            <w:vAlign w:val="bottom"/>
            <w:vMerge w:val="restart"/>
          </w:tcPr>
          <w:p>
            <w:pPr>
              <w:jc w:val="right"/>
              <w:ind w:right="34"/>
              <w:spacing w:after="0"/>
              <w:rPr>
                <w:sz w:val="20"/>
                <w:szCs w:val="20"/>
                <w:color w:val="auto"/>
              </w:rPr>
            </w:pPr>
            <w:r>
              <w:rPr>
                <w:rFonts w:ascii="Arial" w:cs="Arial" w:eastAsia="Arial" w:hAnsi="Arial"/>
                <w:sz w:val="17"/>
                <w:szCs w:val="17"/>
                <w:color w:val="auto"/>
                <w:w w:val="84"/>
              </w:rPr>
              <w:t>$</w:t>
            </w:r>
          </w:p>
        </w:tc>
        <w:tc>
          <w:tcPr>
            <w:tcW w:w="1080" w:type="dxa"/>
            <w:vAlign w:val="bottom"/>
            <w:vMerge w:val="restart"/>
          </w:tcPr>
          <w:p>
            <w:pPr>
              <w:jc w:val="right"/>
              <w:spacing w:after="0"/>
              <w:rPr>
                <w:sz w:val="20"/>
                <w:szCs w:val="20"/>
                <w:color w:val="auto"/>
              </w:rPr>
            </w:pPr>
            <w:r>
              <w:rPr>
                <w:rFonts w:ascii="Arial" w:cs="Arial" w:eastAsia="Arial" w:hAnsi="Arial"/>
                <w:sz w:val="17"/>
                <w:szCs w:val="17"/>
                <w:color w:val="auto"/>
              </w:rPr>
              <w:t>85.2</w:t>
            </w:r>
          </w:p>
        </w:tc>
        <w:tc>
          <w:tcPr>
            <w:tcW w:w="100" w:type="dxa"/>
            <w:vAlign w:val="bottom"/>
          </w:tcPr>
          <w:p>
            <w:pPr>
              <w:spacing w:after="0"/>
              <w:rPr>
                <w:sz w:val="14"/>
                <w:szCs w:val="14"/>
                <w:color w:val="auto"/>
              </w:rPr>
            </w:pPr>
          </w:p>
        </w:tc>
        <w:tc>
          <w:tcPr>
            <w:tcW w:w="260" w:type="dxa"/>
            <w:vAlign w:val="bottom"/>
            <w:gridSpan w:val="2"/>
            <w:vMerge w:val="restart"/>
          </w:tcPr>
          <w:p>
            <w:pPr>
              <w:jc w:val="right"/>
              <w:ind w:right="74"/>
              <w:spacing w:after="0"/>
              <w:rPr>
                <w:sz w:val="20"/>
                <w:szCs w:val="20"/>
                <w:color w:val="auto"/>
              </w:rPr>
            </w:pPr>
            <w:r>
              <w:rPr>
                <w:rFonts w:ascii="Arial" w:cs="Arial" w:eastAsia="Arial" w:hAnsi="Arial"/>
                <w:sz w:val="17"/>
                <w:szCs w:val="17"/>
                <w:color w:val="auto"/>
                <w:w w:val="84"/>
              </w:rPr>
              <w:t>$</w:t>
            </w:r>
          </w:p>
        </w:tc>
        <w:tc>
          <w:tcPr>
            <w:tcW w:w="1040" w:type="dxa"/>
            <w:vAlign w:val="bottom"/>
            <w:vMerge w:val="restart"/>
          </w:tcPr>
          <w:p>
            <w:pPr>
              <w:jc w:val="right"/>
              <w:spacing w:after="0"/>
              <w:rPr>
                <w:sz w:val="20"/>
                <w:szCs w:val="20"/>
                <w:color w:val="auto"/>
              </w:rPr>
            </w:pPr>
            <w:r>
              <w:rPr>
                <w:rFonts w:ascii="Arial" w:cs="Arial" w:eastAsia="Arial" w:hAnsi="Arial"/>
                <w:sz w:val="17"/>
                <w:szCs w:val="17"/>
                <w:color w:val="auto"/>
              </w:rPr>
              <w:t>181.5</w:t>
            </w:r>
          </w:p>
        </w:tc>
        <w:tc>
          <w:tcPr>
            <w:tcW w:w="440" w:type="dxa"/>
            <w:vAlign w:val="bottom"/>
            <w:gridSpan w:val="5"/>
            <w:vMerge w:val="restart"/>
          </w:tcPr>
          <w:p>
            <w:pPr>
              <w:jc w:val="right"/>
              <w:ind w:right="220"/>
              <w:spacing w:after="0"/>
              <w:rPr>
                <w:sz w:val="20"/>
                <w:szCs w:val="20"/>
                <w:color w:val="auto"/>
              </w:rPr>
            </w:pPr>
            <w:r>
              <w:rPr>
                <w:rFonts w:ascii="Arial" w:cs="Arial" w:eastAsia="Arial" w:hAnsi="Arial"/>
                <w:sz w:val="17"/>
                <w:szCs w:val="17"/>
                <w:color w:val="auto"/>
              </w:rPr>
              <w:t>$</w:t>
            </w:r>
          </w:p>
        </w:tc>
        <w:tc>
          <w:tcPr>
            <w:tcW w:w="1000" w:type="dxa"/>
            <w:vAlign w:val="bottom"/>
            <w:vMerge w:val="restart"/>
          </w:tcPr>
          <w:p>
            <w:pPr>
              <w:jc w:val="right"/>
              <w:spacing w:after="0"/>
              <w:rPr>
                <w:sz w:val="20"/>
                <w:szCs w:val="20"/>
                <w:color w:val="auto"/>
              </w:rPr>
            </w:pPr>
            <w:r>
              <w:rPr>
                <w:rFonts w:ascii="Arial" w:cs="Arial" w:eastAsia="Arial" w:hAnsi="Arial"/>
                <w:sz w:val="17"/>
                <w:szCs w:val="17"/>
                <w:color w:val="auto"/>
              </w:rPr>
              <w:t>266.8</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9"/>
        </w:trPr>
        <w:tc>
          <w:tcPr>
            <w:tcW w:w="2840" w:type="dxa"/>
            <w:vAlign w:val="bottom"/>
            <w:gridSpan w:val="3"/>
          </w:tcPr>
          <w:p>
            <w:pPr>
              <w:ind w:left="20"/>
              <w:spacing w:after="0" w:line="219" w:lineRule="exact"/>
              <w:rPr>
                <w:sz w:val="20"/>
                <w:szCs w:val="20"/>
                <w:color w:val="auto"/>
              </w:rPr>
            </w:pPr>
            <w:r>
              <w:rPr>
                <w:rFonts w:ascii="Arial" w:cs="Arial" w:eastAsia="Arial" w:hAnsi="Arial"/>
                <w:sz w:val="17"/>
                <w:szCs w:val="17"/>
                <w:color w:val="auto"/>
              </w:rPr>
              <w:t xml:space="preserve">unconsolidated affiliates </w:t>
            </w:r>
            <w:r>
              <w:rPr>
                <w:rFonts w:ascii="Arial" w:cs="Arial" w:eastAsia="Arial" w:hAnsi="Arial"/>
                <w:sz w:val="22"/>
                <w:szCs w:val="22"/>
                <w:color w:val="auto"/>
                <w:vertAlign w:val="superscript"/>
              </w:rPr>
              <w:t>(2)</w:t>
            </w:r>
          </w:p>
        </w:tc>
        <w:tc>
          <w:tcPr>
            <w:tcW w:w="200" w:type="dxa"/>
            <w:vAlign w:val="bottom"/>
            <w:vMerge w:val="continue"/>
          </w:tcPr>
          <w:p>
            <w:pPr>
              <w:spacing w:after="0"/>
              <w:rPr>
                <w:sz w:val="19"/>
                <w:szCs w:val="19"/>
                <w:color w:val="auto"/>
              </w:rPr>
            </w:pPr>
          </w:p>
        </w:tc>
        <w:tc>
          <w:tcPr>
            <w:tcW w:w="11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vMerge w:val="continue"/>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300" w:type="dxa"/>
            <w:vAlign w:val="bottom"/>
            <w:vMerge w:val="continue"/>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220" w:type="dxa"/>
            <w:vAlign w:val="bottom"/>
            <w:vMerge w:val="continue"/>
          </w:tcPr>
          <w:p>
            <w:pPr>
              <w:spacing w:after="0"/>
              <w:rPr>
                <w:sz w:val="19"/>
                <w:szCs w:val="19"/>
                <w:color w:val="auto"/>
              </w:rPr>
            </w:pPr>
          </w:p>
        </w:tc>
        <w:tc>
          <w:tcPr>
            <w:tcW w:w="10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gridSpan w:val="2"/>
            <w:vMerge w:val="continue"/>
          </w:tcPr>
          <w:p>
            <w:pPr>
              <w:spacing w:after="0"/>
              <w:rPr>
                <w:sz w:val="19"/>
                <w:szCs w:val="19"/>
                <w:color w:val="auto"/>
              </w:rPr>
            </w:pPr>
          </w:p>
        </w:tc>
        <w:tc>
          <w:tcPr>
            <w:tcW w:w="1040" w:type="dxa"/>
            <w:vAlign w:val="bottom"/>
            <w:vMerge w:val="continue"/>
          </w:tcPr>
          <w:p>
            <w:pPr>
              <w:spacing w:after="0"/>
              <w:rPr>
                <w:sz w:val="19"/>
                <w:szCs w:val="19"/>
                <w:color w:val="auto"/>
              </w:rPr>
            </w:pPr>
          </w:p>
        </w:tc>
        <w:tc>
          <w:tcPr>
            <w:tcW w:w="440" w:type="dxa"/>
            <w:vAlign w:val="bottom"/>
            <w:gridSpan w:val="5"/>
            <w:vMerge w:val="continue"/>
          </w:tcPr>
          <w:p>
            <w:pPr>
              <w:spacing w:after="0"/>
              <w:rPr>
                <w:sz w:val="19"/>
                <w:szCs w:val="19"/>
                <w:color w:val="auto"/>
              </w:rPr>
            </w:pPr>
          </w:p>
        </w:tc>
        <w:tc>
          <w:tcPr>
            <w:tcW w:w="1000" w:type="dxa"/>
            <w:vAlign w:val="bottom"/>
            <w:vMerge w:val="continue"/>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840" w:type="dxa"/>
            <w:vAlign w:val="bottom"/>
            <w:gridSpan w:val="3"/>
            <w:shd w:val="clear" w:color="auto" w:fill="CCEEFF"/>
          </w:tcPr>
          <w:p>
            <w:pPr>
              <w:ind w:left="20"/>
              <w:spacing w:after="0"/>
              <w:rPr>
                <w:sz w:val="20"/>
                <w:szCs w:val="20"/>
                <w:color w:val="auto"/>
              </w:rPr>
            </w:pPr>
            <w:r>
              <w:rPr>
                <w:rFonts w:ascii="Arial" w:cs="Arial" w:eastAsia="Arial" w:hAnsi="Arial"/>
                <w:sz w:val="17"/>
                <w:szCs w:val="17"/>
                <w:color w:val="auto"/>
              </w:rPr>
              <w:t>Total assets</w:t>
            </w:r>
          </w:p>
        </w:tc>
        <w:tc>
          <w:tcPr>
            <w:tcW w:w="20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w w:val="84"/>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1,958.4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4"/>
              <w:spacing w:after="0"/>
              <w:rPr>
                <w:sz w:val="20"/>
                <w:szCs w:val="20"/>
                <w:color w:val="auto"/>
              </w:rPr>
            </w:pPr>
            <w:r>
              <w:rPr>
                <w:rFonts w:ascii="Arial" w:cs="Arial" w:eastAsia="Arial" w:hAnsi="Arial"/>
                <w:sz w:val="17"/>
                <w:szCs w:val="17"/>
                <w:color w:val="auto"/>
                <w:w w:val="84"/>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1,165.4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4"/>
              <w:spacing w:after="0"/>
              <w:rPr>
                <w:sz w:val="20"/>
                <w:szCs w:val="20"/>
                <w:color w:val="auto"/>
              </w:rPr>
            </w:pPr>
            <w:r>
              <w:rPr>
                <w:rFonts w:ascii="Arial" w:cs="Arial" w:eastAsia="Arial" w:hAnsi="Arial"/>
                <w:sz w:val="17"/>
                <w:szCs w:val="17"/>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401.5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w w:val="84"/>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1,161.1</w:t>
            </w:r>
          </w:p>
        </w:tc>
        <w:tc>
          <w:tcPr>
            <w:tcW w:w="100" w:type="dxa"/>
            <w:vAlign w:val="bottom"/>
            <w:shd w:val="clear" w:color="auto" w:fill="CCEEFF"/>
          </w:tcPr>
          <w:p>
            <w:pPr>
              <w:spacing w:after="0"/>
              <w:rPr>
                <w:sz w:val="19"/>
                <w:szCs w:val="19"/>
                <w:color w:val="auto"/>
              </w:rPr>
            </w:pPr>
          </w:p>
        </w:tc>
        <w:tc>
          <w:tcPr>
            <w:tcW w:w="260" w:type="dxa"/>
            <w:vAlign w:val="bottom"/>
            <w:gridSpan w:val="2"/>
            <w:shd w:val="clear" w:color="auto" w:fill="CCEEFF"/>
          </w:tcPr>
          <w:p>
            <w:pPr>
              <w:jc w:val="right"/>
              <w:ind w:right="74"/>
              <w:spacing w:after="0"/>
              <w:rPr>
                <w:sz w:val="20"/>
                <w:szCs w:val="20"/>
                <w:color w:val="auto"/>
              </w:rPr>
            </w:pPr>
            <w:r>
              <w:rPr>
                <w:rFonts w:ascii="Arial" w:cs="Arial" w:eastAsia="Arial" w:hAnsi="Arial"/>
                <w:sz w:val="17"/>
                <w:szCs w:val="17"/>
                <w:color w:val="auto"/>
                <w:w w:val="84"/>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9,980.9</w:t>
            </w:r>
          </w:p>
        </w:tc>
        <w:tc>
          <w:tcPr>
            <w:tcW w:w="440" w:type="dxa"/>
            <w:vAlign w:val="bottom"/>
            <w:gridSpan w:val="5"/>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14,667.3</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59" w:lineRule="exact"/>
        <w:rPr>
          <w:sz w:val="20"/>
          <w:szCs w:val="20"/>
          <w:color w:val="auto"/>
        </w:rPr>
      </w:pPr>
    </w:p>
    <w:p>
      <w:pPr>
        <w:ind w:left="620" w:right="20" w:hanging="307"/>
        <w:spacing w:after="0" w:line="250" w:lineRule="auto"/>
        <w:tabs>
          <w:tab w:leader="none" w:pos="612" w:val="left"/>
        </w:tabs>
        <w:numPr>
          <w:ilvl w:val="0"/>
          <w:numId w:val="15"/>
        </w:numPr>
        <w:rPr>
          <w:rFonts w:ascii="Arial" w:cs="Arial" w:eastAsia="Arial" w:hAnsi="Arial"/>
          <w:sz w:val="14"/>
          <w:szCs w:val="14"/>
          <w:color w:val="auto"/>
        </w:rPr>
      </w:pPr>
      <w:r>
        <w:rPr>
          <w:rFonts w:ascii="Arial" w:cs="Arial" w:eastAsia="Arial" w:hAnsi="Arial"/>
          <w:sz w:val="14"/>
          <w:szCs w:val="14"/>
          <w:color w:val="auto"/>
        </w:rPr>
        <w:t>The real estate assets subject to the Master Leases, which are classified as either property and equipment, operating lease ROU assets, or finance lease ROU assets, are included within the Other category.</w:t>
      </w:r>
    </w:p>
    <w:p>
      <w:pPr>
        <w:spacing w:after="0" w:line="25" w:lineRule="exact"/>
        <w:rPr>
          <w:rFonts w:ascii="Arial" w:cs="Arial" w:eastAsia="Arial" w:hAnsi="Arial"/>
          <w:sz w:val="14"/>
          <w:szCs w:val="14"/>
          <w:color w:val="auto"/>
        </w:rPr>
      </w:pPr>
    </w:p>
    <w:p>
      <w:pPr>
        <w:ind w:left="620" w:hanging="307"/>
        <w:spacing w:after="0"/>
        <w:tabs>
          <w:tab w:leader="none" w:pos="620" w:val="left"/>
        </w:tabs>
        <w:numPr>
          <w:ilvl w:val="0"/>
          <w:numId w:val="15"/>
        </w:numPr>
        <w:rPr>
          <w:rFonts w:ascii="Arial" w:cs="Arial" w:eastAsia="Arial" w:hAnsi="Arial"/>
          <w:sz w:val="14"/>
          <w:szCs w:val="14"/>
          <w:color w:val="auto"/>
        </w:rPr>
      </w:pPr>
      <w:r>
        <w:rPr>
          <w:rFonts w:ascii="Arial" w:cs="Arial" w:eastAsia="Arial" w:hAnsi="Arial"/>
          <w:sz w:val="14"/>
          <w:szCs w:val="14"/>
          <w:color w:val="auto"/>
        </w:rPr>
        <w:t>Our investment in Barstool Sports is included within the Other category.</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173990</wp:posOffset>
            </wp:positionV>
            <wp:extent cx="7164070" cy="419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30" w:name="page31"/>
    <w:bookmarkEnd w:id="30"/>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2. MANAGEMENT’S DISCUSSION AND ANALYSIS OF FINANCIAL CONDITION AND RESULTS OF OPERATIONS</w:t>
      </w:r>
    </w:p>
    <w:p>
      <w:pPr>
        <w:spacing w:after="0" w:line="184" w:lineRule="exact"/>
        <w:rPr>
          <w:sz w:val="20"/>
          <w:szCs w:val="20"/>
          <w:color w:val="auto"/>
        </w:rPr>
      </w:pPr>
    </w:p>
    <w:p>
      <w:pPr>
        <w:ind w:right="220" w:firstLine="309"/>
        <w:spacing w:after="0" w:line="262" w:lineRule="auto"/>
        <w:rPr>
          <w:sz w:val="20"/>
          <w:szCs w:val="20"/>
          <w:color w:val="auto"/>
        </w:rPr>
      </w:pPr>
      <w:r>
        <w:rPr>
          <w:rFonts w:ascii="Arial" w:cs="Arial" w:eastAsia="Arial" w:hAnsi="Arial"/>
          <w:sz w:val="17"/>
          <w:szCs w:val="17"/>
          <w:color w:val="auto"/>
        </w:rPr>
        <w:t>The following discussion and analysis of financial condition, results of operations, liquidity and capital resources should be read in conjunction with, and is qualified in its entirety by, the unaudited Consolidated Financial Statements and the notes thereto included in this Quarterly Report on Form 10-Q, and the Consolidated Financial Statements and notes thereto and Management’s Discussion and Analysis of Financial Condition and Results of Operations contained in our Annual Report on Form 10-K for the year ended December 31, 2020.</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EXECUTIVE OVERVIEW</w:t>
      </w:r>
    </w:p>
    <w:p>
      <w:pPr>
        <w:spacing w:after="0" w:line="19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Business</w:t>
      </w:r>
    </w:p>
    <w:p>
      <w:pPr>
        <w:spacing w:after="0" w:line="178" w:lineRule="exact"/>
        <w:rPr>
          <w:sz w:val="20"/>
          <w:szCs w:val="20"/>
          <w:color w:val="auto"/>
        </w:rPr>
      </w:pPr>
    </w:p>
    <w:p>
      <w:pPr>
        <w:ind w:right="80" w:firstLine="309"/>
        <w:spacing w:after="0" w:line="233" w:lineRule="auto"/>
        <w:rPr>
          <w:sz w:val="20"/>
          <w:szCs w:val="20"/>
          <w:color w:val="auto"/>
        </w:rPr>
      </w:pPr>
      <w:r>
        <w:rPr>
          <w:rFonts w:ascii="Arial" w:cs="Arial" w:eastAsia="Arial" w:hAnsi="Arial"/>
          <w:sz w:val="17"/>
          <w:szCs w:val="17"/>
          <w:color w:val="auto"/>
        </w:rPr>
        <w:t>Penn National Gaming, Inc., together with its subsidiaries (“Penn National,” the “Company,” “we,” “our,” or “us”), is a leading, diversified, multi-jurisdictional owner and manager of gaming and racing properties, online gaming, retail and online sports betting operations, and video gaming terminal (“VGT”) operations. Our wholly-owned interactive division, Penn Interactive Ventures, LLC (“Penn Interactive”), operates retail sports betting across the Company’s portfolio, as well as online sports betting, online social casino, bingo and online casinos (“iGaming”). The Company holds a 36% (inclusive of 1% on a delayed basis) equity interest in Barstool Sports, Inc. (“Barstool Sports”), a leading digital sports, entertainment, lifestyle and media company, and entered into a strategic relationship with Barstool Sports, whereby Barstool Sports will exclusively promote the Company's land-based retail sportsbooks, iGaming products and online sports betting products, including the Barstool Sportsbook mobile app, to its national audience. We launched an online sports betting app called Barstool Sports in Pennsylvania, Michigan and Illinois. We also operate iGaming in Pennsylvania and Michigan. Our my</w:t>
      </w:r>
      <w:r>
        <w:rPr>
          <w:rFonts w:ascii="Arial" w:cs="Arial" w:eastAsia="Arial" w:hAnsi="Arial"/>
          <w:sz w:val="17"/>
          <w:szCs w:val="17"/>
          <w:b w:val="1"/>
          <w:bCs w:val="1"/>
          <w:color w:val="auto"/>
        </w:rPr>
        <w:t>choice</w:t>
      </w:r>
      <w:r>
        <w:rPr>
          <w:rFonts w:ascii="Arial" w:cs="Arial" w:eastAsia="Arial" w:hAnsi="Arial"/>
          <w:sz w:val="22"/>
          <w:szCs w:val="22"/>
          <w:color w:val="auto"/>
          <w:vertAlign w:val="superscript"/>
        </w:rPr>
        <w:t>®</w:t>
      </w:r>
      <w:r>
        <w:rPr>
          <w:rFonts w:ascii="Arial" w:cs="Arial" w:eastAsia="Arial" w:hAnsi="Arial"/>
          <w:sz w:val="17"/>
          <w:szCs w:val="17"/>
          <w:color w:val="auto"/>
        </w:rPr>
        <w:t xml:space="preserve"> customer loyalty program (the "my</w:t>
      </w:r>
      <w:r>
        <w:rPr>
          <w:rFonts w:ascii="Arial" w:cs="Arial" w:eastAsia="Arial" w:hAnsi="Arial"/>
          <w:sz w:val="17"/>
          <w:szCs w:val="17"/>
          <w:b w:val="1"/>
          <w:bCs w:val="1"/>
          <w:color w:val="auto"/>
        </w:rPr>
        <w:t>choice</w:t>
      </w:r>
      <w:r>
        <w:rPr>
          <w:rFonts w:ascii="Arial" w:cs="Arial" w:eastAsia="Arial" w:hAnsi="Arial"/>
          <w:sz w:val="17"/>
          <w:szCs w:val="17"/>
          <w:color w:val="auto"/>
        </w:rPr>
        <w:t xml:space="preserve"> program") currently has over 20 million members and provides such members with various benefits, including complimentary goods and/or services. The Company’s strategy continues to evolve from an owner and manager of gaming and racing properties into an omni-channel provider of retail and online gaming, and sports betting entertainment.</w:t>
      </w:r>
    </w:p>
    <w:p>
      <w:pPr>
        <w:spacing w:after="0" w:line="151" w:lineRule="exact"/>
        <w:rPr>
          <w:sz w:val="20"/>
          <w:szCs w:val="20"/>
          <w:color w:val="auto"/>
        </w:rPr>
      </w:pPr>
    </w:p>
    <w:p>
      <w:pPr>
        <w:ind w:right="20" w:firstLine="309"/>
        <w:spacing w:after="0" w:line="299" w:lineRule="auto"/>
        <w:rPr>
          <w:rFonts w:ascii="Arial" w:cs="Arial" w:eastAsia="Arial" w:hAnsi="Arial"/>
          <w:sz w:val="15"/>
          <w:szCs w:val="15"/>
          <w:color w:val="auto"/>
        </w:rPr>
      </w:pPr>
      <w:r>
        <w:rPr>
          <w:rFonts w:ascii="Arial" w:cs="Arial" w:eastAsia="Arial" w:hAnsi="Arial"/>
          <w:sz w:val="15"/>
          <w:szCs w:val="15"/>
          <w:color w:val="auto"/>
        </w:rPr>
        <w:t xml:space="preserve">As of March 31, 2021, we owned, managed, or had ownership interests in 41 gaming and racing properties in 19 states and were licensed to offer live sports betting at our properties in Colorado, Illinois, Indiana, Iowa, Michigan, Mississippi, Nevada, Pennsylvania and West Virginia. The majority of the real estate assets (i.e., land and buildings) used in our operations are subject to triple net master leases; the most significant of which are the Penn Master Lease and the Pinnacle Master Lease (as such terms are defined in </w:t>
      </w:r>
      <w:hyperlink w:anchor="page41">
        <w:r>
          <w:rPr>
            <w:rFonts w:ascii="Arial" w:cs="Arial" w:eastAsia="Arial" w:hAnsi="Arial"/>
            <w:sz w:val="15"/>
            <w:szCs w:val="15"/>
            <w:u w:val="single" w:color="auto"/>
            <w:color w:val="0000FF"/>
          </w:rPr>
          <w:t>“Liquidity and Capital Resources”</w:t>
        </w:r>
        <w:r>
          <w:rPr>
            <w:rFonts w:ascii="Arial" w:cs="Arial" w:eastAsia="Arial" w:hAnsi="Arial"/>
            <w:sz w:val="15"/>
            <w:szCs w:val="15"/>
            <w:u w:val="single" w:color="auto"/>
            <w:color w:val="auto"/>
          </w:rPr>
          <w:t xml:space="preserve"> </w:t>
        </w:r>
      </w:hyperlink>
      <w:r>
        <w:rPr>
          <w:rFonts w:ascii="Arial" w:cs="Arial" w:eastAsia="Arial" w:hAnsi="Arial"/>
          <w:sz w:val="15"/>
          <w:szCs w:val="15"/>
          <w:color w:val="auto"/>
        </w:rPr>
        <w:t>and collectively referred to as the “Master Leases”), with Gaming and Leisure Properties, Inc. (Nasdaq: GLPI) (“GLPI”), a real estate investment trust (“REIT”). In addition, we are currently developing two Category 4 satellite gaming casinos in Pennsylvania: Hollywood Casino York and Hollywood Casino Morgantown, both of which are expected to commence operations by the end of 2021.</w:t>
      </w:r>
    </w:p>
    <w:p>
      <w:pPr>
        <w:spacing w:after="0" w:line="129" w:lineRule="exact"/>
        <w:rPr>
          <w:sz w:val="20"/>
          <w:szCs w:val="20"/>
          <w:color w:val="auto"/>
        </w:rPr>
      </w:pPr>
    </w:p>
    <w:p>
      <w:pPr>
        <w:jc w:val="both"/>
        <w:ind w:right="120" w:firstLine="309"/>
        <w:spacing w:after="0" w:line="266" w:lineRule="auto"/>
        <w:rPr>
          <w:sz w:val="20"/>
          <w:szCs w:val="20"/>
          <w:color w:val="auto"/>
        </w:rPr>
      </w:pPr>
      <w:r>
        <w:rPr>
          <w:rFonts w:ascii="Arial" w:cs="Arial" w:eastAsia="Arial" w:hAnsi="Arial"/>
          <w:sz w:val="17"/>
          <w:szCs w:val="17"/>
          <w:b w:val="1"/>
          <w:bCs w:val="1"/>
          <w:i w:val="1"/>
          <w:iCs w:val="1"/>
          <w:color w:val="auto"/>
        </w:rPr>
        <w:t xml:space="preserve">Update on the Impact of the COVID-19 Pandemic: </w:t>
      </w:r>
      <w:r>
        <w:rPr>
          <w:rFonts w:ascii="Arial" w:cs="Arial" w:eastAsia="Arial" w:hAnsi="Arial"/>
          <w:sz w:val="17"/>
          <w:szCs w:val="17"/>
          <w:color w:val="auto"/>
        </w:rPr>
        <w:t>As of March 31, 2021, with the exception of Valley Race Park, all of our properties have reopened. Zia</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Park, which reopened on March 5, 2021, was subsequently ordered by the New Mexico State Health Department to temporarily close from April 8, 2021 through April 20, 2021.</w:t>
      </w:r>
    </w:p>
    <w:p>
      <w:pPr>
        <w:spacing w:after="0" w:line="13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Recent Acquisitions, Development Projects and Other</w:t>
      </w:r>
    </w:p>
    <w:p>
      <w:pPr>
        <w:spacing w:after="0" w:line="178" w:lineRule="exact"/>
        <w:rPr>
          <w:sz w:val="20"/>
          <w:szCs w:val="20"/>
          <w:color w:val="auto"/>
        </w:rPr>
      </w:pPr>
    </w:p>
    <w:p>
      <w:pPr>
        <w:ind w:firstLine="309"/>
        <w:spacing w:after="0" w:line="257" w:lineRule="auto"/>
        <w:rPr>
          <w:sz w:val="20"/>
          <w:szCs w:val="20"/>
          <w:color w:val="auto"/>
        </w:rPr>
      </w:pPr>
      <w:r>
        <w:rPr>
          <w:rFonts w:ascii="Arial" w:cs="Arial" w:eastAsia="Arial" w:hAnsi="Arial"/>
          <w:sz w:val="16"/>
          <w:szCs w:val="16"/>
          <w:color w:val="auto"/>
        </w:rPr>
        <w:t>In February 2020, we closed on our investment in Barstool Sports pursuant to a stock purchase agreement with Barstool Sports and certain stockholders of Barstool Sports, in which we purchased 36% (inclusive of 1% on a delayed basis) of the common stock of Barstool Sports for a purchase price of $161.2 million. Within three years after the closing of the transaction (or earlier at our election), we will increase our ownership in Barstool Sports to approximately 50% by purchasing approximately $62.0 million worth of additional shares of Barstool Sports common stock, consistent with the implied valuation at the time of the initial investment, which was $450.0 million. With respect to the remaining Barstool Sports shares, we have immediately exercisable call rights, and the existing Barstool Sports stockholders have put rights exercisable beginning three years after closing, all based on a fair market value calculation at the time of exercise (subject to a cap of $650.0 million and, subject to such cap, a floor of 2.25 times the annualized revenue of Barstool Sports, all subject to various adjustments). Upon closing, we became Barstool Sports’ exclusive gaming partner for up to 40 years and have the sole right to utilize the Barstool Sports brand for all of our online and retail sports betting and iGaming products.</w:t>
      </w:r>
    </w:p>
    <w:p>
      <w:pPr>
        <w:spacing w:after="0" w:line="148" w:lineRule="exact"/>
        <w:rPr>
          <w:sz w:val="20"/>
          <w:szCs w:val="20"/>
          <w:color w:val="auto"/>
        </w:rPr>
      </w:pPr>
    </w:p>
    <w:p>
      <w:pPr>
        <w:ind w:right="100" w:firstLine="309"/>
        <w:spacing w:after="0" w:line="250" w:lineRule="auto"/>
        <w:rPr>
          <w:sz w:val="20"/>
          <w:szCs w:val="20"/>
          <w:color w:val="auto"/>
        </w:rPr>
      </w:pPr>
      <w:r>
        <w:rPr>
          <w:rFonts w:ascii="Arial" w:cs="Arial" w:eastAsia="Arial" w:hAnsi="Arial"/>
          <w:sz w:val="17"/>
          <w:szCs w:val="17"/>
          <w:color w:val="auto"/>
        </w:rPr>
        <w:t>As noted above, Penn Interactive operates the Barstool Sports online sports betting app in Pennsylvania, Michigan, and Illinois and iGaming in Pennsylvania and Michigan. In addition, Penn Interactive has entered into multi-year agreements with leading sports betting operators for online sports betting and iGaming market access across our portfolio of properties.</w:t>
      </w:r>
    </w:p>
    <w:p>
      <w:pPr>
        <w:spacing w:after="0" w:line="137" w:lineRule="exact"/>
        <w:rPr>
          <w:sz w:val="20"/>
          <w:szCs w:val="20"/>
          <w:color w:val="auto"/>
        </w:rPr>
      </w:pPr>
    </w:p>
    <w:p>
      <w:pPr>
        <w:ind w:right="40" w:firstLine="309"/>
        <w:spacing w:after="0" w:line="250" w:lineRule="auto"/>
        <w:rPr>
          <w:sz w:val="20"/>
          <w:szCs w:val="20"/>
          <w:color w:val="auto"/>
        </w:rPr>
      </w:pPr>
      <w:r>
        <w:rPr>
          <w:rFonts w:ascii="Arial" w:cs="Arial" w:eastAsia="Arial" w:hAnsi="Arial"/>
          <w:sz w:val="17"/>
          <w:szCs w:val="17"/>
          <w:color w:val="auto"/>
        </w:rPr>
        <w:t>In December 2020, the Company entered into a definitive agreement to purchase from GLPI the operations of Hollywood Casino Perryville for $31.1 million. The transaction is expected to close early in the third quarter of 2021, subject to approval of the Maryland Lottery and Gaming Control Commission and other customary closing conditions. Simultaneous with the closing</w:t>
      </w:r>
    </w:p>
    <w:p>
      <w:pPr>
        <w:spacing w:after="0" w:line="200" w:lineRule="exact"/>
        <w:rPr>
          <w:sz w:val="20"/>
          <w:szCs w:val="20"/>
          <w:color w:val="auto"/>
        </w:rPr>
      </w:pPr>
    </w:p>
    <w:p>
      <w:pPr>
        <w:spacing w:after="0" w:line="29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173990</wp:posOffset>
            </wp:positionV>
            <wp:extent cx="7164070" cy="419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31" w:name="page32"/>
    <w:bookmarkEnd w:id="31"/>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339" w:lineRule="exact"/>
        <w:rPr>
          <w:sz w:val="20"/>
          <w:szCs w:val="20"/>
          <w:color w:val="auto"/>
        </w:rPr>
      </w:pPr>
    </w:p>
    <w:p>
      <w:pPr>
        <w:ind w:right="220"/>
        <w:spacing w:after="0" w:line="264" w:lineRule="auto"/>
        <w:rPr>
          <w:sz w:val="20"/>
          <w:szCs w:val="20"/>
          <w:color w:val="auto"/>
        </w:rPr>
      </w:pPr>
      <w:r>
        <w:rPr>
          <w:rFonts w:ascii="Arial" w:cs="Arial" w:eastAsia="Arial" w:hAnsi="Arial"/>
          <w:sz w:val="17"/>
          <w:szCs w:val="17"/>
          <w:color w:val="auto"/>
        </w:rPr>
        <w:t>of the transaction, we would lease the real estate assets associated with Hollywood Casino Perryville from GLPI with initial annual rent of $7.8 million per year subject to escalation.</w:t>
      </w:r>
    </w:p>
    <w:p>
      <w:pPr>
        <w:spacing w:after="0" w:line="124" w:lineRule="exact"/>
        <w:rPr>
          <w:sz w:val="20"/>
          <w:szCs w:val="20"/>
          <w:color w:val="auto"/>
        </w:rPr>
      </w:pPr>
    </w:p>
    <w:p>
      <w:pPr>
        <w:ind w:firstLine="309"/>
        <w:spacing w:after="0" w:line="284" w:lineRule="auto"/>
        <w:rPr>
          <w:sz w:val="20"/>
          <w:szCs w:val="20"/>
          <w:color w:val="auto"/>
        </w:rPr>
      </w:pPr>
      <w:r>
        <w:rPr>
          <w:rFonts w:ascii="Arial" w:cs="Arial" w:eastAsia="Arial" w:hAnsi="Arial"/>
          <w:sz w:val="15"/>
          <w:szCs w:val="15"/>
          <w:color w:val="auto"/>
        </w:rPr>
        <w:t>On March 15, 2021, the Company entered into a purchase agreement with PM Texas Holdings, LLC for the purchase of the remaining 50% ownership interest in the Sam Houston Race Park in Houston, Texas, the Valley Race Park in Harlingen, Texas, and a license to operate a racetrack in Austin, Texas. The purchase price consisted of $56.0 million, comprised of $42.0 million in cash and $14.0 million of the Company's common equity, as well as contingent consideration. The contingent consideration will be triggered in the event the State of Texas establishes a statutory framework authorizing land-based gaming or online gaming operations in the state prior to the ten-year anniversary of the closing date. The transaction is expected to close in the second quarter of 2021.</w:t>
      </w:r>
    </w:p>
    <w:p>
      <w:pPr>
        <w:spacing w:after="0" w:line="127" w:lineRule="exact"/>
        <w:rPr>
          <w:sz w:val="20"/>
          <w:szCs w:val="20"/>
          <w:color w:val="auto"/>
        </w:rPr>
      </w:pPr>
    </w:p>
    <w:p>
      <w:pPr>
        <w:ind w:right="60" w:firstLine="309"/>
        <w:spacing w:after="0" w:line="273" w:lineRule="auto"/>
        <w:rPr>
          <w:rFonts w:ascii="Arial" w:cs="Arial" w:eastAsia="Arial" w:hAnsi="Arial"/>
          <w:sz w:val="15"/>
          <w:szCs w:val="15"/>
          <w:color w:val="auto"/>
        </w:rPr>
      </w:pPr>
      <w:r>
        <w:rPr>
          <w:rFonts w:ascii="Arial" w:cs="Arial" w:eastAsia="Arial" w:hAnsi="Arial"/>
          <w:sz w:val="15"/>
          <w:szCs w:val="15"/>
          <w:color w:val="auto"/>
        </w:rPr>
        <w:t xml:space="preserve">On April 16, 2020, we sold the real estate assets associated with our Tropicana property to GLPI in exchange for rent credits of $307.5 million and utilized them to pay rent under our existing Master Leases and the Meadows Lease beginning in May 2020. Contemporaneous with the sale, the Company entered into the Tropicana Lease (as defined and discussed in </w:t>
      </w:r>
      <w:hyperlink w:anchor="page19">
        <w:r>
          <w:rPr>
            <w:rFonts w:ascii="Arial" w:cs="Arial" w:eastAsia="Arial" w:hAnsi="Arial"/>
            <w:sz w:val="15"/>
            <w:szCs w:val="15"/>
            <w:u w:val="single" w:color="auto"/>
            <w:color w:val="0000FF"/>
          </w:rPr>
          <w:t>Note 9, “Leases”</w:t>
        </w:r>
      </w:hyperlink>
      <w:r>
        <w:rPr>
          <w:rFonts w:ascii="Arial" w:cs="Arial" w:eastAsia="Arial" w:hAnsi="Arial"/>
          <w:sz w:val="15"/>
          <w:szCs w:val="15"/>
          <w:color w:val="auto"/>
        </w:rPr>
        <w:t>). Pursuant to the purchase agreement, GLPI would conduct a sale process with respect to both the real estate assets and the operations of Tropicana for up to 24 months (the “Sale Period”), with the Company receiving (i) 75% of the proceeds above</w:t>
      </w:r>
    </w:p>
    <w:p>
      <w:pPr>
        <w:spacing w:after="0" w:line="3" w:lineRule="exact"/>
        <w:rPr>
          <w:sz w:val="20"/>
          <w:szCs w:val="20"/>
          <w:color w:val="auto"/>
        </w:rPr>
      </w:pPr>
    </w:p>
    <w:p>
      <w:pPr>
        <w:ind w:right="240"/>
        <w:spacing w:after="0" w:line="277" w:lineRule="auto"/>
        <w:rPr>
          <w:sz w:val="20"/>
          <w:szCs w:val="20"/>
          <w:color w:val="auto"/>
        </w:rPr>
      </w:pPr>
      <w:r>
        <w:rPr>
          <w:rFonts w:ascii="Arial" w:cs="Arial" w:eastAsia="Arial" w:hAnsi="Arial"/>
          <w:sz w:val="16"/>
          <w:szCs w:val="16"/>
          <w:color w:val="auto"/>
        </w:rPr>
        <w:t>$307.5 million plus certain taxes, expenses and costs if an agreement for such sale is signed in the first 12 months of the Sale Period or (ii) 50% of the proceeds above $307.5 million plus certain taxes, expenses and costs if an agreement for such sale is signed in the remainder of the Sale Period.</w:t>
      </w:r>
    </w:p>
    <w:p>
      <w:pPr>
        <w:spacing w:after="0" w:line="116" w:lineRule="exact"/>
        <w:rPr>
          <w:sz w:val="20"/>
          <w:szCs w:val="20"/>
          <w:color w:val="auto"/>
        </w:rPr>
      </w:pPr>
    </w:p>
    <w:p>
      <w:pPr>
        <w:ind w:right="40" w:firstLine="309"/>
        <w:spacing w:after="0" w:line="244" w:lineRule="auto"/>
        <w:rPr>
          <w:sz w:val="20"/>
          <w:szCs w:val="20"/>
          <w:color w:val="auto"/>
        </w:rPr>
      </w:pPr>
      <w:r>
        <w:rPr>
          <w:rFonts w:ascii="Arial" w:cs="Arial" w:eastAsia="Arial" w:hAnsi="Arial"/>
          <w:sz w:val="17"/>
          <w:szCs w:val="17"/>
          <w:color w:val="auto"/>
        </w:rPr>
        <w:t>On April 13, 2021, GLPI announced that it entered into a binding term sheet with Bally’s Corporation (“Bally’s”) whereby Bally’s plans to acquire both GLPI’s non-land real estate assets and Penn’s outstanding equity interests in Tropicana Las Vegas Hotel and Casino, Inc., which has the gaming license and operates the Tropicana, for an aggregate cash acquisition price of $150.0 million. GLPI will retain ownership of the land and will concurrently enter into a 50-year ground lease with initial annual rent of $10.5 million. This transaction is expected to close in early 2022, subject to Penn, GLPI and Bally's entering into definitive agreements and regulatory approval.</w:t>
      </w:r>
    </w:p>
    <w:p>
      <w:pPr>
        <w:spacing w:after="0" w:line="14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Operating and Competitive Environment</w:t>
      </w:r>
    </w:p>
    <w:p>
      <w:pPr>
        <w:spacing w:after="0" w:line="191" w:lineRule="exact"/>
        <w:rPr>
          <w:sz w:val="20"/>
          <w:szCs w:val="20"/>
          <w:color w:val="auto"/>
        </w:rPr>
      </w:pPr>
    </w:p>
    <w:p>
      <w:pPr>
        <w:ind w:right="80" w:firstLine="309"/>
        <w:spacing w:after="0" w:line="277" w:lineRule="auto"/>
        <w:rPr>
          <w:sz w:val="20"/>
          <w:szCs w:val="20"/>
          <w:color w:val="auto"/>
        </w:rPr>
      </w:pPr>
      <w:r>
        <w:rPr>
          <w:rFonts w:ascii="Arial" w:cs="Arial" w:eastAsia="Arial" w:hAnsi="Arial"/>
          <w:sz w:val="16"/>
          <w:szCs w:val="16"/>
          <w:color w:val="auto"/>
        </w:rPr>
        <w:t>Most of our properties operate in mature, competitive markets. We expect that the majority of our future growth will come from new business lines or distribution channels, such as retail and online gaming and sports betting; entrance into new jurisdictions; expansions of gaming in existing jurisdictions; and, to a lesser extent, improvements/expansions of our existing properties and strategic acquisitions of gaming properties. Our portfolio is comprised largely of well-maintained regional gaming facilities, which has allowed us to develop what we believe to be a solid base for future growth opportunities. We have also made investments in joint ventures that we believe will allow us to capitalize on additional gaming opportunities in certain states if legislation or referenda are passed that permit and/or expand gaming in these jurisdictions and we are selected as a licensee.</w:t>
      </w:r>
    </w:p>
    <w:p>
      <w:pPr>
        <w:spacing w:after="0" w:line="131" w:lineRule="exact"/>
        <w:rPr>
          <w:sz w:val="20"/>
          <w:szCs w:val="20"/>
          <w:color w:val="auto"/>
        </w:rPr>
      </w:pPr>
    </w:p>
    <w:p>
      <w:pPr>
        <w:ind w:firstLine="309"/>
        <w:spacing w:after="0" w:line="273" w:lineRule="auto"/>
        <w:rPr>
          <w:sz w:val="20"/>
          <w:szCs w:val="20"/>
          <w:color w:val="auto"/>
        </w:rPr>
      </w:pPr>
      <w:r>
        <w:rPr>
          <w:rFonts w:ascii="Arial" w:cs="Arial" w:eastAsia="Arial" w:hAnsi="Arial"/>
          <w:sz w:val="16"/>
          <w:szCs w:val="16"/>
          <w:color w:val="auto"/>
        </w:rPr>
        <w:t>As reported by most jurisdictions, regional gaming industry trends have shown little revenue growth the last several years as numerous jurisdictions now permit gaming or have expanded their gaming offerings. In recent years, the proliferation of new gaming properties has impacted the overall domestic gaming industry as well as our results of operations in certain markets. Prior to the COVID-19 pandemic, the economic environment, specifically historically low levels of unemployment, strength in residential real estate prices, and high levels of consumer confidence, had resulted in a stable operating environment in recent years. In 2020, the COVID-19 pandemic increased the level of unemployment and decreased the level of consumer confidence, however we are optimistic both of these trends will reverse in 2021. As the COVID-19 pandemic evolves, we continue to adjust operations and cost structures at our properties to reflect the changing economic and health and safety conditions. We also continue to focus on revenue and cost synergies from recent acquisitions, and offering our customers additional gaming experiences through our omni-channel distribution strategy. We seek to continue to expand our customer database through accretive acquisitions or investments, such as Barstool Sports, capitalize on organic growth opportunities from the development of new properties or the expansion of recently-developed business lines, and develop partnerships that allow us to enter new jurisdictions for iGaming and sports betting.</w:t>
      </w:r>
    </w:p>
    <w:p>
      <w:pPr>
        <w:spacing w:after="0" w:line="137" w:lineRule="exact"/>
        <w:rPr>
          <w:sz w:val="20"/>
          <w:szCs w:val="20"/>
          <w:color w:val="auto"/>
        </w:rPr>
      </w:pPr>
    </w:p>
    <w:p>
      <w:pPr>
        <w:ind w:right="40" w:firstLine="309"/>
        <w:spacing w:after="0" w:line="283" w:lineRule="auto"/>
        <w:rPr>
          <w:sz w:val="20"/>
          <w:szCs w:val="20"/>
          <w:color w:val="auto"/>
        </w:rPr>
      </w:pPr>
      <w:r>
        <w:rPr>
          <w:rFonts w:ascii="Arial" w:cs="Arial" w:eastAsia="Arial" w:hAnsi="Arial"/>
          <w:sz w:val="16"/>
          <w:szCs w:val="16"/>
          <w:color w:val="auto"/>
        </w:rPr>
        <w:t>The gaming industry is characterized by an increasingly high degree of competition among a large number of participants, including riverboat casinos; dockside casinos; land-based casinos; video lottery; iGaming; online and retail sports betting; gaming at taverns; gaming at truck stop establishments; sweepstakes and poker machines not located in casinos; the potential for increased fantasy sports, significant growth of Native American gaming tribes, historic racing or state-sponsored i-lottery products in or adjacent to states we operate in; and other forms of gaming in the U.S.</w:t>
      </w:r>
    </w:p>
    <w:p>
      <w:pPr>
        <w:spacing w:after="0" w:line="200" w:lineRule="exact"/>
        <w:rPr>
          <w:sz w:val="20"/>
          <w:szCs w:val="20"/>
          <w:color w:val="auto"/>
        </w:rPr>
      </w:pPr>
    </w:p>
    <w:p>
      <w:pPr>
        <w:spacing w:after="0" w:line="28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182245</wp:posOffset>
            </wp:positionV>
            <wp:extent cx="7164070" cy="419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32" w:name="page33"/>
    <w:bookmarkEnd w:id="32"/>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Key Performance Indicators</w:t>
      </w:r>
    </w:p>
    <w:p>
      <w:pPr>
        <w:spacing w:after="0" w:line="178" w:lineRule="exact"/>
        <w:rPr>
          <w:sz w:val="20"/>
          <w:szCs w:val="20"/>
          <w:color w:val="auto"/>
        </w:rPr>
      </w:pPr>
    </w:p>
    <w:p>
      <w:pPr>
        <w:ind w:right="20" w:firstLine="309"/>
        <w:spacing w:after="0" w:line="256" w:lineRule="auto"/>
        <w:rPr>
          <w:sz w:val="20"/>
          <w:szCs w:val="20"/>
          <w:color w:val="auto"/>
        </w:rPr>
      </w:pPr>
      <w:r>
        <w:rPr>
          <w:rFonts w:ascii="Arial" w:cs="Arial" w:eastAsia="Arial" w:hAnsi="Arial"/>
          <w:sz w:val="17"/>
          <w:szCs w:val="17"/>
          <w:color w:val="auto"/>
        </w:rPr>
        <w:t>In our business, revenue is driven by discretionary consumer spending. We have no certain mechanism for determining why consumers choose to spend more or less money at our properties from period-to-period; therefore, we are unable to quantify a dollar amount for each factor that impacts our customers’ spending behaviors. However, based on our experience, we can generally offer some insight into the factors that we believe are likely to account for such changes and which factors may have a greater impact than others. For example, decreases in discretionary consumer spending have historically been brought about by weakened general economic conditions, such as lackluster recoveries from recessions, high unemployment levels, higher income taxes, low levels of consumer confidence, weakness in the housing market, high fuel or other transportation costs, and most recently, the effects of the COVID-19 pandemic. In addition, visitation and the volume of play have historically been negatively impacted by significant construction surrounding our properties, adverse regional weather conditions and natural disasters. In all instances, such insights are based solely on our judgment and professional experience, and no assurance can be given as to the accuracy of our judgments.</w:t>
      </w:r>
    </w:p>
    <w:p>
      <w:pPr>
        <w:spacing w:after="0" w:line="160" w:lineRule="exact"/>
        <w:rPr>
          <w:sz w:val="20"/>
          <w:szCs w:val="20"/>
          <w:color w:val="auto"/>
        </w:rPr>
      </w:pPr>
    </w:p>
    <w:p>
      <w:pPr>
        <w:ind w:right="100" w:firstLine="309"/>
        <w:spacing w:after="0" w:line="262" w:lineRule="auto"/>
        <w:rPr>
          <w:sz w:val="20"/>
          <w:szCs w:val="20"/>
          <w:color w:val="auto"/>
        </w:rPr>
      </w:pPr>
      <w:r>
        <w:rPr>
          <w:rFonts w:ascii="Arial" w:cs="Arial" w:eastAsia="Arial" w:hAnsi="Arial"/>
          <w:sz w:val="17"/>
          <w:szCs w:val="17"/>
          <w:color w:val="auto"/>
        </w:rPr>
        <w:t>The vast majority of our revenues is gaming revenue, which is highly dependent upon the volume and spending levels of customers at our properties. Our gaming revenue is derived primarily from slot machines (which represented approximately 85% and 91% of our gaming revenue for the three months in 2021 and 2020) and, to a lesser extent, table games and sports betting. Aside from gaming revenue, our revenues are derived from our hotel, dining, retail, commissions, program sales, admissions, concessions and certain other ancillary activities, and our racing operations.</w:t>
      </w:r>
    </w:p>
    <w:p>
      <w:pPr>
        <w:spacing w:after="0" w:line="139" w:lineRule="exact"/>
        <w:rPr>
          <w:sz w:val="20"/>
          <w:szCs w:val="20"/>
          <w:color w:val="auto"/>
        </w:rPr>
      </w:pPr>
    </w:p>
    <w:p>
      <w:pPr>
        <w:ind w:right="40" w:firstLine="309"/>
        <w:spacing w:after="0" w:line="266" w:lineRule="auto"/>
        <w:rPr>
          <w:sz w:val="20"/>
          <w:szCs w:val="20"/>
          <w:color w:val="auto"/>
        </w:rPr>
      </w:pPr>
      <w:r>
        <w:rPr>
          <w:rFonts w:ascii="Arial" w:cs="Arial" w:eastAsia="Arial" w:hAnsi="Arial"/>
          <w:sz w:val="17"/>
          <w:szCs w:val="17"/>
          <w:color w:val="auto"/>
        </w:rPr>
        <w:t>Key performance indicators related to gaming revenue are slot handle and table game drop, which are volume indicators, and “win” or “hold” percentage. Our typical property slot win percentage is in the range of approximately 7% to 10% of slot handle, and our typical table game hold percentage is in the range of approximately 14% to 27% of table game drop.</w:t>
      </w:r>
    </w:p>
    <w:p>
      <w:pPr>
        <w:spacing w:after="0" w:line="136" w:lineRule="exact"/>
        <w:rPr>
          <w:sz w:val="20"/>
          <w:szCs w:val="20"/>
          <w:color w:val="auto"/>
        </w:rPr>
      </w:pPr>
    </w:p>
    <w:p>
      <w:pPr>
        <w:ind w:firstLine="309"/>
        <w:spacing w:after="0" w:line="275" w:lineRule="auto"/>
        <w:rPr>
          <w:sz w:val="20"/>
          <w:szCs w:val="20"/>
          <w:color w:val="auto"/>
        </w:rPr>
      </w:pPr>
      <w:r>
        <w:rPr>
          <w:rFonts w:ascii="Arial" w:cs="Arial" w:eastAsia="Arial" w:hAnsi="Arial"/>
          <w:sz w:val="16"/>
          <w:szCs w:val="16"/>
          <w:color w:val="auto"/>
        </w:rPr>
        <w:t>Slot handle is the gross amount wagered during a given period. The win or hold percentage is the net amount of gaming wins and losses, with liabilities recognized for accruals related to the anticipated payout of progressive jackpots. Given the stability in our slot hold percentages on a historical basis, we have not experienced significant impacts to net income from changes in these percentages. For table games, customers usually purchase chips at the gaming tables. The cash and markers (extensions of credit granted to certain credit-worthy customers) are deposited in the gaming table’s drop box. Table game hold is the amount of drop that is retained and recorded as gaming revenue, with liabilities recognized for funds deposited by customers before gaming play occurs and for unredeemed gaming chips. As we are primarily focused on regional gaming markets, our table game hold percentages are fairly stable as the majority of these markets do not regularly experience high-end play, which can lead to volatility in hold percentages. Therefore, changes in table game hold percentages do not typically have a material impact to our results of operations and cash flows.</w:t>
      </w:r>
    </w:p>
    <w:p>
      <w:pPr>
        <w:spacing w:after="0" w:line="144" w:lineRule="exact"/>
        <w:rPr>
          <w:sz w:val="20"/>
          <w:szCs w:val="20"/>
          <w:color w:val="auto"/>
        </w:rPr>
      </w:pPr>
    </w:p>
    <w:p>
      <w:pPr>
        <w:ind w:right="120" w:firstLine="309"/>
        <w:spacing w:after="0" w:line="259" w:lineRule="auto"/>
        <w:rPr>
          <w:rFonts w:ascii="Arial" w:cs="Arial" w:eastAsia="Arial" w:hAnsi="Arial"/>
          <w:sz w:val="17"/>
          <w:szCs w:val="17"/>
          <w:color w:val="auto"/>
        </w:rPr>
      </w:pPr>
      <w:r>
        <w:rPr>
          <w:rFonts w:ascii="Arial" w:cs="Arial" w:eastAsia="Arial" w:hAnsi="Arial"/>
          <w:sz w:val="17"/>
          <w:szCs w:val="17"/>
          <w:color w:val="auto"/>
        </w:rPr>
        <w:t xml:space="preserve">Under normal operating conditions, our properties generate significant operating cash flow since most of our revenue is cash-based from slot machines, table games, and pari-mutuel wagering. Our business is capital intensive, and we rely on cash flow from our properties to generate sufficient cash to satisfy our obligations under the Triple Net Leases (as defined in </w:t>
      </w:r>
      <w:hyperlink w:anchor="page41">
        <w:r>
          <w:rPr>
            <w:rFonts w:ascii="Arial" w:cs="Arial" w:eastAsia="Arial" w:hAnsi="Arial"/>
            <w:sz w:val="17"/>
            <w:szCs w:val="17"/>
            <w:u w:val="single" w:color="auto"/>
            <w:color w:val="0000FF"/>
          </w:rPr>
          <w:t>"Liquidity and Capital Resources”</w:t>
        </w:r>
      </w:hyperlink>
      <w:r>
        <w:rPr>
          <w:rFonts w:ascii="Arial" w:cs="Arial" w:eastAsia="Arial" w:hAnsi="Arial"/>
          <w:sz w:val="17"/>
          <w:szCs w:val="17"/>
          <w:color w:val="auto"/>
        </w:rPr>
        <w:t xml:space="preserve">), repay debt, fund maintenance capital expenditures, fund new capital projects at existing properties and provide excess cash for future development and acquisitions. Additional information regarding our capital projects is discussed in </w:t>
      </w:r>
      <w:hyperlink w:anchor="page41">
        <w:r>
          <w:rPr>
            <w:rFonts w:ascii="Arial" w:cs="Arial" w:eastAsia="Arial" w:hAnsi="Arial"/>
            <w:sz w:val="17"/>
            <w:szCs w:val="17"/>
            <w:u w:val="single" w:color="auto"/>
            <w:color w:val="0000FF"/>
          </w:rPr>
          <w:t>“Liquidity and Capital Resources”</w:t>
        </w:r>
        <w:r>
          <w:rPr>
            <w:rFonts w:ascii="Arial" w:cs="Arial" w:eastAsia="Arial" w:hAnsi="Arial"/>
            <w:sz w:val="17"/>
            <w:szCs w:val="17"/>
            <w:u w:val="single" w:color="auto"/>
            <w:color w:val="auto"/>
          </w:rPr>
          <w:t xml:space="preserve"> </w:t>
        </w:r>
      </w:hyperlink>
      <w:r>
        <w:rPr>
          <w:rFonts w:ascii="Arial" w:cs="Arial" w:eastAsia="Arial" w:hAnsi="Arial"/>
          <w:sz w:val="17"/>
          <w:szCs w:val="17"/>
          <w:color w:val="auto"/>
        </w:rPr>
        <w:t>below.</w:t>
      </w:r>
    </w:p>
    <w:p>
      <w:pPr>
        <w:spacing w:after="0" w:line="14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Reportable Segments</w:t>
      </w:r>
    </w:p>
    <w:p>
      <w:pPr>
        <w:spacing w:after="0" w:line="178" w:lineRule="exact"/>
        <w:rPr>
          <w:sz w:val="20"/>
          <w:szCs w:val="20"/>
          <w:color w:val="auto"/>
        </w:rPr>
      </w:pPr>
    </w:p>
    <w:p>
      <w:pPr>
        <w:ind w:firstLine="309"/>
        <w:spacing w:after="0" w:line="262" w:lineRule="auto"/>
        <w:rPr>
          <w:rFonts w:ascii="Arial" w:cs="Arial" w:eastAsia="Arial" w:hAnsi="Arial"/>
          <w:sz w:val="17"/>
          <w:szCs w:val="17"/>
          <w:color w:val="0000FF"/>
        </w:rPr>
      </w:pPr>
      <w:r>
        <w:rPr>
          <w:rFonts w:ascii="Arial" w:cs="Arial" w:eastAsia="Arial" w:hAnsi="Arial"/>
          <w:sz w:val="17"/>
          <w:szCs w:val="17"/>
          <w:color w:val="auto"/>
        </w:rPr>
        <w:t xml:space="preserve">We view each of our gaming and racing properties as an operating segment with the exception of our two properties in Jackpot, Nevada, which we view as one operating segment. We consider our combined VGT operations, by state, to be separate operating segments. We aggregate our operating segments into four reportable segments: Northeast, South, West and Midwest. For a listing of our gaming properties and VGT operations included in each reportable segment, see </w:t>
      </w:r>
      <w:hyperlink w:anchor="page8">
        <w:r>
          <w:rPr>
            <w:rFonts w:ascii="Arial" w:cs="Arial" w:eastAsia="Arial" w:hAnsi="Arial"/>
            <w:sz w:val="17"/>
            <w:szCs w:val="17"/>
            <w:u w:val="single" w:color="auto"/>
            <w:color w:val="0000FF"/>
          </w:rPr>
          <w:t>Note 2, “Significant Accounting Policies,”</w:t>
        </w:r>
        <w:r>
          <w:rPr>
            <w:rFonts w:ascii="Arial" w:cs="Arial" w:eastAsia="Arial" w:hAnsi="Arial"/>
            <w:sz w:val="17"/>
            <w:szCs w:val="17"/>
            <w:color w:val="0000FF"/>
          </w:rPr>
          <w:t xml:space="preserve"> </w:t>
        </w:r>
      </w:hyperlink>
      <w:r>
        <w:rPr>
          <w:rFonts w:ascii="Arial" w:cs="Arial" w:eastAsia="Arial" w:hAnsi="Arial"/>
          <w:sz w:val="17"/>
          <w:szCs w:val="17"/>
          <w:color w:val="000000"/>
        </w:rPr>
        <w:t>in</w:t>
      </w:r>
      <w:r>
        <w:rPr>
          <w:rFonts w:ascii="Arial" w:cs="Arial" w:eastAsia="Arial" w:hAnsi="Arial"/>
          <w:sz w:val="17"/>
          <w:szCs w:val="17"/>
          <w:color w:val="0000FF"/>
        </w:rPr>
        <w:t xml:space="preserve"> </w:t>
      </w:r>
      <w:r>
        <w:rPr>
          <w:rFonts w:ascii="Arial" w:cs="Arial" w:eastAsia="Arial" w:hAnsi="Arial"/>
          <w:sz w:val="17"/>
          <w:szCs w:val="17"/>
          <w:color w:val="000000"/>
        </w:rPr>
        <w:t>the notes to our unaudited Consolidated Financial Statements.</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173990</wp:posOffset>
            </wp:positionV>
            <wp:extent cx="7164070" cy="419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3" w:name="page34"/>
    <w:bookmarkEnd w:id="33"/>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RESULTS OF OPERATIONS</w:t>
      </w:r>
    </w:p>
    <w:p>
      <w:pPr>
        <w:spacing w:after="0" w:line="184" w:lineRule="exact"/>
        <w:rPr>
          <w:sz w:val="20"/>
          <w:szCs w:val="20"/>
          <w:color w:val="auto"/>
        </w:rPr>
      </w:pPr>
    </w:p>
    <w:p>
      <w:pPr>
        <w:ind w:firstLine="309"/>
        <w:spacing w:after="0" w:line="258" w:lineRule="auto"/>
        <w:rPr>
          <w:sz w:val="20"/>
          <w:szCs w:val="20"/>
          <w:color w:val="auto"/>
        </w:rPr>
      </w:pPr>
      <w:r>
        <w:rPr>
          <w:rFonts w:ascii="Arial" w:cs="Arial" w:eastAsia="Arial" w:hAnsi="Arial"/>
          <w:sz w:val="17"/>
          <w:szCs w:val="17"/>
          <w:color w:val="auto"/>
        </w:rPr>
        <w:t>The following table highlights our revenues, net income (loss), and Adjusted EBITDA, on a consolidated basis, as well as our revenues and Adjusted EBITDAR by reportable segment. Such segment reporting is on a basis consistent with how we measure our business and allocate resources internally. We consider net income (loss) to be the most directly comparable financial measure calculated in accordance with generally accepted accounting principles in the United States (“GAAP”) to Adjusted EBITDA and Adjusted EBITDAR, which are non-GAAP financial measures. Refer to “Non-GAAP Financial Measures” below for the definitions of Adjusted EBITDA, Adjusted EBITDA margin, Adjusted EBITDAR, and Adjusted EBITDAR margin; as well as a reconciliation of net income (loss) to Adjusted EBITDA and Adjusted EBITDAR and related margins.</w:t>
      </w:r>
    </w:p>
    <w:p>
      <w:pPr>
        <w:spacing w:after="0" w:line="100" w:lineRule="exact"/>
        <w:rPr>
          <w:sz w:val="20"/>
          <w:szCs w:val="20"/>
          <w:color w:val="auto"/>
        </w:rPr>
      </w:pPr>
    </w:p>
    <w:p>
      <w:pPr>
        <w:ind w:left="8140"/>
        <w:spacing w:after="0"/>
        <w:rPr>
          <w:sz w:val="20"/>
          <w:szCs w:val="20"/>
          <w:color w:val="auto"/>
        </w:rPr>
      </w:pPr>
      <w:r>
        <w:rPr>
          <w:rFonts w:ascii="Arial" w:cs="Arial" w:eastAsia="Arial" w:hAnsi="Arial"/>
          <w:sz w:val="17"/>
          <w:szCs w:val="17"/>
          <w:b w:val="1"/>
          <w:bCs w:val="1"/>
          <w:color w:val="auto"/>
        </w:rPr>
        <w:t>For the three months ended March 31,</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7860" w:type="dxa"/>
            <w:vAlign w:val="bottom"/>
            <w:gridSpan w:val="3"/>
          </w:tcPr>
          <w:p>
            <w:pPr>
              <w:ind w:left="20"/>
              <w:spacing w:after="0"/>
              <w:rPr>
                <w:sz w:val="20"/>
                <w:szCs w:val="20"/>
                <w:color w:val="auto"/>
              </w:rPr>
            </w:pPr>
            <w:r>
              <w:rPr>
                <w:rFonts w:ascii="Arial" w:cs="Arial" w:eastAsia="Arial" w:hAnsi="Arial"/>
                <w:sz w:val="14"/>
                <w:szCs w:val="14"/>
                <w:b w:val="1"/>
                <w:bCs w:val="1"/>
                <w:i w:val="1"/>
                <w:iCs w:val="1"/>
                <w:color w:val="auto"/>
              </w:rPr>
              <w:t>(dollars in millions)</w:t>
            </w:r>
          </w:p>
        </w:tc>
        <w:tc>
          <w:tcPr>
            <w:tcW w:w="380" w:type="dxa"/>
            <w:vAlign w:val="bottom"/>
            <w:tcBorders>
              <w:top w:val="single" w:sz="8" w:color="auto"/>
            </w:tcBorders>
          </w:tcPr>
          <w:p>
            <w:pPr>
              <w:spacing w:after="0"/>
              <w:rPr>
                <w:sz w:val="15"/>
                <w:szCs w:val="15"/>
                <w:color w:val="auto"/>
              </w:rPr>
            </w:pPr>
          </w:p>
        </w:tc>
        <w:tc>
          <w:tcPr>
            <w:tcW w:w="1260" w:type="dxa"/>
            <w:vAlign w:val="bottom"/>
            <w:tcBorders>
              <w:top w:val="single" w:sz="8" w:color="auto"/>
            </w:tcBorders>
          </w:tcPr>
          <w:p>
            <w:pPr>
              <w:jc w:val="right"/>
              <w:ind w:right="554"/>
              <w:spacing w:after="0" w:line="175" w:lineRule="exact"/>
              <w:rPr>
                <w:sz w:val="20"/>
                <w:szCs w:val="20"/>
                <w:color w:val="auto"/>
              </w:rPr>
            </w:pPr>
            <w:r>
              <w:rPr>
                <w:rFonts w:ascii="Arial" w:cs="Arial" w:eastAsia="Arial" w:hAnsi="Arial"/>
                <w:sz w:val="17"/>
                <w:szCs w:val="17"/>
                <w:b w:val="1"/>
                <w:bCs w:val="1"/>
                <w:color w:val="auto"/>
              </w:rPr>
              <w:t>2021</w:t>
            </w:r>
          </w:p>
        </w:tc>
        <w:tc>
          <w:tcPr>
            <w:tcW w:w="100" w:type="dxa"/>
            <w:vAlign w:val="bottom"/>
            <w:tcBorders>
              <w:top w:val="single" w:sz="8" w:color="auto"/>
            </w:tcBorders>
          </w:tcPr>
          <w:p>
            <w:pPr>
              <w:spacing w:after="0"/>
              <w:rPr>
                <w:sz w:val="15"/>
                <w:szCs w:val="15"/>
                <w:color w:val="auto"/>
              </w:rPr>
            </w:pPr>
          </w:p>
        </w:tc>
        <w:tc>
          <w:tcPr>
            <w:tcW w:w="380" w:type="dxa"/>
            <w:vAlign w:val="bottom"/>
            <w:tcBorders>
              <w:top w:val="single" w:sz="8" w:color="auto"/>
            </w:tcBorders>
          </w:tcPr>
          <w:p>
            <w:pPr>
              <w:spacing w:after="0"/>
              <w:rPr>
                <w:sz w:val="15"/>
                <w:szCs w:val="15"/>
                <w:color w:val="auto"/>
              </w:rPr>
            </w:pPr>
          </w:p>
        </w:tc>
        <w:tc>
          <w:tcPr>
            <w:tcW w:w="1260" w:type="dxa"/>
            <w:vAlign w:val="bottom"/>
            <w:tcBorders>
              <w:top w:val="single" w:sz="8" w:color="auto"/>
            </w:tcBorders>
          </w:tcPr>
          <w:p>
            <w:pPr>
              <w:jc w:val="right"/>
              <w:ind w:right="554"/>
              <w:spacing w:after="0" w:line="175" w:lineRule="exact"/>
              <w:rPr>
                <w:sz w:val="20"/>
                <w:szCs w:val="20"/>
                <w:color w:val="auto"/>
              </w:rPr>
            </w:pPr>
            <w:r>
              <w:rPr>
                <w:rFonts w:ascii="Arial" w:cs="Arial" w:eastAsia="Arial" w:hAnsi="Arial"/>
                <w:sz w:val="17"/>
                <w:szCs w:val="17"/>
                <w:b w:val="1"/>
                <w:bCs w:val="1"/>
                <w:color w:val="auto"/>
              </w:rPr>
              <w:t>2020</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120" w:type="dxa"/>
            <w:vAlign w:val="bottom"/>
            <w:tcBorders>
              <w:top w:val="single" w:sz="8" w:color="auto"/>
              <w:bottom w:val="single" w:sz="8" w:color="CCEEFF"/>
            </w:tcBorders>
          </w:tcPr>
          <w:p>
            <w:pPr>
              <w:spacing w:after="0" w:line="20" w:lineRule="exact"/>
              <w:rPr>
                <w:sz w:val="1"/>
                <w:szCs w:val="1"/>
                <w:color w:val="auto"/>
              </w:rPr>
            </w:pPr>
          </w:p>
        </w:tc>
        <w:tc>
          <w:tcPr>
            <w:tcW w:w="67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211"/>
        </w:trPr>
        <w:tc>
          <w:tcPr>
            <w:tcW w:w="7860" w:type="dxa"/>
            <w:vAlign w:val="bottom"/>
            <w:gridSpan w:val="3"/>
            <w:shd w:val="clear" w:color="auto" w:fill="CCEEFF"/>
          </w:tcPr>
          <w:p>
            <w:pPr>
              <w:ind w:left="20"/>
              <w:spacing w:after="0"/>
              <w:rPr>
                <w:sz w:val="20"/>
                <w:szCs w:val="20"/>
                <w:color w:val="auto"/>
              </w:rPr>
            </w:pPr>
            <w:r>
              <w:rPr>
                <w:rFonts w:ascii="Arial" w:cs="Arial" w:eastAsia="Arial" w:hAnsi="Arial"/>
                <w:sz w:val="17"/>
                <w:szCs w:val="17"/>
                <w:b w:val="1"/>
                <w:bCs w:val="1"/>
                <w:color w:val="auto"/>
              </w:rPr>
              <w:t>Revenues:</w:t>
            </w: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r>
      <w:tr>
        <w:trPr>
          <w:trHeight w:val="218"/>
        </w:trPr>
        <w:tc>
          <w:tcPr>
            <w:tcW w:w="20" w:type="dxa"/>
            <w:vAlign w:val="bottom"/>
          </w:tcPr>
          <w:p>
            <w:pPr>
              <w:spacing w:after="0"/>
              <w:rPr>
                <w:sz w:val="18"/>
                <w:szCs w:val="18"/>
                <w:color w:val="auto"/>
              </w:rPr>
            </w:pPr>
          </w:p>
        </w:tc>
        <w:tc>
          <w:tcPr>
            <w:tcW w:w="7840" w:type="dxa"/>
            <w:vAlign w:val="bottom"/>
            <w:gridSpan w:val="2"/>
          </w:tcPr>
          <w:p>
            <w:pPr>
              <w:ind w:left="120"/>
              <w:spacing w:after="0"/>
              <w:rPr>
                <w:sz w:val="20"/>
                <w:szCs w:val="20"/>
                <w:color w:val="auto"/>
              </w:rPr>
            </w:pPr>
            <w:r>
              <w:rPr>
                <w:rFonts w:ascii="Arial" w:cs="Arial" w:eastAsia="Arial" w:hAnsi="Arial"/>
                <w:sz w:val="17"/>
                <w:szCs w:val="17"/>
                <w:color w:val="auto"/>
              </w:rPr>
              <w:t>Northeast segment</w:t>
            </w:r>
          </w:p>
        </w:tc>
        <w:tc>
          <w:tcPr>
            <w:tcW w:w="380" w:type="dxa"/>
            <w:vAlign w:val="bottom"/>
          </w:tcPr>
          <w:p>
            <w:pPr>
              <w:jc w:val="right"/>
              <w:ind w:right="174"/>
              <w:spacing w:after="0"/>
              <w:rPr>
                <w:sz w:val="20"/>
                <w:szCs w:val="20"/>
                <w:color w:val="auto"/>
              </w:rPr>
            </w:pPr>
            <w:r>
              <w:rPr>
                <w:rFonts w:ascii="Arial" w:cs="Arial" w:eastAsia="Arial" w:hAnsi="Arial"/>
                <w:sz w:val="17"/>
                <w:szCs w:val="17"/>
                <w:color w:val="auto"/>
              </w:rPr>
              <w:t>$</w:t>
            </w:r>
          </w:p>
        </w:tc>
        <w:tc>
          <w:tcPr>
            <w:tcW w:w="1260" w:type="dxa"/>
            <w:vAlign w:val="bottom"/>
          </w:tcPr>
          <w:p>
            <w:pPr>
              <w:jc w:val="right"/>
              <w:ind w:right="114"/>
              <w:spacing w:after="0"/>
              <w:rPr>
                <w:sz w:val="20"/>
                <w:szCs w:val="20"/>
                <w:color w:val="auto"/>
              </w:rPr>
            </w:pPr>
            <w:r>
              <w:rPr>
                <w:rFonts w:ascii="Arial" w:cs="Arial" w:eastAsia="Arial" w:hAnsi="Arial"/>
                <w:sz w:val="17"/>
                <w:szCs w:val="17"/>
                <w:color w:val="auto"/>
              </w:rPr>
              <w:t>570.9</w:t>
            </w:r>
          </w:p>
        </w:tc>
        <w:tc>
          <w:tcPr>
            <w:tcW w:w="100" w:type="dxa"/>
            <w:vAlign w:val="bottom"/>
          </w:tcPr>
          <w:p>
            <w:pPr>
              <w:spacing w:after="0"/>
              <w:rPr>
                <w:sz w:val="18"/>
                <w:szCs w:val="18"/>
                <w:color w:val="auto"/>
              </w:rPr>
            </w:pPr>
          </w:p>
        </w:tc>
        <w:tc>
          <w:tcPr>
            <w:tcW w:w="380" w:type="dxa"/>
            <w:vAlign w:val="bottom"/>
          </w:tcPr>
          <w:p>
            <w:pPr>
              <w:jc w:val="right"/>
              <w:ind w:right="174"/>
              <w:spacing w:after="0"/>
              <w:rPr>
                <w:sz w:val="20"/>
                <w:szCs w:val="20"/>
                <w:color w:val="auto"/>
              </w:rPr>
            </w:pPr>
            <w:r>
              <w:rPr>
                <w:rFonts w:ascii="Arial" w:cs="Arial" w:eastAsia="Arial" w:hAnsi="Arial"/>
                <w:sz w:val="17"/>
                <w:szCs w:val="17"/>
                <w:color w:val="auto"/>
              </w:rPr>
              <w:t>$</w:t>
            </w:r>
          </w:p>
        </w:tc>
        <w:tc>
          <w:tcPr>
            <w:tcW w:w="1260" w:type="dxa"/>
            <w:vAlign w:val="bottom"/>
          </w:tcPr>
          <w:p>
            <w:pPr>
              <w:jc w:val="right"/>
              <w:ind w:right="114"/>
              <w:spacing w:after="0"/>
              <w:rPr>
                <w:sz w:val="20"/>
                <w:szCs w:val="20"/>
                <w:color w:val="auto"/>
              </w:rPr>
            </w:pPr>
            <w:r>
              <w:rPr>
                <w:rFonts w:ascii="Arial" w:cs="Arial" w:eastAsia="Arial" w:hAnsi="Arial"/>
                <w:sz w:val="17"/>
                <w:szCs w:val="17"/>
                <w:color w:val="auto"/>
              </w:rPr>
              <w:t>520.7</w:t>
            </w:r>
          </w:p>
        </w:tc>
      </w:tr>
      <w:tr>
        <w:trPr>
          <w:trHeight w:val="220"/>
        </w:trPr>
        <w:tc>
          <w:tcPr>
            <w:tcW w:w="20" w:type="dxa"/>
            <w:vAlign w:val="bottom"/>
            <w:shd w:val="clear" w:color="auto" w:fill="CCEEFF"/>
          </w:tcPr>
          <w:p>
            <w:pPr>
              <w:spacing w:after="0"/>
              <w:rPr>
                <w:sz w:val="19"/>
                <w:szCs w:val="19"/>
                <w:color w:val="auto"/>
              </w:rPr>
            </w:pPr>
          </w:p>
        </w:tc>
        <w:tc>
          <w:tcPr>
            <w:tcW w:w="7840" w:type="dxa"/>
            <w:vAlign w:val="bottom"/>
            <w:gridSpan w:val="2"/>
            <w:shd w:val="clear" w:color="auto" w:fill="CCEEFF"/>
          </w:tcPr>
          <w:p>
            <w:pPr>
              <w:ind w:left="120"/>
              <w:spacing w:after="0"/>
              <w:rPr>
                <w:sz w:val="20"/>
                <w:szCs w:val="20"/>
                <w:color w:val="auto"/>
              </w:rPr>
            </w:pPr>
            <w:r>
              <w:rPr>
                <w:rFonts w:ascii="Arial" w:cs="Arial" w:eastAsia="Arial" w:hAnsi="Arial"/>
                <w:sz w:val="17"/>
                <w:szCs w:val="17"/>
                <w:color w:val="auto"/>
              </w:rPr>
              <w:t>South segment</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rPr>
              <w:t>295.9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rPr>
              <w:t>223.3</w:t>
            </w:r>
          </w:p>
        </w:tc>
      </w:tr>
      <w:tr>
        <w:trPr>
          <w:trHeight w:val="218"/>
        </w:trPr>
        <w:tc>
          <w:tcPr>
            <w:tcW w:w="20" w:type="dxa"/>
            <w:vAlign w:val="bottom"/>
          </w:tcPr>
          <w:p>
            <w:pPr>
              <w:spacing w:after="0"/>
              <w:rPr>
                <w:sz w:val="18"/>
                <w:szCs w:val="18"/>
                <w:color w:val="auto"/>
              </w:rPr>
            </w:pPr>
          </w:p>
        </w:tc>
        <w:tc>
          <w:tcPr>
            <w:tcW w:w="7840" w:type="dxa"/>
            <w:vAlign w:val="bottom"/>
            <w:gridSpan w:val="2"/>
          </w:tcPr>
          <w:p>
            <w:pPr>
              <w:ind w:left="120"/>
              <w:spacing w:after="0"/>
              <w:rPr>
                <w:sz w:val="20"/>
                <w:szCs w:val="20"/>
                <w:color w:val="auto"/>
              </w:rPr>
            </w:pPr>
            <w:r>
              <w:rPr>
                <w:rFonts w:ascii="Arial" w:cs="Arial" w:eastAsia="Arial" w:hAnsi="Arial"/>
                <w:sz w:val="17"/>
                <w:szCs w:val="17"/>
                <w:color w:val="auto"/>
              </w:rPr>
              <w:t>West segment</w:t>
            </w:r>
          </w:p>
        </w:tc>
        <w:tc>
          <w:tcPr>
            <w:tcW w:w="380" w:type="dxa"/>
            <w:vAlign w:val="bottom"/>
          </w:tcPr>
          <w:p>
            <w:pPr>
              <w:spacing w:after="0"/>
              <w:rPr>
                <w:sz w:val="18"/>
                <w:szCs w:val="18"/>
                <w:color w:val="auto"/>
              </w:rPr>
            </w:pPr>
          </w:p>
        </w:tc>
        <w:tc>
          <w:tcPr>
            <w:tcW w:w="1260" w:type="dxa"/>
            <w:vAlign w:val="bottom"/>
          </w:tcPr>
          <w:p>
            <w:pPr>
              <w:jc w:val="right"/>
              <w:ind w:right="114"/>
              <w:spacing w:after="0"/>
              <w:rPr>
                <w:sz w:val="20"/>
                <w:szCs w:val="20"/>
                <w:color w:val="auto"/>
              </w:rPr>
            </w:pPr>
            <w:r>
              <w:rPr>
                <w:rFonts w:ascii="Arial" w:cs="Arial" w:eastAsia="Arial" w:hAnsi="Arial"/>
                <w:sz w:val="17"/>
                <w:szCs w:val="17"/>
                <w:color w:val="auto"/>
              </w:rPr>
              <w:t>96.6</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ind w:right="114"/>
              <w:spacing w:after="0"/>
              <w:rPr>
                <w:sz w:val="20"/>
                <w:szCs w:val="20"/>
                <w:color w:val="auto"/>
              </w:rPr>
            </w:pPr>
            <w:r>
              <w:rPr>
                <w:rFonts w:ascii="Arial" w:cs="Arial" w:eastAsia="Arial" w:hAnsi="Arial"/>
                <w:sz w:val="17"/>
                <w:szCs w:val="17"/>
                <w:color w:val="auto"/>
              </w:rPr>
              <w:t>126.6</w:t>
            </w:r>
          </w:p>
        </w:tc>
      </w:tr>
      <w:tr>
        <w:trPr>
          <w:trHeight w:val="220"/>
        </w:trPr>
        <w:tc>
          <w:tcPr>
            <w:tcW w:w="20" w:type="dxa"/>
            <w:vAlign w:val="bottom"/>
            <w:shd w:val="clear" w:color="auto" w:fill="CCEEFF"/>
          </w:tcPr>
          <w:p>
            <w:pPr>
              <w:spacing w:after="0"/>
              <w:rPr>
                <w:sz w:val="19"/>
                <w:szCs w:val="19"/>
                <w:color w:val="auto"/>
              </w:rPr>
            </w:pPr>
          </w:p>
        </w:tc>
        <w:tc>
          <w:tcPr>
            <w:tcW w:w="7840" w:type="dxa"/>
            <w:vAlign w:val="bottom"/>
            <w:gridSpan w:val="2"/>
            <w:shd w:val="clear" w:color="auto" w:fill="CCEEFF"/>
          </w:tcPr>
          <w:p>
            <w:pPr>
              <w:ind w:left="120"/>
              <w:spacing w:after="0"/>
              <w:rPr>
                <w:sz w:val="20"/>
                <w:szCs w:val="20"/>
                <w:color w:val="auto"/>
              </w:rPr>
            </w:pPr>
            <w:r>
              <w:rPr>
                <w:rFonts w:ascii="Arial" w:cs="Arial" w:eastAsia="Arial" w:hAnsi="Arial"/>
                <w:sz w:val="17"/>
                <w:szCs w:val="17"/>
                <w:color w:val="auto"/>
              </w:rPr>
              <w:t>Midwest segment</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rPr>
              <w:t>234.7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rPr>
              <w:t>228.1</w:t>
            </w:r>
          </w:p>
        </w:tc>
      </w:tr>
      <w:tr>
        <w:trPr>
          <w:trHeight w:val="219"/>
        </w:trPr>
        <w:tc>
          <w:tcPr>
            <w:tcW w:w="20" w:type="dxa"/>
            <w:vAlign w:val="bottom"/>
          </w:tcPr>
          <w:p>
            <w:pPr>
              <w:spacing w:after="0"/>
              <w:rPr>
                <w:sz w:val="19"/>
                <w:szCs w:val="19"/>
                <w:color w:val="auto"/>
              </w:rPr>
            </w:pPr>
          </w:p>
        </w:tc>
        <w:tc>
          <w:tcPr>
            <w:tcW w:w="7840" w:type="dxa"/>
            <w:vAlign w:val="bottom"/>
            <w:gridSpan w:val="2"/>
          </w:tcPr>
          <w:p>
            <w:pPr>
              <w:ind w:left="120"/>
              <w:spacing w:after="0" w:line="219" w:lineRule="exact"/>
              <w:rPr>
                <w:sz w:val="20"/>
                <w:szCs w:val="20"/>
                <w:color w:val="auto"/>
              </w:rPr>
            </w:pPr>
            <w:r>
              <w:rPr>
                <w:rFonts w:ascii="Arial" w:cs="Arial" w:eastAsia="Arial" w:hAnsi="Arial"/>
                <w:sz w:val="17"/>
                <w:szCs w:val="17"/>
                <w:color w:val="auto"/>
              </w:rPr>
              <w:t xml:space="preserve">Other </w:t>
            </w:r>
            <w:r>
              <w:rPr>
                <w:rFonts w:ascii="Arial" w:cs="Arial" w:eastAsia="Arial" w:hAnsi="Arial"/>
                <w:sz w:val="22"/>
                <w:szCs w:val="22"/>
                <w:color w:val="auto"/>
                <w:vertAlign w:val="superscript"/>
              </w:rPr>
              <w:t>(1)</w:t>
            </w:r>
          </w:p>
        </w:tc>
        <w:tc>
          <w:tcPr>
            <w:tcW w:w="380" w:type="dxa"/>
            <w:vAlign w:val="bottom"/>
          </w:tcPr>
          <w:p>
            <w:pPr>
              <w:spacing w:after="0"/>
              <w:rPr>
                <w:sz w:val="19"/>
                <w:szCs w:val="19"/>
                <w:color w:val="auto"/>
              </w:rPr>
            </w:pPr>
          </w:p>
        </w:tc>
        <w:tc>
          <w:tcPr>
            <w:tcW w:w="1260" w:type="dxa"/>
            <w:vAlign w:val="bottom"/>
          </w:tcPr>
          <w:p>
            <w:pPr>
              <w:jc w:val="right"/>
              <w:ind w:right="114"/>
              <w:spacing w:after="0"/>
              <w:rPr>
                <w:sz w:val="20"/>
                <w:szCs w:val="20"/>
                <w:color w:val="auto"/>
              </w:rPr>
            </w:pPr>
            <w:r>
              <w:rPr>
                <w:rFonts w:ascii="Arial" w:cs="Arial" w:eastAsia="Arial" w:hAnsi="Arial"/>
                <w:sz w:val="17"/>
                <w:szCs w:val="17"/>
                <w:color w:val="auto"/>
              </w:rPr>
              <w:t>87.9</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ind w:right="114"/>
              <w:spacing w:after="0"/>
              <w:rPr>
                <w:sz w:val="20"/>
                <w:szCs w:val="20"/>
                <w:color w:val="auto"/>
              </w:rPr>
            </w:pPr>
            <w:r>
              <w:rPr>
                <w:rFonts w:ascii="Arial" w:cs="Arial" w:eastAsia="Arial" w:hAnsi="Arial"/>
                <w:sz w:val="17"/>
                <w:szCs w:val="17"/>
                <w:color w:val="auto"/>
              </w:rPr>
              <w:t>20.3</w:t>
            </w:r>
          </w:p>
        </w:tc>
      </w:tr>
      <w:tr>
        <w:trPr>
          <w:trHeight w:val="219"/>
        </w:trPr>
        <w:tc>
          <w:tcPr>
            <w:tcW w:w="20" w:type="dxa"/>
            <w:vAlign w:val="bottom"/>
            <w:shd w:val="clear" w:color="auto" w:fill="CCEEFF"/>
          </w:tcPr>
          <w:p>
            <w:pPr>
              <w:spacing w:after="0"/>
              <w:rPr>
                <w:sz w:val="19"/>
                <w:szCs w:val="19"/>
                <w:color w:val="auto"/>
              </w:rPr>
            </w:pPr>
          </w:p>
        </w:tc>
        <w:tc>
          <w:tcPr>
            <w:tcW w:w="7840" w:type="dxa"/>
            <w:vAlign w:val="bottom"/>
            <w:gridSpan w:val="2"/>
            <w:shd w:val="clear" w:color="auto" w:fill="CCEEFF"/>
          </w:tcPr>
          <w:p>
            <w:pPr>
              <w:ind w:left="120"/>
              <w:spacing w:after="0" w:line="219" w:lineRule="exact"/>
              <w:rPr>
                <w:sz w:val="20"/>
                <w:szCs w:val="20"/>
                <w:color w:val="auto"/>
              </w:rPr>
            </w:pPr>
            <w:r>
              <w:rPr>
                <w:rFonts w:ascii="Arial" w:cs="Arial" w:eastAsia="Arial" w:hAnsi="Arial"/>
                <w:sz w:val="17"/>
                <w:szCs w:val="17"/>
                <w:color w:val="auto"/>
              </w:rPr>
              <w:t xml:space="preserve">Intersegment eliminations </w:t>
            </w:r>
            <w:r>
              <w:rPr>
                <w:rFonts w:ascii="Arial" w:cs="Arial" w:eastAsia="Arial" w:hAnsi="Arial"/>
                <w:sz w:val="22"/>
                <w:szCs w:val="22"/>
                <w:color w:val="auto"/>
                <w:vertAlign w:val="superscript"/>
              </w:rPr>
              <w:t>(2)</w:t>
            </w: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7"/>
                <w:szCs w:val="17"/>
                <w:color w:val="auto"/>
              </w:rPr>
              <w:t>(11.1)</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7"/>
                <w:szCs w:val="17"/>
                <w:color w:val="auto"/>
              </w:rPr>
              <w:t>(2.9)</w:t>
            </w:r>
          </w:p>
        </w:tc>
      </w:tr>
      <w:tr>
        <w:trPr>
          <w:trHeight w:val="212"/>
        </w:trPr>
        <w:tc>
          <w:tcPr>
            <w:tcW w:w="20" w:type="dxa"/>
            <w:vAlign w:val="bottom"/>
          </w:tcPr>
          <w:p>
            <w:pPr>
              <w:spacing w:after="0"/>
              <w:rPr>
                <w:sz w:val="18"/>
                <w:szCs w:val="18"/>
                <w:color w:val="auto"/>
              </w:rPr>
            </w:pPr>
          </w:p>
        </w:tc>
        <w:tc>
          <w:tcPr>
            <w:tcW w:w="7840" w:type="dxa"/>
            <w:vAlign w:val="bottom"/>
            <w:gridSpan w:val="2"/>
          </w:tcPr>
          <w:p>
            <w:pPr>
              <w:ind w:left="300"/>
              <w:spacing w:after="0"/>
              <w:rPr>
                <w:sz w:val="20"/>
                <w:szCs w:val="20"/>
                <w:color w:val="auto"/>
              </w:rPr>
            </w:pPr>
            <w:r>
              <w:rPr>
                <w:rFonts w:ascii="Arial" w:cs="Arial" w:eastAsia="Arial" w:hAnsi="Arial"/>
                <w:sz w:val="17"/>
                <w:szCs w:val="17"/>
                <w:b w:val="1"/>
                <w:bCs w:val="1"/>
                <w:color w:val="auto"/>
              </w:rPr>
              <w:t>Total</w:t>
            </w:r>
          </w:p>
        </w:tc>
        <w:tc>
          <w:tcPr>
            <w:tcW w:w="380" w:type="dxa"/>
            <w:vAlign w:val="bottom"/>
            <w:tcBorders>
              <w:bottom w:val="single" w:sz="8" w:color="auto"/>
            </w:tcBorders>
          </w:tcPr>
          <w:p>
            <w:pPr>
              <w:jc w:val="right"/>
              <w:ind w:right="174"/>
              <w:spacing w:after="0"/>
              <w:rPr>
                <w:sz w:val="20"/>
                <w:szCs w:val="20"/>
                <w:color w:val="auto"/>
              </w:rPr>
            </w:pPr>
            <w:r>
              <w:rPr>
                <w:rFonts w:ascii="Arial" w:cs="Arial" w:eastAsia="Arial" w:hAnsi="Arial"/>
                <w:sz w:val="17"/>
                <w:szCs w:val="17"/>
                <w:color w:val="auto"/>
              </w:rPr>
              <w:t>$</w:t>
            </w:r>
          </w:p>
        </w:tc>
        <w:tc>
          <w:tcPr>
            <w:tcW w:w="1260" w:type="dxa"/>
            <w:vAlign w:val="bottom"/>
            <w:tcBorders>
              <w:bottom w:val="single" w:sz="8" w:color="auto"/>
            </w:tcBorders>
          </w:tcPr>
          <w:p>
            <w:pPr>
              <w:jc w:val="right"/>
              <w:ind w:right="114"/>
              <w:spacing w:after="0"/>
              <w:rPr>
                <w:sz w:val="20"/>
                <w:szCs w:val="20"/>
                <w:color w:val="auto"/>
              </w:rPr>
            </w:pPr>
            <w:r>
              <w:rPr>
                <w:rFonts w:ascii="Arial" w:cs="Arial" w:eastAsia="Arial" w:hAnsi="Arial"/>
                <w:sz w:val="17"/>
                <w:szCs w:val="17"/>
                <w:color w:val="auto"/>
              </w:rPr>
              <w:t>1,274.9</w:t>
            </w:r>
          </w:p>
        </w:tc>
        <w:tc>
          <w:tcPr>
            <w:tcW w:w="100" w:type="dxa"/>
            <w:vAlign w:val="bottom"/>
          </w:tcPr>
          <w:p>
            <w:pPr>
              <w:spacing w:after="0"/>
              <w:rPr>
                <w:sz w:val="18"/>
                <w:szCs w:val="18"/>
                <w:color w:val="auto"/>
              </w:rPr>
            </w:pPr>
          </w:p>
        </w:tc>
        <w:tc>
          <w:tcPr>
            <w:tcW w:w="380" w:type="dxa"/>
            <w:vAlign w:val="bottom"/>
            <w:tcBorders>
              <w:bottom w:val="single" w:sz="8" w:color="auto"/>
            </w:tcBorders>
          </w:tcPr>
          <w:p>
            <w:pPr>
              <w:jc w:val="right"/>
              <w:ind w:right="174"/>
              <w:spacing w:after="0"/>
              <w:rPr>
                <w:sz w:val="20"/>
                <w:szCs w:val="20"/>
                <w:color w:val="auto"/>
              </w:rPr>
            </w:pPr>
            <w:r>
              <w:rPr>
                <w:rFonts w:ascii="Arial" w:cs="Arial" w:eastAsia="Arial" w:hAnsi="Arial"/>
                <w:sz w:val="17"/>
                <w:szCs w:val="17"/>
                <w:color w:val="auto"/>
              </w:rPr>
              <w:t>$</w:t>
            </w:r>
          </w:p>
        </w:tc>
        <w:tc>
          <w:tcPr>
            <w:tcW w:w="1260" w:type="dxa"/>
            <w:vAlign w:val="bottom"/>
            <w:tcBorders>
              <w:bottom w:val="single" w:sz="8" w:color="auto"/>
            </w:tcBorders>
          </w:tcPr>
          <w:p>
            <w:pPr>
              <w:jc w:val="right"/>
              <w:ind w:right="114"/>
              <w:spacing w:after="0"/>
              <w:rPr>
                <w:sz w:val="20"/>
                <w:szCs w:val="20"/>
                <w:color w:val="auto"/>
              </w:rPr>
            </w:pPr>
            <w:r>
              <w:rPr>
                <w:rFonts w:ascii="Arial" w:cs="Arial" w:eastAsia="Arial" w:hAnsi="Arial"/>
                <w:sz w:val="17"/>
                <w:szCs w:val="17"/>
                <w:color w:val="auto"/>
              </w:rPr>
              <w:t>1,116.1</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CCEEFF"/>
            </w:tcBorders>
          </w:tcPr>
          <w:p>
            <w:pPr>
              <w:spacing w:after="0" w:line="20" w:lineRule="exact"/>
              <w:rPr>
                <w:sz w:val="1"/>
                <w:szCs w:val="1"/>
                <w:color w:val="auto"/>
              </w:rPr>
            </w:pPr>
          </w:p>
        </w:tc>
        <w:tc>
          <w:tcPr>
            <w:tcW w:w="67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211"/>
        </w:trPr>
        <w:tc>
          <w:tcPr>
            <w:tcW w:w="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67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r>
      <w:tr>
        <w:trPr>
          <w:trHeight w:val="219"/>
        </w:trPr>
        <w:tc>
          <w:tcPr>
            <w:tcW w:w="7860" w:type="dxa"/>
            <w:vAlign w:val="bottom"/>
            <w:gridSpan w:val="3"/>
          </w:tcPr>
          <w:p>
            <w:pPr>
              <w:ind w:left="20"/>
              <w:spacing w:after="0"/>
              <w:rPr>
                <w:sz w:val="20"/>
                <w:szCs w:val="20"/>
                <w:color w:val="auto"/>
              </w:rPr>
            </w:pPr>
            <w:r>
              <w:rPr>
                <w:rFonts w:ascii="Arial" w:cs="Arial" w:eastAsia="Arial" w:hAnsi="Arial"/>
                <w:sz w:val="17"/>
                <w:szCs w:val="17"/>
                <w:b w:val="1"/>
                <w:bCs w:val="1"/>
                <w:color w:val="auto"/>
              </w:rPr>
              <w:t>Net income (loss)</w:t>
            </w:r>
          </w:p>
        </w:tc>
        <w:tc>
          <w:tcPr>
            <w:tcW w:w="380" w:type="dxa"/>
            <w:vAlign w:val="bottom"/>
          </w:tcPr>
          <w:p>
            <w:pPr>
              <w:jc w:val="right"/>
              <w:ind w:right="174"/>
              <w:spacing w:after="0"/>
              <w:rPr>
                <w:sz w:val="20"/>
                <w:szCs w:val="20"/>
                <w:color w:val="auto"/>
              </w:rPr>
            </w:pPr>
            <w:r>
              <w:rPr>
                <w:rFonts w:ascii="Arial" w:cs="Arial" w:eastAsia="Arial" w:hAnsi="Arial"/>
                <w:sz w:val="17"/>
                <w:szCs w:val="17"/>
                <w:color w:val="auto"/>
              </w:rPr>
              <w:t>$</w:t>
            </w:r>
          </w:p>
        </w:tc>
        <w:tc>
          <w:tcPr>
            <w:tcW w:w="1260" w:type="dxa"/>
            <w:vAlign w:val="bottom"/>
          </w:tcPr>
          <w:p>
            <w:pPr>
              <w:jc w:val="right"/>
              <w:ind w:right="114"/>
              <w:spacing w:after="0"/>
              <w:rPr>
                <w:sz w:val="20"/>
                <w:szCs w:val="20"/>
                <w:color w:val="auto"/>
              </w:rPr>
            </w:pPr>
            <w:r>
              <w:rPr>
                <w:rFonts w:ascii="Arial" w:cs="Arial" w:eastAsia="Arial" w:hAnsi="Arial"/>
                <w:sz w:val="17"/>
                <w:szCs w:val="17"/>
                <w:color w:val="auto"/>
              </w:rPr>
              <w:t>90.9</w:t>
            </w:r>
          </w:p>
        </w:tc>
        <w:tc>
          <w:tcPr>
            <w:tcW w:w="100" w:type="dxa"/>
            <w:vAlign w:val="bottom"/>
          </w:tcPr>
          <w:p>
            <w:pPr>
              <w:spacing w:after="0"/>
              <w:rPr>
                <w:sz w:val="19"/>
                <w:szCs w:val="19"/>
                <w:color w:val="auto"/>
              </w:rPr>
            </w:pPr>
          </w:p>
        </w:tc>
        <w:tc>
          <w:tcPr>
            <w:tcW w:w="380" w:type="dxa"/>
            <w:vAlign w:val="bottom"/>
          </w:tcPr>
          <w:p>
            <w:pPr>
              <w:jc w:val="right"/>
              <w:ind w:right="174"/>
              <w:spacing w:after="0"/>
              <w:rPr>
                <w:sz w:val="20"/>
                <w:szCs w:val="20"/>
                <w:color w:val="auto"/>
              </w:rPr>
            </w:pPr>
            <w:r>
              <w:rPr>
                <w:rFonts w:ascii="Arial" w:cs="Arial" w:eastAsia="Arial" w:hAnsi="Arial"/>
                <w:sz w:val="17"/>
                <w:szCs w:val="17"/>
                <w:color w:val="auto"/>
              </w:rPr>
              <w:t>$</w:t>
            </w:r>
          </w:p>
        </w:tc>
        <w:tc>
          <w:tcPr>
            <w:tcW w:w="1260" w:type="dxa"/>
            <w:vAlign w:val="bottom"/>
          </w:tcPr>
          <w:p>
            <w:pPr>
              <w:jc w:val="right"/>
              <w:ind w:right="74"/>
              <w:spacing w:after="0"/>
              <w:rPr>
                <w:sz w:val="20"/>
                <w:szCs w:val="20"/>
                <w:color w:val="auto"/>
              </w:rPr>
            </w:pPr>
            <w:r>
              <w:rPr>
                <w:rFonts w:ascii="Arial" w:cs="Arial" w:eastAsia="Arial" w:hAnsi="Arial"/>
                <w:sz w:val="17"/>
                <w:szCs w:val="17"/>
                <w:color w:val="auto"/>
              </w:rPr>
              <w:t>(608.6)</w:t>
            </w:r>
          </w:p>
        </w:tc>
      </w:tr>
      <w:tr>
        <w:trPr>
          <w:trHeight w:val="245"/>
        </w:trPr>
        <w:tc>
          <w:tcPr>
            <w:tcW w:w="2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672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r>
      <w:tr>
        <w:trPr>
          <w:trHeight w:val="219"/>
        </w:trPr>
        <w:tc>
          <w:tcPr>
            <w:tcW w:w="7860" w:type="dxa"/>
            <w:vAlign w:val="bottom"/>
            <w:gridSpan w:val="3"/>
          </w:tcPr>
          <w:p>
            <w:pPr>
              <w:ind w:left="20"/>
              <w:spacing w:after="0"/>
              <w:rPr>
                <w:sz w:val="20"/>
                <w:szCs w:val="20"/>
                <w:color w:val="auto"/>
              </w:rPr>
            </w:pPr>
            <w:r>
              <w:rPr>
                <w:rFonts w:ascii="Arial" w:cs="Arial" w:eastAsia="Arial" w:hAnsi="Arial"/>
                <w:sz w:val="17"/>
                <w:szCs w:val="17"/>
                <w:b w:val="1"/>
                <w:bCs w:val="1"/>
                <w:color w:val="auto"/>
              </w:rPr>
              <w:t>Adjusted EBITDAR:</w:t>
            </w:r>
          </w:p>
        </w:tc>
        <w:tc>
          <w:tcPr>
            <w:tcW w:w="3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19"/>
        </w:trPr>
        <w:tc>
          <w:tcPr>
            <w:tcW w:w="20" w:type="dxa"/>
            <w:vAlign w:val="bottom"/>
            <w:shd w:val="clear" w:color="auto" w:fill="CCEEFF"/>
          </w:tcPr>
          <w:p>
            <w:pPr>
              <w:spacing w:after="0"/>
              <w:rPr>
                <w:sz w:val="19"/>
                <w:szCs w:val="19"/>
                <w:color w:val="auto"/>
              </w:rPr>
            </w:pPr>
          </w:p>
        </w:tc>
        <w:tc>
          <w:tcPr>
            <w:tcW w:w="7840" w:type="dxa"/>
            <w:vAlign w:val="bottom"/>
            <w:gridSpan w:val="2"/>
            <w:shd w:val="clear" w:color="auto" w:fill="CCEEFF"/>
          </w:tcPr>
          <w:p>
            <w:pPr>
              <w:ind w:left="120"/>
              <w:spacing w:after="0"/>
              <w:rPr>
                <w:sz w:val="20"/>
                <w:szCs w:val="20"/>
                <w:color w:val="auto"/>
              </w:rPr>
            </w:pPr>
            <w:r>
              <w:rPr>
                <w:rFonts w:ascii="Arial" w:cs="Arial" w:eastAsia="Arial" w:hAnsi="Arial"/>
                <w:sz w:val="17"/>
                <w:szCs w:val="17"/>
                <w:color w:val="auto"/>
              </w:rPr>
              <w:t>Northeast segment</w:t>
            </w:r>
          </w:p>
        </w:tc>
        <w:tc>
          <w:tcPr>
            <w:tcW w:w="380" w:type="dxa"/>
            <w:vAlign w:val="bottom"/>
            <w:shd w:val="clear" w:color="auto" w:fill="CCEEFF"/>
          </w:tcPr>
          <w:p>
            <w:pPr>
              <w:jc w:val="right"/>
              <w:ind w:right="174"/>
              <w:spacing w:after="0"/>
              <w:rPr>
                <w:sz w:val="20"/>
                <w:szCs w:val="20"/>
                <w:color w:val="auto"/>
              </w:rPr>
            </w:pPr>
            <w:r>
              <w:rPr>
                <w:rFonts w:ascii="Arial" w:cs="Arial" w:eastAsia="Arial" w:hAnsi="Arial"/>
                <w:sz w:val="17"/>
                <w:szCs w:val="17"/>
                <w:color w:val="auto"/>
              </w:rPr>
              <w:t>$</w:t>
            </w:r>
          </w:p>
        </w:tc>
        <w:tc>
          <w:tcPr>
            <w:tcW w:w="126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rPr>
              <w:t>193.2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4"/>
              <w:spacing w:after="0"/>
              <w:rPr>
                <w:sz w:val="20"/>
                <w:szCs w:val="20"/>
                <w:color w:val="auto"/>
              </w:rPr>
            </w:pPr>
            <w:r>
              <w:rPr>
                <w:rFonts w:ascii="Arial" w:cs="Arial" w:eastAsia="Arial" w:hAnsi="Arial"/>
                <w:sz w:val="17"/>
                <w:szCs w:val="17"/>
                <w:color w:val="auto"/>
              </w:rPr>
              <w:t>$</w:t>
            </w:r>
          </w:p>
        </w:tc>
        <w:tc>
          <w:tcPr>
            <w:tcW w:w="126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rPr>
              <w:t>124.5</w:t>
            </w:r>
          </w:p>
        </w:tc>
      </w:tr>
      <w:tr>
        <w:trPr>
          <w:trHeight w:val="218"/>
        </w:trPr>
        <w:tc>
          <w:tcPr>
            <w:tcW w:w="20" w:type="dxa"/>
            <w:vAlign w:val="bottom"/>
          </w:tcPr>
          <w:p>
            <w:pPr>
              <w:spacing w:after="0"/>
              <w:rPr>
                <w:sz w:val="18"/>
                <w:szCs w:val="18"/>
                <w:color w:val="auto"/>
              </w:rPr>
            </w:pPr>
          </w:p>
        </w:tc>
        <w:tc>
          <w:tcPr>
            <w:tcW w:w="7840" w:type="dxa"/>
            <w:vAlign w:val="bottom"/>
            <w:gridSpan w:val="2"/>
          </w:tcPr>
          <w:p>
            <w:pPr>
              <w:ind w:left="120"/>
              <w:spacing w:after="0"/>
              <w:rPr>
                <w:sz w:val="20"/>
                <w:szCs w:val="20"/>
                <w:color w:val="auto"/>
              </w:rPr>
            </w:pPr>
            <w:r>
              <w:rPr>
                <w:rFonts w:ascii="Arial" w:cs="Arial" w:eastAsia="Arial" w:hAnsi="Arial"/>
                <w:sz w:val="17"/>
                <w:szCs w:val="17"/>
                <w:color w:val="auto"/>
              </w:rPr>
              <w:t>South segment</w:t>
            </w:r>
          </w:p>
        </w:tc>
        <w:tc>
          <w:tcPr>
            <w:tcW w:w="380" w:type="dxa"/>
            <w:vAlign w:val="bottom"/>
          </w:tcPr>
          <w:p>
            <w:pPr>
              <w:spacing w:after="0"/>
              <w:rPr>
                <w:sz w:val="18"/>
                <w:szCs w:val="18"/>
                <w:color w:val="auto"/>
              </w:rPr>
            </w:pPr>
          </w:p>
        </w:tc>
        <w:tc>
          <w:tcPr>
            <w:tcW w:w="1260" w:type="dxa"/>
            <w:vAlign w:val="bottom"/>
          </w:tcPr>
          <w:p>
            <w:pPr>
              <w:jc w:val="right"/>
              <w:ind w:right="114"/>
              <w:spacing w:after="0"/>
              <w:rPr>
                <w:sz w:val="20"/>
                <w:szCs w:val="20"/>
                <w:color w:val="auto"/>
              </w:rPr>
            </w:pPr>
            <w:r>
              <w:rPr>
                <w:rFonts w:ascii="Arial" w:cs="Arial" w:eastAsia="Arial" w:hAnsi="Arial"/>
                <w:sz w:val="17"/>
                <w:szCs w:val="17"/>
                <w:color w:val="auto"/>
              </w:rPr>
              <w:t>133.9</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ind w:right="114"/>
              <w:spacing w:after="0"/>
              <w:rPr>
                <w:sz w:val="20"/>
                <w:szCs w:val="20"/>
                <w:color w:val="auto"/>
              </w:rPr>
            </w:pPr>
            <w:r>
              <w:rPr>
                <w:rFonts w:ascii="Arial" w:cs="Arial" w:eastAsia="Arial" w:hAnsi="Arial"/>
                <w:sz w:val="17"/>
                <w:szCs w:val="17"/>
                <w:color w:val="auto"/>
              </w:rPr>
              <w:t>52.6</w:t>
            </w:r>
          </w:p>
        </w:tc>
      </w:tr>
      <w:tr>
        <w:trPr>
          <w:trHeight w:val="220"/>
        </w:trPr>
        <w:tc>
          <w:tcPr>
            <w:tcW w:w="20" w:type="dxa"/>
            <w:vAlign w:val="bottom"/>
            <w:shd w:val="clear" w:color="auto" w:fill="CCEEFF"/>
          </w:tcPr>
          <w:p>
            <w:pPr>
              <w:spacing w:after="0"/>
              <w:rPr>
                <w:sz w:val="19"/>
                <w:szCs w:val="19"/>
                <w:color w:val="auto"/>
              </w:rPr>
            </w:pPr>
          </w:p>
        </w:tc>
        <w:tc>
          <w:tcPr>
            <w:tcW w:w="7840" w:type="dxa"/>
            <w:vAlign w:val="bottom"/>
            <w:gridSpan w:val="2"/>
            <w:shd w:val="clear" w:color="auto" w:fill="CCEEFF"/>
          </w:tcPr>
          <w:p>
            <w:pPr>
              <w:ind w:left="120"/>
              <w:spacing w:after="0"/>
              <w:rPr>
                <w:sz w:val="20"/>
                <w:szCs w:val="20"/>
                <w:color w:val="auto"/>
              </w:rPr>
            </w:pPr>
            <w:r>
              <w:rPr>
                <w:rFonts w:ascii="Arial" w:cs="Arial" w:eastAsia="Arial" w:hAnsi="Arial"/>
                <w:sz w:val="17"/>
                <w:szCs w:val="17"/>
                <w:color w:val="auto"/>
              </w:rPr>
              <w:t>West segment</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rPr>
              <w:t>35.2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rPr>
              <w:t>24.6</w:t>
            </w:r>
          </w:p>
        </w:tc>
      </w:tr>
      <w:tr>
        <w:trPr>
          <w:trHeight w:val="218"/>
        </w:trPr>
        <w:tc>
          <w:tcPr>
            <w:tcW w:w="20" w:type="dxa"/>
            <w:vAlign w:val="bottom"/>
          </w:tcPr>
          <w:p>
            <w:pPr>
              <w:spacing w:after="0"/>
              <w:rPr>
                <w:sz w:val="18"/>
                <w:szCs w:val="18"/>
                <w:color w:val="auto"/>
              </w:rPr>
            </w:pPr>
          </w:p>
        </w:tc>
        <w:tc>
          <w:tcPr>
            <w:tcW w:w="7840" w:type="dxa"/>
            <w:vAlign w:val="bottom"/>
            <w:gridSpan w:val="2"/>
          </w:tcPr>
          <w:p>
            <w:pPr>
              <w:ind w:left="120"/>
              <w:spacing w:after="0"/>
              <w:rPr>
                <w:sz w:val="20"/>
                <w:szCs w:val="20"/>
                <w:color w:val="auto"/>
              </w:rPr>
            </w:pPr>
            <w:r>
              <w:rPr>
                <w:rFonts w:ascii="Arial" w:cs="Arial" w:eastAsia="Arial" w:hAnsi="Arial"/>
                <w:sz w:val="17"/>
                <w:szCs w:val="17"/>
                <w:color w:val="auto"/>
              </w:rPr>
              <w:t>Midwest segment</w:t>
            </w:r>
          </w:p>
        </w:tc>
        <w:tc>
          <w:tcPr>
            <w:tcW w:w="380" w:type="dxa"/>
            <w:vAlign w:val="bottom"/>
          </w:tcPr>
          <w:p>
            <w:pPr>
              <w:spacing w:after="0"/>
              <w:rPr>
                <w:sz w:val="18"/>
                <w:szCs w:val="18"/>
                <w:color w:val="auto"/>
              </w:rPr>
            </w:pPr>
          </w:p>
        </w:tc>
        <w:tc>
          <w:tcPr>
            <w:tcW w:w="1260" w:type="dxa"/>
            <w:vAlign w:val="bottom"/>
          </w:tcPr>
          <w:p>
            <w:pPr>
              <w:jc w:val="right"/>
              <w:ind w:right="114"/>
              <w:spacing w:after="0"/>
              <w:rPr>
                <w:sz w:val="20"/>
                <w:szCs w:val="20"/>
                <w:color w:val="auto"/>
              </w:rPr>
            </w:pPr>
            <w:r>
              <w:rPr>
                <w:rFonts w:ascii="Arial" w:cs="Arial" w:eastAsia="Arial" w:hAnsi="Arial"/>
                <w:sz w:val="17"/>
                <w:szCs w:val="17"/>
                <w:color w:val="auto"/>
              </w:rPr>
              <w:t>106.0</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ind w:right="114"/>
              <w:spacing w:after="0"/>
              <w:rPr>
                <w:sz w:val="20"/>
                <w:szCs w:val="20"/>
                <w:color w:val="auto"/>
              </w:rPr>
            </w:pPr>
            <w:r>
              <w:rPr>
                <w:rFonts w:ascii="Arial" w:cs="Arial" w:eastAsia="Arial" w:hAnsi="Arial"/>
                <w:sz w:val="17"/>
                <w:szCs w:val="17"/>
                <w:color w:val="auto"/>
              </w:rPr>
              <w:t>69.5</w:t>
            </w:r>
          </w:p>
        </w:tc>
      </w:tr>
      <w:tr>
        <w:trPr>
          <w:trHeight w:val="220"/>
        </w:trPr>
        <w:tc>
          <w:tcPr>
            <w:tcW w:w="20" w:type="dxa"/>
            <w:vAlign w:val="bottom"/>
            <w:shd w:val="clear" w:color="auto" w:fill="CCEEFF"/>
          </w:tcPr>
          <w:p>
            <w:pPr>
              <w:spacing w:after="0"/>
              <w:rPr>
                <w:sz w:val="19"/>
                <w:szCs w:val="19"/>
                <w:color w:val="auto"/>
              </w:rPr>
            </w:pPr>
          </w:p>
        </w:tc>
        <w:tc>
          <w:tcPr>
            <w:tcW w:w="7840" w:type="dxa"/>
            <w:vAlign w:val="bottom"/>
            <w:gridSpan w:val="2"/>
            <w:shd w:val="clear" w:color="auto" w:fill="CCEEFF"/>
          </w:tcPr>
          <w:p>
            <w:pPr>
              <w:ind w:left="120"/>
              <w:spacing w:after="0" w:line="220" w:lineRule="exact"/>
              <w:rPr>
                <w:sz w:val="20"/>
                <w:szCs w:val="20"/>
                <w:color w:val="auto"/>
              </w:rPr>
            </w:pPr>
            <w:r>
              <w:rPr>
                <w:rFonts w:ascii="Arial" w:cs="Arial" w:eastAsia="Arial" w:hAnsi="Arial"/>
                <w:sz w:val="17"/>
                <w:szCs w:val="17"/>
                <w:color w:val="auto"/>
              </w:rPr>
              <w:t xml:space="preserve">Other </w:t>
            </w:r>
            <w:r>
              <w:rPr>
                <w:rFonts w:ascii="Arial" w:cs="Arial" w:eastAsia="Arial" w:hAnsi="Arial"/>
                <w:sz w:val="22"/>
                <w:szCs w:val="22"/>
                <w:color w:val="auto"/>
                <w:vertAlign w:val="superscript"/>
              </w:rPr>
              <w:t>(1)</w:t>
            </w: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7"/>
                <w:szCs w:val="17"/>
                <w:color w:val="auto"/>
              </w:rPr>
              <w:t>(21.3)</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7"/>
                <w:szCs w:val="17"/>
                <w:color w:val="auto"/>
              </w:rPr>
              <w:t>(18.9)</w:t>
            </w:r>
          </w:p>
        </w:tc>
      </w:tr>
      <w:tr>
        <w:trPr>
          <w:trHeight w:val="212"/>
        </w:trPr>
        <w:tc>
          <w:tcPr>
            <w:tcW w:w="20" w:type="dxa"/>
            <w:vAlign w:val="bottom"/>
          </w:tcPr>
          <w:p>
            <w:pPr>
              <w:spacing w:after="0"/>
              <w:rPr>
                <w:sz w:val="18"/>
                <w:szCs w:val="18"/>
                <w:color w:val="auto"/>
              </w:rPr>
            </w:pPr>
          </w:p>
        </w:tc>
        <w:tc>
          <w:tcPr>
            <w:tcW w:w="7840" w:type="dxa"/>
            <w:vAlign w:val="bottom"/>
            <w:gridSpan w:val="2"/>
          </w:tcPr>
          <w:p>
            <w:pPr>
              <w:ind w:left="300"/>
              <w:spacing w:after="0" w:line="212" w:lineRule="exact"/>
              <w:rPr>
                <w:sz w:val="20"/>
                <w:szCs w:val="20"/>
                <w:color w:val="auto"/>
              </w:rPr>
            </w:pPr>
            <w:r>
              <w:rPr>
                <w:rFonts w:ascii="Arial" w:cs="Arial" w:eastAsia="Arial" w:hAnsi="Arial"/>
                <w:sz w:val="17"/>
                <w:szCs w:val="17"/>
                <w:b w:val="1"/>
                <w:bCs w:val="1"/>
                <w:color w:val="auto"/>
              </w:rPr>
              <w:t xml:space="preserve">Total </w:t>
            </w:r>
            <w:r>
              <w:rPr>
                <w:rFonts w:ascii="Arial" w:cs="Arial" w:eastAsia="Arial" w:hAnsi="Arial"/>
                <w:sz w:val="22"/>
                <w:szCs w:val="22"/>
                <w:b w:val="1"/>
                <w:bCs w:val="1"/>
                <w:color w:val="auto"/>
                <w:vertAlign w:val="superscript"/>
              </w:rPr>
              <w:t>(3)</w:t>
            </w:r>
          </w:p>
        </w:tc>
        <w:tc>
          <w:tcPr>
            <w:tcW w:w="380" w:type="dxa"/>
            <w:vAlign w:val="bottom"/>
          </w:tcPr>
          <w:p>
            <w:pPr>
              <w:spacing w:after="0"/>
              <w:rPr>
                <w:sz w:val="18"/>
                <w:szCs w:val="18"/>
                <w:color w:val="auto"/>
              </w:rPr>
            </w:pPr>
          </w:p>
        </w:tc>
        <w:tc>
          <w:tcPr>
            <w:tcW w:w="1260" w:type="dxa"/>
            <w:vAlign w:val="bottom"/>
          </w:tcPr>
          <w:p>
            <w:pPr>
              <w:jc w:val="right"/>
              <w:ind w:right="114"/>
              <w:spacing w:after="0"/>
              <w:rPr>
                <w:sz w:val="20"/>
                <w:szCs w:val="20"/>
                <w:color w:val="auto"/>
              </w:rPr>
            </w:pPr>
            <w:r>
              <w:rPr>
                <w:rFonts w:ascii="Arial" w:cs="Arial" w:eastAsia="Arial" w:hAnsi="Arial"/>
                <w:sz w:val="17"/>
                <w:szCs w:val="17"/>
                <w:color w:val="auto"/>
              </w:rPr>
              <w:t>447.0</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ind w:right="114"/>
              <w:spacing w:after="0"/>
              <w:rPr>
                <w:sz w:val="20"/>
                <w:szCs w:val="20"/>
                <w:color w:val="auto"/>
              </w:rPr>
            </w:pPr>
            <w:r>
              <w:rPr>
                <w:rFonts w:ascii="Arial" w:cs="Arial" w:eastAsia="Arial" w:hAnsi="Arial"/>
                <w:sz w:val="17"/>
                <w:szCs w:val="17"/>
                <w:color w:val="auto"/>
              </w:rPr>
              <w:t>252.3</w:t>
            </w:r>
          </w:p>
        </w:tc>
      </w:tr>
      <w:tr>
        <w:trPr>
          <w:trHeight w:val="219"/>
        </w:trPr>
        <w:tc>
          <w:tcPr>
            <w:tcW w:w="7860" w:type="dxa"/>
            <w:vAlign w:val="bottom"/>
            <w:gridSpan w:val="3"/>
            <w:shd w:val="clear" w:color="auto" w:fill="CCEEFF"/>
          </w:tcPr>
          <w:p>
            <w:pPr>
              <w:ind w:left="20"/>
              <w:spacing w:after="0" w:line="219" w:lineRule="exact"/>
              <w:rPr>
                <w:sz w:val="20"/>
                <w:szCs w:val="20"/>
                <w:color w:val="auto"/>
              </w:rPr>
            </w:pPr>
            <w:r>
              <w:rPr>
                <w:rFonts w:ascii="Arial" w:cs="Arial" w:eastAsia="Arial" w:hAnsi="Arial"/>
                <w:sz w:val="17"/>
                <w:szCs w:val="17"/>
                <w:color w:val="auto"/>
              </w:rPr>
              <w:t xml:space="preserve">Rent expense associated with triple net operating leases </w:t>
            </w:r>
            <w:r>
              <w:rPr>
                <w:rFonts w:ascii="Arial" w:cs="Arial" w:eastAsia="Arial" w:hAnsi="Arial"/>
                <w:sz w:val="22"/>
                <w:szCs w:val="22"/>
                <w:color w:val="auto"/>
                <w:vertAlign w:val="superscript"/>
              </w:rPr>
              <w:t>(4)</w:t>
            </w: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7"/>
                <w:szCs w:val="17"/>
                <w:color w:val="auto"/>
              </w:rPr>
              <w:t>(110.4)</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7"/>
                <w:szCs w:val="17"/>
                <w:color w:val="auto"/>
              </w:rPr>
              <w:t>(97.5)</w:t>
            </w:r>
          </w:p>
        </w:tc>
      </w:tr>
      <w:tr>
        <w:trPr>
          <w:trHeight w:val="212"/>
        </w:trPr>
        <w:tc>
          <w:tcPr>
            <w:tcW w:w="7860" w:type="dxa"/>
            <w:vAlign w:val="bottom"/>
            <w:gridSpan w:val="3"/>
          </w:tcPr>
          <w:p>
            <w:pPr>
              <w:ind w:left="20"/>
              <w:spacing w:after="0" w:line="212" w:lineRule="exact"/>
              <w:rPr>
                <w:sz w:val="20"/>
                <w:szCs w:val="20"/>
                <w:color w:val="auto"/>
              </w:rPr>
            </w:pPr>
            <w:r>
              <w:rPr>
                <w:rFonts w:ascii="Arial" w:cs="Arial" w:eastAsia="Arial" w:hAnsi="Arial"/>
                <w:sz w:val="17"/>
                <w:szCs w:val="17"/>
                <w:b w:val="1"/>
                <w:bCs w:val="1"/>
                <w:color w:val="auto"/>
              </w:rPr>
              <w:t xml:space="preserve">Adjusted EBITDA </w:t>
            </w:r>
            <w:r>
              <w:rPr>
                <w:rFonts w:ascii="Arial" w:cs="Arial" w:eastAsia="Arial" w:hAnsi="Arial"/>
                <w:sz w:val="22"/>
                <w:szCs w:val="22"/>
                <w:b w:val="1"/>
                <w:bCs w:val="1"/>
                <w:color w:val="auto"/>
                <w:vertAlign w:val="superscript"/>
              </w:rPr>
              <w:t>(3)</w:t>
            </w:r>
          </w:p>
        </w:tc>
        <w:tc>
          <w:tcPr>
            <w:tcW w:w="380" w:type="dxa"/>
            <w:vAlign w:val="bottom"/>
            <w:tcBorders>
              <w:bottom w:val="single" w:sz="8" w:color="auto"/>
            </w:tcBorders>
          </w:tcPr>
          <w:p>
            <w:pPr>
              <w:jc w:val="right"/>
              <w:ind w:right="174"/>
              <w:spacing w:after="0"/>
              <w:rPr>
                <w:sz w:val="20"/>
                <w:szCs w:val="20"/>
                <w:color w:val="auto"/>
              </w:rPr>
            </w:pPr>
            <w:r>
              <w:rPr>
                <w:rFonts w:ascii="Arial" w:cs="Arial" w:eastAsia="Arial" w:hAnsi="Arial"/>
                <w:sz w:val="17"/>
                <w:szCs w:val="17"/>
                <w:color w:val="auto"/>
              </w:rPr>
              <w:t>$</w:t>
            </w:r>
          </w:p>
        </w:tc>
        <w:tc>
          <w:tcPr>
            <w:tcW w:w="1260" w:type="dxa"/>
            <w:vAlign w:val="bottom"/>
            <w:tcBorders>
              <w:bottom w:val="single" w:sz="8" w:color="auto"/>
            </w:tcBorders>
          </w:tcPr>
          <w:p>
            <w:pPr>
              <w:jc w:val="right"/>
              <w:ind w:right="114"/>
              <w:spacing w:after="0"/>
              <w:rPr>
                <w:sz w:val="20"/>
                <w:szCs w:val="20"/>
                <w:color w:val="auto"/>
              </w:rPr>
            </w:pPr>
            <w:r>
              <w:rPr>
                <w:rFonts w:ascii="Arial" w:cs="Arial" w:eastAsia="Arial" w:hAnsi="Arial"/>
                <w:sz w:val="17"/>
                <w:szCs w:val="17"/>
                <w:color w:val="auto"/>
              </w:rPr>
              <w:t>336.6</w:t>
            </w:r>
          </w:p>
        </w:tc>
        <w:tc>
          <w:tcPr>
            <w:tcW w:w="100" w:type="dxa"/>
            <w:vAlign w:val="bottom"/>
          </w:tcPr>
          <w:p>
            <w:pPr>
              <w:spacing w:after="0"/>
              <w:rPr>
                <w:sz w:val="18"/>
                <w:szCs w:val="18"/>
                <w:color w:val="auto"/>
              </w:rPr>
            </w:pPr>
          </w:p>
        </w:tc>
        <w:tc>
          <w:tcPr>
            <w:tcW w:w="380" w:type="dxa"/>
            <w:vAlign w:val="bottom"/>
            <w:tcBorders>
              <w:bottom w:val="single" w:sz="8" w:color="auto"/>
            </w:tcBorders>
          </w:tcPr>
          <w:p>
            <w:pPr>
              <w:jc w:val="right"/>
              <w:ind w:right="174"/>
              <w:spacing w:after="0"/>
              <w:rPr>
                <w:sz w:val="20"/>
                <w:szCs w:val="20"/>
                <w:color w:val="auto"/>
              </w:rPr>
            </w:pPr>
            <w:r>
              <w:rPr>
                <w:rFonts w:ascii="Arial" w:cs="Arial" w:eastAsia="Arial" w:hAnsi="Arial"/>
                <w:sz w:val="17"/>
                <w:szCs w:val="17"/>
                <w:color w:val="auto"/>
              </w:rPr>
              <w:t>$</w:t>
            </w:r>
          </w:p>
        </w:tc>
        <w:tc>
          <w:tcPr>
            <w:tcW w:w="1260" w:type="dxa"/>
            <w:vAlign w:val="bottom"/>
            <w:tcBorders>
              <w:bottom w:val="single" w:sz="8" w:color="auto"/>
            </w:tcBorders>
          </w:tcPr>
          <w:p>
            <w:pPr>
              <w:jc w:val="right"/>
              <w:ind w:right="114"/>
              <w:spacing w:after="0"/>
              <w:rPr>
                <w:sz w:val="20"/>
                <w:szCs w:val="20"/>
                <w:color w:val="auto"/>
              </w:rPr>
            </w:pPr>
            <w:r>
              <w:rPr>
                <w:rFonts w:ascii="Arial" w:cs="Arial" w:eastAsia="Arial" w:hAnsi="Arial"/>
                <w:sz w:val="17"/>
                <w:szCs w:val="17"/>
                <w:color w:val="auto"/>
              </w:rPr>
              <w:t>154.8</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CCEEFF"/>
            </w:tcBorders>
          </w:tcPr>
          <w:p>
            <w:pPr>
              <w:spacing w:after="0" w:line="20" w:lineRule="exact"/>
              <w:rPr>
                <w:sz w:val="1"/>
                <w:szCs w:val="1"/>
                <w:color w:val="auto"/>
              </w:rPr>
            </w:pPr>
          </w:p>
        </w:tc>
        <w:tc>
          <w:tcPr>
            <w:tcW w:w="67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211"/>
        </w:trPr>
        <w:tc>
          <w:tcPr>
            <w:tcW w:w="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67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r>
      <w:tr>
        <w:trPr>
          <w:trHeight w:val="218"/>
        </w:trPr>
        <w:tc>
          <w:tcPr>
            <w:tcW w:w="7860" w:type="dxa"/>
            <w:vAlign w:val="bottom"/>
            <w:gridSpan w:val="3"/>
          </w:tcPr>
          <w:p>
            <w:pPr>
              <w:ind w:left="20"/>
              <w:spacing w:after="0"/>
              <w:rPr>
                <w:sz w:val="20"/>
                <w:szCs w:val="20"/>
                <w:color w:val="auto"/>
              </w:rPr>
            </w:pPr>
            <w:r>
              <w:rPr>
                <w:rFonts w:ascii="Arial" w:cs="Arial" w:eastAsia="Arial" w:hAnsi="Arial"/>
                <w:sz w:val="17"/>
                <w:szCs w:val="17"/>
                <w:color w:val="auto"/>
              </w:rPr>
              <w:t>Net income (loss) margin</w:t>
            </w: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7.1 %</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(54.5)%</w:t>
            </w:r>
          </w:p>
        </w:tc>
      </w:tr>
      <w:tr>
        <w:trPr>
          <w:trHeight w:val="220"/>
        </w:trPr>
        <w:tc>
          <w:tcPr>
            <w:tcW w:w="7860" w:type="dxa"/>
            <w:vAlign w:val="bottom"/>
            <w:gridSpan w:val="3"/>
            <w:shd w:val="clear" w:color="auto" w:fill="CCEEFF"/>
          </w:tcPr>
          <w:p>
            <w:pPr>
              <w:ind w:left="20"/>
              <w:spacing w:after="0" w:line="220" w:lineRule="exact"/>
              <w:rPr>
                <w:sz w:val="20"/>
                <w:szCs w:val="20"/>
                <w:color w:val="auto"/>
              </w:rPr>
            </w:pPr>
            <w:r>
              <w:rPr>
                <w:rFonts w:ascii="Arial" w:cs="Arial" w:eastAsia="Arial" w:hAnsi="Arial"/>
                <w:sz w:val="17"/>
                <w:szCs w:val="17"/>
                <w:color w:val="auto"/>
              </w:rPr>
              <w:t xml:space="preserve">Adjusted EBITDAR margin </w:t>
            </w:r>
            <w:r>
              <w:rPr>
                <w:rFonts w:ascii="Arial" w:cs="Arial" w:eastAsia="Arial" w:hAnsi="Arial"/>
                <w:sz w:val="22"/>
                <w:szCs w:val="22"/>
                <w:color w:val="auto"/>
                <w:vertAlign w:val="superscript"/>
              </w:rPr>
              <w:t>(3)</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35.1 %</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22.6 %</w:t>
            </w:r>
          </w:p>
        </w:tc>
      </w:tr>
      <w:tr>
        <w:trPr>
          <w:trHeight w:val="218"/>
        </w:trPr>
        <w:tc>
          <w:tcPr>
            <w:tcW w:w="7860" w:type="dxa"/>
            <w:vAlign w:val="bottom"/>
            <w:gridSpan w:val="3"/>
          </w:tcPr>
          <w:p>
            <w:pPr>
              <w:ind w:left="20"/>
              <w:spacing w:after="0"/>
              <w:rPr>
                <w:sz w:val="20"/>
                <w:szCs w:val="20"/>
                <w:color w:val="auto"/>
              </w:rPr>
            </w:pPr>
            <w:r>
              <w:rPr>
                <w:rFonts w:ascii="Arial" w:cs="Arial" w:eastAsia="Arial" w:hAnsi="Arial"/>
                <w:sz w:val="17"/>
                <w:szCs w:val="17"/>
                <w:color w:val="auto"/>
              </w:rPr>
              <w:t>Adjusted EBITDA margin</w:t>
            </w: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26.4 %</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13.9 %</w:t>
            </w:r>
          </w:p>
        </w:tc>
      </w:tr>
    </w:tbl>
    <w:p>
      <w:pPr>
        <w:spacing w:after="0" w:line="125" w:lineRule="exact"/>
        <w:rPr>
          <w:sz w:val="20"/>
          <w:szCs w:val="20"/>
          <w:color w:val="auto"/>
        </w:rPr>
      </w:pPr>
    </w:p>
    <w:p>
      <w:pPr>
        <w:ind w:left="620" w:right="20" w:hanging="307"/>
        <w:spacing w:after="0" w:line="234" w:lineRule="auto"/>
        <w:tabs>
          <w:tab w:leader="none" w:pos="612" w:val="left"/>
        </w:tabs>
        <w:numPr>
          <w:ilvl w:val="0"/>
          <w:numId w:val="16"/>
        </w:numPr>
        <w:rPr>
          <w:rFonts w:ascii="Arial" w:cs="Arial" w:eastAsia="Arial" w:hAnsi="Arial"/>
          <w:sz w:val="14"/>
          <w:szCs w:val="14"/>
          <w:color w:val="auto"/>
        </w:rPr>
      </w:pPr>
      <w:r>
        <w:rPr>
          <w:rFonts w:ascii="Arial" w:cs="Arial" w:eastAsia="Arial" w:hAnsi="Arial"/>
          <w:sz w:val="14"/>
          <w:szCs w:val="14"/>
          <w:color w:val="auto"/>
        </w:rPr>
        <w:t>The Other category consists of the Company’s stand-alone racing operations, namely Sanford-Orlando Kennel Club and the Company’s joint venture interests in Sam Houston Race Park, Valley Race Park, and Freehold Raceway; our management contract for Retama Park Racetrack and our live and televised poker tournament series that operates under the trade name, Heartland Poker Tour ("HPT"). The Other category also includes Penn Interactive, which operates our social gaming, internally-branded retail sportsbooks, iGaming and our Barstool Sports online sports betting app. Expenses incurred for corporate and shared services activities that are directly attributable to a property or are otherwise incurred to support a property are allocated to each property. The Other category also includes corporate overhead costs, which consist of certain expenses, such as: payroll, professional fees, travel expenses and other general and administrative expenses that do not directly relate to or have not otherwise been allocated to a property. In addition, Adjusted EBITDAR of the Other category includes our proportionate share of the net income or loss of Barstool Sports after adding back our share of non-operating items (such as interest expense, net; income taxes; depreciation and amortization; and stock-based compensation expense).</w:t>
      </w:r>
    </w:p>
    <w:p>
      <w:pPr>
        <w:spacing w:after="0" w:line="33" w:lineRule="exact"/>
        <w:rPr>
          <w:rFonts w:ascii="Arial" w:cs="Arial" w:eastAsia="Arial" w:hAnsi="Arial"/>
          <w:sz w:val="14"/>
          <w:szCs w:val="14"/>
          <w:color w:val="auto"/>
        </w:rPr>
      </w:pPr>
    </w:p>
    <w:p>
      <w:pPr>
        <w:ind w:left="620" w:hanging="307"/>
        <w:spacing w:after="0"/>
        <w:tabs>
          <w:tab w:leader="none" w:pos="620" w:val="left"/>
        </w:tabs>
        <w:numPr>
          <w:ilvl w:val="0"/>
          <w:numId w:val="16"/>
        </w:numPr>
        <w:rPr>
          <w:rFonts w:ascii="Arial" w:cs="Arial" w:eastAsia="Arial" w:hAnsi="Arial"/>
          <w:sz w:val="14"/>
          <w:szCs w:val="14"/>
          <w:color w:val="auto"/>
        </w:rPr>
      </w:pPr>
      <w:r>
        <w:rPr>
          <w:rFonts w:ascii="Arial" w:cs="Arial" w:eastAsia="Arial" w:hAnsi="Arial"/>
          <w:sz w:val="14"/>
          <w:szCs w:val="14"/>
          <w:color w:val="auto"/>
        </w:rPr>
        <w:t>Primarily represents the elimination of intersegment revenues associated with our internally-branded retail sportsbooks, which are operated by Penn Interactive.</w:t>
      </w:r>
    </w:p>
    <w:p>
      <w:pPr>
        <w:spacing w:after="0" w:line="45" w:lineRule="exact"/>
        <w:rPr>
          <w:rFonts w:ascii="Arial" w:cs="Arial" w:eastAsia="Arial" w:hAnsi="Arial"/>
          <w:sz w:val="14"/>
          <w:szCs w:val="14"/>
          <w:color w:val="auto"/>
        </w:rPr>
      </w:pPr>
    </w:p>
    <w:p>
      <w:pPr>
        <w:ind w:left="620" w:right="500" w:hanging="307"/>
        <w:spacing w:after="0" w:line="250" w:lineRule="auto"/>
        <w:tabs>
          <w:tab w:leader="none" w:pos="612" w:val="left"/>
        </w:tabs>
        <w:numPr>
          <w:ilvl w:val="0"/>
          <w:numId w:val="16"/>
        </w:numPr>
        <w:rPr>
          <w:rFonts w:ascii="Arial" w:cs="Arial" w:eastAsia="Arial" w:hAnsi="Arial"/>
          <w:sz w:val="14"/>
          <w:szCs w:val="14"/>
          <w:color w:val="auto"/>
        </w:rPr>
      </w:pPr>
      <w:r>
        <w:rPr>
          <w:rFonts w:ascii="Arial" w:cs="Arial" w:eastAsia="Arial" w:hAnsi="Arial"/>
          <w:sz w:val="14"/>
          <w:szCs w:val="14"/>
          <w:color w:val="auto"/>
        </w:rPr>
        <w:t>The total is a mathematical calculation derived from the sum of reportable segments (as well as the Other category). As noted within “Non-GAAP Financial Measures” below, Adjusted EBITDAR, and the related margin, is presented on a consolidated basis outside the financial statements solely as a valuation metric.</w:t>
      </w:r>
    </w:p>
    <w:p>
      <w:pPr>
        <w:spacing w:after="0" w:line="25" w:lineRule="exact"/>
        <w:rPr>
          <w:rFonts w:ascii="Arial" w:cs="Arial" w:eastAsia="Arial" w:hAnsi="Arial"/>
          <w:sz w:val="14"/>
          <w:szCs w:val="14"/>
          <w:color w:val="auto"/>
        </w:rPr>
      </w:pPr>
    </w:p>
    <w:p>
      <w:pPr>
        <w:jc w:val="both"/>
        <w:ind w:left="620" w:right="680" w:hanging="307"/>
        <w:spacing w:after="0"/>
        <w:tabs>
          <w:tab w:leader="none" w:pos="612" w:val="left"/>
        </w:tabs>
        <w:numPr>
          <w:ilvl w:val="0"/>
          <w:numId w:val="16"/>
        </w:numPr>
        <w:rPr>
          <w:rFonts w:ascii="Arial" w:cs="Arial" w:eastAsia="Arial" w:hAnsi="Arial"/>
          <w:sz w:val="14"/>
          <w:szCs w:val="14"/>
          <w:color w:val="0000FF"/>
        </w:rPr>
      </w:pPr>
      <w:r>
        <w:rPr>
          <w:rFonts w:ascii="Arial" w:cs="Arial" w:eastAsia="Arial" w:hAnsi="Arial"/>
          <w:sz w:val="14"/>
          <w:szCs w:val="14"/>
          <w:color w:val="auto"/>
        </w:rPr>
        <w:t xml:space="preserve">Solely comprised of rent expense associated with the operating lease components contained within the Master Leases (primarily land), the Tropicana Lease, the Meadows Lease, the </w:t>
      </w:r>
      <w:hyperlink w:anchor="page41">
        <w:r>
          <w:rPr>
            <w:rFonts w:ascii="Arial" w:cs="Arial" w:eastAsia="Arial" w:hAnsi="Arial"/>
            <w:sz w:val="14"/>
            <w:szCs w:val="14"/>
            <w:color w:val="auto"/>
          </w:rPr>
          <w:t xml:space="preserve">Margaritaville Lease and the Greektown Lease (of which the Tropicana Lease, Meadows Lease, Margaritaville Lease and the Greektown Lease are defined in </w:t>
        </w:r>
        <w:r>
          <w:rPr>
            <w:rFonts w:ascii="Arial" w:cs="Arial" w:eastAsia="Arial" w:hAnsi="Arial"/>
            <w:sz w:val="14"/>
            <w:szCs w:val="14"/>
            <w:u w:val="single" w:color="auto"/>
            <w:color w:val="0000FF"/>
          </w:rPr>
          <w:t>“Liquidity and Capital</w:t>
        </w:r>
      </w:hyperlink>
      <w:r>
        <w:rPr>
          <w:rFonts w:ascii="Arial" w:cs="Arial" w:eastAsia="Arial" w:hAnsi="Arial"/>
          <w:sz w:val="14"/>
          <w:szCs w:val="14"/>
          <w:color w:val="auto"/>
        </w:rPr>
        <w:t xml:space="preserve"> </w:t>
      </w:r>
      <w:hyperlink w:anchor="page41">
        <w:r>
          <w:rPr>
            <w:rFonts w:ascii="Arial" w:cs="Arial" w:eastAsia="Arial" w:hAnsi="Arial"/>
            <w:sz w:val="14"/>
            <w:szCs w:val="14"/>
            <w:u w:val="single" w:color="auto"/>
            <w:color w:val="0000FF"/>
          </w:rPr>
          <w:t>Resources”</w:t>
        </w:r>
        <w:r>
          <w:rPr>
            <w:rFonts w:ascii="Arial" w:cs="Arial" w:eastAsia="Arial" w:hAnsi="Arial"/>
            <w:sz w:val="14"/>
            <w:szCs w:val="14"/>
            <w:color w:val="000000"/>
          </w:rPr>
          <w:t>) and are referred to collectively as our “triple net operating</w:t>
        </w:r>
      </w:hyperlink>
    </w:p>
    <w:p>
      <w:pPr>
        <w:spacing w:after="0" w:line="387" w:lineRule="exact"/>
        <w:rPr>
          <w:rFonts w:ascii="Arial" w:cs="Arial" w:eastAsia="Arial" w:hAnsi="Arial"/>
          <w:sz w:val="14"/>
          <w:szCs w:val="14"/>
          <w:color w:val="auto"/>
        </w:rPr>
      </w:pPr>
    </w:p>
    <w:p>
      <w:pPr>
        <w:jc w:val="center"/>
        <w:spacing w:after="0"/>
        <w:rPr>
          <w:sz w:val="20"/>
          <w:szCs w:val="20"/>
          <w:color w:val="auto"/>
        </w:rPr>
      </w:pPr>
      <w:r>
        <w:rPr>
          <w:rFonts w:ascii="Arial" w:cs="Arial" w:eastAsia="Arial" w:hAnsi="Arial"/>
          <w:sz w:val="17"/>
          <w:szCs w:val="17"/>
          <w:color w:val="auto"/>
        </w:rPr>
        <w:t>32</w:t>
      </w:r>
    </w:p>
    <w:p>
      <w:pPr>
        <w:spacing w:after="0" w:line="20" w:lineRule="exact"/>
        <w:rPr>
          <w:rFonts w:ascii="Arial" w:cs="Arial" w:eastAsia="Arial" w:hAnsi="Arial"/>
          <w:sz w:val="14"/>
          <w:szCs w:val="14"/>
          <w:color w:val="auto"/>
        </w:rPr>
      </w:pPr>
      <w:r>
        <w:rPr>
          <w:rFonts w:ascii="Arial" w:cs="Arial" w:eastAsia="Arial" w:hAnsi="Arial"/>
          <w:sz w:val="14"/>
          <w:szCs w:val="14"/>
          <w:color w:val="auto"/>
        </w:rPr>
        <w:drawing>
          <wp:anchor simplePos="0" relativeHeight="251657728" behindDoc="1" locked="0" layoutInCell="0" allowOverlap="1">
            <wp:simplePos x="0" y="0"/>
            <wp:positionH relativeFrom="column">
              <wp:posOffset>-10160</wp:posOffset>
            </wp:positionH>
            <wp:positionV relativeFrom="paragraph">
              <wp:posOffset>182245</wp:posOffset>
            </wp:positionV>
            <wp:extent cx="7164070" cy="4191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4" w:name="page35"/>
    <w:bookmarkEnd w:id="34"/>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333" w:lineRule="exact"/>
        <w:rPr>
          <w:sz w:val="20"/>
          <w:szCs w:val="20"/>
          <w:color w:val="auto"/>
        </w:rPr>
      </w:pPr>
    </w:p>
    <w:p>
      <w:pPr>
        <w:ind w:left="620" w:right="200"/>
        <w:spacing w:after="0" w:line="250" w:lineRule="auto"/>
        <w:rPr>
          <w:rFonts w:ascii="Arial" w:cs="Arial" w:eastAsia="Arial" w:hAnsi="Arial"/>
          <w:sz w:val="14"/>
          <w:szCs w:val="14"/>
          <w:color w:val="0000FF"/>
        </w:rPr>
      </w:pPr>
      <w:hyperlink w:anchor="page41">
        <w:r>
          <w:rPr>
            <w:rFonts w:ascii="Arial" w:cs="Arial" w:eastAsia="Arial" w:hAnsi="Arial"/>
            <w:sz w:val="14"/>
            <w:szCs w:val="14"/>
            <w:color w:val="auto"/>
          </w:rPr>
          <w:t xml:space="preserve">leases”. The finance lease components contained within the Master Leases (primarily buildings) and the financing obligation associated with the Morgantown Lease (as defined in </w:t>
        </w:r>
        <w:r>
          <w:rPr>
            <w:rFonts w:ascii="Arial" w:cs="Arial" w:eastAsia="Arial" w:hAnsi="Arial"/>
            <w:sz w:val="14"/>
            <w:szCs w:val="14"/>
            <w:u w:val="single" w:color="auto"/>
            <w:color w:val="0000FF"/>
          </w:rPr>
          <w:t>“Liquidity</w:t>
        </w:r>
      </w:hyperlink>
      <w:r>
        <w:rPr>
          <w:rFonts w:ascii="Arial" w:cs="Arial" w:eastAsia="Arial" w:hAnsi="Arial"/>
          <w:sz w:val="14"/>
          <w:szCs w:val="14"/>
          <w:color w:val="auto"/>
        </w:rPr>
        <w:t xml:space="preserve"> </w:t>
      </w:r>
      <w:hyperlink w:anchor="page41">
        <w:r>
          <w:rPr>
            <w:rFonts w:ascii="Arial" w:cs="Arial" w:eastAsia="Arial" w:hAnsi="Arial"/>
            <w:sz w:val="14"/>
            <w:szCs w:val="14"/>
            <w:u w:val="single" w:color="auto"/>
            <w:color w:val="0000FF"/>
          </w:rPr>
          <w:t>and Capital Resources”</w:t>
        </w:r>
        <w:r>
          <w:rPr>
            <w:rFonts w:ascii="Arial" w:cs="Arial" w:eastAsia="Arial" w:hAnsi="Arial"/>
            <w:sz w:val="14"/>
            <w:szCs w:val="14"/>
            <w:color w:val="000000"/>
          </w:rPr>
          <w:t>) result in interest expense, as opposed to rent expense.</w:t>
        </w:r>
      </w:hyperlink>
    </w:p>
    <w:p>
      <w:pPr>
        <w:spacing w:after="0" w:line="26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Consolidated comparison of the three months ended March 31, 2021 and 2020.</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Revenues</w:t>
      </w:r>
    </w:p>
    <w:p>
      <w:pPr>
        <w:spacing w:after="0" w:line="191"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The following table presents our consolidated revenues:</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5640" w:type="dxa"/>
            <w:vAlign w:val="bottom"/>
          </w:tcPr>
          <w:p>
            <w:pPr>
              <w:spacing w:after="0"/>
              <w:rPr>
                <w:sz w:val="14"/>
                <w:szCs w:val="14"/>
                <w:color w:val="auto"/>
              </w:rPr>
            </w:pPr>
          </w:p>
        </w:tc>
        <w:tc>
          <w:tcPr>
            <w:tcW w:w="2060" w:type="dxa"/>
            <w:vAlign w:val="bottom"/>
            <w:gridSpan w:val="6"/>
          </w:tcPr>
          <w:p>
            <w:pPr>
              <w:ind w:left="80"/>
              <w:spacing w:after="0"/>
              <w:rPr>
                <w:sz w:val="20"/>
                <w:szCs w:val="20"/>
                <w:color w:val="auto"/>
              </w:rPr>
            </w:pPr>
            <w:r>
              <w:rPr>
                <w:rFonts w:ascii="Arial" w:cs="Arial" w:eastAsia="Arial" w:hAnsi="Arial"/>
                <w:sz w:val="15"/>
                <w:szCs w:val="15"/>
                <w:b w:val="1"/>
                <w:bCs w:val="1"/>
                <w:color w:val="auto"/>
                <w:w w:val="98"/>
              </w:rPr>
              <w:t>For the three months ended</w:t>
            </w:r>
          </w:p>
        </w:tc>
        <w:tc>
          <w:tcPr>
            <w:tcW w:w="120" w:type="dxa"/>
            <w:vAlign w:val="bottom"/>
          </w:tcPr>
          <w:p>
            <w:pPr>
              <w:spacing w:after="0"/>
              <w:rPr>
                <w:sz w:val="14"/>
                <w:szCs w:val="14"/>
                <w:color w:val="auto"/>
              </w:rPr>
            </w:pPr>
          </w:p>
        </w:tc>
        <w:tc>
          <w:tcPr>
            <w:tcW w:w="960" w:type="dxa"/>
            <w:vAlign w:val="bottom"/>
            <w:vMerge w:val="restart"/>
          </w:tcPr>
          <w:p>
            <w:pPr>
              <w:jc w:val="center"/>
              <w:ind w:right="23"/>
              <w:spacing w:after="0"/>
              <w:rPr>
                <w:sz w:val="20"/>
                <w:szCs w:val="20"/>
                <w:color w:val="auto"/>
              </w:rPr>
            </w:pPr>
            <w:r>
              <w:rPr>
                <w:rFonts w:ascii="Arial" w:cs="Arial" w:eastAsia="Arial" w:hAnsi="Arial"/>
                <w:sz w:val="15"/>
                <w:szCs w:val="15"/>
                <w:b w:val="1"/>
                <w:bCs w:val="1"/>
                <w:color w:val="auto"/>
                <w:w w:val="91"/>
              </w:rPr>
              <w:t>$ Change</w:t>
            </w:r>
          </w:p>
        </w:tc>
        <w:tc>
          <w:tcPr>
            <w:tcW w:w="100" w:type="dxa"/>
            <w:vAlign w:val="bottom"/>
          </w:tcPr>
          <w:p>
            <w:pPr>
              <w:spacing w:after="0"/>
              <w:rPr>
                <w:sz w:val="14"/>
                <w:szCs w:val="14"/>
                <w:color w:val="auto"/>
              </w:rPr>
            </w:pPr>
          </w:p>
        </w:tc>
        <w:tc>
          <w:tcPr>
            <w:tcW w:w="1220" w:type="dxa"/>
            <w:vAlign w:val="bottom"/>
            <w:vMerge w:val="restart"/>
          </w:tcPr>
          <w:p>
            <w:pPr>
              <w:jc w:val="right"/>
              <w:ind w:right="183"/>
              <w:spacing w:after="0"/>
              <w:rPr>
                <w:sz w:val="20"/>
                <w:szCs w:val="20"/>
                <w:color w:val="auto"/>
              </w:rPr>
            </w:pPr>
            <w:r>
              <w:rPr>
                <w:rFonts w:ascii="Arial" w:cs="Arial" w:eastAsia="Arial" w:hAnsi="Arial"/>
                <w:sz w:val="15"/>
                <w:szCs w:val="15"/>
                <w:b w:val="1"/>
                <w:bCs w:val="1"/>
                <w:color w:val="auto"/>
              </w:rPr>
              <w:t>% Change</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564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gridSpan w:val="3"/>
          </w:tcPr>
          <w:p>
            <w:pPr>
              <w:jc w:val="right"/>
              <w:spacing w:after="0"/>
              <w:rPr>
                <w:sz w:val="20"/>
                <w:szCs w:val="20"/>
                <w:color w:val="auto"/>
              </w:rPr>
            </w:pPr>
            <w:r>
              <w:rPr>
                <w:rFonts w:ascii="Arial" w:cs="Arial" w:eastAsia="Arial" w:hAnsi="Arial"/>
                <w:sz w:val="15"/>
                <w:szCs w:val="15"/>
                <w:b w:val="1"/>
                <w:bCs w:val="1"/>
                <w:color w:val="auto"/>
              </w:rPr>
              <w:t>March 31,</w:t>
            </w:r>
          </w:p>
        </w:tc>
        <w:tc>
          <w:tcPr>
            <w:tcW w:w="64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63"/>
        </w:trPr>
        <w:tc>
          <w:tcPr>
            <w:tcW w:w="6780" w:type="dxa"/>
            <w:vAlign w:val="bottom"/>
            <w:gridSpan w:val="3"/>
          </w:tcPr>
          <w:p>
            <w:pPr>
              <w:ind w:left="20"/>
              <w:spacing w:after="0"/>
              <w:rPr>
                <w:sz w:val="20"/>
                <w:szCs w:val="20"/>
                <w:color w:val="auto"/>
              </w:rPr>
            </w:pPr>
            <w:r>
              <w:rPr>
                <w:rFonts w:ascii="Arial" w:cs="Arial" w:eastAsia="Arial" w:hAnsi="Arial"/>
                <w:sz w:val="14"/>
                <w:szCs w:val="14"/>
                <w:b w:val="1"/>
                <w:bCs w:val="1"/>
                <w:i w:val="1"/>
                <w:iCs w:val="1"/>
                <w:color w:val="auto"/>
              </w:rPr>
              <w:t>(dollars in millions)</w:t>
            </w:r>
          </w:p>
        </w:tc>
        <w:tc>
          <w:tcPr>
            <w:tcW w:w="200" w:type="dxa"/>
            <w:vAlign w:val="bottom"/>
          </w:tcPr>
          <w:p>
            <w:pPr>
              <w:spacing w:after="0"/>
              <w:rPr>
                <w:sz w:val="14"/>
                <w:szCs w:val="14"/>
                <w:color w:val="auto"/>
              </w:rPr>
            </w:pPr>
          </w:p>
        </w:tc>
        <w:tc>
          <w:tcPr>
            <w:tcW w:w="740" w:type="dxa"/>
            <w:vAlign w:val="bottom"/>
          </w:tcPr>
          <w:p>
            <w:pPr>
              <w:jc w:val="right"/>
              <w:ind w:right="243"/>
              <w:spacing w:after="0" w:line="163" w:lineRule="exact"/>
              <w:rPr>
                <w:sz w:val="20"/>
                <w:szCs w:val="20"/>
                <w:color w:val="auto"/>
              </w:rPr>
            </w:pPr>
            <w:r>
              <w:rPr>
                <w:rFonts w:ascii="Arial" w:cs="Arial" w:eastAsia="Arial" w:hAnsi="Arial"/>
                <w:sz w:val="15"/>
                <w:szCs w:val="15"/>
                <w:b w:val="1"/>
                <w:bCs w:val="1"/>
                <w:color w:val="auto"/>
              </w:rPr>
              <w:t>2021</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jc w:val="right"/>
              <w:ind w:right="243"/>
              <w:spacing w:after="0" w:line="163" w:lineRule="exact"/>
              <w:rPr>
                <w:sz w:val="20"/>
                <w:szCs w:val="20"/>
                <w:color w:val="auto"/>
              </w:rPr>
            </w:pPr>
            <w:r>
              <w:rPr>
                <w:rFonts w:ascii="Arial" w:cs="Arial" w:eastAsia="Arial" w:hAnsi="Arial"/>
                <w:sz w:val="15"/>
                <w:szCs w:val="15"/>
                <w:b w:val="1"/>
                <w:bCs w:val="1"/>
                <w:color w:val="auto"/>
                <w:w w:val="89"/>
              </w:rPr>
              <w:t>2020</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jc w:val="center"/>
              <w:ind w:right="23"/>
              <w:spacing w:after="0" w:line="163" w:lineRule="exact"/>
              <w:rPr>
                <w:sz w:val="20"/>
                <w:szCs w:val="20"/>
                <w:color w:val="auto"/>
              </w:rPr>
            </w:pPr>
            <w:r>
              <w:rPr>
                <w:rFonts w:ascii="Arial" w:cs="Arial" w:eastAsia="Arial" w:hAnsi="Arial"/>
                <w:sz w:val="15"/>
                <w:szCs w:val="15"/>
                <w:b w:val="1"/>
                <w:bCs w:val="1"/>
                <w:color w:val="auto"/>
                <w:w w:val="89"/>
              </w:rPr>
              <w:t>2021 vs 2020</w:t>
            </w:r>
          </w:p>
        </w:tc>
        <w:tc>
          <w:tcPr>
            <w:tcW w:w="100" w:type="dxa"/>
            <w:vAlign w:val="bottom"/>
          </w:tcPr>
          <w:p>
            <w:pPr>
              <w:spacing w:after="0"/>
              <w:rPr>
                <w:sz w:val="14"/>
                <w:szCs w:val="14"/>
                <w:color w:val="auto"/>
              </w:rPr>
            </w:pPr>
          </w:p>
        </w:tc>
        <w:tc>
          <w:tcPr>
            <w:tcW w:w="1220" w:type="dxa"/>
            <w:vAlign w:val="bottom"/>
          </w:tcPr>
          <w:p>
            <w:pPr>
              <w:jc w:val="right"/>
              <w:ind w:right="123"/>
              <w:spacing w:after="0" w:line="163" w:lineRule="exact"/>
              <w:rPr>
                <w:sz w:val="20"/>
                <w:szCs w:val="20"/>
                <w:color w:val="auto"/>
              </w:rPr>
            </w:pPr>
            <w:r>
              <w:rPr>
                <w:rFonts w:ascii="Arial" w:cs="Arial" w:eastAsia="Arial" w:hAnsi="Arial"/>
                <w:sz w:val="15"/>
                <w:szCs w:val="15"/>
                <w:b w:val="1"/>
                <w:bCs w:val="1"/>
                <w:color w:val="auto"/>
              </w:rPr>
              <w:t>2021 vs 2020</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120" w:type="dxa"/>
            <w:vAlign w:val="bottom"/>
            <w:tcBorders>
              <w:top w:val="single" w:sz="8" w:color="auto"/>
              <w:bottom w:val="single" w:sz="8" w:color="CCEEFF"/>
            </w:tcBorders>
          </w:tcPr>
          <w:p>
            <w:pPr>
              <w:spacing w:after="0" w:line="20" w:lineRule="exact"/>
              <w:rPr>
                <w:sz w:val="1"/>
                <w:szCs w:val="1"/>
                <w:color w:val="auto"/>
              </w:rPr>
            </w:pPr>
          </w:p>
        </w:tc>
        <w:tc>
          <w:tcPr>
            <w:tcW w:w="56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5"/>
        </w:trPr>
        <w:tc>
          <w:tcPr>
            <w:tcW w:w="6780" w:type="dxa"/>
            <w:vAlign w:val="bottom"/>
            <w:gridSpan w:val="3"/>
            <w:shd w:val="clear" w:color="auto" w:fill="CCEEFF"/>
          </w:tcPr>
          <w:p>
            <w:pPr>
              <w:ind w:left="20"/>
              <w:spacing w:after="0"/>
              <w:rPr>
                <w:sz w:val="20"/>
                <w:szCs w:val="20"/>
                <w:color w:val="auto"/>
              </w:rPr>
            </w:pPr>
            <w:r>
              <w:rPr>
                <w:rFonts w:ascii="Arial" w:cs="Arial" w:eastAsia="Arial" w:hAnsi="Arial"/>
                <w:sz w:val="15"/>
                <w:szCs w:val="15"/>
                <w:b w:val="1"/>
                <w:bCs w:val="1"/>
                <w:color w:val="auto"/>
              </w:rPr>
              <w:t>Revenues</w:t>
            </w:r>
          </w:p>
        </w:tc>
        <w:tc>
          <w:tcPr>
            <w:tcW w:w="2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760" w:type="dxa"/>
            <w:vAlign w:val="bottom"/>
            <w:gridSpan w:val="2"/>
          </w:tcPr>
          <w:p>
            <w:pPr>
              <w:ind w:left="120"/>
              <w:spacing w:after="0"/>
              <w:rPr>
                <w:sz w:val="20"/>
                <w:szCs w:val="20"/>
                <w:color w:val="auto"/>
              </w:rPr>
            </w:pPr>
            <w:r>
              <w:rPr>
                <w:rFonts w:ascii="Arial" w:cs="Arial" w:eastAsia="Arial" w:hAnsi="Arial"/>
                <w:sz w:val="15"/>
                <w:szCs w:val="15"/>
                <w:color w:val="auto"/>
              </w:rPr>
              <w:t>Gaming</w:t>
            </w: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ind w:right="3"/>
              <w:spacing w:after="0"/>
              <w:rPr>
                <w:sz w:val="20"/>
                <w:szCs w:val="20"/>
                <w:color w:val="auto"/>
              </w:rPr>
            </w:pPr>
            <w:r>
              <w:rPr>
                <w:rFonts w:ascii="Arial" w:cs="Arial" w:eastAsia="Arial" w:hAnsi="Arial"/>
                <w:sz w:val="15"/>
                <w:szCs w:val="15"/>
                <w:color w:val="auto"/>
              </w:rPr>
              <w:t>1,082.0</w:t>
            </w:r>
          </w:p>
        </w:tc>
        <w:tc>
          <w:tcPr>
            <w:tcW w:w="100" w:type="dxa"/>
            <w:vAlign w:val="bottom"/>
          </w:tcPr>
          <w:p>
            <w:pPr>
              <w:spacing w:after="0"/>
              <w:rPr>
                <w:sz w:val="17"/>
                <w:szCs w:val="17"/>
                <w:color w:val="auto"/>
              </w:rPr>
            </w:pPr>
          </w:p>
        </w:tc>
        <w:tc>
          <w:tcPr>
            <w:tcW w:w="300" w:type="dxa"/>
            <w:vAlign w:val="bottom"/>
          </w:tcPr>
          <w:p>
            <w:pPr>
              <w:jc w:val="right"/>
              <w:ind w:right="123"/>
              <w:spacing w:after="0"/>
              <w:rPr>
                <w:sz w:val="20"/>
                <w:szCs w:val="20"/>
                <w:color w:val="auto"/>
              </w:rPr>
            </w:pPr>
            <w:r>
              <w:rPr>
                <w:rFonts w:ascii="Arial" w:cs="Arial" w:eastAsia="Arial" w:hAnsi="Arial"/>
                <w:sz w:val="15"/>
                <w:szCs w:val="15"/>
                <w:color w:val="auto"/>
                <w:w w:val="95"/>
              </w:rPr>
              <w:t>$</w:t>
            </w:r>
          </w:p>
        </w:tc>
        <w:tc>
          <w:tcPr>
            <w:tcW w:w="640" w:type="dxa"/>
            <w:vAlign w:val="bottom"/>
          </w:tcPr>
          <w:p>
            <w:pPr>
              <w:jc w:val="right"/>
              <w:spacing w:after="0"/>
              <w:rPr>
                <w:sz w:val="20"/>
                <w:szCs w:val="20"/>
                <w:color w:val="auto"/>
              </w:rPr>
            </w:pPr>
            <w:r>
              <w:rPr>
                <w:rFonts w:ascii="Arial" w:cs="Arial" w:eastAsia="Arial" w:hAnsi="Arial"/>
                <w:sz w:val="15"/>
                <w:szCs w:val="15"/>
                <w:color w:val="auto"/>
              </w:rPr>
              <w:t>902.9</w:t>
            </w:r>
          </w:p>
        </w:tc>
        <w:tc>
          <w:tcPr>
            <w:tcW w:w="8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960" w:type="dxa"/>
            <w:vAlign w:val="bottom"/>
          </w:tcPr>
          <w:p>
            <w:pPr>
              <w:ind w:left="560"/>
              <w:spacing w:after="0"/>
              <w:rPr>
                <w:sz w:val="20"/>
                <w:szCs w:val="20"/>
                <w:color w:val="auto"/>
              </w:rPr>
            </w:pPr>
            <w:r>
              <w:rPr>
                <w:rFonts w:ascii="Arial" w:cs="Arial" w:eastAsia="Arial" w:hAnsi="Arial"/>
                <w:sz w:val="15"/>
                <w:szCs w:val="15"/>
                <w:color w:val="auto"/>
              </w:rPr>
              <w:t>179.1</w:t>
            </w:r>
          </w:p>
        </w:tc>
        <w:tc>
          <w:tcPr>
            <w:tcW w:w="1320" w:type="dxa"/>
            <w:vAlign w:val="bottom"/>
            <w:gridSpan w:val="2"/>
          </w:tcPr>
          <w:p>
            <w:pPr>
              <w:jc w:val="right"/>
              <w:spacing w:after="0"/>
              <w:rPr>
                <w:sz w:val="20"/>
                <w:szCs w:val="20"/>
                <w:color w:val="auto"/>
              </w:rPr>
            </w:pPr>
            <w:r>
              <w:rPr>
                <w:rFonts w:ascii="Arial" w:cs="Arial" w:eastAsia="Arial" w:hAnsi="Arial"/>
                <w:sz w:val="15"/>
                <w:szCs w:val="15"/>
                <w:color w:val="auto"/>
              </w:rPr>
              <w:t>19.8 %</w:t>
            </w:r>
          </w:p>
        </w:tc>
        <w:tc>
          <w:tcPr>
            <w:tcW w:w="0" w:type="dxa"/>
            <w:vAlign w:val="bottom"/>
          </w:tcPr>
          <w:p>
            <w:pPr>
              <w:spacing w:after="0"/>
              <w:rPr>
                <w:sz w:val="1"/>
                <w:szCs w:val="1"/>
                <w:color w:val="auto"/>
              </w:rPr>
            </w:pPr>
          </w:p>
        </w:tc>
      </w:tr>
      <w:tr>
        <w:trPr>
          <w:trHeight w:val="206"/>
        </w:trPr>
        <w:tc>
          <w:tcPr>
            <w:tcW w:w="20" w:type="dxa"/>
            <w:vAlign w:val="bottom"/>
            <w:shd w:val="clear" w:color="auto" w:fill="CCEEFF"/>
          </w:tcPr>
          <w:p>
            <w:pPr>
              <w:spacing w:after="0"/>
              <w:rPr>
                <w:sz w:val="17"/>
                <w:szCs w:val="17"/>
                <w:color w:val="auto"/>
              </w:rPr>
            </w:pPr>
          </w:p>
        </w:tc>
        <w:tc>
          <w:tcPr>
            <w:tcW w:w="6760" w:type="dxa"/>
            <w:vAlign w:val="bottom"/>
            <w:gridSpan w:val="2"/>
            <w:shd w:val="clear" w:color="auto" w:fill="CCEEFF"/>
          </w:tcPr>
          <w:p>
            <w:pPr>
              <w:ind w:left="120"/>
              <w:spacing w:after="0"/>
              <w:rPr>
                <w:sz w:val="20"/>
                <w:szCs w:val="20"/>
                <w:color w:val="auto"/>
              </w:rPr>
            </w:pPr>
            <w:r>
              <w:rPr>
                <w:rFonts w:ascii="Arial" w:cs="Arial" w:eastAsia="Arial" w:hAnsi="Arial"/>
                <w:sz w:val="15"/>
                <w:szCs w:val="15"/>
                <w:color w:val="auto"/>
              </w:rPr>
              <w:t>Food, beverage, hotel and other</w:t>
            </w:r>
          </w:p>
        </w:tc>
        <w:tc>
          <w:tcPr>
            <w:tcW w:w="20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rPr>
              <w:t>192.9</w:t>
            </w:r>
          </w:p>
        </w:tc>
        <w:tc>
          <w:tcPr>
            <w:tcW w:w="10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213.2</w:t>
            </w:r>
          </w:p>
        </w:tc>
        <w:tc>
          <w:tcPr>
            <w:tcW w:w="8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ind w:left="580"/>
              <w:spacing w:after="0"/>
              <w:rPr>
                <w:sz w:val="20"/>
                <w:szCs w:val="20"/>
                <w:color w:val="auto"/>
              </w:rPr>
            </w:pPr>
            <w:r>
              <w:rPr>
                <w:rFonts w:ascii="Arial" w:cs="Arial" w:eastAsia="Arial" w:hAnsi="Arial"/>
                <w:sz w:val="15"/>
                <w:szCs w:val="15"/>
                <w:color w:val="auto"/>
                <w:w w:val="91"/>
              </w:rPr>
              <w:t>(20.3)</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(9.5)%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760" w:type="dxa"/>
            <w:vAlign w:val="bottom"/>
            <w:gridSpan w:val="2"/>
          </w:tcPr>
          <w:p>
            <w:pPr>
              <w:ind w:left="300"/>
              <w:spacing w:after="0"/>
              <w:rPr>
                <w:sz w:val="20"/>
                <w:szCs w:val="20"/>
                <w:color w:val="auto"/>
              </w:rPr>
            </w:pPr>
            <w:r>
              <w:rPr>
                <w:rFonts w:ascii="Arial" w:cs="Arial" w:eastAsia="Arial" w:hAnsi="Arial"/>
                <w:sz w:val="15"/>
                <w:szCs w:val="15"/>
                <w:color w:val="auto"/>
              </w:rPr>
              <w:t>Total revenues</w:t>
            </w:r>
          </w:p>
        </w:tc>
        <w:tc>
          <w:tcPr>
            <w:tcW w:w="20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1,274.9</w:t>
            </w:r>
          </w:p>
        </w:tc>
        <w:tc>
          <w:tcPr>
            <w:tcW w:w="100" w:type="dxa"/>
            <w:vAlign w:val="bottom"/>
          </w:tcPr>
          <w:p>
            <w:pPr>
              <w:spacing w:after="0"/>
              <w:rPr>
                <w:sz w:val="17"/>
                <w:szCs w:val="17"/>
                <w:color w:val="auto"/>
              </w:rPr>
            </w:pPr>
          </w:p>
        </w:tc>
        <w:tc>
          <w:tcPr>
            <w:tcW w:w="300" w:type="dxa"/>
            <w:vAlign w:val="bottom"/>
            <w:tcBorders>
              <w:bottom w:val="single" w:sz="8" w:color="auto"/>
            </w:tcBorders>
          </w:tcPr>
          <w:p>
            <w:pPr>
              <w:jc w:val="right"/>
              <w:ind w:right="123"/>
              <w:spacing w:after="0"/>
              <w:rPr>
                <w:sz w:val="20"/>
                <w:szCs w:val="20"/>
                <w:color w:val="auto"/>
              </w:rPr>
            </w:pPr>
            <w:r>
              <w:rPr>
                <w:rFonts w:ascii="Arial" w:cs="Arial" w:eastAsia="Arial" w:hAnsi="Arial"/>
                <w:sz w:val="15"/>
                <w:szCs w:val="15"/>
                <w:color w:val="auto"/>
                <w:w w:val="95"/>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1,116.1</w:t>
            </w:r>
          </w:p>
        </w:tc>
        <w:tc>
          <w:tcPr>
            <w:tcW w:w="8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960" w:type="dxa"/>
            <w:vAlign w:val="bottom"/>
            <w:tcBorders>
              <w:bottom w:val="single" w:sz="8" w:color="auto"/>
            </w:tcBorders>
          </w:tcPr>
          <w:p>
            <w:pPr>
              <w:ind w:left="560"/>
              <w:spacing w:after="0"/>
              <w:rPr>
                <w:sz w:val="20"/>
                <w:szCs w:val="20"/>
                <w:color w:val="auto"/>
              </w:rPr>
            </w:pPr>
            <w:r>
              <w:rPr>
                <w:rFonts w:ascii="Arial" w:cs="Arial" w:eastAsia="Arial" w:hAnsi="Arial"/>
                <w:sz w:val="15"/>
                <w:szCs w:val="15"/>
                <w:color w:val="auto"/>
              </w:rPr>
              <w:t>158.8</w:t>
            </w:r>
          </w:p>
        </w:tc>
        <w:tc>
          <w:tcPr>
            <w:tcW w:w="1320" w:type="dxa"/>
            <w:vAlign w:val="bottom"/>
            <w:gridSpan w:val="2"/>
          </w:tcPr>
          <w:p>
            <w:pPr>
              <w:jc w:val="right"/>
              <w:spacing w:after="0"/>
              <w:rPr>
                <w:sz w:val="20"/>
                <w:szCs w:val="20"/>
                <w:color w:val="auto"/>
              </w:rPr>
            </w:pPr>
            <w:r>
              <w:rPr>
                <w:rFonts w:ascii="Arial" w:cs="Arial" w:eastAsia="Arial" w:hAnsi="Arial"/>
                <w:sz w:val="15"/>
                <w:szCs w:val="15"/>
                <w:color w:val="auto"/>
              </w:rPr>
              <w:t>14.2 %</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56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5" w:lineRule="exact"/>
        <w:rPr>
          <w:sz w:val="20"/>
          <w:szCs w:val="20"/>
          <w:color w:val="auto"/>
        </w:rPr>
      </w:pPr>
    </w:p>
    <w:p>
      <w:pPr>
        <w:ind w:right="280" w:firstLine="309"/>
        <w:spacing w:after="0" w:line="250" w:lineRule="auto"/>
        <w:rPr>
          <w:sz w:val="20"/>
          <w:szCs w:val="20"/>
          <w:color w:val="auto"/>
        </w:rPr>
      </w:pPr>
      <w:r>
        <w:rPr>
          <w:rFonts w:ascii="Arial" w:cs="Arial" w:eastAsia="Arial" w:hAnsi="Arial"/>
          <w:sz w:val="17"/>
          <w:szCs w:val="17"/>
          <w:b w:val="1"/>
          <w:bCs w:val="1"/>
          <w:i w:val="1"/>
          <w:iCs w:val="1"/>
          <w:color w:val="auto"/>
        </w:rPr>
        <w:t xml:space="preserve">Gaming revenues </w:t>
      </w:r>
      <w:r>
        <w:rPr>
          <w:rFonts w:ascii="Arial" w:cs="Arial" w:eastAsia="Arial" w:hAnsi="Arial"/>
          <w:sz w:val="17"/>
          <w:szCs w:val="17"/>
          <w:color w:val="auto"/>
        </w:rPr>
        <w:t>for the three months ended March 31, 2021 increased $179.1 million compared to the prior year quarter primarily as a result of higher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spend-per-visit and increased visitation levels during the three month period ended March 31, 2021 while the prior year quarter was negatively impacted by the COVID-19 pandemic, which caused temporary closures of all of our properties during the first quarter of 2020.</w:t>
      </w:r>
    </w:p>
    <w:p>
      <w:pPr>
        <w:spacing w:after="0" w:line="150" w:lineRule="exact"/>
        <w:rPr>
          <w:sz w:val="20"/>
          <w:szCs w:val="20"/>
          <w:color w:val="auto"/>
        </w:rPr>
      </w:pPr>
    </w:p>
    <w:p>
      <w:pPr>
        <w:ind w:right="60" w:firstLine="309"/>
        <w:spacing w:after="0" w:line="250" w:lineRule="auto"/>
        <w:rPr>
          <w:sz w:val="20"/>
          <w:szCs w:val="20"/>
          <w:color w:val="auto"/>
        </w:rPr>
      </w:pPr>
      <w:r>
        <w:rPr>
          <w:rFonts w:ascii="Arial" w:cs="Arial" w:eastAsia="Arial" w:hAnsi="Arial"/>
          <w:sz w:val="17"/>
          <w:szCs w:val="17"/>
          <w:b w:val="1"/>
          <w:bCs w:val="1"/>
          <w:i w:val="1"/>
          <w:iCs w:val="1"/>
          <w:color w:val="auto"/>
        </w:rPr>
        <w:t xml:space="preserve">Food, beverage, hotel and other revenues </w:t>
      </w:r>
      <w:r>
        <w:rPr>
          <w:rFonts w:ascii="Arial" w:cs="Arial" w:eastAsia="Arial" w:hAnsi="Arial"/>
          <w:sz w:val="17"/>
          <w:szCs w:val="17"/>
          <w:color w:val="auto"/>
        </w:rPr>
        <w:t>for the three months ended March 31, 2021 decreased $20.3 million compared to the prior year quarter due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primarily to the implementation of social distancing and health and safety protocols due to the COVID-19 pandemic at our properties which are subject to reduced hotel capacity, limitations on the number of food and beverage offerings and limitations on other amenities.</w:t>
      </w:r>
    </w:p>
    <w:p>
      <w:pPr>
        <w:spacing w:after="0" w:line="137" w:lineRule="exact"/>
        <w:rPr>
          <w:sz w:val="20"/>
          <w:szCs w:val="20"/>
          <w:color w:val="auto"/>
        </w:rPr>
      </w:pPr>
    </w:p>
    <w:p>
      <w:pPr>
        <w:ind w:right="20" w:firstLine="309"/>
        <w:spacing w:after="0" w:line="241" w:lineRule="auto"/>
        <w:rPr>
          <w:rFonts w:ascii="Arial" w:cs="Arial" w:eastAsia="Arial" w:hAnsi="Arial"/>
          <w:sz w:val="17"/>
          <w:szCs w:val="17"/>
          <w:color w:val="auto"/>
        </w:rPr>
      </w:pPr>
      <w:r>
        <w:rPr>
          <w:rFonts w:ascii="Arial" w:cs="Arial" w:eastAsia="Arial" w:hAnsi="Arial"/>
          <w:sz w:val="17"/>
          <w:szCs w:val="17"/>
          <w:color w:val="auto"/>
        </w:rPr>
        <w:t xml:space="preserve">For the three month period ended March 31, 2021, our properties have generally seen spend-per-visit that is much higher than it was pre-COVID-19 pandemic and visitation levels are now approaching 2019 levels in most of our markets. Importantly, the younger demographic continues to choose gaming as a viable entertainment option while the 55+ age group has been returning to our casinos as vaccines continue to roll out. Unrated play continues to show strength that mirrors what we have seen from our rated guests. We largely attribute the higher spend-per-visit to pent-up demand, visitation from our higher worth customers, and customers’ propensity to spend after a prolonged period of limited domestic commerce and upon receipt of government stimulus payments. In addition, in many of the states in which we operate, leisure alternatives remain partially limited (e.g., bars, concerts, entertainment events, etc.), which may have impacted our operating results upon reopening our properties. See </w:t>
      </w:r>
      <w:hyperlink w:anchor="page37">
        <w:r>
          <w:rPr>
            <w:rFonts w:ascii="Arial" w:cs="Arial" w:eastAsia="Arial" w:hAnsi="Arial"/>
            <w:sz w:val="17"/>
            <w:szCs w:val="17"/>
            <w:u w:val="single" w:color="auto"/>
            <w:color w:val="0000FF"/>
          </w:rPr>
          <w:t>“Segment comparison of the three months ended March 31, 2021 and 2020”</w:t>
        </w:r>
        <w:r>
          <w:rPr>
            <w:rFonts w:ascii="Arial" w:cs="Arial" w:eastAsia="Arial" w:hAnsi="Arial"/>
            <w:sz w:val="17"/>
            <w:szCs w:val="17"/>
            <w:u w:val="single" w:color="auto"/>
            <w:color w:val="auto"/>
          </w:rPr>
          <w:t xml:space="preserve"> </w:t>
        </w:r>
      </w:hyperlink>
      <w:r>
        <w:rPr>
          <w:rFonts w:ascii="Arial" w:cs="Arial" w:eastAsia="Arial" w:hAnsi="Arial"/>
          <w:sz w:val="17"/>
          <w:szCs w:val="17"/>
          <w:color w:val="auto"/>
        </w:rPr>
        <w:t>below for more detailed explanations of the fluctuations in revenues.</w:t>
      </w:r>
    </w:p>
    <w:p>
      <w:pPr>
        <w:spacing w:after="0" w:line="14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Operating expenses</w:t>
      </w:r>
    </w:p>
    <w:p>
      <w:pPr>
        <w:spacing w:after="0" w:line="191"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The following table presents our consolidated operating expenses:</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5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120" w:type="dxa"/>
            <w:vAlign w:val="bottom"/>
            <w:gridSpan w:val="5"/>
          </w:tcPr>
          <w:p>
            <w:pPr>
              <w:ind w:left="40"/>
              <w:spacing w:after="0"/>
              <w:rPr>
                <w:sz w:val="20"/>
                <w:szCs w:val="20"/>
                <w:color w:val="auto"/>
              </w:rPr>
            </w:pPr>
            <w:r>
              <w:rPr>
                <w:rFonts w:ascii="Arial" w:cs="Arial" w:eastAsia="Arial" w:hAnsi="Arial"/>
                <w:sz w:val="15"/>
                <w:szCs w:val="15"/>
                <w:b w:val="1"/>
                <w:bCs w:val="1"/>
                <w:color w:val="auto"/>
              </w:rPr>
              <w:t>For the three months ended</w:t>
            </w:r>
          </w:p>
        </w:tc>
        <w:tc>
          <w:tcPr>
            <w:tcW w:w="120" w:type="dxa"/>
            <w:vAlign w:val="bottom"/>
          </w:tcPr>
          <w:p>
            <w:pPr>
              <w:spacing w:after="0"/>
              <w:rPr>
                <w:sz w:val="15"/>
                <w:szCs w:val="15"/>
                <w:color w:val="auto"/>
              </w:rPr>
            </w:pPr>
          </w:p>
        </w:tc>
        <w:tc>
          <w:tcPr>
            <w:tcW w:w="960" w:type="dxa"/>
            <w:vAlign w:val="bottom"/>
            <w:vMerge w:val="restart"/>
          </w:tcPr>
          <w:p>
            <w:pPr>
              <w:jc w:val="right"/>
              <w:ind w:right="143"/>
              <w:spacing w:after="0"/>
              <w:rPr>
                <w:sz w:val="20"/>
                <w:szCs w:val="20"/>
                <w:color w:val="auto"/>
              </w:rPr>
            </w:pPr>
            <w:r>
              <w:rPr>
                <w:rFonts w:ascii="Arial" w:cs="Arial" w:eastAsia="Arial" w:hAnsi="Arial"/>
                <w:sz w:val="15"/>
                <w:szCs w:val="15"/>
                <w:b w:val="1"/>
                <w:bCs w:val="1"/>
                <w:color w:val="auto"/>
              </w:rPr>
              <w:t>$ Change</w:t>
            </w:r>
          </w:p>
        </w:tc>
        <w:tc>
          <w:tcPr>
            <w:tcW w:w="100" w:type="dxa"/>
            <w:vAlign w:val="bottom"/>
          </w:tcPr>
          <w:p>
            <w:pPr>
              <w:spacing w:after="0"/>
              <w:rPr>
                <w:sz w:val="15"/>
                <w:szCs w:val="15"/>
                <w:color w:val="auto"/>
              </w:rPr>
            </w:pPr>
          </w:p>
        </w:tc>
        <w:tc>
          <w:tcPr>
            <w:tcW w:w="1220" w:type="dxa"/>
            <w:vAlign w:val="bottom"/>
            <w:vMerge w:val="restart"/>
          </w:tcPr>
          <w:p>
            <w:pPr>
              <w:jc w:val="right"/>
              <w:ind w:right="183"/>
              <w:spacing w:after="0"/>
              <w:rPr>
                <w:sz w:val="20"/>
                <w:szCs w:val="20"/>
                <w:color w:val="auto"/>
              </w:rPr>
            </w:pPr>
            <w:r>
              <w:rPr>
                <w:rFonts w:ascii="Arial" w:cs="Arial" w:eastAsia="Arial" w:hAnsi="Arial"/>
                <w:sz w:val="15"/>
                <w:szCs w:val="15"/>
                <w:b w:val="1"/>
                <w:bCs w:val="1"/>
                <w:color w:val="auto"/>
              </w:rPr>
              <w:t>% Change</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546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gridSpan w:val="3"/>
          </w:tcPr>
          <w:p>
            <w:pPr>
              <w:jc w:val="right"/>
              <w:spacing w:after="0"/>
              <w:rPr>
                <w:sz w:val="20"/>
                <w:szCs w:val="20"/>
                <w:color w:val="auto"/>
              </w:rPr>
            </w:pPr>
            <w:r>
              <w:rPr>
                <w:rFonts w:ascii="Arial" w:cs="Arial" w:eastAsia="Arial" w:hAnsi="Arial"/>
                <w:sz w:val="15"/>
                <w:szCs w:val="15"/>
                <w:b w:val="1"/>
                <w:bCs w:val="1"/>
                <w:color w:val="auto"/>
              </w:rPr>
              <w:t>March 31,</w:t>
            </w:r>
          </w:p>
        </w:tc>
        <w:tc>
          <w:tcPr>
            <w:tcW w:w="6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63"/>
        </w:trPr>
        <w:tc>
          <w:tcPr>
            <w:tcW w:w="6600" w:type="dxa"/>
            <w:vAlign w:val="bottom"/>
            <w:gridSpan w:val="3"/>
          </w:tcPr>
          <w:p>
            <w:pPr>
              <w:ind w:left="20"/>
              <w:spacing w:after="0"/>
              <w:rPr>
                <w:sz w:val="20"/>
                <w:szCs w:val="20"/>
                <w:color w:val="auto"/>
              </w:rPr>
            </w:pPr>
            <w:r>
              <w:rPr>
                <w:rFonts w:ascii="Arial" w:cs="Arial" w:eastAsia="Arial" w:hAnsi="Arial"/>
                <w:sz w:val="14"/>
                <w:szCs w:val="14"/>
                <w:b w:val="1"/>
                <w:bCs w:val="1"/>
                <w:i w:val="1"/>
                <w:iCs w:val="1"/>
                <w:color w:val="auto"/>
              </w:rPr>
              <w:t>(dollars in millions)</w:t>
            </w:r>
          </w:p>
        </w:tc>
        <w:tc>
          <w:tcPr>
            <w:tcW w:w="120" w:type="dxa"/>
            <w:vAlign w:val="bottom"/>
          </w:tcPr>
          <w:p>
            <w:pPr>
              <w:spacing w:after="0"/>
              <w:rPr>
                <w:sz w:val="14"/>
                <w:szCs w:val="14"/>
                <w:color w:val="auto"/>
              </w:rPr>
            </w:pPr>
          </w:p>
        </w:tc>
        <w:tc>
          <w:tcPr>
            <w:tcW w:w="980" w:type="dxa"/>
            <w:vAlign w:val="bottom"/>
          </w:tcPr>
          <w:p>
            <w:pPr>
              <w:jc w:val="right"/>
              <w:ind w:right="323"/>
              <w:spacing w:after="0" w:line="163" w:lineRule="exact"/>
              <w:rPr>
                <w:sz w:val="20"/>
                <w:szCs w:val="20"/>
                <w:color w:val="auto"/>
              </w:rPr>
            </w:pPr>
            <w:r>
              <w:rPr>
                <w:rFonts w:ascii="Arial" w:cs="Arial" w:eastAsia="Arial" w:hAnsi="Arial"/>
                <w:sz w:val="15"/>
                <w:szCs w:val="15"/>
                <w:b w:val="1"/>
                <w:bCs w:val="1"/>
                <w:color w:val="auto"/>
              </w:rPr>
              <w:t>2021</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jc w:val="right"/>
              <w:ind w:right="243"/>
              <w:spacing w:after="0" w:line="163" w:lineRule="exact"/>
              <w:rPr>
                <w:sz w:val="20"/>
                <w:szCs w:val="20"/>
                <w:color w:val="auto"/>
              </w:rPr>
            </w:pPr>
            <w:r>
              <w:rPr>
                <w:rFonts w:ascii="Arial" w:cs="Arial" w:eastAsia="Arial" w:hAnsi="Arial"/>
                <w:sz w:val="15"/>
                <w:szCs w:val="15"/>
                <w:b w:val="1"/>
                <w:bCs w:val="1"/>
                <w:color w:val="auto"/>
              </w:rPr>
              <w:t>2020</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jc w:val="right"/>
              <w:ind w:right="43"/>
              <w:spacing w:after="0" w:line="163" w:lineRule="exact"/>
              <w:rPr>
                <w:sz w:val="20"/>
                <w:szCs w:val="20"/>
                <w:color w:val="auto"/>
              </w:rPr>
            </w:pPr>
            <w:r>
              <w:rPr>
                <w:rFonts w:ascii="Arial" w:cs="Arial" w:eastAsia="Arial" w:hAnsi="Arial"/>
                <w:sz w:val="15"/>
                <w:szCs w:val="15"/>
                <w:b w:val="1"/>
                <w:bCs w:val="1"/>
                <w:color w:val="auto"/>
                <w:w w:val="89"/>
              </w:rPr>
              <w:t>2021 vs 2020</w:t>
            </w:r>
          </w:p>
        </w:tc>
        <w:tc>
          <w:tcPr>
            <w:tcW w:w="100" w:type="dxa"/>
            <w:vAlign w:val="bottom"/>
          </w:tcPr>
          <w:p>
            <w:pPr>
              <w:spacing w:after="0"/>
              <w:rPr>
                <w:sz w:val="14"/>
                <w:szCs w:val="14"/>
                <w:color w:val="auto"/>
              </w:rPr>
            </w:pPr>
          </w:p>
        </w:tc>
        <w:tc>
          <w:tcPr>
            <w:tcW w:w="1220" w:type="dxa"/>
            <w:vAlign w:val="bottom"/>
          </w:tcPr>
          <w:p>
            <w:pPr>
              <w:jc w:val="right"/>
              <w:ind w:right="123"/>
              <w:spacing w:after="0" w:line="163" w:lineRule="exact"/>
              <w:rPr>
                <w:sz w:val="20"/>
                <w:szCs w:val="20"/>
                <w:color w:val="auto"/>
              </w:rPr>
            </w:pPr>
            <w:r>
              <w:rPr>
                <w:rFonts w:ascii="Arial" w:cs="Arial" w:eastAsia="Arial" w:hAnsi="Arial"/>
                <w:sz w:val="15"/>
                <w:szCs w:val="15"/>
                <w:b w:val="1"/>
                <w:bCs w:val="1"/>
                <w:color w:val="auto"/>
              </w:rPr>
              <w:t>2021 vs 2020</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120" w:type="dxa"/>
            <w:vAlign w:val="bottom"/>
            <w:tcBorders>
              <w:top w:val="single" w:sz="8" w:color="auto"/>
              <w:bottom w:val="single" w:sz="8" w:color="CCEEFF"/>
            </w:tcBorders>
          </w:tcPr>
          <w:p>
            <w:pPr>
              <w:spacing w:after="0" w:line="20" w:lineRule="exact"/>
              <w:rPr>
                <w:sz w:val="1"/>
                <w:szCs w:val="1"/>
                <w:color w:val="auto"/>
              </w:rPr>
            </w:pPr>
          </w:p>
        </w:tc>
        <w:tc>
          <w:tcPr>
            <w:tcW w:w="54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5"/>
        </w:trPr>
        <w:tc>
          <w:tcPr>
            <w:tcW w:w="6600" w:type="dxa"/>
            <w:vAlign w:val="bottom"/>
            <w:gridSpan w:val="3"/>
            <w:shd w:val="clear" w:color="auto" w:fill="CCEEFF"/>
          </w:tcPr>
          <w:p>
            <w:pPr>
              <w:ind w:left="20"/>
              <w:spacing w:after="0"/>
              <w:rPr>
                <w:sz w:val="20"/>
                <w:szCs w:val="20"/>
                <w:color w:val="auto"/>
              </w:rPr>
            </w:pPr>
            <w:r>
              <w:rPr>
                <w:rFonts w:ascii="Arial" w:cs="Arial" w:eastAsia="Arial" w:hAnsi="Arial"/>
                <w:sz w:val="15"/>
                <w:szCs w:val="15"/>
                <w:b w:val="1"/>
                <w:bCs w:val="1"/>
                <w:color w:val="auto"/>
              </w:rPr>
              <w:t>Operating expenses</w:t>
            </w:r>
          </w:p>
        </w:tc>
        <w:tc>
          <w:tcPr>
            <w:tcW w:w="12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580" w:type="dxa"/>
            <w:vAlign w:val="bottom"/>
            <w:gridSpan w:val="2"/>
          </w:tcPr>
          <w:p>
            <w:pPr>
              <w:ind w:left="120"/>
              <w:spacing w:after="0"/>
              <w:rPr>
                <w:sz w:val="20"/>
                <w:szCs w:val="20"/>
                <w:color w:val="auto"/>
              </w:rPr>
            </w:pPr>
            <w:r>
              <w:rPr>
                <w:rFonts w:ascii="Arial" w:cs="Arial" w:eastAsia="Arial" w:hAnsi="Arial"/>
                <w:sz w:val="15"/>
                <w:szCs w:val="15"/>
                <w:color w:val="auto"/>
              </w:rPr>
              <w:t>Gaming</w:t>
            </w: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980" w:type="dxa"/>
            <w:vAlign w:val="bottom"/>
          </w:tcPr>
          <w:p>
            <w:pPr>
              <w:jc w:val="right"/>
              <w:spacing w:after="0"/>
              <w:rPr>
                <w:sz w:val="20"/>
                <w:szCs w:val="20"/>
                <w:color w:val="auto"/>
              </w:rPr>
            </w:pPr>
            <w:r>
              <w:rPr>
                <w:rFonts w:ascii="Arial" w:cs="Arial" w:eastAsia="Arial" w:hAnsi="Arial"/>
                <w:sz w:val="15"/>
                <w:szCs w:val="15"/>
                <w:color w:val="auto"/>
              </w:rPr>
              <w:t>527.8</w:t>
            </w:r>
          </w:p>
        </w:tc>
        <w:tc>
          <w:tcPr>
            <w:tcW w:w="100" w:type="dxa"/>
            <w:vAlign w:val="bottom"/>
          </w:tcPr>
          <w:p>
            <w:pPr>
              <w:spacing w:after="0"/>
              <w:rPr>
                <w:sz w:val="17"/>
                <w:szCs w:val="17"/>
                <w:color w:val="auto"/>
              </w:rPr>
            </w:pPr>
          </w:p>
        </w:tc>
        <w:tc>
          <w:tcPr>
            <w:tcW w:w="260" w:type="dxa"/>
            <w:vAlign w:val="bottom"/>
          </w:tcPr>
          <w:p>
            <w:pPr>
              <w:jc w:val="right"/>
              <w:ind w:right="83"/>
              <w:spacing w:after="0"/>
              <w:rPr>
                <w:sz w:val="20"/>
                <w:szCs w:val="20"/>
                <w:color w:val="auto"/>
              </w:rPr>
            </w:pPr>
            <w:r>
              <w:rPr>
                <w:rFonts w:ascii="Arial" w:cs="Arial" w:eastAsia="Arial" w:hAnsi="Arial"/>
                <w:sz w:val="15"/>
                <w:szCs w:val="15"/>
                <w:color w:val="auto"/>
                <w:w w:val="95"/>
              </w:rPr>
              <w:t>$</w:t>
            </w:r>
          </w:p>
        </w:tc>
        <w:tc>
          <w:tcPr>
            <w:tcW w:w="680" w:type="dxa"/>
            <w:vAlign w:val="bottom"/>
          </w:tcPr>
          <w:p>
            <w:pPr>
              <w:jc w:val="right"/>
              <w:spacing w:after="0"/>
              <w:rPr>
                <w:sz w:val="20"/>
                <w:szCs w:val="20"/>
                <w:color w:val="auto"/>
              </w:rPr>
            </w:pPr>
            <w:r>
              <w:rPr>
                <w:rFonts w:ascii="Arial" w:cs="Arial" w:eastAsia="Arial" w:hAnsi="Arial"/>
                <w:sz w:val="15"/>
                <w:szCs w:val="15"/>
                <w:color w:val="auto"/>
              </w:rPr>
              <w:t>500.9</w:t>
            </w:r>
          </w:p>
        </w:tc>
        <w:tc>
          <w:tcPr>
            <w:tcW w:w="1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960" w:type="dxa"/>
            <w:vAlign w:val="bottom"/>
          </w:tcPr>
          <w:p>
            <w:pPr>
              <w:jc w:val="right"/>
              <w:spacing w:after="0"/>
              <w:rPr>
                <w:sz w:val="20"/>
                <w:szCs w:val="20"/>
                <w:color w:val="auto"/>
              </w:rPr>
            </w:pPr>
            <w:r>
              <w:rPr>
                <w:rFonts w:ascii="Arial" w:cs="Arial" w:eastAsia="Arial" w:hAnsi="Arial"/>
                <w:sz w:val="15"/>
                <w:szCs w:val="15"/>
                <w:color w:val="auto"/>
              </w:rPr>
              <w:t>26.9</w:t>
            </w:r>
          </w:p>
        </w:tc>
        <w:tc>
          <w:tcPr>
            <w:tcW w:w="1320" w:type="dxa"/>
            <w:vAlign w:val="bottom"/>
            <w:gridSpan w:val="2"/>
          </w:tcPr>
          <w:p>
            <w:pPr>
              <w:jc w:val="right"/>
              <w:spacing w:after="0"/>
              <w:rPr>
                <w:sz w:val="20"/>
                <w:szCs w:val="20"/>
                <w:color w:val="auto"/>
              </w:rPr>
            </w:pPr>
            <w:r>
              <w:rPr>
                <w:rFonts w:ascii="Arial" w:cs="Arial" w:eastAsia="Arial" w:hAnsi="Arial"/>
                <w:sz w:val="15"/>
                <w:szCs w:val="15"/>
                <w:color w:val="auto"/>
              </w:rPr>
              <w:t>5.4 %</w:t>
            </w:r>
          </w:p>
        </w:tc>
        <w:tc>
          <w:tcPr>
            <w:tcW w:w="0" w:type="dxa"/>
            <w:vAlign w:val="bottom"/>
          </w:tcPr>
          <w:p>
            <w:pPr>
              <w:spacing w:after="0"/>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6580" w:type="dxa"/>
            <w:vAlign w:val="bottom"/>
            <w:gridSpan w:val="2"/>
            <w:shd w:val="clear" w:color="auto" w:fill="CCEEFF"/>
          </w:tcPr>
          <w:p>
            <w:pPr>
              <w:ind w:left="120"/>
              <w:spacing w:after="0"/>
              <w:rPr>
                <w:sz w:val="20"/>
                <w:szCs w:val="20"/>
                <w:color w:val="auto"/>
              </w:rPr>
            </w:pPr>
            <w:r>
              <w:rPr>
                <w:rFonts w:ascii="Arial" w:cs="Arial" w:eastAsia="Arial" w:hAnsi="Arial"/>
                <w:sz w:val="15"/>
                <w:szCs w:val="15"/>
                <w:color w:val="auto"/>
              </w:rPr>
              <w:t>Food, beverage, hotel and other</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123.1</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157.0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(33.9)</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(21.6)%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580" w:type="dxa"/>
            <w:vAlign w:val="bottom"/>
            <w:gridSpan w:val="2"/>
          </w:tcPr>
          <w:p>
            <w:pPr>
              <w:ind w:left="120"/>
              <w:spacing w:after="0"/>
              <w:rPr>
                <w:sz w:val="20"/>
                <w:szCs w:val="20"/>
                <w:color w:val="auto"/>
              </w:rPr>
            </w:pPr>
            <w:r>
              <w:rPr>
                <w:rFonts w:ascii="Arial" w:cs="Arial" w:eastAsia="Arial" w:hAnsi="Arial"/>
                <w:sz w:val="15"/>
                <w:szCs w:val="15"/>
                <w:color w:val="auto"/>
              </w:rPr>
              <w:t>General and administrative</w:t>
            </w:r>
          </w:p>
        </w:tc>
        <w:tc>
          <w:tcPr>
            <w:tcW w:w="12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326.2</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rPr>
              <w:t>307.0</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19.2</w:t>
            </w:r>
          </w:p>
        </w:tc>
        <w:tc>
          <w:tcPr>
            <w:tcW w:w="1320" w:type="dxa"/>
            <w:vAlign w:val="bottom"/>
            <w:gridSpan w:val="2"/>
          </w:tcPr>
          <w:p>
            <w:pPr>
              <w:jc w:val="right"/>
              <w:spacing w:after="0"/>
              <w:rPr>
                <w:sz w:val="20"/>
                <w:szCs w:val="20"/>
                <w:color w:val="auto"/>
              </w:rPr>
            </w:pPr>
            <w:r>
              <w:rPr>
                <w:rFonts w:ascii="Arial" w:cs="Arial" w:eastAsia="Arial" w:hAnsi="Arial"/>
                <w:sz w:val="15"/>
                <w:szCs w:val="15"/>
                <w:color w:val="auto"/>
              </w:rPr>
              <w:t>6.3 %</w:t>
            </w:r>
          </w:p>
        </w:tc>
        <w:tc>
          <w:tcPr>
            <w:tcW w:w="0" w:type="dxa"/>
            <w:vAlign w:val="bottom"/>
          </w:tcPr>
          <w:p>
            <w:pPr>
              <w:spacing w:after="0"/>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6580" w:type="dxa"/>
            <w:vAlign w:val="bottom"/>
            <w:gridSpan w:val="2"/>
            <w:shd w:val="clear" w:color="auto" w:fill="CCEEFF"/>
          </w:tcPr>
          <w:p>
            <w:pPr>
              <w:ind w:left="120"/>
              <w:spacing w:after="0"/>
              <w:rPr>
                <w:sz w:val="20"/>
                <w:szCs w:val="20"/>
                <w:color w:val="auto"/>
              </w:rPr>
            </w:pPr>
            <w:r>
              <w:rPr>
                <w:rFonts w:ascii="Arial" w:cs="Arial" w:eastAsia="Arial" w:hAnsi="Arial"/>
                <w:sz w:val="15"/>
                <w:szCs w:val="15"/>
                <w:color w:val="auto"/>
              </w:rPr>
              <w:t>Depreciation and amortization</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81.3</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95.7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(14.4)</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(15.0)%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580" w:type="dxa"/>
            <w:vAlign w:val="bottom"/>
            <w:gridSpan w:val="2"/>
          </w:tcPr>
          <w:p>
            <w:pPr>
              <w:ind w:left="120"/>
              <w:spacing w:after="0"/>
              <w:rPr>
                <w:sz w:val="20"/>
                <w:szCs w:val="20"/>
                <w:color w:val="auto"/>
              </w:rPr>
            </w:pPr>
            <w:r>
              <w:rPr>
                <w:rFonts w:ascii="Arial" w:cs="Arial" w:eastAsia="Arial" w:hAnsi="Arial"/>
                <w:sz w:val="15"/>
                <w:szCs w:val="15"/>
                <w:color w:val="auto"/>
              </w:rPr>
              <w:t>Impairment losses</w:t>
            </w:r>
          </w:p>
        </w:tc>
        <w:tc>
          <w:tcPr>
            <w:tcW w:w="120" w:type="dxa"/>
            <w:vAlign w:val="bottom"/>
          </w:tcPr>
          <w:p>
            <w:pPr>
              <w:spacing w:after="0"/>
              <w:rPr>
                <w:sz w:val="17"/>
                <w:szCs w:val="17"/>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2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rPr>
              <w:t>616.1</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(616.1)</w:t>
            </w:r>
          </w:p>
        </w:tc>
        <w:tc>
          <w:tcPr>
            <w:tcW w:w="1320" w:type="dxa"/>
            <w:vAlign w:val="bottom"/>
            <w:gridSpan w:val="2"/>
          </w:tcPr>
          <w:p>
            <w:pPr>
              <w:jc w:val="right"/>
              <w:spacing w:after="0"/>
              <w:rPr>
                <w:sz w:val="20"/>
                <w:szCs w:val="20"/>
                <w:color w:val="auto"/>
              </w:rPr>
            </w:pPr>
            <w:r>
              <w:rPr>
                <w:rFonts w:ascii="Arial" w:cs="Arial" w:eastAsia="Arial" w:hAnsi="Arial"/>
                <w:sz w:val="15"/>
                <w:szCs w:val="15"/>
                <w:color w:val="auto"/>
              </w:rPr>
              <w:t>(100.0)%</w:t>
            </w:r>
          </w:p>
        </w:tc>
        <w:tc>
          <w:tcPr>
            <w:tcW w:w="0" w:type="dxa"/>
            <w:vAlign w:val="bottom"/>
          </w:tcPr>
          <w:p>
            <w:pPr>
              <w:spacing w:after="0"/>
              <w:rPr>
                <w:sz w:val="1"/>
                <w:szCs w:val="1"/>
                <w:color w:val="auto"/>
              </w:rPr>
            </w:pPr>
          </w:p>
        </w:tc>
      </w:tr>
      <w:tr>
        <w:trPr>
          <w:trHeight w:val="227"/>
        </w:trPr>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6580" w:type="dxa"/>
            <w:vAlign w:val="bottom"/>
            <w:tcBorders>
              <w:top w:val="single" w:sz="8" w:color="CCEEFF"/>
              <w:bottom w:val="single" w:sz="8" w:color="CCEEFF"/>
            </w:tcBorders>
            <w:gridSpan w:val="2"/>
            <w:shd w:val="clear" w:color="auto" w:fill="CCEEFF"/>
          </w:tcPr>
          <w:p>
            <w:pPr>
              <w:ind w:left="300"/>
              <w:spacing w:after="0"/>
              <w:rPr>
                <w:sz w:val="20"/>
                <w:szCs w:val="20"/>
                <w:color w:val="auto"/>
              </w:rPr>
            </w:pPr>
            <w:r>
              <w:rPr>
                <w:rFonts w:ascii="Arial" w:cs="Arial" w:eastAsia="Arial" w:hAnsi="Arial"/>
                <w:sz w:val="15"/>
                <w:szCs w:val="15"/>
                <w:color w:val="auto"/>
              </w:rPr>
              <w:t>Total operating expenses</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1,058.4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83"/>
              <w:spacing w:after="0"/>
              <w:rPr>
                <w:sz w:val="20"/>
                <w:szCs w:val="20"/>
                <w:color w:val="auto"/>
              </w:rPr>
            </w:pPr>
            <w:r>
              <w:rPr>
                <w:rFonts w:ascii="Arial" w:cs="Arial" w:eastAsia="Arial" w:hAnsi="Arial"/>
                <w:sz w:val="15"/>
                <w:szCs w:val="15"/>
                <w:color w:val="auto"/>
                <w:w w:val="95"/>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1,676.7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(618.3)</w:t>
            </w:r>
          </w:p>
        </w:tc>
        <w:tc>
          <w:tcPr>
            <w:tcW w:w="1320" w:type="dxa"/>
            <w:vAlign w:val="bottom"/>
            <w:tcBorders>
              <w:top w:val="single" w:sz="8" w:color="CCEEFF"/>
              <w:bottom w:val="single" w:sz="8" w:color="CCEEFF"/>
            </w:tcBorders>
            <w:gridSpan w:val="2"/>
            <w:shd w:val="clear" w:color="auto" w:fill="CCEEFF"/>
          </w:tcPr>
          <w:p>
            <w:pPr>
              <w:jc w:val="right"/>
              <w:spacing w:after="0"/>
              <w:rPr>
                <w:sz w:val="20"/>
                <w:szCs w:val="20"/>
                <w:color w:val="auto"/>
              </w:rPr>
            </w:pPr>
            <w:r>
              <w:rPr>
                <w:rFonts w:ascii="Arial" w:cs="Arial" w:eastAsia="Arial" w:hAnsi="Arial"/>
                <w:sz w:val="15"/>
                <w:szCs w:val="15"/>
                <w:color w:val="auto"/>
              </w:rPr>
              <w:t>(36.9)%</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54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173990</wp:posOffset>
            </wp:positionV>
            <wp:extent cx="7164070" cy="4191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5" w:name="page36"/>
    <w:bookmarkEnd w:id="35"/>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339" w:lineRule="exact"/>
        <w:rPr>
          <w:sz w:val="20"/>
          <w:szCs w:val="20"/>
          <w:color w:val="auto"/>
        </w:rPr>
      </w:pPr>
    </w:p>
    <w:p>
      <w:pPr>
        <w:ind w:left="320"/>
        <w:spacing w:after="0"/>
        <w:rPr>
          <w:sz w:val="20"/>
          <w:szCs w:val="20"/>
          <w:color w:val="auto"/>
        </w:rPr>
      </w:pPr>
      <w:r>
        <w:rPr>
          <w:rFonts w:ascii="Arial" w:cs="Arial" w:eastAsia="Arial" w:hAnsi="Arial"/>
          <w:sz w:val="17"/>
          <w:szCs w:val="17"/>
          <w:b w:val="1"/>
          <w:bCs w:val="1"/>
          <w:i w:val="1"/>
          <w:iCs w:val="1"/>
          <w:color w:val="auto"/>
        </w:rPr>
        <w:t xml:space="preserve">Gaming expenses </w:t>
      </w:r>
      <w:r>
        <w:rPr>
          <w:rFonts w:ascii="Arial" w:cs="Arial" w:eastAsia="Arial" w:hAnsi="Arial"/>
          <w:sz w:val="17"/>
          <w:szCs w:val="17"/>
          <w:color w:val="auto"/>
        </w:rPr>
        <w:t>consist primarily of salaries and wages associated with our gaming operations and gaming taxes.</w:t>
      </w:r>
    </w:p>
    <w:p>
      <w:pPr>
        <w:spacing w:after="0" w:line="178" w:lineRule="exact"/>
        <w:rPr>
          <w:sz w:val="20"/>
          <w:szCs w:val="20"/>
          <w:color w:val="auto"/>
        </w:rPr>
      </w:pPr>
    </w:p>
    <w:p>
      <w:pPr>
        <w:ind w:right="20" w:firstLine="309"/>
        <w:spacing w:after="0" w:line="274" w:lineRule="auto"/>
        <w:rPr>
          <w:sz w:val="20"/>
          <w:szCs w:val="20"/>
          <w:color w:val="auto"/>
        </w:rPr>
      </w:pPr>
      <w:r>
        <w:rPr>
          <w:rFonts w:ascii="Arial" w:cs="Arial" w:eastAsia="Arial" w:hAnsi="Arial"/>
          <w:sz w:val="16"/>
          <w:szCs w:val="16"/>
          <w:b w:val="1"/>
          <w:bCs w:val="1"/>
          <w:i w:val="1"/>
          <w:iCs w:val="1"/>
          <w:color w:val="auto"/>
        </w:rPr>
        <w:t xml:space="preserve">Food, beverage, hotel and other expenses </w:t>
      </w:r>
      <w:r>
        <w:rPr>
          <w:rFonts w:ascii="Arial" w:cs="Arial" w:eastAsia="Arial" w:hAnsi="Arial"/>
          <w:sz w:val="16"/>
          <w:szCs w:val="16"/>
          <w:color w:val="auto"/>
        </w:rPr>
        <w:t>consist principally of salaries and wages and costs of goods sold associated with our food, beverage, hotel, retail,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racing, and other operations. Gaming expenses for the three months ended March 31, 2021 increased $26.9 million compared to the prior year quarter primarily due to an increase in gaming taxes resulting from the increase in gaming revenues, as discussed above. Additionally, during the first quarter of 2020, our properties were temporarily closed as a result of the COVID-19 pandemic, which reduced our gaming taxes, marketing expenses, and salaries and wages. Food, beverage, hotel and other expenses for the three months ended March 31, 2021 decreased $33.9 million compared to the prior year quarter as our properties are operating with reduced hotel capacity and limited food and beverage options. In response to the COVID-19 pandemic, we implemented cost saving measures such as: operating with a reduced workforce, focusing on higher margin gaming offerings, reducing marketing costs, and limiting certain lower margin food and beverage offerings which reduced our salaries and wages, costs of goods sold, and other expenses which further reduced our food, beverage, hotel and other expense during the first quarter of 2021.</w:t>
      </w:r>
    </w:p>
    <w:p>
      <w:pPr>
        <w:spacing w:after="0" w:line="146" w:lineRule="exact"/>
        <w:rPr>
          <w:sz w:val="20"/>
          <w:szCs w:val="20"/>
          <w:color w:val="auto"/>
        </w:rPr>
      </w:pPr>
    </w:p>
    <w:p>
      <w:pPr>
        <w:ind w:right="140" w:firstLine="309"/>
        <w:spacing w:after="0" w:line="277" w:lineRule="auto"/>
        <w:rPr>
          <w:sz w:val="20"/>
          <w:szCs w:val="20"/>
          <w:color w:val="auto"/>
        </w:rPr>
      </w:pPr>
      <w:r>
        <w:rPr>
          <w:rFonts w:ascii="Arial" w:cs="Arial" w:eastAsia="Arial" w:hAnsi="Arial"/>
          <w:sz w:val="16"/>
          <w:szCs w:val="16"/>
          <w:b w:val="1"/>
          <w:bCs w:val="1"/>
          <w:i w:val="1"/>
          <w:iCs w:val="1"/>
          <w:color w:val="auto"/>
        </w:rPr>
        <w:t xml:space="preserve">General and administrative expenses </w:t>
      </w:r>
      <w:r>
        <w:rPr>
          <w:rFonts w:ascii="Arial" w:cs="Arial" w:eastAsia="Arial" w:hAnsi="Arial"/>
          <w:sz w:val="16"/>
          <w:szCs w:val="16"/>
          <w:color w:val="auto"/>
        </w:rPr>
        <w:t>include items such as compliance, facility maintenance, utilities, property and liability insurance, surveillance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security, lobbying expenses, and certain housekeeping services, as well as all expenses for administrative departments such as accounting, purchasing, human resources, legal and internal audit. General and administrative expenses also include stock-based compensation expense; pre-opening and acquisition costs; gains and losses on disposal of assets; changes in the fair value of our contingent purchase price obligations; expense associated with cash-settled stock-based awards (including changes in fair value thereto); restructuring costs (primarily severance) associated with a company-wide initiative triggered by the COVID-19 pandemic; and rent expense associated with our triple net operating leases.</w:t>
      </w:r>
    </w:p>
    <w:p>
      <w:pPr>
        <w:spacing w:after="0" w:line="131" w:lineRule="exact"/>
        <w:rPr>
          <w:sz w:val="20"/>
          <w:szCs w:val="20"/>
          <w:color w:val="auto"/>
        </w:rPr>
      </w:pPr>
    </w:p>
    <w:p>
      <w:pPr>
        <w:ind w:right="60" w:firstLine="309"/>
        <w:spacing w:after="0" w:line="259" w:lineRule="auto"/>
        <w:rPr>
          <w:sz w:val="20"/>
          <w:szCs w:val="20"/>
          <w:color w:val="auto"/>
        </w:rPr>
      </w:pPr>
      <w:r>
        <w:rPr>
          <w:rFonts w:ascii="Arial" w:cs="Arial" w:eastAsia="Arial" w:hAnsi="Arial"/>
          <w:sz w:val="17"/>
          <w:szCs w:val="17"/>
          <w:color w:val="auto"/>
        </w:rPr>
        <w:t>For three months ended March 31, 2021, general and administrative expenses increased period over period primarily due to the increase in expense associated with the Company’s cash-settled stock-based awards of $30.4 million, which is largely driven by the increase in the Company's stock price. Rent expense associated with our triple net operating leases increased by $12.9 million, as compared to the prior year period; the increase principally relates to the Tropicana Lease. The increase in general and administrative expenses was offset by a $21.4 million decrease in payroll expenses resulting from the implementation of cost saving measures described above.</w:t>
      </w:r>
    </w:p>
    <w:p>
      <w:pPr>
        <w:spacing w:after="0" w:line="144" w:lineRule="exact"/>
        <w:rPr>
          <w:sz w:val="20"/>
          <w:szCs w:val="20"/>
          <w:color w:val="auto"/>
        </w:rPr>
      </w:pPr>
    </w:p>
    <w:p>
      <w:pPr>
        <w:ind w:right="640" w:firstLine="309"/>
        <w:spacing w:after="0" w:line="331" w:lineRule="auto"/>
        <w:rPr>
          <w:sz w:val="20"/>
          <w:szCs w:val="20"/>
          <w:color w:val="auto"/>
        </w:rPr>
      </w:pPr>
      <w:r>
        <w:rPr>
          <w:rFonts w:ascii="Arial" w:cs="Arial" w:eastAsia="Arial" w:hAnsi="Arial"/>
          <w:sz w:val="15"/>
          <w:szCs w:val="15"/>
          <w:b w:val="1"/>
          <w:bCs w:val="1"/>
          <w:i w:val="1"/>
          <w:iCs w:val="1"/>
          <w:color w:val="auto"/>
        </w:rPr>
        <w:t xml:space="preserve">Depreciation and amortization </w:t>
      </w:r>
      <w:r>
        <w:rPr>
          <w:rFonts w:ascii="Arial" w:cs="Arial" w:eastAsia="Arial" w:hAnsi="Arial"/>
          <w:sz w:val="15"/>
          <w:szCs w:val="15"/>
          <w:color w:val="auto"/>
        </w:rPr>
        <w:t>for the three months ended March 31, 2021 decreased period over period primarily due to fixed assets becoming fully</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depreciated, the sale of the real estate assets of Tropicana in April 2020, and a decrease of $0.8 million in amortization expense at Penn Interactive.</w:t>
      </w:r>
    </w:p>
    <w:p>
      <w:pPr>
        <w:spacing w:after="0" w:line="91" w:lineRule="exact"/>
        <w:rPr>
          <w:sz w:val="20"/>
          <w:szCs w:val="20"/>
          <w:color w:val="auto"/>
        </w:rPr>
      </w:pPr>
    </w:p>
    <w:p>
      <w:pPr>
        <w:ind w:right="240" w:firstLine="309"/>
        <w:spacing w:after="0" w:line="246" w:lineRule="auto"/>
        <w:rPr>
          <w:sz w:val="20"/>
          <w:szCs w:val="20"/>
          <w:color w:val="auto"/>
        </w:rPr>
      </w:pPr>
      <w:r>
        <w:rPr>
          <w:rFonts w:ascii="Arial" w:cs="Arial" w:eastAsia="Arial" w:hAnsi="Arial"/>
          <w:sz w:val="17"/>
          <w:szCs w:val="17"/>
          <w:b w:val="1"/>
          <w:bCs w:val="1"/>
          <w:i w:val="1"/>
          <w:iCs w:val="1"/>
          <w:color w:val="auto"/>
        </w:rPr>
        <w:t xml:space="preserve">Impairment losses </w:t>
      </w:r>
      <w:r>
        <w:rPr>
          <w:rFonts w:ascii="Arial" w:cs="Arial" w:eastAsia="Arial" w:hAnsi="Arial"/>
          <w:sz w:val="17"/>
          <w:szCs w:val="17"/>
          <w:color w:val="auto"/>
        </w:rPr>
        <w:t>for the three months ended March 31, 2020 primarily relates to impairments taken on our goodwill and other intangible assets of $113.0</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million and $498.5 million, respectively, as a result of an interim impairment assessment during the first quarter of 2020. During the first quarter of 2020, we identified an indicator of impairment triggered by the COVID-19 pandemic, which caused all of our gaming properties to temporarily close. There were no impairment losses during the three months ended March 31, 2021.</w:t>
      </w:r>
    </w:p>
    <w:p>
      <w:pPr>
        <w:spacing w:after="0" w:line="14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Other income (expenses)</w:t>
      </w:r>
    </w:p>
    <w:p>
      <w:pPr>
        <w:spacing w:after="0" w:line="178"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The following table presents our consolidated other income (expenses):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53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220" w:type="dxa"/>
            <w:vAlign w:val="bottom"/>
            <w:gridSpan w:val="5"/>
          </w:tcPr>
          <w:p>
            <w:pPr>
              <w:ind w:left="60"/>
              <w:spacing w:after="0"/>
              <w:rPr>
                <w:sz w:val="20"/>
                <w:szCs w:val="20"/>
                <w:color w:val="auto"/>
              </w:rPr>
            </w:pPr>
            <w:r>
              <w:rPr>
                <w:rFonts w:ascii="Arial" w:cs="Arial" w:eastAsia="Arial" w:hAnsi="Arial"/>
                <w:sz w:val="15"/>
                <w:szCs w:val="15"/>
                <w:b w:val="1"/>
                <w:bCs w:val="1"/>
                <w:color w:val="auto"/>
              </w:rPr>
              <w:t>For the three months ended</w:t>
            </w:r>
          </w:p>
        </w:tc>
        <w:tc>
          <w:tcPr>
            <w:tcW w:w="120" w:type="dxa"/>
            <w:vAlign w:val="bottom"/>
          </w:tcPr>
          <w:p>
            <w:pPr>
              <w:spacing w:after="0"/>
              <w:rPr>
                <w:sz w:val="15"/>
                <w:szCs w:val="15"/>
                <w:color w:val="auto"/>
              </w:rPr>
            </w:pPr>
          </w:p>
        </w:tc>
        <w:tc>
          <w:tcPr>
            <w:tcW w:w="1080" w:type="dxa"/>
            <w:vAlign w:val="bottom"/>
            <w:gridSpan w:val="2"/>
            <w:vMerge w:val="restart"/>
          </w:tcPr>
          <w:p>
            <w:pPr>
              <w:ind w:left="120"/>
              <w:spacing w:after="0"/>
              <w:rPr>
                <w:sz w:val="20"/>
                <w:szCs w:val="20"/>
                <w:color w:val="auto"/>
              </w:rPr>
            </w:pPr>
            <w:r>
              <w:rPr>
                <w:rFonts w:ascii="Arial" w:cs="Arial" w:eastAsia="Arial" w:hAnsi="Arial"/>
                <w:sz w:val="15"/>
                <w:szCs w:val="15"/>
                <w:b w:val="1"/>
                <w:bCs w:val="1"/>
                <w:color w:val="auto"/>
              </w:rPr>
              <w:t>$ Change</w:t>
            </w:r>
          </w:p>
        </w:tc>
        <w:tc>
          <w:tcPr>
            <w:tcW w:w="1200" w:type="dxa"/>
            <w:vAlign w:val="bottom"/>
            <w:vMerge w:val="restart"/>
          </w:tcPr>
          <w:p>
            <w:pPr>
              <w:jc w:val="center"/>
              <w:spacing w:after="0"/>
              <w:rPr>
                <w:sz w:val="20"/>
                <w:szCs w:val="20"/>
                <w:color w:val="auto"/>
              </w:rPr>
            </w:pPr>
            <w:r>
              <w:rPr>
                <w:rFonts w:ascii="Arial" w:cs="Arial" w:eastAsia="Arial" w:hAnsi="Arial"/>
                <w:sz w:val="15"/>
                <w:szCs w:val="15"/>
                <w:b w:val="1"/>
                <w:bCs w:val="1"/>
                <w:color w:val="auto"/>
                <w:w w:val="96"/>
              </w:rPr>
              <w:t>% Change</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5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80" w:type="dxa"/>
            <w:vAlign w:val="bottom"/>
            <w:gridSpan w:val="3"/>
          </w:tcPr>
          <w:p>
            <w:pPr>
              <w:jc w:val="right"/>
              <w:spacing w:after="0"/>
              <w:rPr>
                <w:sz w:val="20"/>
                <w:szCs w:val="20"/>
                <w:color w:val="auto"/>
              </w:rPr>
            </w:pPr>
            <w:r>
              <w:rPr>
                <w:rFonts w:ascii="Arial" w:cs="Arial" w:eastAsia="Arial" w:hAnsi="Arial"/>
                <w:sz w:val="15"/>
                <w:szCs w:val="15"/>
                <w:b w:val="1"/>
                <w:bCs w:val="1"/>
                <w:color w:val="auto"/>
              </w:rPr>
              <w:t>March 31,</w:t>
            </w: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gridSpan w:val="2"/>
            <w:vMerge w:val="continue"/>
          </w:tcPr>
          <w:p>
            <w:pPr>
              <w:spacing w:after="0"/>
              <w:rPr>
                <w:sz w:val="17"/>
                <w:szCs w:val="17"/>
                <w:color w:val="auto"/>
              </w:rPr>
            </w:pPr>
          </w:p>
        </w:tc>
        <w:tc>
          <w:tcPr>
            <w:tcW w:w="12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63"/>
        </w:trPr>
        <w:tc>
          <w:tcPr>
            <w:tcW w:w="6460" w:type="dxa"/>
            <w:vAlign w:val="bottom"/>
            <w:gridSpan w:val="3"/>
          </w:tcPr>
          <w:p>
            <w:pPr>
              <w:ind w:left="20"/>
              <w:spacing w:after="0"/>
              <w:rPr>
                <w:sz w:val="20"/>
                <w:szCs w:val="20"/>
                <w:color w:val="auto"/>
              </w:rPr>
            </w:pPr>
            <w:r>
              <w:rPr>
                <w:rFonts w:ascii="Arial" w:cs="Arial" w:eastAsia="Arial" w:hAnsi="Arial"/>
                <w:sz w:val="14"/>
                <w:szCs w:val="14"/>
                <w:b w:val="1"/>
                <w:bCs w:val="1"/>
                <w:i w:val="1"/>
                <w:iCs w:val="1"/>
                <w:color w:val="auto"/>
              </w:rPr>
              <w:t>(dollars in millions)</w:t>
            </w:r>
          </w:p>
        </w:tc>
        <w:tc>
          <w:tcPr>
            <w:tcW w:w="16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tcPr>
          <w:p>
            <w:pPr>
              <w:jc w:val="right"/>
              <w:ind w:right="303"/>
              <w:spacing w:after="0" w:line="163" w:lineRule="exact"/>
              <w:rPr>
                <w:sz w:val="20"/>
                <w:szCs w:val="20"/>
                <w:color w:val="auto"/>
              </w:rPr>
            </w:pPr>
            <w:r>
              <w:rPr>
                <w:rFonts w:ascii="Arial" w:cs="Arial" w:eastAsia="Arial" w:hAnsi="Arial"/>
                <w:sz w:val="15"/>
                <w:szCs w:val="15"/>
                <w:b w:val="1"/>
                <w:bCs w:val="1"/>
                <w:color w:val="auto"/>
              </w:rPr>
              <w:t>2021</w:t>
            </w:r>
          </w:p>
        </w:tc>
        <w:tc>
          <w:tcPr>
            <w:tcW w:w="100" w:type="dxa"/>
            <w:vAlign w:val="bottom"/>
            <w:tcBorders>
              <w:top w:val="single" w:sz="8" w:color="auto"/>
            </w:tcBorders>
          </w:tcPr>
          <w:p>
            <w:pPr>
              <w:spacing w:after="0"/>
              <w:rPr>
                <w:sz w:val="14"/>
                <w:szCs w:val="14"/>
                <w:color w:val="auto"/>
              </w:rPr>
            </w:pPr>
          </w:p>
        </w:tc>
        <w:tc>
          <w:tcPr>
            <w:tcW w:w="36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tcPr>
          <w:p>
            <w:pPr>
              <w:jc w:val="right"/>
              <w:ind w:right="303"/>
              <w:spacing w:after="0" w:line="163" w:lineRule="exact"/>
              <w:rPr>
                <w:sz w:val="20"/>
                <w:szCs w:val="20"/>
                <w:color w:val="auto"/>
              </w:rPr>
            </w:pPr>
            <w:r>
              <w:rPr>
                <w:rFonts w:ascii="Arial" w:cs="Arial" w:eastAsia="Arial" w:hAnsi="Arial"/>
                <w:sz w:val="15"/>
                <w:szCs w:val="15"/>
                <w:b w:val="1"/>
                <w:bCs w:val="1"/>
                <w:color w:val="auto"/>
              </w:rPr>
              <w:t>2020</w:t>
            </w:r>
          </w:p>
        </w:tc>
        <w:tc>
          <w:tcPr>
            <w:tcW w:w="10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980" w:type="dxa"/>
            <w:vAlign w:val="bottom"/>
            <w:tcBorders>
              <w:top w:val="single" w:sz="8" w:color="auto"/>
            </w:tcBorders>
          </w:tcPr>
          <w:p>
            <w:pPr>
              <w:jc w:val="right"/>
              <w:ind w:right="43"/>
              <w:spacing w:after="0" w:line="163" w:lineRule="exact"/>
              <w:rPr>
                <w:sz w:val="20"/>
                <w:szCs w:val="20"/>
                <w:color w:val="auto"/>
              </w:rPr>
            </w:pPr>
            <w:r>
              <w:rPr>
                <w:rFonts w:ascii="Arial" w:cs="Arial" w:eastAsia="Arial" w:hAnsi="Arial"/>
                <w:sz w:val="15"/>
                <w:szCs w:val="15"/>
                <w:b w:val="1"/>
                <w:bCs w:val="1"/>
                <w:color w:val="auto"/>
                <w:w w:val="91"/>
              </w:rPr>
              <w:t>2021 vs 2020</w:t>
            </w:r>
          </w:p>
        </w:tc>
        <w:tc>
          <w:tcPr>
            <w:tcW w:w="100" w:type="dxa"/>
            <w:vAlign w:val="bottom"/>
          </w:tcPr>
          <w:p>
            <w:pPr>
              <w:spacing w:after="0"/>
              <w:rPr>
                <w:sz w:val="14"/>
                <w:szCs w:val="14"/>
                <w:color w:val="auto"/>
              </w:rPr>
            </w:pPr>
          </w:p>
        </w:tc>
        <w:tc>
          <w:tcPr>
            <w:tcW w:w="1200" w:type="dxa"/>
            <w:vAlign w:val="bottom"/>
            <w:tcBorders>
              <w:top w:val="single" w:sz="8" w:color="auto"/>
            </w:tcBorders>
          </w:tcPr>
          <w:p>
            <w:pPr>
              <w:jc w:val="center"/>
              <w:spacing w:after="0" w:line="163" w:lineRule="exact"/>
              <w:rPr>
                <w:sz w:val="20"/>
                <w:szCs w:val="20"/>
                <w:color w:val="auto"/>
              </w:rPr>
            </w:pPr>
            <w:r>
              <w:rPr>
                <w:rFonts w:ascii="Arial" w:cs="Arial" w:eastAsia="Arial" w:hAnsi="Arial"/>
                <w:sz w:val="15"/>
                <w:szCs w:val="15"/>
                <w:b w:val="1"/>
                <w:bCs w:val="1"/>
                <w:color w:val="auto"/>
                <w:w w:val="91"/>
              </w:rPr>
              <w:t>2021 vs 2020</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120" w:type="dxa"/>
            <w:vAlign w:val="bottom"/>
            <w:tcBorders>
              <w:top w:val="single" w:sz="8" w:color="auto"/>
              <w:bottom w:val="single" w:sz="8" w:color="CCEEFF"/>
            </w:tcBorders>
          </w:tcPr>
          <w:p>
            <w:pPr>
              <w:spacing w:after="0" w:line="20" w:lineRule="exact"/>
              <w:rPr>
                <w:sz w:val="1"/>
                <w:szCs w:val="1"/>
                <w:color w:val="auto"/>
              </w:rPr>
            </w:pPr>
          </w:p>
        </w:tc>
        <w:tc>
          <w:tcPr>
            <w:tcW w:w="53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5"/>
        </w:trPr>
        <w:tc>
          <w:tcPr>
            <w:tcW w:w="6460" w:type="dxa"/>
            <w:vAlign w:val="bottom"/>
            <w:gridSpan w:val="3"/>
            <w:shd w:val="clear" w:color="auto" w:fill="CCEEFF"/>
          </w:tcPr>
          <w:p>
            <w:pPr>
              <w:ind w:left="20"/>
              <w:spacing w:after="0"/>
              <w:rPr>
                <w:sz w:val="20"/>
                <w:szCs w:val="20"/>
                <w:color w:val="auto"/>
              </w:rPr>
            </w:pPr>
            <w:r>
              <w:rPr>
                <w:rFonts w:ascii="Arial" w:cs="Arial" w:eastAsia="Arial" w:hAnsi="Arial"/>
                <w:sz w:val="15"/>
                <w:szCs w:val="15"/>
                <w:b w:val="1"/>
                <w:bCs w:val="1"/>
                <w:color w:val="auto"/>
              </w:rPr>
              <w:t>Other income (expenses)</w:t>
            </w:r>
          </w:p>
        </w:tc>
        <w:tc>
          <w:tcPr>
            <w:tcW w:w="16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6460" w:type="dxa"/>
            <w:vAlign w:val="bottom"/>
            <w:gridSpan w:val="3"/>
          </w:tcPr>
          <w:p>
            <w:pPr>
              <w:ind w:left="20"/>
              <w:spacing w:after="0"/>
              <w:rPr>
                <w:sz w:val="20"/>
                <w:szCs w:val="20"/>
                <w:color w:val="auto"/>
              </w:rPr>
            </w:pPr>
            <w:r>
              <w:rPr>
                <w:rFonts w:ascii="Arial" w:cs="Arial" w:eastAsia="Arial" w:hAnsi="Arial"/>
                <w:sz w:val="15"/>
                <w:szCs w:val="15"/>
                <w:color w:val="auto"/>
              </w:rPr>
              <w:t>Interest expense, net</w:t>
            </w:r>
          </w:p>
        </w:tc>
        <w:tc>
          <w:tcPr>
            <w:tcW w:w="16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920" w:type="dxa"/>
            <w:vAlign w:val="bottom"/>
          </w:tcPr>
          <w:p>
            <w:pPr>
              <w:jc w:val="right"/>
              <w:spacing w:after="0"/>
              <w:rPr>
                <w:sz w:val="20"/>
                <w:szCs w:val="20"/>
                <w:color w:val="auto"/>
              </w:rPr>
            </w:pPr>
            <w:r>
              <w:rPr>
                <w:rFonts w:ascii="Arial" w:cs="Arial" w:eastAsia="Arial" w:hAnsi="Arial"/>
                <w:sz w:val="15"/>
                <w:szCs w:val="15"/>
                <w:color w:val="auto"/>
              </w:rPr>
              <w:t>(135.7)</w:t>
            </w:r>
          </w:p>
        </w:tc>
        <w:tc>
          <w:tcPr>
            <w:tcW w:w="100" w:type="dxa"/>
            <w:vAlign w:val="bottom"/>
          </w:tcPr>
          <w:p>
            <w:pPr>
              <w:spacing w:after="0"/>
              <w:rPr>
                <w:sz w:val="17"/>
                <w:szCs w:val="17"/>
                <w:color w:val="auto"/>
              </w:rPr>
            </w:pPr>
          </w:p>
        </w:tc>
        <w:tc>
          <w:tcPr>
            <w:tcW w:w="360" w:type="dxa"/>
            <w:vAlign w:val="bottom"/>
          </w:tcPr>
          <w:p>
            <w:pPr>
              <w:jc w:val="right"/>
              <w:ind w:right="183"/>
              <w:spacing w:after="0"/>
              <w:rPr>
                <w:sz w:val="20"/>
                <w:szCs w:val="20"/>
                <w:color w:val="auto"/>
              </w:rPr>
            </w:pPr>
            <w:r>
              <w:rPr>
                <w:rFonts w:ascii="Arial" w:cs="Arial" w:eastAsia="Arial" w:hAnsi="Arial"/>
                <w:sz w:val="15"/>
                <w:szCs w:val="15"/>
                <w:color w:val="auto"/>
                <w:w w:val="95"/>
              </w:rPr>
              <w:t>$</w:t>
            </w:r>
          </w:p>
        </w:tc>
        <w:tc>
          <w:tcPr>
            <w:tcW w:w="740" w:type="dxa"/>
            <w:vAlign w:val="bottom"/>
          </w:tcPr>
          <w:p>
            <w:pPr>
              <w:jc w:val="right"/>
              <w:spacing w:after="0"/>
              <w:rPr>
                <w:sz w:val="20"/>
                <w:szCs w:val="20"/>
                <w:color w:val="auto"/>
              </w:rPr>
            </w:pPr>
            <w:r>
              <w:rPr>
                <w:rFonts w:ascii="Arial" w:cs="Arial" w:eastAsia="Arial" w:hAnsi="Arial"/>
                <w:sz w:val="15"/>
                <w:szCs w:val="15"/>
                <w:color w:val="auto"/>
              </w:rPr>
              <w:t>(129.8)</w:t>
            </w:r>
          </w:p>
        </w:tc>
        <w:tc>
          <w:tcPr>
            <w:tcW w:w="1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980" w:type="dxa"/>
            <w:vAlign w:val="bottom"/>
          </w:tcPr>
          <w:p>
            <w:pPr>
              <w:jc w:val="right"/>
              <w:spacing w:after="0"/>
              <w:rPr>
                <w:sz w:val="20"/>
                <w:szCs w:val="20"/>
                <w:color w:val="auto"/>
              </w:rPr>
            </w:pPr>
            <w:r>
              <w:rPr>
                <w:rFonts w:ascii="Arial" w:cs="Arial" w:eastAsia="Arial" w:hAnsi="Arial"/>
                <w:sz w:val="15"/>
                <w:szCs w:val="15"/>
                <w:color w:val="auto"/>
              </w:rPr>
              <w:t>(5.9)</w:t>
            </w:r>
          </w:p>
        </w:tc>
        <w:tc>
          <w:tcPr>
            <w:tcW w:w="10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4.5 %</w:t>
            </w:r>
          </w:p>
        </w:tc>
        <w:tc>
          <w:tcPr>
            <w:tcW w:w="0" w:type="dxa"/>
            <w:vAlign w:val="bottom"/>
          </w:tcPr>
          <w:p>
            <w:pPr>
              <w:spacing w:after="0"/>
              <w:rPr>
                <w:sz w:val="1"/>
                <w:szCs w:val="1"/>
                <w:color w:val="auto"/>
              </w:rPr>
            </w:pPr>
          </w:p>
        </w:tc>
      </w:tr>
      <w:tr>
        <w:trPr>
          <w:trHeight w:val="209"/>
        </w:trPr>
        <w:tc>
          <w:tcPr>
            <w:tcW w:w="6460" w:type="dxa"/>
            <w:vAlign w:val="bottom"/>
            <w:gridSpan w:val="3"/>
            <w:shd w:val="clear" w:color="auto" w:fill="CCEEFF"/>
          </w:tcPr>
          <w:p>
            <w:pPr>
              <w:ind w:left="20"/>
              <w:spacing w:after="0"/>
              <w:rPr>
                <w:sz w:val="20"/>
                <w:szCs w:val="20"/>
                <w:color w:val="auto"/>
              </w:rPr>
            </w:pPr>
            <w:r>
              <w:rPr>
                <w:rFonts w:ascii="Arial" w:cs="Arial" w:eastAsia="Arial" w:hAnsi="Arial"/>
                <w:sz w:val="15"/>
                <w:szCs w:val="15"/>
                <w:color w:val="auto"/>
              </w:rPr>
              <w:t>Income from unconsolidated affiliates</w:t>
            </w: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9.6</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83"/>
              <w:spacing w:after="0"/>
              <w:rPr>
                <w:sz w:val="20"/>
                <w:szCs w:val="20"/>
                <w:color w:val="auto"/>
              </w:rPr>
            </w:pPr>
            <w:r>
              <w:rPr>
                <w:rFonts w:ascii="Arial" w:cs="Arial" w:eastAsia="Arial" w:hAnsi="Arial"/>
                <w:sz w:val="15"/>
                <w:szCs w:val="15"/>
                <w:color w:val="auto"/>
                <w:w w:val="95"/>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5.5</w:t>
            </w: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134.1 %</w:t>
            </w:r>
          </w:p>
        </w:tc>
        <w:tc>
          <w:tcPr>
            <w:tcW w:w="0" w:type="dxa"/>
            <w:vAlign w:val="bottom"/>
          </w:tcPr>
          <w:p>
            <w:pPr>
              <w:spacing w:after="0"/>
              <w:rPr>
                <w:sz w:val="1"/>
                <w:szCs w:val="1"/>
                <w:color w:val="auto"/>
              </w:rPr>
            </w:pPr>
          </w:p>
        </w:tc>
      </w:tr>
      <w:tr>
        <w:trPr>
          <w:trHeight w:val="203"/>
        </w:trPr>
        <w:tc>
          <w:tcPr>
            <w:tcW w:w="6460" w:type="dxa"/>
            <w:vAlign w:val="bottom"/>
            <w:gridSpan w:val="3"/>
          </w:tcPr>
          <w:p>
            <w:pPr>
              <w:ind w:left="20"/>
              <w:spacing w:after="0"/>
              <w:rPr>
                <w:sz w:val="20"/>
                <w:szCs w:val="20"/>
                <w:color w:val="auto"/>
              </w:rPr>
            </w:pPr>
            <w:r>
              <w:rPr>
                <w:rFonts w:ascii="Arial" w:cs="Arial" w:eastAsia="Arial" w:hAnsi="Arial"/>
                <w:sz w:val="15"/>
                <w:szCs w:val="15"/>
                <w:color w:val="auto"/>
              </w:rPr>
              <w:t>Income tax benefit (expense)</w:t>
            </w:r>
          </w:p>
        </w:tc>
        <w:tc>
          <w:tcPr>
            <w:tcW w:w="16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920" w:type="dxa"/>
            <w:vAlign w:val="bottom"/>
          </w:tcPr>
          <w:p>
            <w:pPr>
              <w:jc w:val="right"/>
              <w:spacing w:after="0"/>
              <w:rPr>
                <w:sz w:val="20"/>
                <w:szCs w:val="20"/>
                <w:color w:val="auto"/>
              </w:rPr>
            </w:pPr>
            <w:r>
              <w:rPr>
                <w:rFonts w:ascii="Arial" w:cs="Arial" w:eastAsia="Arial" w:hAnsi="Arial"/>
                <w:sz w:val="15"/>
                <w:szCs w:val="15"/>
                <w:color w:val="auto"/>
              </w:rPr>
              <w:t>(20.6)</w:t>
            </w:r>
          </w:p>
        </w:tc>
        <w:tc>
          <w:tcPr>
            <w:tcW w:w="100" w:type="dxa"/>
            <w:vAlign w:val="bottom"/>
          </w:tcPr>
          <w:p>
            <w:pPr>
              <w:spacing w:after="0"/>
              <w:rPr>
                <w:sz w:val="17"/>
                <w:szCs w:val="17"/>
                <w:color w:val="auto"/>
              </w:rPr>
            </w:pPr>
          </w:p>
        </w:tc>
        <w:tc>
          <w:tcPr>
            <w:tcW w:w="360" w:type="dxa"/>
            <w:vAlign w:val="bottom"/>
          </w:tcPr>
          <w:p>
            <w:pPr>
              <w:jc w:val="right"/>
              <w:ind w:right="183"/>
              <w:spacing w:after="0"/>
              <w:rPr>
                <w:sz w:val="20"/>
                <w:szCs w:val="20"/>
                <w:color w:val="auto"/>
              </w:rPr>
            </w:pPr>
            <w:r>
              <w:rPr>
                <w:rFonts w:ascii="Arial" w:cs="Arial" w:eastAsia="Arial" w:hAnsi="Arial"/>
                <w:sz w:val="15"/>
                <w:szCs w:val="15"/>
                <w:color w:val="auto"/>
                <w:w w:val="95"/>
              </w:rPr>
              <w:t>$</w:t>
            </w:r>
          </w:p>
        </w:tc>
        <w:tc>
          <w:tcPr>
            <w:tcW w:w="740" w:type="dxa"/>
            <w:vAlign w:val="bottom"/>
          </w:tcPr>
          <w:p>
            <w:pPr>
              <w:jc w:val="right"/>
              <w:spacing w:after="0"/>
              <w:rPr>
                <w:sz w:val="20"/>
                <w:szCs w:val="20"/>
                <w:color w:val="auto"/>
              </w:rPr>
            </w:pPr>
            <w:r>
              <w:rPr>
                <w:rFonts w:ascii="Arial" w:cs="Arial" w:eastAsia="Arial" w:hAnsi="Arial"/>
                <w:sz w:val="15"/>
                <w:szCs w:val="15"/>
                <w:color w:val="auto"/>
              </w:rPr>
              <w:t>99.5</w:t>
            </w:r>
          </w:p>
        </w:tc>
        <w:tc>
          <w:tcPr>
            <w:tcW w:w="1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980" w:type="dxa"/>
            <w:vAlign w:val="bottom"/>
          </w:tcPr>
          <w:p>
            <w:pPr>
              <w:jc w:val="right"/>
              <w:spacing w:after="0"/>
              <w:rPr>
                <w:sz w:val="20"/>
                <w:szCs w:val="20"/>
                <w:color w:val="auto"/>
              </w:rPr>
            </w:pPr>
            <w:r>
              <w:rPr>
                <w:rFonts w:ascii="Arial" w:cs="Arial" w:eastAsia="Arial" w:hAnsi="Arial"/>
                <w:sz w:val="15"/>
                <w:szCs w:val="15"/>
                <w:color w:val="auto"/>
              </w:rPr>
              <w:t>(120.1)</w:t>
            </w:r>
          </w:p>
        </w:tc>
        <w:tc>
          <w:tcPr>
            <w:tcW w:w="100" w:type="dxa"/>
            <w:vAlign w:val="bottom"/>
          </w:tcPr>
          <w:p>
            <w:pPr>
              <w:spacing w:after="0"/>
              <w:rPr>
                <w:sz w:val="17"/>
                <w:szCs w:val="17"/>
                <w:color w:val="auto"/>
              </w:rPr>
            </w:pPr>
          </w:p>
        </w:tc>
        <w:tc>
          <w:tcPr>
            <w:tcW w:w="1200" w:type="dxa"/>
            <w:vAlign w:val="bottom"/>
          </w:tcPr>
          <w:p>
            <w:pPr>
              <w:jc w:val="center"/>
              <w:spacing w:after="0"/>
              <w:rPr>
                <w:sz w:val="20"/>
                <w:szCs w:val="20"/>
                <w:color w:val="auto"/>
              </w:rPr>
            </w:pPr>
            <w:r>
              <w:rPr>
                <w:rFonts w:ascii="Arial" w:cs="Arial" w:eastAsia="Arial" w:hAnsi="Arial"/>
                <w:sz w:val="15"/>
                <w:szCs w:val="15"/>
                <w:color w:val="auto"/>
              </w:rPr>
              <w:t>N/M</w:t>
            </w:r>
          </w:p>
        </w:tc>
        <w:tc>
          <w:tcPr>
            <w:tcW w:w="0" w:type="dxa"/>
            <w:vAlign w:val="bottom"/>
          </w:tcPr>
          <w:p>
            <w:pPr>
              <w:spacing w:after="0"/>
              <w:rPr>
                <w:sz w:val="1"/>
                <w:szCs w:val="1"/>
                <w:color w:val="auto"/>
              </w:rPr>
            </w:pPr>
          </w:p>
        </w:tc>
      </w:tr>
      <w:tr>
        <w:trPr>
          <w:trHeight w:val="209"/>
        </w:trPr>
        <w:tc>
          <w:tcPr>
            <w:tcW w:w="6460" w:type="dxa"/>
            <w:vAlign w:val="bottom"/>
            <w:gridSpan w:val="3"/>
            <w:shd w:val="clear" w:color="auto" w:fill="CCEEFF"/>
          </w:tcPr>
          <w:p>
            <w:pPr>
              <w:ind w:left="20"/>
              <w:spacing w:after="0"/>
              <w:rPr>
                <w:sz w:val="20"/>
                <w:szCs w:val="20"/>
                <w:color w:val="auto"/>
              </w:rPr>
            </w:pPr>
            <w:r>
              <w:rPr>
                <w:rFonts w:ascii="Arial" w:cs="Arial" w:eastAsia="Arial" w:hAnsi="Arial"/>
                <w:sz w:val="15"/>
                <w:szCs w:val="15"/>
                <w:color w:val="auto"/>
              </w:rPr>
              <w:t>Other</w:t>
            </w: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21.1</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83"/>
              <w:spacing w:after="0"/>
              <w:rPr>
                <w:sz w:val="20"/>
                <w:szCs w:val="20"/>
                <w:color w:val="auto"/>
              </w:rPr>
            </w:pPr>
            <w:r>
              <w:rPr>
                <w:rFonts w:ascii="Arial" w:cs="Arial" w:eastAsia="Arial" w:hAnsi="Arial"/>
                <w:sz w:val="15"/>
                <w:szCs w:val="15"/>
                <w:color w:val="auto"/>
                <w:w w:val="95"/>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(21.8)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42.9</w:t>
            </w: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jc w:val="center"/>
              <w:spacing w:after="0"/>
              <w:rPr>
                <w:sz w:val="20"/>
                <w:szCs w:val="20"/>
                <w:color w:val="auto"/>
              </w:rPr>
            </w:pPr>
            <w:r>
              <w:rPr>
                <w:rFonts w:ascii="Arial" w:cs="Arial" w:eastAsia="Arial" w:hAnsi="Arial"/>
                <w:sz w:val="15"/>
                <w:szCs w:val="15"/>
                <w:color w:val="auto"/>
              </w:rPr>
              <w:t>N/M</w:t>
            </w:r>
          </w:p>
        </w:tc>
        <w:tc>
          <w:tcPr>
            <w:tcW w:w="0" w:type="dxa"/>
            <w:vAlign w:val="bottom"/>
          </w:tcPr>
          <w:p>
            <w:pPr>
              <w:spacing w:after="0"/>
              <w:rPr>
                <w:sz w:val="1"/>
                <w:szCs w:val="1"/>
                <w:color w:val="auto"/>
              </w:rPr>
            </w:pPr>
          </w:p>
        </w:tc>
      </w:tr>
    </w:tbl>
    <w:p>
      <w:pPr>
        <w:spacing w:after="0" w:line="123" w:lineRule="exact"/>
        <w:rPr>
          <w:sz w:val="20"/>
          <w:szCs w:val="20"/>
          <w:color w:val="auto"/>
        </w:rPr>
      </w:pPr>
    </w:p>
    <w:p>
      <w:pPr>
        <w:ind w:left="320"/>
        <w:spacing w:after="0"/>
        <w:rPr>
          <w:sz w:val="20"/>
          <w:szCs w:val="20"/>
          <w:color w:val="auto"/>
        </w:rPr>
      </w:pPr>
      <w:r>
        <w:rPr>
          <w:rFonts w:ascii="Arial" w:cs="Arial" w:eastAsia="Arial" w:hAnsi="Arial"/>
          <w:sz w:val="14"/>
          <w:szCs w:val="14"/>
          <w:color w:val="auto"/>
        </w:rPr>
        <w:t>N/M - Not meaningful</w:t>
      </w:r>
    </w:p>
    <w:p>
      <w:pPr>
        <w:spacing w:after="0" w:line="167" w:lineRule="exact"/>
        <w:rPr>
          <w:sz w:val="20"/>
          <w:szCs w:val="20"/>
          <w:color w:val="auto"/>
        </w:rPr>
      </w:pPr>
    </w:p>
    <w:p>
      <w:pPr>
        <w:ind w:right="340" w:firstLine="309"/>
        <w:spacing w:after="0" w:line="279" w:lineRule="auto"/>
        <w:rPr>
          <w:sz w:val="20"/>
          <w:szCs w:val="20"/>
          <w:color w:val="auto"/>
        </w:rPr>
      </w:pPr>
      <w:r>
        <w:rPr>
          <w:rFonts w:ascii="Arial" w:cs="Arial" w:eastAsia="Arial" w:hAnsi="Arial"/>
          <w:sz w:val="17"/>
          <w:szCs w:val="17"/>
          <w:b w:val="1"/>
          <w:bCs w:val="1"/>
          <w:i w:val="1"/>
          <w:iCs w:val="1"/>
          <w:color w:val="auto"/>
        </w:rPr>
        <w:t xml:space="preserve">Interest expense, net </w:t>
      </w:r>
      <w:r>
        <w:rPr>
          <w:rFonts w:ascii="Arial" w:cs="Arial" w:eastAsia="Arial" w:hAnsi="Arial"/>
          <w:sz w:val="17"/>
          <w:szCs w:val="17"/>
          <w:color w:val="auto"/>
        </w:rPr>
        <w:t>increased for the three months ended March 31, 2021, as compared to the prior year period, due to a $5.6 million increase in interest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expense related to the issuance of our 2.75% Convertible Notes in May, 2020.</w:t>
      </w:r>
    </w:p>
    <w:p>
      <w:pPr>
        <w:spacing w:after="0" w:line="126" w:lineRule="exact"/>
        <w:rPr>
          <w:sz w:val="20"/>
          <w:szCs w:val="20"/>
          <w:color w:val="auto"/>
        </w:rPr>
      </w:pPr>
    </w:p>
    <w:p>
      <w:pPr>
        <w:ind w:right="480" w:firstLine="309"/>
        <w:spacing w:after="0" w:line="279" w:lineRule="auto"/>
        <w:rPr>
          <w:sz w:val="20"/>
          <w:szCs w:val="20"/>
          <w:color w:val="auto"/>
        </w:rPr>
      </w:pPr>
      <w:r>
        <w:rPr>
          <w:rFonts w:ascii="Arial" w:cs="Arial" w:eastAsia="Arial" w:hAnsi="Arial"/>
          <w:sz w:val="17"/>
          <w:szCs w:val="17"/>
          <w:b w:val="1"/>
          <w:bCs w:val="1"/>
          <w:i w:val="1"/>
          <w:iCs w:val="1"/>
          <w:color w:val="auto"/>
        </w:rPr>
        <w:t xml:space="preserve">Income from unconsolidated affiliates </w:t>
      </w:r>
      <w:r>
        <w:rPr>
          <w:rFonts w:ascii="Arial" w:cs="Arial" w:eastAsia="Arial" w:hAnsi="Arial"/>
          <w:sz w:val="17"/>
          <w:szCs w:val="17"/>
          <w:color w:val="auto"/>
        </w:rPr>
        <w:t>relates principally to Barstool Sports and our Kansas Entertainment JV. The increase for the three months ended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March 31, 2021, as compared to the prior year period, was due to an increase in the results</w:t>
      </w: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182245</wp:posOffset>
            </wp:positionV>
            <wp:extent cx="7164070" cy="4191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6" w:name="page37"/>
    <w:bookmarkEnd w:id="36"/>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339" w:lineRule="exact"/>
        <w:rPr>
          <w:sz w:val="20"/>
          <w:szCs w:val="20"/>
          <w:color w:val="auto"/>
        </w:rPr>
      </w:pPr>
    </w:p>
    <w:p>
      <w:pPr>
        <w:ind w:right="340"/>
        <w:spacing w:after="0" w:line="279" w:lineRule="auto"/>
        <w:rPr>
          <w:sz w:val="20"/>
          <w:szCs w:val="20"/>
          <w:color w:val="auto"/>
        </w:rPr>
      </w:pPr>
      <w:r>
        <w:rPr>
          <w:rFonts w:ascii="Arial" w:cs="Arial" w:eastAsia="Arial" w:hAnsi="Arial"/>
          <w:sz w:val="17"/>
          <w:szCs w:val="17"/>
          <w:color w:val="auto"/>
        </w:rPr>
        <w:t>of Hollywood Casino at Kansas Speedway and full quarter of income earned from our Barstool Sports investment, which we completed in February, 2020. We record our proportionate share of Barstool Sports' net income or loss one quarter in arrears.</w:t>
      </w:r>
    </w:p>
    <w:p>
      <w:pPr>
        <w:spacing w:after="0" w:line="126" w:lineRule="exact"/>
        <w:rPr>
          <w:sz w:val="20"/>
          <w:szCs w:val="20"/>
          <w:color w:val="auto"/>
        </w:rPr>
      </w:pPr>
    </w:p>
    <w:p>
      <w:pPr>
        <w:ind w:right="160" w:firstLine="309"/>
        <w:spacing w:after="0" w:line="266" w:lineRule="auto"/>
        <w:rPr>
          <w:sz w:val="20"/>
          <w:szCs w:val="20"/>
          <w:color w:val="auto"/>
        </w:rPr>
      </w:pPr>
      <w:r>
        <w:rPr>
          <w:rFonts w:ascii="Arial" w:cs="Arial" w:eastAsia="Arial" w:hAnsi="Arial"/>
          <w:sz w:val="16"/>
          <w:szCs w:val="16"/>
          <w:b w:val="1"/>
          <w:bCs w:val="1"/>
          <w:i w:val="1"/>
          <w:iCs w:val="1"/>
          <w:color w:val="auto"/>
        </w:rPr>
        <w:t xml:space="preserve">Income tax benefit (expense) </w:t>
      </w:r>
      <w:r>
        <w:rPr>
          <w:rFonts w:ascii="Arial" w:cs="Arial" w:eastAsia="Arial" w:hAnsi="Arial"/>
          <w:sz w:val="16"/>
          <w:szCs w:val="16"/>
          <w:color w:val="auto"/>
        </w:rPr>
        <w:t>was a $20.6 million expense for the three months ended March 31, 2021, as compared to a $99.5 million benefit for the three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months ended March 31, 2020. Our effective tax rate (income taxes as a percentage of income or loss from operations before income taxes) including discrete items was 18.5% for the three months ended March 31, 2021, as compared to 14.1% for the three months ended March 31, 2020. The change in the effective rate for the three months ended March 31, 2021 as compared to the prior year period was primarily due to an increase of pre-tax income.</w:t>
      </w:r>
    </w:p>
    <w:p>
      <w:pPr>
        <w:spacing w:after="0" w:line="190" w:lineRule="exact"/>
        <w:rPr>
          <w:sz w:val="20"/>
          <w:szCs w:val="20"/>
          <w:color w:val="auto"/>
        </w:rPr>
      </w:pPr>
    </w:p>
    <w:p>
      <w:pPr>
        <w:ind w:right="120" w:firstLine="309"/>
        <w:spacing w:after="0" w:line="266" w:lineRule="auto"/>
        <w:rPr>
          <w:sz w:val="20"/>
          <w:szCs w:val="20"/>
          <w:color w:val="auto"/>
        </w:rPr>
      </w:pPr>
      <w:r>
        <w:rPr>
          <w:rFonts w:ascii="Arial" w:cs="Arial" w:eastAsia="Arial" w:hAnsi="Arial"/>
          <w:sz w:val="17"/>
          <w:szCs w:val="17"/>
          <w:color w:val="auto"/>
        </w:rPr>
        <w:t>Our effective income tax rate can vary each reporting period depending on, among other factors, the geographic and business mix of our earnings, changes to our valuation allowance, and the level of our tax credits. Certain of these and other factors, including our history and projections of pre-tax earnings, are considered in assessing our ability to realize our net deferred tax assets.</w:t>
      </w:r>
    </w:p>
    <w:p>
      <w:pPr>
        <w:spacing w:after="0" w:line="149" w:lineRule="exact"/>
        <w:rPr>
          <w:sz w:val="20"/>
          <w:szCs w:val="20"/>
          <w:color w:val="auto"/>
        </w:rPr>
      </w:pPr>
    </w:p>
    <w:p>
      <w:pPr>
        <w:jc w:val="both"/>
        <w:ind w:firstLine="309"/>
        <w:spacing w:after="0" w:line="318" w:lineRule="auto"/>
        <w:rPr>
          <w:sz w:val="20"/>
          <w:szCs w:val="20"/>
          <w:color w:val="auto"/>
        </w:rPr>
      </w:pPr>
      <w:r>
        <w:rPr>
          <w:rFonts w:ascii="Arial" w:cs="Arial" w:eastAsia="Arial" w:hAnsi="Arial"/>
          <w:sz w:val="15"/>
          <w:szCs w:val="15"/>
          <w:b w:val="1"/>
          <w:bCs w:val="1"/>
          <w:i w:val="1"/>
          <w:iCs w:val="1"/>
          <w:color w:val="auto"/>
        </w:rPr>
        <w:t xml:space="preserve">Other </w:t>
      </w:r>
      <w:r>
        <w:rPr>
          <w:rFonts w:ascii="Arial" w:cs="Arial" w:eastAsia="Arial" w:hAnsi="Arial"/>
          <w:sz w:val="15"/>
          <w:szCs w:val="15"/>
          <w:color w:val="auto"/>
        </w:rPr>
        <w:t>includes miscellaneous income and expense items. The amount for the three months ended March 31, 2021 relates primarily to unrealized holding gains</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of $26.1 million compared to unrealized holding losses of $21.8 million in the prior year quarter on equity securities (including warrants), held by Penn Interactive. The securities are multi-year agreements with sports betting operators for online sports betting and related iGaming market access across our portfolio.</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Segment comparison of the three months ended March 31, 2021 and 2020</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Northeast Segment</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5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500" w:type="dxa"/>
            <w:vAlign w:val="bottom"/>
            <w:gridSpan w:val="6"/>
          </w:tcPr>
          <w:p>
            <w:pPr>
              <w:spacing w:after="0"/>
              <w:rPr>
                <w:sz w:val="20"/>
                <w:szCs w:val="20"/>
                <w:color w:val="auto"/>
              </w:rPr>
            </w:pPr>
            <w:r>
              <w:rPr>
                <w:rFonts w:ascii="Arial" w:cs="Arial" w:eastAsia="Arial" w:hAnsi="Arial"/>
                <w:sz w:val="15"/>
                <w:szCs w:val="15"/>
                <w:b w:val="1"/>
                <w:bCs w:val="1"/>
                <w:color w:val="auto"/>
              </w:rPr>
              <w:t>For the three months ended March</w:t>
            </w:r>
          </w:p>
        </w:tc>
        <w:tc>
          <w:tcPr>
            <w:tcW w:w="120" w:type="dxa"/>
            <w:vAlign w:val="bottom"/>
          </w:tcPr>
          <w:p>
            <w:pPr>
              <w:spacing w:after="0"/>
              <w:rPr>
                <w:sz w:val="14"/>
                <w:szCs w:val="14"/>
                <w:color w:val="auto"/>
              </w:rPr>
            </w:pPr>
          </w:p>
        </w:tc>
        <w:tc>
          <w:tcPr>
            <w:tcW w:w="960" w:type="dxa"/>
            <w:vAlign w:val="bottom"/>
            <w:vMerge w:val="restart"/>
          </w:tcPr>
          <w:p>
            <w:pPr>
              <w:jc w:val="center"/>
              <w:ind w:right="43"/>
              <w:spacing w:after="0"/>
              <w:rPr>
                <w:sz w:val="20"/>
                <w:szCs w:val="20"/>
                <w:color w:val="auto"/>
              </w:rPr>
            </w:pPr>
            <w:r>
              <w:rPr>
                <w:rFonts w:ascii="Arial" w:cs="Arial" w:eastAsia="Arial" w:hAnsi="Arial"/>
                <w:sz w:val="15"/>
                <w:szCs w:val="15"/>
                <w:b w:val="1"/>
                <w:bCs w:val="1"/>
                <w:color w:val="auto"/>
                <w:w w:val="94"/>
              </w:rPr>
              <w:t>$ Change</w:t>
            </w:r>
          </w:p>
        </w:tc>
        <w:tc>
          <w:tcPr>
            <w:tcW w:w="80" w:type="dxa"/>
            <w:vAlign w:val="bottom"/>
          </w:tcPr>
          <w:p>
            <w:pPr>
              <w:spacing w:after="0"/>
              <w:rPr>
                <w:sz w:val="14"/>
                <w:szCs w:val="14"/>
                <w:color w:val="auto"/>
              </w:rPr>
            </w:pPr>
          </w:p>
        </w:tc>
        <w:tc>
          <w:tcPr>
            <w:tcW w:w="1200" w:type="dxa"/>
            <w:vAlign w:val="bottom"/>
            <w:vMerge w:val="restart"/>
          </w:tcPr>
          <w:p>
            <w:pPr>
              <w:jc w:val="center"/>
              <w:spacing w:after="0"/>
              <w:rPr>
                <w:sz w:val="20"/>
                <w:szCs w:val="20"/>
                <w:color w:val="auto"/>
              </w:rPr>
            </w:pPr>
            <w:r>
              <w:rPr>
                <w:rFonts w:ascii="Arial" w:cs="Arial" w:eastAsia="Arial" w:hAnsi="Arial"/>
                <w:sz w:val="15"/>
                <w:szCs w:val="15"/>
                <w:b w:val="1"/>
                <w:bCs w:val="1"/>
                <w:color w:val="auto"/>
                <w:w w:val="96"/>
              </w:rPr>
              <w:t>% Change</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514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gridSpan w:val="3"/>
          </w:tcPr>
          <w:p>
            <w:pPr>
              <w:jc w:val="right"/>
              <w:ind w:right="240"/>
              <w:spacing w:after="0"/>
              <w:rPr>
                <w:sz w:val="20"/>
                <w:szCs w:val="20"/>
                <w:color w:val="auto"/>
              </w:rPr>
            </w:pPr>
            <w:r>
              <w:rPr>
                <w:rFonts w:ascii="Arial" w:cs="Arial" w:eastAsia="Arial" w:hAnsi="Arial"/>
                <w:sz w:val="15"/>
                <w:szCs w:val="15"/>
                <w:b w:val="1"/>
                <w:bCs w:val="1"/>
                <w:color w:val="auto"/>
              </w:rPr>
              <w:t>31,</w:t>
            </w:r>
          </w:p>
        </w:tc>
        <w:tc>
          <w:tcPr>
            <w:tcW w:w="9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vMerge w:val="continue"/>
          </w:tcPr>
          <w:p>
            <w:pPr>
              <w:spacing w:after="0"/>
              <w:rPr>
                <w:sz w:val="17"/>
                <w:szCs w:val="17"/>
                <w:color w:val="auto"/>
              </w:rPr>
            </w:pPr>
          </w:p>
        </w:tc>
        <w:tc>
          <w:tcPr>
            <w:tcW w:w="80" w:type="dxa"/>
            <w:vAlign w:val="bottom"/>
          </w:tcPr>
          <w:p>
            <w:pPr>
              <w:spacing w:after="0"/>
              <w:rPr>
                <w:sz w:val="17"/>
                <w:szCs w:val="17"/>
                <w:color w:val="auto"/>
              </w:rPr>
            </w:pPr>
          </w:p>
        </w:tc>
        <w:tc>
          <w:tcPr>
            <w:tcW w:w="120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63"/>
        </w:trPr>
        <w:tc>
          <w:tcPr>
            <w:tcW w:w="6280" w:type="dxa"/>
            <w:vAlign w:val="bottom"/>
            <w:gridSpan w:val="3"/>
          </w:tcPr>
          <w:p>
            <w:pPr>
              <w:ind w:left="20"/>
              <w:spacing w:after="0"/>
              <w:rPr>
                <w:sz w:val="20"/>
                <w:szCs w:val="20"/>
                <w:color w:val="auto"/>
              </w:rPr>
            </w:pPr>
            <w:r>
              <w:rPr>
                <w:rFonts w:ascii="Arial" w:cs="Arial" w:eastAsia="Arial" w:hAnsi="Arial"/>
                <w:sz w:val="14"/>
                <w:szCs w:val="14"/>
                <w:b w:val="1"/>
                <w:bCs w:val="1"/>
                <w:i w:val="1"/>
                <w:iCs w:val="1"/>
                <w:color w:val="auto"/>
              </w:rPr>
              <w:t>(dollars in millions)</w:t>
            </w:r>
          </w:p>
        </w:tc>
        <w:tc>
          <w:tcPr>
            <w:tcW w:w="100" w:type="dxa"/>
            <w:vAlign w:val="bottom"/>
          </w:tcPr>
          <w:p>
            <w:pPr>
              <w:spacing w:after="0"/>
              <w:rPr>
                <w:sz w:val="14"/>
                <w:szCs w:val="14"/>
                <w:color w:val="auto"/>
              </w:rPr>
            </w:pPr>
          </w:p>
        </w:tc>
        <w:tc>
          <w:tcPr>
            <w:tcW w:w="980" w:type="dxa"/>
            <w:vAlign w:val="bottom"/>
          </w:tcPr>
          <w:p>
            <w:pPr>
              <w:jc w:val="right"/>
              <w:ind w:right="243"/>
              <w:spacing w:after="0" w:line="163" w:lineRule="exact"/>
              <w:rPr>
                <w:sz w:val="20"/>
                <w:szCs w:val="20"/>
                <w:color w:val="auto"/>
              </w:rPr>
            </w:pPr>
            <w:r>
              <w:rPr>
                <w:rFonts w:ascii="Arial" w:cs="Arial" w:eastAsia="Arial" w:hAnsi="Arial"/>
                <w:sz w:val="15"/>
                <w:szCs w:val="15"/>
                <w:b w:val="1"/>
                <w:bCs w:val="1"/>
                <w:color w:val="auto"/>
              </w:rPr>
              <w:t>2021</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jc w:val="right"/>
              <w:ind w:right="363"/>
              <w:spacing w:after="0" w:line="163" w:lineRule="exact"/>
              <w:rPr>
                <w:sz w:val="20"/>
                <w:szCs w:val="20"/>
                <w:color w:val="auto"/>
              </w:rPr>
            </w:pPr>
            <w:r>
              <w:rPr>
                <w:rFonts w:ascii="Arial" w:cs="Arial" w:eastAsia="Arial" w:hAnsi="Arial"/>
                <w:sz w:val="15"/>
                <w:szCs w:val="15"/>
                <w:b w:val="1"/>
                <w:bCs w:val="1"/>
                <w:color w:val="auto"/>
              </w:rPr>
              <w:t>2020</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jc w:val="center"/>
              <w:ind w:right="43"/>
              <w:spacing w:after="0" w:line="163" w:lineRule="exact"/>
              <w:rPr>
                <w:sz w:val="20"/>
                <w:szCs w:val="20"/>
                <w:color w:val="auto"/>
              </w:rPr>
            </w:pPr>
            <w:r>
              <w:rPr>
                <w:rFonts w:ascii="Arial" w:cs="Arial" w:eastAsia="Arial" w:hAnsi="Arial"/>
                <w:sz w:val="15"/>
                <w:szCs w:val="15"/>
                <w:b w:val="1"/>
                <w:bCs w:val="1"/>
                <w:color w:val="auto"/>
                <w:w w:val="91"/>
              </w:rPr>
              <w:t>2021 vs 2020</w:t>
            </w:r>
          </w:p>
        </w:tc>
        <w:tc>
          <w:tcPr>
            <w:tcW w:w="80" w:type="dxa"/>
            <w:vAlign w:val="bottom"/>
          </w:tcPr>
          <w:p>
            <w:pPr>
              <w:spacing w:after="0"/>
              <w:rPr>
                <w:sz w:val="14"/>
                <w:szCs w:val="14"/>
                <w:color w:val="auto"/>
              </w:rPr>
            </w:pPr>
          </w:p>
        </w:tc>
        <w:tc>
          <w:tcPr>
            <w:tcW w:w="1200" w:type="dxa"/>
            <w:vAlign w:val="bottom"/>
          </w:tcPr>
          <w:p>
            <w:pPr>
              <w:jc w:val="center"/>
              <w:spacing w:after="0" w:line="163" w:lineRule="exact"/>
              <w:rPr>
                <w:sz w:val="20"/>
                <w:szCs w:val="20"/>
                <w:color w:val="auto"/>
              </w:rPr>
            </w:pPr>
            <w:r>
              <w:rPr>
                <w:rFonts w:ascii="Arial" w:cs="Arial" w:eastAsia="Arial" w:hAnsi="Arial"/>
                <w:sz w:val="15"/>
                <w:szCs w:val="15"/>
                <w:b w:val="1"/>
                <w:bCs w:val="1"/>
                <w:color w:val="auto"/>
                <w:w w:val="91"/>
              </w:rPr>
              <w:t>2021 vs 2020</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120" w:type="dxa"/>
            <w:vAlign w:val="bottom"/>
            <w:tcBorders>
              <w:top w:val="single" w:sz="8" w:color="auto"/>
              <w:bottom w:val="single" w:sz="8" w:color="CCEEFF"/>
            </w:tcBorders>
          </w:tcPr>
          <w:p>
            <w:pPr>
              <w:spacing w:after="0" w:line="20" w:lineRule="exact"/>
              <w:rPr>
                <w:sz w:val="1"/>
                <w:szCs w:val="1"/>
                <w:color w:val="auto"/>
              </w:rPr>
            </w:pPr>
          </w:p>
        </w:tc>
        <w:tc>
          <w:tcPr>
            <w:tcW w:w="51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5"/>
        </w:trPr>
        <w:tc>
          <w:tcPr>
            <w:tcW w:w="6280" w:type="dxa"/>
            <w:vAlign w:val="bottom"/>
            <w:gridSpan w:val="3"/>
            <w:shd w:val="clear" w:color="auto" w:fill="CCEEFF"/>
          </w:tcPr>
          <w:p>
            <w:pPr>
              <w:ind w:left="20"/>
              <w:spacing w:after="0"/>
              <w:rPr>
                <w:sz w:val="20"/>
                <w:szCs w:val="20"/>
                <w:color w:val="auto"/>
              </w:rPr>
            </w:pPr>
            <w:r>
              <w:rPr>
                <w:rFonts w:ascii="Arial" w:cs="Arial" w:eastAsia="Arial" w:hAnsi="Arial"/>
                <w:sz w:val="15"/>
                <w:szCs w:val="15"/>
                <w:b w:val="1"/>
                <w:bCs w:val="1"/>
                <w:color w:val="auto"/>
              </w:rPr>
              <w:t>Revenues</w:t>
            </w:r>
          </w:p>
        </w:tc>
        <w:tc>
          <w:tcPr>
            <w:tcW w:w="1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60" w:type="dxa"/>
            <w:vAlign w:val="bottom"/>
            <w:gridSpan w:val="2"/>
          </w:tcPr>
          <w:p>
            <w:pPr>
              <w:ind w:left="120"/>
              <w:spacing w:after="0"/>
              <w:rPr>
                <w:sz w:val="20"/>
                <w:szCs w:val="20"/>
                <w:color w:val="auto"/>
              </w:rPr>
            </w:pPr>
            <w:r>
              <w:rPr>
                <w:rFonts w:ascii="Arial" w:cs="Arial" w:eastAsia="Arial" w:hAnsi="Arial"/>
                <w:sz w:val="15"/>
                <w:szCs w:val="15"/>
                <w:color w:val="auto"/>
              </w:rPr>
              <w:t>Gaming</w:t>
            </w:r>
          </w:p>
        </w:tc>
        <w:tc>
          <w:tcPr>
            <w:tcW w:w="10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980" w:type="dxa"/>
            <w:vAlign w:val="bottom"/>
          </w:tcPr>
          <w:p>
            <w:pPr>
              <w:jc w:val="right"/>
              <w:ind w:right="3"/>
              <w:spacing w:after="0"/>
              <w:rPr>
                <w:sz w:val="20"/>
                <w:szCs w:val="20"/>
                <w:color w:val="auto"/>
              </w:rPr>
            </w:pPr>
            <w:r>
              <w:rPr>
                <w:rFonts w:ascii="Arial" w:cs="Arial" w:eastAsia="Arial" w:hAnsi="Arial"/>
                <w:sz w:val="15"/>
                <w:szCs w:val="15"/>
                <w:color w:val="auto"/>
              </w:rPr>
              <w:t>527.0</w:t>
            </w:r>
          </w:p>
        </w:tc>
        <w:tc>
          <w:tcPr>
            <w:tcW w:w="500" w:type="dxa"/>
            <w:vAlign w:val="bottom"/>
            <w:gridSpan w:val="3"/>
          </w:tcPr>
          <w:p>
            <w:pPr>
              <w:jc w:val="right"/>
              <w:ind w:right="180"/>
              <w:spacing w:after="0"/>
              <w:rPr>
                <w:sz w:val="20"/>
                <w:szCs w:val="20"/>
                <w:color w:val="auto"/>
              </w:rPr>
            </w:pPr>
            <w:r>
              <w:rPr>
                <w:rFonts w:ascii="Arial" w:cs="Arial" w:eastAsia="Arial" w:hAnsi="Arial"/>
                <w:sz w:val="15"/>
                <w:szCs w:val="15"/>
                <w:color w:val="auto"/>
              </w:rPr>
              <w:t>$</w:t>
            </w:r>
          </w:p>
        </w:tc>
        <w:tc>
          <w:tcPr>
            <w:tcW w:w="920" w:type="dxa"/>
            <w:vAlign w:val="bottom"/>
          </w:tcPr>
          <w:p>
            <w:pPr>
              <w:jc w:val="right"/>
              <w:ind w:right="123"/>
              <w:spacing w:after="0"/>
              <w:rPr>
                <w:sz w:val="20"/>
                <w:szCs w:val="20"/>
                <w:color w:val="auto"/>
              </w:rPr>
            </w:pPr>
            <w:r>
              <w:rPr>
                <w:rFonts w:ascii="Arial" w:cs="Arial" w:eastAsia="Arial" w:hAnsi="Arial"/>
                <w:sz w:val="15"/>
                <w:szCs w:val="15"/>
                <w:color w:val="auto"/>
              </w:rPr>
              <w:t>458.7</w:t>
            </w:r>
          </w:p>
        </w:tc>
        <w:tc>
          <w:tcPr>
            <w:tcW w:w="1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960" w:type="dxa"/>
            <w:vAlign w:val="bottom"/>
          </w:tcPr>
          <w:p>
            <w:pPr>
              <w:jc w:val="center"/>
              <w:ind w:left="483"/>
              <w:spacing w:after="0"/>
              <w:rPr>
                <w:sz w:val="20"/>
                <w:szCs w:val="20"/>
                <w:color w:val="auto"/>
              </w:rPr>
            </w:pPr>
            <w:r>
              <w:rPr>
                <w:rFonts w:ascii="Arial" w:cs="Arial" w:eastAsia="Arial" w:hAnsi="Arial"/>
                <w:sz w:val="15"/>
                <w:szCs w:val="15"/>
                <w:color w:val="auto"/>
                <w:w w:val="95"/>
              </w:rPr>
              <w:t>68.3</w:t>
            </w:r>
          </w:p>
        </w:tc>
        <w:tc>
          <w:tcPr>
            <w:tcW w:w="1280" w:type="dxa"/>
            <w:vAlign w:val="bottom"/>
            <w:gridSpan w:val="2"/>
          </w:tcPr>
          <w:p>
            <w:pPr>
              <w:jc w:val="right"/>
              <w:spacing w:after="0"/>
              <w:rPr>
                <w:sz w:val="20"/>
                <w:szCs w:val="20"/>
                <w:color w:val="auto"/>
              </w:rPr>
            </w:pPr>
            <w:r>
              <w:rPr>
                <w:rFonts w:ascii="Arial" w:cs="Arial" w:eastAsia="Arial" w:hAnsi="Arial"/>
                <w:sz w:val="15"/>
                <w:szCs w:val="15"/>
                <w:color w:val="auto"/>
              </w:rPr>
              <w:t>14.9 %</w:t>
            </w:r>
          </w:p>
        </w:tc>
        <w:tc>
          <w:tcPr>
            <w:tcW w:w="0" w:type="dxa"/>
            <w:vAlign w:val="bottom"/>
          </w:tcPr>
          <w:p>
            <w:pPr>
              <w:spacing w:after="0"/>
              <w:rPr>
                <w:sz w:val="1"/>
                <w:szCs w:val="1"/>
                <w:color w:val="auto"/>
              </w:rPr>
            </w:pPr>
          </w:p>
        </w:tc>
      </w:tr>
      <w:tr>
        <w:trPr>
          <w:trHeight w:val="206"/>
        </w:trPr>
        <w:tc>
          <w:tcPr>
            <w:tcW w:w="20" w:type="dxa"/>
            <w:vAlign w:val="bottom"/>
            <w:shd w:val="clear" w:color="auto" w:fill="CCEEFF"/>
          </w:tcPr>
          <w:p>
            <w:pPr>
              <w:spacing w:after="0"/>
              <w:rPr>
                <w:sz w:val="17"/>
                <w:szCs w:val="17"/>
                <w:color w:val="auto"/>
              </w:rPr>
            </w:pPr>
          </w:p>
        </w:tc>
        <w:tc>
          <w:tcPr>
            <w:tcW w:w="6260" w:type="dxa"/>
            <w:vAlign w:val="bottom"/>
            <w:gridSpan w:val="2"/>
            <w:shd w:val="clear" w:color="auto" w:fill="CCEEFF"/>
          </w:tcPr>
          <w:p>
            <w:pPr>
              <w:ind w:left="120"/>
              <w:spacing w:after="0"/>
              <w:rPr>
                <w:sz w:val="20"/>
                <w:szCs w:val="20"/>
                <w:color w:val="auto"/>
              </w:rPr>
            </w:pPr>
            <w:r>
              <w:rPr>
                <w:rFonts w:ascii="Arial" w:cs="Arial" w:eastAsia="Arial" w:hAnsi="Arial"/>
                <w:sz w:val="15"/>
                <w:szCs w:val="15"/>
                <w:color w:val="auto"/>
              </w:rPr>
              <w:t>Food, beverage, hotel and other</w:t>
            </w:r>
          </w:p>
        </w:tc>
        <w:tc>
          <w:tcPr>
            <w:tcW w:w="10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rPr>
              <w:t>43.9</w:t>
            </w:r>
          </w:p>
        </w:tc>
        <w:tc>
          <w:tcPr>
            <w:tcW w:w="120" w:type="dxa"/>
            <w:vAlign w:val="bottom"/>
            <w:tcBorders>
              <w:bottom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ind w:right="123"/>
              <w:spacing w:after="0"/>
              <w:rPr>
                <w:sz w:val="20"/>
                <w:szCs w:val="20"/>
                <w:color w:val="auto"/>
              </w:rPr>
            </w:pPr>
            <w:r>
              <w:rPr>
                <w:rFonts w:ascii="Arial" w:cs="Arial" w:eastAsia="Arial" w:hAnsi="Arial"/>
                <w:sz w:val="15"/>
                <w:szCs w:val="15"/>
                <w:color w:val="auto"/>
              </w:rPr>
              <w:t>62.0</w:t>
            </w: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center"/>
              <w:ind w:left="463"/>
              <w:spacing w:after="0"/>
              <w:rPr>
                <w:sz w:val="20"/>
                <w:szCs w:val="20"/>
                <w:color w:val="auto"/>
              </w:rPr>
            </w:pPr>
            <w:r>
              <w:rPr>
                <w:rFonts w:ascii="Arial" w:cs="Arial" w:eastAsia="Arial" w:hAnsi="Arial"/>
                <w:sz w:val="15"/>
                <w:szCs w:val="15"/>
                <w:color w:val="auto"/>
                <w:w w:val="96"/>
              </w:rPr>
              <w:t>(18.1)</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(29.2)%</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260" w:type="dxa"/>
            <w:vAlign w:val="bottom"/>
            <w:gridSpan w:val="2"/>
          </w:tcPr>
          <w:p>
            <w:pPr>
              <w:ind w:left="300"/>
              <w:spacing w:after="0"/>
              <w:rPr>
                <w:sz w:val="20"/>
                <w:szCs w:val="20"/>
                <w:color w:val="auto"/>
              </w:rPr>
            </w:pPr>
            <w:r>
              <w:rPr>
                <w:rFonts w:ascii="Arial" w:cs="Arial" w:eastAsia="Arial" w:hAnsi="Arial"/>
                <w:sz w:val="15"/>
                <w:szCs w:val="15"/>
                <w:color w:val="auto"/>
              </w:rPr>
              <w:t>Total revenues</w:t>
            </w:r>
          </w:p>
        </w:tc>
        <w:tc>
          <w:tcPr>
            <w:tcW w:w="10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980" w:type="dxa"/>
            <w:vAlign w:val="bottom"/>
          </w:tcPr>
          <w:p>
            <w:pPr>
              <w:jc w:val="right"/>
              <w:ind w:right="3"/>
              <w:spacing w:after="0"/>
              <w:rPr>
                <w:sz w:val="20"/>
                <w:szCs w:val="20"/>
                <w:color w:val="auto"/>
              </w:rPr>
            </w:pPr>
            <w:r>
              <w:rPr>
                <w:rFonts w:ascii="Arial" w:cs="Arial" w:eastAsia="Arial" w:hAnsi="Arial"/>
                <w:sz w:val="15"/>
                <w:szCs w:val="15"/>
                <w:color w:val="auto"/>
              </w:rPr>
              <w:t>570.9</w:t>
            </w:r>
          </w:p>
        </w:tc>
        <w:tc>
          <w:tcPr>
            <w:tcW w:w="500" w:type="dxa"/>
            <w:vAlign w:val="bottom"/>
            <w:gridSpan w:val="3"/>
          </w:tcPr>
          <w:p>
            <w:pPr>
              <w:jc w:val="right"/>
              <w:ind w:right="180"/>
              <w:spacing w:after="0"/>
              <w:rPr>
                <w:sz w:val="20"/>
                <w:szCs w:val="20"/>
                <w:color w:val="auto"/>
              </w:rPr>
            </w:pPr>
            <w:r>
              <w:rPr>
                <w:rFonts w:ascii="Arial" w:cs="Arial" w:eastAsia="Arial" w:hAnsi="Arial"/>
                <w:sz w:val="15"/>
                <w:szCs w:val="15"/>
                <w:color w:val="auto"/>
              </w:rPr>
              <w:t>$</w:t>
            </w:r>
          </w:p>
        </w:tc>
        <w:tc>
          <w:tcPr>
            <w:tcW w:w="920" w:type="dxa"/>
            <w:vAlign w:val="bottom"/>
          </w:tcPr>
          <w:p>
            <w:pPr>
              <w:jc w:val="right"/>
              <w:ind w:right="123"/>
              <w:spacing w:after="0"/>
              <w:rPr>
                <w:sz w:val="20"/>
                <w:szCs w:val="20"/>
                <w:color w:val="auto"/>
              </w:rPr>
            </w:pPr>
            <w:r>
              <w:rPr>
                <w:rFonts w:ascii="Arial" w:cs="Arial" w:eastAsia="Arial" w:hAnsi="Arial"/>
                <w:sz w:val="15"/>
                <w:szCs w:val="15"/>
                <w:color w:val="auto"/>
              </w:rPr>
              <w:t>520.7</w:t>
            </w:r>
          </w:p>
        </w:tc>
        <w:tc>
          <w:tcPr>
            <w:tcW w:w="1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960" w:type="dxa"/>
            <w:vAlign w:val="bottom"/>
          </w:tcPr>
          <w:p>
            <w:pPr>
              <w:jc w:val="center"/>
              <w:ind w:left="483"/>
              <w:spacing w:after="0"/>
              <w:rPr>
                <w:sz w:val="20"/>
                <w:szCs w:val="20"/>
                <w:color w:val="auto"/>
              </w:rPr>
            </w:pPr>
            <w:r>
              <w:rPr>
                <w:rFonts w:ascii="Arial" w:cs="Arial" w:eastAsia="Arial" w:hAnsi="Arial"/>
                <w:sz w:val="15"/>
                <w:szCs w:val="15"/>
                <w:color w:val="auto"/>
                <w:w w:val="95"/>
              </w:rPr>
              <w:t>50.2</w:t>
            </w:r>
          </w:p>
        </w:tc>
        <w:tc>
          <w:tcPr>
            <w:tcW w:w="1280" w:type="dxa"/>
            <w:vAlign w:val="bottom"/>
            <w:gridSpan w:val="2"/>
          </w:tcPr>
          <w:p>
            <w:pPr>
              <w:jc w:val="right"/>
              <w:spacing w:after="0"/>
              <w:rPr>
                <w:sz w:val="20"/>
                <w:szCs w:val="20"/>
                <w:color w:val="auto"/>
              </w:rPr>
            </w:pPr>
            <w:r>
              <w:rPr>
                <w:rFonts w:ascii="Arial" w:cs="Arial" w:eastAsia="Arial" w:hAnsi="Arial"/>
                <w:sz w:val="15"/>
                <w:szCs w:val="15"/>
                <w:color w:val="auto"/>
              </w:rPr>
              <w:t>9.6 %</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CCEEFF"/>
            </w:tcBorders>
          </w:tcPr>
          <w:p>
            <w:pPr>
              <w:spacing w:after="0" w:line="20" w:lineRule="exact"/>
              <w:rPr>
                <w:sz w:val="1"/>
                <w:szCs w:val="1"/>
                <w:color w:val="auto"/>
              </w:rPr>
            </w:pPr>
          </w:p>
        </w:tc>
        <w:tc>
          <w:tcPr>
            <w:tcW w:w="514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5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6280" w:type="dxa"/>
            <w:vAlign w:val="bottom"/>
            <w:gridSpan w:val="3"/>
          </w:tcPr>
          <w:p>
            <w:pPr>
              <w:ind w:left="20"/>
              <w:spacing w:after="0"/>
              <w:rPr>
                <w:sz w:val="20"/>
                <w:szCs w:val="20"/>
                <w:color w:val="auto"/>
              </w:rPr>
            </w:pPr>
            <w:r>
              <w:rPr>
                <w:rFonts w:ascii="Arial" w:cs="Arial" w:eastAsia="Arial" w:hAnsi="Arial"/>
                <w:sz w:val="15"/>
                <w:szCs w:val="15"/>
                <w:color w:val="auto"/>
              </w:rPr>
              <w:t>Adjusted EBITDAR</w:t>
            </w:r>
          </w:p>
        </w:tc>
        <w:tc>
          <w:tcPr>
            <w:tcW w:w="10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980" w:type="dxa"/>
            <w:vAlign w:val="bottom"/>
          </w:tcPr>
          <w:p>
            <w:pPr>
              <w:jc w:val="right"/>
              <w:ind w:right="3"/>
              <w:spacing w:after="0"/>
              <w:rPr>
                <w:sz w:val="20"/>
                <w:szCs w:val="20"/>
                <w:color w:val="auto"/>
              </w:rPr>
            </w:pPr>
            <w:r>
              <w:rPr>
                <w:rFonts w:ascii="Arial" w:cs="Arial" w:eastAsia="Arial" w:hAnsi="Arial"/>
                <w:sz w:val="15"/>
                <w:szCs w:val="15"/>
                <w:color w:val="auto"/>
              </w:rPr>
              <w:t>193.2</w:t>
            </w:r>
          </w:p>
        </w:tc>
        <w:tc>
          <w:tcPr>
            <w:tcW w:w="500" w:type="dxa"/>
            <w:vAlign w:val="bottom"/>
            <w:gridSpan w:val="3"/>
          </w:tcPr>
          <w:p>
            <w:pPr>
              <w:jc w:val="right"/>
              <w:ind w:right="180"/>
              <w:spacing w:after="0"/>
              <w:rPr>
                <w:sz w:val="20"/>
                <w:szCs w:val="20"/>
                <w:color w:val="auto"/>
              </w:rPr>
            </w:pPr>
            <w:r>
              <w:rPr>
                <w:rFonts w:ascii="Arial" w:cs="Arial" w:eastAsia="Arial" w:hAnsi="Arial"/>
                <w:sz w:val="15"/>
                <w:szCs w:val="15"/>
                <w:color w:val="auto"/>
              </w:rPr>
              <w:t>$</w:t>
            </w:r>
          </w:p>
        </w:tc>
        <w:tc>
          <w:tcPr>
            <w:tcW w:w="920" w:type="dxa"/>
            <w:vAlign w:val="bottom"/>
          </w:tcPr>
          <w:p>
            <w:pPr>
              <w:jc w:val="right"/>
              <w:ind w:right="123"/>
              <w:spacing w:after="0"/>
              <w:rPr>
                <w:sz w:val="20"/>
                <w:szCs w:val="20"/>
                <w:color w:val="auto"/>
              </w:rPr>
            </w:pPr>
            <w:r>
              <w:rPr>
                <w:rFonts w:ascii="Arial" w:cs="Arial" w:eastAsia="Arial" w:hAnsi="Arial"/>
                <w:sz w:val="15"/>
                <w:szCs w:val="15"/>
                <w:color w:val="auto"/>
              </w:rPr>
              <w:t>124.5</w:t>
            </w:r>
          </w:p>
        </w:tc>
        <w:tc>
          <w:tcPr>
            <w:tcW w:w="1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960" w:type="dxa"/>
            <w:vAlign w:val="bottom"/>
          </w:tcPr>
          <w:p>
            <w:pPr>
              <w:jc w:val="center"/>
              <w:ind w:left="483"/>
              <w:spacing w:after="0"/>
              <w:rPr>
                <w:sz w:val="20"/>
                <w:szCs w:val="20"/>
                <w:color w:val="auto"/>
              </w:rPr>
            </w:pPr>
            <w:r>
              <w:rPr>
                <w:rFonts w:ascii="Arial" w:cs="Arial" w:eastAsia="Arial" w:hAnsi="Arial"/>
                <w:sz w:val="15"/>
                <w:szCs w:val="15"/>
                <w:color w:val="auto"/>
                <w:w w:val="95"/>
              </w:rPr>
              <w:t>68.7</w:t>
            </w:r>
          </w:p>
        </w:tc>
        <w:tc>
          <w:tcPr>
            <w:tcW w:w="1280" w:type="dxa"/>
            <w:vAlign w:val="bottom"/>
            <w:gridSpan w:val="2"/>
          </w:tcPr>
          <w:p>
            <w:pPr>
              <w:jc w:val="right"/>
              <w:spacing w:after="0"/>
              <w:rPr>
                <w:sz w:val="20"/>
                <w:szCs w:val="20"/>
                <w:color w:val="auto"/>
              </w:rPr>
            </w:pPr>
            <w:r>
              <w:rPr>
                <w:rFonts w:ascii="Arial" w:cs="Arial" w:eastAsia="Arial" w:hAnsi="Arial"/>
                <w:sz w:val="15"/>
                <w:szCs w:val="15"/>
                <w:color w:val="auto"/>
              </w:rPr>
              <w:t>55.2 %</w:t>
            </w:r>
          </w:p>
        </w:tc>
        <w:tc>
          <w:tcPr>
            <w:tcW w:w="0" w:type="dxa"/>
            <w:vAlign w:val="bottom"/>
          </w:tcPr>
          <w:p>
            <w:pPr>
              <w:spacing w:after="0"/>
              <w:rPr>
                <w:sz w:val="1"/>
                <w:szCs w:val="1"/>
                <w:color w:val="auto"/>
              </w:rPr>
            </w:pPr>
          </w:p>
        </w:tc>
      </w:tr>
      <w:tr>
        <w:trPr>
          <w:trHeight w:val="209"/>
        </w:trPr>
        <w:tc>
          <w:tcPr>
            <w:tcW w:w="6280" w:type="dxa"/>
            <w:vAlign w:val="bottom"/>
            <w:gridSpan w:val="3"/>
            <w:shd w:val="clear" w:color="auto" w:fill="CCEEFF"/>
          </w:tcPr>
          <w:p>
            <w:pPr>
              <w:ind w:left="20"/>
              <w:spacing w:after="0"/>
              <w:rPr>
                <w:sz w:val="20"/>
                <w:szCs w:val="20"/>
                <w:color w:val="auto"/>
              </w:rPr>
            </w:pPr>
            <w:r>
              <w:rPr>
                <w:rFonts w:ascii="Arial" w:cs="Arial" w:eastAsia="Arial" w:hAnsi="Arial"/>
                <w:sz w:val="15"/>
                <w:szCs w:val="15"/>
                <w:color w:val="auto"/>
              </w:rPr>
              <w:t>Adjusted EBITDAR margin</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33.8 %</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23.9 %</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89"/>
              </w:rPr>
              <w:t>990 bps</w:t>
            </w:r>
          </w:p>
        </w:tc>
        <w:tc>
          <w:tcPr>
            <w:tcW w:w="0" w:type="dxa"/>
            <w:vAlign w:val="bottom"/>
          </w:tcPr>
          <w:p>
            <w:pPr>
              <w:spacing w:after="0"/>
              <w:rPr>
                <w:sz w:val="1"/>
                <w:szCs w:val="1"/>
                <w:color w:val="auto"/>
              </w:rPr>
            </w:pPr>
          </w:p>
        </w:tc>
      </w:tr>
    </w:tbl>
    <w:p>
      <w:pPr>
        <w:spacing w:after="0" w:line="168" w:lineRule="exact"/>
        <w:rPr>
          <w:sz w:val="20"/>
          <w:szCs w:val="20"/>
          <w:color w:val="auto"/>
        </w:rPr>
      </w:pPr>
    </w:p>
    <w:p>
      <w:pPr>
        <w:ind w:right="120" w:firstLine="309"/>
        <w:spacing w:after="0" w:line="262" w:lineRule="auto"/>
        <w:rPr>
          <w:sz w:val="20"/>
          <w:szCs w:val="20"/>
          <w:color w:val="auto"/>
        </w:rPr>
      </w:pPr>
      <w:r>
        <w:rPr>
          <w:rFonts w:ascii="Arial" w:cs="Arial" w:eastAsia="Arial" w:hAnsi="Arial"/>
          <w:sz w:val="17"/>
          <w:szCs w:val="17"/>
          <w:color w:val="auto"/>
        </w:rPr>
        <w:t xml:space="preserve">The Northeast segment’s revenues for the three months ended March 31, 2021 increased by $50.2 million, primarily as a result of increased gaming revenues resulting from higher spend-per-visit and increased visitation levels compared to the prior year quarter, when our properties were mandated with temporary closures </w:t>
      </w:r>
      <w:r>
        <w:rPr>
          <w:rFonts w:ascii="Arial" w:cs="Arial" w:eastAsia="Arial" w:hAnsi="Arial"/>
          <w:sz w:val="17"/>
          <w:szCs w:val="17"/>
          <w:color w:val="212529"/>
        </w:rPr>
        <w:t>to combat the rapid spread of COVID-19.</w:t>
      </w:r>
      <w:r>
        <w:rPr>
          <w:rFonts w:ascii="Arial" w:cs="Arial" w:eastAsia="Arial" w:hAnsi="Arial"/>
          <w:sz w:val="17"/>
          <w:szCs w:val="17"/>
          <w:color w:val="auto"/>
        </w:rPr>
        <w:t xml:space="preserve"> All of our properties within the Northeast segment continue to operate with reduced gaming and hotel (if applicable) capacity, limited food and beverage and other amenity offerings.</w:t>
      </w:r>
    </w:p>
    <w:p>
      <w:pPr>
        <w:spacing w:after="0" w:line="139" w:lineRule="exact"/>
        <w:rPr>
          <w:sz w:val="20"/>
          <w:szCs w:val="20"/>
          <w:color w:val="auto"/>
        </w:rPr>
      </w:pPr>
    </w:p>
    <w:p>
      <w:pPr>
        <w:ind w:right="120" w:firstLine="309"/>
        <w:spacing w:after="0" w:line="307" w:lineRule="auto"/>
        <w:rPr>
          <w:sz w:val="20"/>
          <w:szCs w:val="20"/>
          <w:color w:val="auto"/>
        </w:rPr>
      </w:pPr>
      <w:r>
        <w:rPr>
          <w:rFonts w:ascii="Arial" w:cs="Arial" w:eastAsia="Arial" w:hAnsi="Arial"/>
          <w:sz w:val="15"/>
          <w:szCs w:val="15"/>
          <w:color w:val="auto"/>
        </w:rPr>
        <w:t>For the three months ended March 31, 2021, the Northeast segment’s Adjusted EBITDAR and Adjusted EBITDAR margin increased $68.7 million and 990 basis points, respectively, as compared to the prior year quarter, due to both the higher proportionate share of gaming activity yielding a higher overall Adjusted EBITDAR margin, and cost saving initiatives implemented throughout the prior year, designed to mitigate revenue degradation in 2020, such as: operating with a reduced workforce, focusing on higher margin gaming offerings, reducing marketing costs, and limiting certain lower margin food and beverage offerings.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182245</wp:posOffset>
            </wp:positionV>
            <wp:extent cx="7164070" cy="4191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7" w:name="page38"/>
    <w:bookmarkEnd w:id="37"/>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South Segment</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5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500" w:type="dxa"/>
            <w:vAlign w:val="bottom"/>
            <w:gridSpan w:val="6"/>
          </w:tcPr>
          <w:p>
            <w:pPr>
              <w:spacing w:after="0"/>
              <w:rPr>
                <w:sz w:val="20"/>
                <w:szCs w:val="20"/>
                <w:color w:val="auto"/>
              </w:rPr>
            </w:pPr>
            <w:r>
              <w:rPr>
                <w:rFonts w:ascii="Arial" w:cs="Arial" w:eastAsia="Arial" w:hAnsi="Arial"/>
                <w:sz w:val="15"/>
                <w:szCs w:val="15"/>
                <w:b w:val="1"/>
                <w:bCs w:val="1"/>
                <w:color w:val="auto"/>
              </w:rPr>
              <w:t>For the three months ended March</w:t>
            </w:r>
          </w:p>
        </w:tc>
        <w:tc>
          <w:tcPr>
            <w:tcW w:w="120" w:type="dxa"/>
            <w:vAlign w:val="bottom"/>
          </w:tcPr>
          <w:p>
            <w:pPr>
              <w:spacing w:after="0"/>
              <w:rPr>
                <w:sz w:val="14"/>
                <w:szCs w:val="14"/>
                <w:color w:val="auto"/>
              </w:rPr>
            </w:pPr>
          </w:p>
        </w:tc>
        <w:tc>
          <w:tcPr>
            <w:tcW w:w="960" w:type="dxa"/>
            <w:vAlign w:val="bottom"/>
            <w:vMerge w:val="restart"/>
          </w:tcPr>
          <w:p>
            <w:pPr>
              <w:ind w:left="100"/>
              <w:spacing w:after="0"/>
              <w:rPr>
                <w:sz w:val="20"/>
                <w:szCs w:val="20"/>
                <w:color w:val="auto"/>
              </w:rPr>
            </w:pPr>
            <w:r>
              <w:rPr>
                <w:rFonts w:ascii="Arial" w:cs="Arial" w:eastAsia="Arial" w:hAnsi="Arial"/>
                <w:sz w:val="15"/>
                <w:szCs w:val="15"/>
                <w:b w:val="1"/>
                <w:bCs w:val="1"/>
                <w:color w:val="auto"/>
              </w:rPr>
              <w:t>$ Change</w:t>
            </w:r>
          </w:p>
        </w:tc>
        <w:tc>
          <w:tcPr>
            <w:tcW w:w="80" w:type="dxa"/>
            <w:vAlign w:val="bottom"/>
          </w:tcPr>
          <w:p>
            <w:pPr>
              <w:spacing w:after="0"/>
              <w:rPr>
                <w:sz w:val="14"/>
                <w:szCs w:val="14"/>
                <w:color w:val="auto"/>
              </w:rPr>
            </w:pPr>
          </w:p>
        </w:tc>
        <w:tc>
          <w:tcPr>
            <w:tcW w:w="1200" w:type="dxa"/>
            <w:vAlign w:val="bottom"/>
            <w:vMerge w:val="restart"/>
          </w:tcPr>
          <w:p>
            <w:pPr>
              <w:jc w:val="center"/>
              <w:spacing w:after="0"/>
              <w:rPr>
                <w:sz w:val="20"/>
                <w:szCs w:val="20"/>
                <w:color w:val="auto"/>
              </w:rPr>
            </w:pPr>
            <w:r>
              <w:rPr>
                <w:rFonts w:ascii="Arial" w:cs="Arial" w:eastAsia="Arial" w:hAnsi="Arial"/>
                <w:sz w:val="15"/>
                <w:szCs w:val="15"/>
                <w:b w:val="1"/>
                <w:bCs w:val="1"/>
                <w:color w:val="auto"/>
                <w:w w:val="96"/>
              </w:rPr>
              <w:t>% Change</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514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gridSpan w:val="3"/>
          </w:tcPr>
          <w:p>
            <w:pPr>
              <w:jc w:val="right"/>
              <w:ind w:right="240"/>
              <w:spacing w:after="0"/>
              <w:rPr>
                <w:sz w:val="20"/>
                <w:szCs w:val="20"/>
                <w:color w:val="auto"/>
              </w:rPr>
            </w:pPr>
            <w:r>
              <w:rPr>
                <w:rFonts w:ascii="Arial" w:cs="Arial" w:eastAsia="Arial" w:hAnsi="Arial"/>
                <w:sz w:val="15"/>
                <w:szCs w:val="15"/>
                <w:b w:val="1"/>
                <w:bCs w:val="1"/>
                <w:color w:val="auto"/>
              </w:rPr>
              <w:t>31,</w:t>
            </w:r>
          </w:p>
        </w:tc>
        <w:tc>
          <w:tcPr>
            <w:tcW w:w="9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vMerge w:val="continue"/>
          </w:tcPr>
          <w:p>
            <w:pPr>
              <w:spacing w:after="0"/>
              <w:rPr>
                <w:sz w:val="17"/>
                <w:szCs w:val="17"/>
                <w:color w:val="auto"/>
              </w:rPr>
            </w:pPr>
          </w:p>
        </w:tc>
        <w:tc>
          <w:tcPr>
            <w:tcW w:w="80" w:type="dxa"/>
            <w:vAlign w:val="bottom"/>
          </w:tcPr>
          <w:p>
            <w:pPr>
              <w:spacing w:after="0"/>
              <w:rPr>
                <w:sz w:val="17"/>
                <w:szCs w:val="17"/>
                <w:color w:val="auto"/>
              </w:rPr>
            </w:pPr>
          </w:p>
        </w:tc>
        <w:tc>
          <w:tcPr>
            <w:tcW w:w="120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63"/>
        </w:trPr>
        <w:tc>
          <w:tcPr>
            <w:tcW w:w="6280" w:type="dxa"/>
            <w:vAlign w:val="bottom"/>
            <w:gridSpan w:val="3"/>
          </w:tcPr>
          <w:p>
            <w:pPr>
              <w:ind w:left="20"/>
              <w:spacing w:after="0"/>
              <w:rPr>
                <w:sz w:val="20"/>
                <w:szCs w:val="20"/>
                <w:color w:val="auto"/>
              </w:rPr>
            </w:pPr>
            <w:r>
              <w:rPr>
                <w:rFonts w:ascii="Arial" w:cs="Arial" w:eastAsia="Arial" w:hAnsi="Arial"/>
                <w:sz w:val="14"/>
                <w:szCs w:val="14"/>
                <w:b w:val="1"/>
                <w:bCs w:val="1"/>
                <w:i w:val="1"/>
                <w:iCs w:val="1"/>
                <w:color w:val="auto"/>
              </w:rPr>
              <w:t>(dollars in millions)</w:t>
            </w:r>
          </w:p>
        </w:tc>
        <w:tc>
          <w:tcPr>
            <w:tcW w:w="100" w:type="dxa"/>
            <w:vAlign w:val="bottom"/>
          </w:tcPr>
          <w:p>
            <w:pPr>
              <w:spacing w:after="0"/>
              <w:rPr>
                <w:sz w:val="14"/>
                <w:szCs w:val="14"/>
                <w:color w:val="auto"/>
              </w:rPr>
            </w:pPr>
          </w:p>
        </w:tc>
        <w:tc>
          <w:tcPr>
            <w:tcW w:w="980" w:type="dxa"/>
            <w:vAlign w:val="bottom"/>
          </w:tcPr>
          <w:p>
            <w:pPr>
              <w:jc w:val="right"/>
              <w:ind w:right="243"/>
              <w:spacing w:after="0" w:line="163" w:lineRule="exact"/>
              <w:rPr>
                <w:sz w:val="20"/>
                <w:szCs w:val="20"/>
                <w:color w:val="auto"/>
              </w:rPr>
            </w:pPr>
            <w:r>
              <w:rPr>
                <w:rFonts w:ascii="Arial" w:cs="Arial" w:eastAsia="Arial" w:hAnsi="Arial"/>
                <w:sz w:val="15"/>
                <w:szCs w:val="15"/>
                <w:b w:val="1"/>
                <w:bCs w:val="1"/>
                <w:color w:val="auto"/>
              </w:rPr>
              <w:t>2021</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jc w:val="right"/>
              <w:ind w:right="363"/>
              <w:spacing w:after="0" w:line="163" w:lineRule="exact"/>
              <w:rPr>
                <w:sz w:val="20"/>
                <w:szCs w:val="20"/>
                <w:color w:val="auto"/>
              </w:rPr>
            </w:pPr>
            <w:r>
              <w:rPr>
                <w:rFonts w:ascii="Arial" w:cs="Arial" w:eastAsia="Arial" w:hAnsi="Arial"/>
                <w:sz w:val="15"/>
                <w:szCs w:val="15"/>
                <w:b w:val="1"/>
                <w:bCs w:val="1"/>
                <w:color w:val="auto"/>
              </w:rPr>
              <w:t>2020</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spacing w:after="0" w:line="163" w:lineRule="exact"/>
              <w:rPr>
                <w:sz w:val="20"/>
                <w:szCs w:val="20"/>
                <w:color w:val="auto"/>
              </w:rPr>
            </w:pPr>
            <w:r>
              <w:rPr>
                <w:rFonts w:ascii="Arial" w:cs="Arial" w:eastAsia="Arial" w:hAnsi="Arial"/>
                <w:sz w:val="15"/>
                <w:szCs w:val="15"/>
                <w:b w:val="1"/>
                <w:bCs w:val="1"/>
                <w:color w:val="auto"/>
              </w:rPr>
              <w:t>2021 vs 2020</w:t>
            </w:r>
          </w:p>
        </w:tc>
        <w:tc>
          <w:tcPr>
            <w:tcW w:w="80" w:type="dxa"/>
            <w:vAlign w:val="bottom"/>
          </w:tcPr>
          <w:p>
            <w:pPr>
              <w:spacing w:after="0"/>
              <w:rPr>
                <w:sz w:val="14"/>
                <w:szCs w:val="14"/>
                <w:color w:val="auto"/>
              </w:rPr>
            </w:pPr>
          </w:p>
        </w:tc>
        <w:tc>
          <w:tcPr>
            <w:tcW w:w="1200" w:type="dxa"/>
            <w:vAlign w:val="bottom"/>
          </w:tcPr>
          <w:p>
            <w:pPr>
              <w:jc w:val="center"/>
              <w:spacing w:after="0" w:line="163" w:lineRule="exact"/>
              <w:rPr>
                <w:sz w:val="20"/>
                <w:szCs w:val="20"/>
                <w:color w:val="auto"/>
              </w:rPr>
            </w:pPr>
            <w:r>
              <w:rPr>
                <w:rFonts w:ascii="Arial" w:cs="Arial" w:eastAsia="Arial" w:hAnsi="Arial"/>
                <w:sz w:val="15"/>
                <w:szCs w:val="15"/>
                <w:b w:val="1"/>
                <w:bCs w:val="1"/>
                <w:color w:val="auto"/>
                <w:w w:val="91"/>
              </w:rPr>
              <w:t>2021 vs 2020</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120" w:type="dxa"/>
            <w:vAlign w:val="bottom"/>
            <w:tcBorders>
              <w:top w:val="single" w:sz="8" w:color="auto"/>
              <w:bottom w:val="single" w:sz="8" w:color="CCEEFF"/>
            </w:tcBorders>
          </w:tcPr>
          <w:p>
            <w:pPr>
              <w:spacing w:after="0" w:line="20" w:lineRule="exact"/>
              <w:rPr>
                <w:sz w:val="1"/>
                <w:szCs w:val="1"/>
                <w:color w:val="auto"/>
              </w:rPr>
            </w:pPr>
          </w:p>
        </w:tc>
        <w:tc>
          <w:tcPr>
            <w:tcW w:w="51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5"/>
        </w:trPr>
        <w:tc>
          <w:tcPr>
            <w:tcW w:w="6280" w:type="dxa"/>
            <w:vAlign w:val="bottom"/>
            <w:gridSpan w:val="3"/>
            <w:shd w:val="clear" w:color="auto" w:fill="CCEEFF"/>
          </w:tcPr>
          <w:p>
            <w:pPr>
              <w:ind w:left="20"/>
              <w:spacing w:after="0"/>
              <w:rPr>
                <w:sz w:val="20"/>
                <w:szCs w:val="20"/>
                <w:color w:val="auto"/>
              </w:rPr>
            </w:pPr>
            <w:r>
              <w:rPr>
                <w:rFonts w:ascii="Arial" w:cs="Arial" w:eastAsia="Arial" w:hAnsi="Arial"/>
                <w:sz w:val="15"/>
                <w:szCs w:val="15"/>
                <w:b w:val="1"/>
                <w:bCs w:val="1"/>
                <w:color w:val="auto"/>
              </w:rPr>
              <w:t>Revenues</w:t>
            </w:r>
          </w:p>
        </w:tc>
        <w:tc>
          <w:tcPr>
            <w:tcW w:w="1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60" w:type="dxa"/>
            <w:vAlign w:val="bottom"/>
            <w:gridSpan w:val="2"/>
          </w:tcPr>
          <w:p>
            <w:pPr>
              <w:ind w:left="120"/>
              <w:spacing w:after="0"/>
              <w:rPr>
                <w:sz w:val="20"/>
                <w:szCs w:val="20"/>
                <w:color w:val="auto"/>
              </w:rPr>
            </w:pPr>
            <w:r>
              <w:rPr>
                <w:rFonts w:ascii="Arial" w:cs="Arial" w:eastAsia="Arial" w:hAnsi="Arial"/>
                <w:sz w:val="15"/>
                <w:szCs w:val="15"/>
                <w:color w:val="auto"/>
              </w:rPr>
              <w:t>Gaming</w:t>
            </w:r>
          </w:p>
        </w:tc>
        <w:tc>
          <w:tcPr>
            <w:tcW w:w="10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980" w:type="dxa"/>
            <w:vAlign w:val="bottom"/>
          </w:tcPr>
          <w:p>
            <w:pPr>
              <w:jc w:val="right"/>
              <w:ind w:right="3"/>
              <w:spacing w:after="0"/>
              <w:rPr>
                <w:sz w:val="20"/>
                <w:szCs w:val="20"/>
                <w:color w:val="auto"/>
              </w:rPr>
            </w:pPr>
            <w:r>
              <w:rPr>
                <w:rFonts w:ascii="Arial" w:cs="Arial" w:eastAsia="Arial" w:hAnsi="Arial"/>
                <w:sz w:val="15"/>
                <w:szCs w:val="15"/>
                <w:color w:val="auto"/>
              </w:rPr>
              <w:t>245.4</w:t>
            </w:r>
          </w:p>
        </w:tc>
        <w:tc>
          <w:tcPr>
            <w:tcW w:w="500" w:type="dxa"/>
            <w:vAlign w:val="bottom"/>
            <w:gridSpan w:val="3"/>
          </w:tcPr>
          <w:p>
            <w:pPr>
              <w:jc w:val="right"/>
              <w:ind w:right="180"/>
              <w:spacing w:after="0"/>
              <w:rPr>
                <w:sz w:val="20"/>
                <w:szCs w:val="20"/>
                <w:color w:val="auto"/>
              </w:rPr>
            </w:pPr>
            <w:r>
              <w:rPr>
                <w:rFonts w:ascii="Arial" w:cs="Arial" w:eastAsia="Arial" w:hAnsi="Arial"/>
                <w:sz w:val="15"/>
                <w:szCs w:val="15"/>
                <w:color w:val="auto"/>
              </w:rPr>
              <w:t>$</w:t>
            </w:r>
          </w:p>
        </w:tc>
        <w:tc>
          <w:tcPr>
            <w:tcW w:w="920" w:type="dxa"/>
            <w:vAlign w:val="bottom"/>
          </w:tcPr>
          <w:p>
            <w:pPr>
              <w:jc w:val="right"/>
              <w:ind w:right="123"/>
              <w:spacing w:after="0"/>
              <w:rPr>
                <w:sz w:val="20"/>
                <w:szCs w:val="20"/>
                <w:color w:val="auto"/>
              </w:rPr>
            </w:pPr>
            <w:r>
              <w:rPr>
                <w:rFonts w:ascii="Arial" w:cs="Arial" w:eastAsia="Arial" w:hAnsi="Arial"/>
                <w:sz w:val="15"/>
                <w:szCs w:val="15"/>
                <w:color w:val="auto"/>
              </w:rPr>
              <w:t>168.6</w:t>
            </w:r>
          </w:p>
        </w:tc>
        <w:tc>
          <w:tcPr>
            <w:tcW w:w="1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960" w:type="dxa"/>
            <w:vAlign w:val="bottom"/>
          </w:tcPr>
          <w:p>
            <w:pPr>
              <w:ind w:left="620"/>
              <w:spacing w:after="0"/>
              <w:rPr>
                <w:sz w:val="20"/>
                <w:szCs w:val="20"/>
                <w:color w:val="auto"/>
              </w:rPr>
            </w:pPr>
            <w:r>
              <w:rPr>
                <w:rFonts w:ascii="Arial" w:cs="Arial" w:eastAsia="Arial" w:hAnsi="Arial"/>
                <w:sz w:val="15"/>
                <w:szCs w:val="15"/>
                <w:color w:val="auto"/>
              </w:rPr>
              <w:t>76.8</w:t>
            </w:r>
          </w:p>
        </w:tc>
        <w:tc>
          <w:tcPr>
            <w:tcW w:w="1280" w:type="dxa"/>
            <w:vAlign w:val="bottom"/>
            <w:gridSpan w:val="2"/>
          </w:tcPr>
          <w:p>
            <w:pPr>
              <w:jc w:val="right"/>
              <w:spacing w:after="0"/>
              <w:rPr>
                <w:sz w:val="20"/>
                <w:szCs w:val="20"/>
                <w:color w:val="auto"/>
              </w:rPr>
            </w:pPr>
            <w:r>
              <w:rPr>
                <w:rFonts w:ascii="Arial" w:cs="Arial" w:eastAsia="Arial" w:hAnsi="Arial"/>
                <w:sz w:val="15"/>
                <w:szCs w:val="15"/>
                <w:color w:val="auto"/>
              </w:rPr>
              <w:t>45.6 %</w:t>
            </w:r>
          </w:p>
        </w:tc>
        <w:tc>
          <w:tcPr>
            <w:tcW w:w="0" w:type="dxa"/>
            <w:vAlign w:val="bottom"/>
          </w:tcPr>
          <w:p>
            <w:pPr>
              <w:spacing w:after="0"/>
              <w:rPr>
                <w:sz w:val="1"/>
                <w:szCs w:val="1"/>
                <w:color w:val="auto"/>
              </w:rPr>
            </w:pPr>
          </w:p>
        </w:tc>
      </w:tr>
      <w:tr>
        <w:trPr>
          <w:trHeight w:val="206"/>
        </w:trPr>
        <w:tc>
          <w:tcPr>
            <w:tcW w:w="20" w:type="dxa"/>
            <w:vAlign w:val="bottom"/>
            <w:shd w:val="clear" w:color="auto" w:fill="CCEEFF"/>
          </w:tcPr>
          <w:p>
            <w:pPr>
              <w:spacing w:after="0"/>
              <w:rPr>
                <w:sz w:val="17"/>
                <w:szCs w:val="17"/>
                <w:color w:val="auto"/>
              </w:rPr>
            </w:pPr>
          </w:p>
        </w:tc>
        <w:tc>
          <w:tcPr>
            <w:tcW w:w="6260" w:type="dxa"/>
            <w:vAlign w:val="bottom"/>
            <w:gridSpan w:val="2"/>
            <w:shd w:val="clear" w:color="auto" w:fill="CCEEFF"/>
          </w:tcPr>
          <w:p>
            <w:pPr>
              <w:ind w:left="120"/>
              <w:spacing w:after="0"/>
              <w:rPr>
                <w:sz w:val="20"/>
                <w:szCs w:val="20"/>
                <w:color w:val="auto"/>
              </w:rPr>
            </w:pPr>
            <w:r>
              <w:rPr>
                <w:rFonts w:ascii="Arial" w:cs="Arial" w:eastAsia="Arial" w:hAnsi="Arial"/>
                <w:sz w:val="15"/>
                <w:szCs w:val="15"/>
                <w:color w:val="auto"/>
              </w:rPr>
              <w:t>Food, beverage, hotel and other</w:t>
            </w:r>
          </w:p>
        </w:tc>
        <w:tc>
          <w:tcPr>
            <w:tcW w:w="10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rPr>
              <w:t>50.5</w:t>
            </w:r>
          </w:p>
        </w:tc>
        <w:tc>
          <w:tcPr>
            <w:tcW w:w="120" w:type="dxa"/>
            <w:vAlign w:val="bottom"/>
            <w:tcBorders>
              <w:bottom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ind w:right="123"/>
              <w:spacing w:after="0"/>
              <w:rPr>
                <w:sz w:val="20"/>
                <w:szCs w:val="20"/>
                <w:color w:val="auto"/>
              </w:rPr>
            </w:pPr>
            <w:r>
              <w:rPr>
                <w:rFonts w:ascii="Arial" w:cs="Arial" w:eastAsia="Arial" w:hAnsi="Arial"/>
                <w:sz w:val="15"/>
                <w:szCs w:val="15"/>
                <w:color w:val="auto"/>
              </w:rPr>
              <w:t>54.7</w:t>
            </w: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ind w:left="640"/>
              <w:spacing w:after="0"/>
              <w:rPr>
                <w:sz w:val="20"/>
                <w:szCs w:val="20"/>
                <w:color w:val="auto"/>
              </w:rPr>
            </w:pPr>
            <w:r>
              <w:rPr>
                <w:rFonts w:ascii="Arial" w:cs="Arial" w:eastAsia="Arial" w:hAnsi="Arial"/>
                <w:sz w:val="15"/>
                <w:szCs w:val="15"/>
                <w:color w:val="auto"/>
                <w:w w:val="97"/>
              </w:rPr>
              <w:t>(4.2)</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(7.7)%</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260" w:type="dxa"/>
            <w:vAlign w:val="bottom"/>
            <w:gridSpan w:val="2"/>
          </w:tcPr>
          <w:p>
            <w:pPr>
              <w:ind w:left="300"/>
              <w:spacing w:after="0"/>
              <w:rPr>
                <w:sz w:val="20"/>
                <w:szCs w:val="20"/>
                <w:color w:val="auto"/>
              </w:rPr>
            </w:pPr>
            <w:r>
              <w:rPr>
                <w:rFonts w:ascii="Arial" w:cs="Arial" w:eastAsia="Arial" w:hAnsi="Arial"/>
                <w:sz w:val="15"/>
                <w:szCs w:val="15"/>
                <w:color w:val="auto"/>
              </w:rPr>
              <w:t>Total revenues</w:t>
            </w:r>
          </w:p>
        </w:tc>
        <w:tc>
          <w:tcPr>
            <w:tcW w:w="10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980" w:type="dxa"/>
            <w:vAlign w:val="bottom"/>
          </w:tcPr>
          <w:p>
            <w:pPr>
              <w:jc w:val="right"/>
              <w:ind w:right="3"/>
              <w:spacing w:after="0"/>
              <w:rPr>
                <w:sz w:val="20"/>
                <w:szCs w:val="20"/>
                <w:color w:val="auto"/>
              </w:rPr>
            </w:pPr>
            <w:r>
              <w:rPr>
                <w:rFonts w:ascii="Arial" w:cs="Arial" w:eastAsia="Arial" w:hAnsi="Arial"/>
                <w:sz w:val="15"/>
                <w:szCs w:val="15"/>
                <w:color w:val="auto"/>
              </w:rPr>
              <w:t>295.9</w:t>
            </w:r>
          </w:p>
        </w:tc>
        <w:tc>
          <w:tcPr>
            <w:tcW w:w="500" w:type="dxa"/>
            <w:vAlign w:val="bottom"/>
            <w:gridSpan w:val="3"/>
          </w:tcPr>
          <w:p>
            <w:pPr>
              <w:jc w:val="right"/>
              <w:ind w:right="180"/>
              <w:spacing w:after="0"/>
              <w:rPr>
                <w:sz w:val="20"/>
                <w:szCs w:val="20"/>
                <w:color w:val="auto"/>
              </w:rPr>
            </w:pPr>
            <w:r>
              <w:rPr>
                <w:rFonts w:ascii="Arial" w:cs="Arial" w:eastAsia="Arial" w:hAnsi="Arial"/>
                <w:sz w:val="15"/>
                <w:szCs w:val="15"/>
                <w:color w:val="auto"/>
              </w:rPr>
              <w:t>$</w:t>
            </w:r>
          </w:p>
        </w:tc>
        <w:tc>
          <w:tcPr>
            <w:tcW w:w="920" w:type="dxa"/>
            <w:vAlign w:val="bottom"/>
          </w:tcPr>
          <w:p>
            <w:pPr>
              <w:jc w:val="right"/>
              <w:ind w:right="123"/>
              <w:spacing w:after="0"/>
              <w:rPr>
                <w:sz w:val="20"/>
                <w:szCs w:val="20"/>
                <w:color w:val="auto"/>
              </w:rPr>
            </w:pPr>
            <w:r>
              <w:rPr>
                <w:rFonts w:ascii="Arial" w:cs="Arial" w:eastAsia="Arial" w:hAnsi="Arial"/>
                <w:sz w:val="15"/>
                <w:szCs w:val="15"/>
                <w:color w:val="auto"/>
              </w:rPr>
              <w:t>223.3</w:t>
            </w:r>
          </w:p>
        </w:tc>
        <w:tc>
          <w:tcPr>
            <w:tcW w:w="1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960" w:type="dxa"/>
            <w:vAlign w:val="bottom"/>
          </w:tcPr>
          <w:p>
            <w:pPr>
              <w:ind w:left="620"/>
              <w:spacing w:after="0"/>
              <w:rPr>
                <w:sz w:val="20"/>
                <w:szCs w:val="20"/>
                <w:color w:val="auto"/>
              </w:rPr>
            </w:pPr>
            <w:r>
              <w:rPr>
                <w:rFonts w:ascii="Arial" w:cs="Arial" w:eastAsia="Arial" w:hAnsi="Arial"/>
                <w:sz w:val="15"/>
                <w:szCs w:val="15"/>
                <w:color w:val="auto"/>
              </w:rPr>
              <w:t>72.6</w:t>
            </w:r>
          </w:p>
        </w:tc>
        <w:tc>
          <w:tcPr>
            <w:tcW w:w="1280" w:type="dxa"/>
            <w:vAlign w:val="bottom"/>
            <w:gridSpan w:val="2"/>
          </w:tcPr>
          <w:p>
            <w:pPr>
              <w:jc w:val="right"/>
              <w:spacing w:after="0"/>
              <w:rPr>
                <w:sz w:val="20"/>
                <w:szCs w:val="20"/>
                <w:color w:val="auto"/>
              </w:rPr>
            </w:pPr>
            <w:r>
              <w:rPr>
                <w:rFonts w:ascii="Arial" w:cs="Arial" w:eastAsia="Arial" w:hAnsi="Arial"/>
                <w:sz w:val="15"/>
                <w:szCs w:val="15"/>
                <w:color w:val="auto"/>
              </w:rPr>
              <w:t>32.5 %</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CCEEFF"/>
            </w:tcBorders>
          </w:tcPr>
          <w:p>
            <w:pPr>
              <w:spacing w:after="0" w:line="20" w:lineRule="exact"/>
              <w:rPr>
                <w:sz w:val="1"/>
                <w:szCs w:val="1"/>
                <w:color w:val="auto"/>
              </w:rPr>
            </w:pPr>
          </w:p>
        </w:tc>
        <w:tc>
          <w:tcPr>
            <w:tcW w:w="514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5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6280" w:type="dxa"/>
            <w:vAlign w:val="bottom"/>
            <w:gridSpan w:val="3"/>
          </w:tcPr>
          <w:p>
            <w:pPr>
              <w:ind w:left="20"/>
              <w:spacing w:after="0"/>
              <w:rPr>
                <w:sz w:val="20"/>
                <w:szCs w:val="20"/>
                <w:color w:val="auto"/>
              </w:rPr>
            </w:pPr>
            <w:r>
              <w:rPr>
                <w:rFonts w:ascii="Arial" w:cs="Arial" w:eastAsia="Arial" w:hAnsi="Arial"/>
                <w:sz w:val="15"/>
                <w:szCs w:val="15"/>
                <w:color w:val="auto"/>
              </w:rPr>
              <w:t>Adjusted EBITDAR</w:t>
            </w:r>
          </w:p>
        </w:tc>
        <w:tc>
          <w:tcPr>
            <w:tcW w:w="10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980" w:type="dxa"/>
            <w:vAlign w:val="bottom"/>
          </w:tcPr>
          <w:p>
            <w:pPr>
              <w:jc w:val="right"/>
              <w:ind w:right="3"/>
              <w:spacing w:after="0"/>
              <w:rPr>
                <w:sz w:val="20"/>
                <w:szCs w:val="20"/>
                <w:color w:val="auto"/>
              </w:rPr>
            </w:pPr>
            <w:r>
              <w:rPr>
                <w:rFonts w:ascii="Arial" w:cs="Arial" w:eastAsia="Arial" w:hAnsi="Arial"/>
                <w:sz w:val="15"/>
                <w:szCs w:val="15"/>
                <w:color w:val="auto"/>
              </w:rPr>
              <w:t>133.9</w:t>
            </w:r>
          </w:p>
        </w:tc>
        <w:tc>
          <w:tcPr>
            <w:tcW w:w="500" w:type="dxa"/>
            <w:vAlign w:val="bottom"/>
            <w:gridSpan w:val="3"/>
          </w:tcPr>
          <w:p>
            <w:pPr>
              <w:jc w:val="right"/>
              <w:ind w:right="180"/>
              <w:spacing w:after="0"/>
              <w:rPr>
                <w:sz w:val="20"/>
                <w:szCs w:val="20"/>
                <w:color w:val="auto"/>
              </w:rPr>
            </w:pPr>
            <w:r>
              <w:rPr>
                <w:rFonts w:ascii="Arial" w:cs="Arial" w:eastAsia="Arial" w:hAnsi="Arial"/>
                <w:sz w:val="15"/>
                <w:szCs w:val="15"/>
                <w:color w:val="auto"/>
              </w:rPr>
              <w:t>$</w:t>
            </w:r>
          </w:p>
        </w:tc>
        <w:tc>
          <w:tcPr>
            <w:tcW w:w="920" w:type="dxa"/>
            <w:vAlign w:val="bottom"/>
          </w:tcPr>
          <w:p>
            <w:pPr>
              <w:jc w:val="right"/>
              <w:ind w:right="123"/>
              <w:spacing w:after="0"/>
              <w:rPr>
                <w:sz w:val="20"/>
                <w:szCs w:val="20"/>
                <w:color w:val="auto"/>
              </w:rPr>
            </w:pPr>
            <w:r>
              <w:rPr>
                <w:rFonts w:ascii="Arial" w:cs="Arial" w:eastAsia="Arial" w:hAnsi="Arial"/>
                <w:sz w:val="15"/>
                <w:szCs w:val="15"/>
                <w:color w:val="auto"/>
              </w:rPr>
              <w:t>52.6</w:t>
            </w:r>
          </w:p>
        </w:tc>
        <w:tc>
          <w:tcPr>
            <w:tcW w:w="1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960" w:type="dxa"/>
            <w:vAlign w:val="bottom"/>
          </w:tcPr>
          <w:p>
            <w:pPr>
              <w:ind w:left="620"/>
              <w:spacing w:after="0"/>
              <w:rPr>
                <w:sz w:val="20"/>
                <w:szCs w:val="20"/>
                <w:color w:val="auto"/>
              </w:rPr>
            </w:pPr>
            <w:r>
              <w:rPr>
                <w:rFonts w:ascii="Arial" w:cs="Arial" w:eastAsia="Arial" w:hAnsi="Arial"/>
                <w:sz w:val="15"/>
                <w:szCs w:val="15"/>
                <w:color w:val="auto"/>
              </w:rPr>
              <w:t>81.3</w:t>
            </w:r>
          </w:p>
        </w:tc>
        <w:tc>
          <w:tcPr>
            <w:tcW w:w="1280" w:type="dxa"/>
            <w:vAlign w:val="bottom"/>
            <w:gridSpan w:val="2"/>
          </w:tcPr>
          <w:p>
            <w:pPr>
              <w:jc w:val="right"/>
              <w:spacing w:after="0"/>
              <w:rPr>
                <w:sz w:val="20"/>
                <w:szCs w:val="20"/>
                <w:color w:val="auto"/>
              </w:rPr>
            </w:pPr>
            <w:r>
              <w:rPr>
                <w:rFonts w:ascii="Arial" w:cs="Arial" w:eastAsia="Arial" w:hAnsi="Arial"/>
                <w:sz w:val="15"/>
                <w:szCs w:val="15"/>
                <w:color w:val="auto"/>
              </w:rPr>
              <w:t>154.6 %</w:t>
            </w:r>
          </w:p>
        </w:tc>
        <w:tc>
          <w:tcPr>
            <w:tcW w:w="0" w:type="dxa"/>
            <w:vAlign w:val="bottom"/>
          </w:tcPr>
          <w:p>
            <w:pPr>
              <w:spacing w:after="0"/>
              <w:rPr>
                <w:sz w:val="1"/>
                <w:szCs w:val="1"/>
                <w:color w:val="auto"/>
              </w:rPr>
            </w:pPr>
          </w:p>
        </w:tc>
      </w:tr>
      <w:tr>
        <w:trPr>
          <w:trHeight w:val="209"/>
        </w:trPr>
        <w:tc>
          <w:tcPr>
            <w:tcW w:w="6280" w:type="dxa"/>
            <w:vAlign w:val="bottom"/>
            <w:gridSpan w:val="3"/>
            <w:shd w:val="clear" w:color="auto" w:fill="CCEEFF"/>
          </w:tcPr>
          <w:p>
            <w:pPr>
              <w:ind w:left="20"/>
              <w:spacing w:after="0"/>
              <w:rPr>
                <w:sz w:val="20"/>
                <w:szCs w:val="20"/>
                <w:color w:val="auto"/>
              </w:rPr>
            </w:pPr>
            <w:r>
              <w:rPr>
                <w:rFonts w:ascii="Arial" w:cs="Arial" w:eastAsia="Arial" w:hAnsi="Arial"/>
                <w:sz w:val="15"/>
                <w:szCs w:val="15"/>
                <w:color w:val="auto"/>
              </w:rPr>
              <w:t>Adjusted EBITDAR margin</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45.3 %</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23.6 %</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90"/>
              </w:rPr>
              <w:t>2,170 bps</w:t>
            </w:r>
          </w:p>
        </w:tc>
        <w:tc>
          <w:tcPr>
            <w:tcW w:w="0" w:type="dxa"/>
            <w:vAlign w:val="bottom"/>
          </w:tcPr>
          <w:p>
            <w:pPr>
              <w:spacing w:after="0"/>
              <w:rPr>
                <w:sz w:val="1"/>
                <w:szCs w:val="1"/>
                <w:color w:val="auto"/>
              </w:rPr>
            </w:pPr>
          </w:p>
        </w:tc>
      </w:tr>
    </w:tbl>
    <w:p>
      <w:pPr>
        <w:spacing w:after="0" w:line="245" w:lineRule="exact"/>
        <w:rPr>
          <w:sz w:val="20"/>
          <w:szCs w:val="20"/>
          <w:color w:val="auto"/>
        </w:rPr>
      </w:pPr>
    </w:p>
    <w:p>
      <w:pPr>
        <w:ind w:right="360" w:firstLine="309"/>
        <w:spacing w:after="0" w:line="259" w:lineRule="auto"/>
        <w:rPr>
          <w:sz w:val="20"/>
          <w:szCs w:val="20"/>
          <w:color w:val="auto"/>
        </w:rPr>
      </w:pPr>
      <w:r>
        <w:rPr>
          <w:rFonts w:ascii="Arial" w:cs="Arial" w:eastAsia="Arial" w:hAnsi="Arial"/>
          <w:sz w:val="17"/>
          <w:szCs w:val="17"/>
          <w:color w:val="auto"/>
        </w:rPr>
        <w:t xml:space="preserve">The South segment’s revenues for the three months ended March 31, 2021 increased by $72.6 million, primarily as a result of increased gaming revenues resulting from higher spend-per-visit and increased visitation levels compared to the prior year quarter when our properties were mandated with temporary closures </w:t>
      </w:r>
      <w:r>
        <w:rPr>
          <w:rFonts w:ascii="Arial" w:cs="Arial" w:eastAsia="Arial" w:hAnsi="Arial"/>
          <w:sz w:val="17"/>
          <w:szCs w:val="17"/>
          <w:color w:val="212529"/>
        </w:rPr>
        <w:t>to combat the rapid spread of COVID-19.</w:t>
      </w:r>
      <w:r>
        <w:rPr>
          <w:rFonts w:ascii="Arial" w:cs="Arial" w:eastAsia="Arial" w:hAnsi="Arial"/>
          <w:sz w:val="17"/>
          <w:szCs w:val="17"/>
          <w:color w:val="auto"/>
        </w:rPr>
        <w:t xml:space="preserve"> All of our properties within the South segment continue to operate with reduced gaming and hotel (if applicable) capacity, limited food and beverage and other amenity offerings. Gaming revenues at the South segment benefited from less restrictive COVID-19 protocols in the region compared to our other reportable segments.</w:t>
      </w:r>
    </w:p>
    <w:p>
      <w:pPr>
        <w:spacing w:after="0" w:line="144" w:lineRule="exact"/>
        <w:rPr>
          <w:sz w:val="20"/>
          <w:szCs w:val="20"/>
          <w:color w:val="auto"/>
        </w:rPr>
      </w:pPr>
    </w:p>
    <w:p>
      <w:pPr>
        <w:ind w:right="120" w:firstLine="309"/>
        <w:spacing w:after="0" w:line="307" w:lineRule="auto"/>
        <w:rPr>
          <w:sz w:val="20"/>
          <w:szCs w:val="20"/>
          <w:color w:val="auto"/>
        </w:rPr>
      </w:pPr>
      <w:r>
        <w:rPr>
          <w:rFonts w:ascii="Arial" w:cs="Arial" w:eastAsia="Arial" w:hAnsi="Arial"/>
          <w:sz w:val="15"/>
          <w:szCs w:val="15"/>
          <w:color w:val="auto"/>
        </w:rPr>
        <w:t>For the three months ended March 31, 2021, the South segment’s Adjusted EBITDAR and Adjusted EBITDAR margin increased $81.3 million and 2,170 basis points, respectively, as compared to the prior year quarter, due to both the higher proportionate share of gaming activity yielding a higher overall Adjusted EBITDAR margin, and cost saving initiatives implemented throughout the prior year, designed to mitigate revenue degradation in 2020, such as: operating with a reduced workforce, focusing on higher margin gaming offerings, reducing marketing costs, and limiting certain lower margin food and beverage offerings.</w:t>
      </w:r>
    </w:p>
    <w:p>
      <w:pPr>
        <w:spacing w:after="0" w:line="12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West Segment</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5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500" w:type="dxa"/>
            <w:vAlign w:val="bottom"/>
            <w:gridSpan w:val="6"/>
          </w:tcPr>
          <w:p>
            <w:pPr>
              <w:spacing w:after="0"/>
              <w:rPr>
                <w:sz w:val="20"/>
                <w:szCs w:val="20"/>
                <w:color w:val="auto"/>
              </w:rPr>
            </w:pPr>
            <w:r>
              <w:rPr>
                <w:rFonts w:ascii="Arial" w:cs="Arial" w:eastAsia="Arial" w:hAnsi="Arial"/>
                <w:sz w:val="15"/>
                <w:szCs w:val="15"/>
                <w:b w:val="1"/>
                <w:bCs w:val="1"/>
                <w:color w:val="auto"/>
              </w:rPr>
              <w:t>For the three months ended March</w:t>
            </w:r>
          </w:p>
        </w:tc>
        <w:tc>
          <w:tcPr>
            <w:tcW w:w="120" w:type="dxa"/>
            <w:vAlign w:val="bottom"/>
          </w:tcPr>
          <w:p>
            <w:pPr>
              <w:spacing w:after="0"/>
              <w:rPr>
                <w:sz w:val="14"/>
                <w:szCs w:val="14"/>
                <w:color w:val="auto"/>
              </w:rPr>
            </w:pPr>
          </w:p>
        </w:tc>
        <w:tc>
          <w:tcPr>
            <w:tcW w:w="960" w:type="dxa"/>
            <w:vAlign w:val="bottom"/>
            <w:vMerge w:val="restart"/>
          </w:tcPr>
          <w:p>
            <w:pPr>
              <w:jc w:val="right"/>
              <w:ind w:right="143"/>
              <w:spacing w:after="0"/>
              <w:rPr>
                <w:sz w:val="20"/>
                <w:szCs w:val="20"/>
                <w:color w:val="auto"/>
              </w:rPr>
            </w:pPr>
            <w:r>
              <w:rPr>
                <w:rFonts w:ascii="Arial" w:cs="Arial" w:eastAsia="Arial" w:hAnsi="Arial"/>
                <w:sz w:val="15"/>
                <w:szCs w:val="15"/>
                <w:b w:val="1"/>
                <w:bCs w:val="1"/>
                <w:color w:val="auto"/>
              </w:rPr>
              <w:t>$ Change</w:t>
            </w:r>
          </w:p>
        </w:tc>
        <w:tc>
          <w:tcPr>
            <w:tcW w:w="80" w:type="dxa"/>
            <w:vAlign w:val="bottom"/>
          </w:tcPr>
          <w:p>
            <w:pPr>
              <w:spacing w:after="0"/>
              <w:rPr>
                <w:sz w:val="14"/>
                <w:szCs w:val="14"/>
                <w:color w:val="auto"/>
              </w:rPr>
            </w:pPr>
          </w:p>
        </w:tc>
        <w:tc>
          <w:tcPr>
            <w:tcW w:w="1200" w:type="dxa"/>
            <w:vAlign w:val="bottom"/>
            <w:vMerge w:val="restart"/>
          </w:tcPr>
          <w:p>
            <w:pPr>
              <w:jc w:val="center"/>
              <w:spacing w:after="0"/>
              <w:rPr>
                <w:sz w:val="20"/>
                <w:szCs w:val="20"/>
                <w:color w:val="auto"/>
              </w:rPr>
            </w:pPr>
            <w:r>
              <w:rPr>
                <w:rFonts w:ascii="Arial" w:cs="Arial" w:eastAsia="Arial" w:hAnsi="Arial"/>
                <w:sz w:val="15"/>
                <w:szCs w:val="15"/>
                <w:b w:val="1"/>
                <w:bCs w:val="1"/>
                <w:color w:val="auto"/>
                <w:w w:val="96"/>
              </w:rPr>
              <w:t>% Change</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514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gridSpan w:val="3"/>
          </w:tcPr>
          <w:p>
            <w:pPr>
              <w:jc w:val="right"/>
              <w:ind w:right="240"/>
              <w:spacing w:after="0"/>
              <w:rPr>
                <w:sz w:val="20"/>
                <w:szCs w:val="20"/>
                <w:color w:val="auto"/>
              </w:rPr>
            </w:pPr>
            <w:r>
              <w:rPr>
                <w:rFonts w:ascii="Arial" w:cs="Arial" w:eastAsia="Arial" w:hAnsi="Arial"/>
                <w:sz w:val="15"/>
                <w:szCs w:val="15"/>
                <w:b w:val="1"/>
                <w:bCs w:val="1"/>
                <w:color w:val="auto"/>
              </w:rPr>
              <w:t>31,</w:t>
            </w:r>
          </w:p>
        </w:tc>
        <w:tc>
          <w:tcPr>
            <w:tcW w:w="9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vMerge w:val="continue"/>
          </w:tcPr>
          <w:p>
            <w:pPr>
              <w:spacing w:after="0"/>
              <w:rPr>
                <w:sz w:val="17"/>
                <w:szCs w:val="17"/>
                <w:color w:val="auto"/>
              </w:rPr>
            </w:pPr>
          </w:p>
        </w:tc>
        <w:tc>
          <w:tcPr>
            <w:tcW w:w="80" w:type="dxa"/>
            <w:vAlign w:val="bottom"/>
          </w:tcPr>
          <w:p>
            <w:pPr>
              <w:spacing w:after="0"/>
              <w:rPr>
                <w:sz w:val="17"/>
                <w:szCs w:val="17"/>
                <w:color w:val="auto"/>
              </w:rPr>
            </w:pPr>
          </w:p>
        </w:tc>
        <w:tc>
          <w:tcPr>
            <w:tcW w:w="120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63"/>
        </w:trPr>
        <w:tc>
          <w:tcPr>
            <w:tcW w:w="6280" w:type="dxa"/>
            <w:vAlign w:val="bottom"/>
            <w:gridSpan w:val="3"/>
          </w:tcPr>
          <w:p>
            <w:pPr>
              <w:ind w:left="20"/>
              <w:spacing w:after="0"/>
              <w:rPr>
                <w:sz w:val="20"/>
                <w:szCs w:val="20"/>
                <w:color w:val="auto"/>
              </w:rPr>
            </w:pPr>
            <w:r>
              <w:rPr>
                <w:rFonts w:ascii="Arial" w:cs="Arial" w:eastAsia="Arial" w:hAnsi="Arial"/>
                <w:sz w:val="14"/>
                <w:szCs w:val="14"/>
                <w:b w:val="1"/>
                <w:bCs w:val="1"/>
                <w:i w:val="1"/>
                <w:iCs w:val="1"/>
                <w:color w:val="auto"/>
              </w:rPr>
              <w:t>(dollars in millions)</w:t>
            </w:r>
          </w:p>
        </w:tc>
        <w:tc>
          <w:tcPr>
            <w:tcW w:w="100" w:type="dxa"/>
            <w:vAlign w:val="bottom"/>
          </w:tcPr>
          <w:p>
            <w:pPr>
              <w:spacing w:after="0"/>
              <w:rPr>
                <w:sz w:val="14"/>
                <w:szCs w:val="14"/>
                <w:color w:val="auto"/>
              </w:rPr>
            </w:pPr>
          </w:p>
        </w:tc>
        <w:tc>
          <w:tcPr>
            <w:tcW w:w="980" w:type="dxa"/>
            <w:vAlign w:val="bottom"/>
          </w:tcPr>
          <w:p>
            <w:pPr>
              <w:ind w:left="340"/>
              <w:spacing w:after="0" w:line="163" w:lineRule="exact"/>
              <w:rPr>
                <w:sz w:val="20"/>
                <w:szCs w:val="20"/>
                <w:color w:val="auto"/>
              </w:rPr>
            </w:pPr>
            <w:r>
              <w:rPr>
                <w:rFonts w:ascii="Arial" w:cs="Arial" w:eastAsia="Arial" w:hAnsi="Arial"/>
                <w:sz w:val="15"/>
                <w:szCs w:val="15"/>
                <w:b w:val="1"/>
                <w:bCs w:val="1"/>
                <w:color w:val="auto"/>
              </w:rPr>
              <w:t>2021</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jc w:val="right"/>
              <w:ind w:right="363"/>
              <w:spacing w:after="0" w:line="163" w:lineRule="exact"/>
              <w:rPr>
                <w:sz w:val="20"/>
                <w:szCs w:val="20"/>
                <w:color w:val="auto"/>
              </w:rPr>
            </w:pPr>
            <w:r>
              <w:rPr>
                <w:rFonts w:ascii="Arial" w:cs="Arial" w:eastAsia="Arial" w:hAnsi="Arial"/>
                <w:sz w:val="15"/>
                <w:szCs w:val="15"/>
                <w:b w:val="1"/>
                <w:bCs w:val="1"/>
                <w:color w:val="auto"/>
              </w:rPr>
              <w:t>2020</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jc w:val="right"/>
              <w:ind w:right="43"/>
              <w:spacing w:after="0" w:line="163" w:lineRule="exact"/>
              <w:rPr>
                <w:sz w:val="20"/>
                <w:szCs w:val="20"/>
                <w:color w:val="auto"/>
              </w:rPr>
            </w:pPr>
            <w:r>
              <w:rPr>
                <w:rFonts w:ascii="Arial" w:cs="Arial" w:eastAsia="Arial" w:hAnsi="Arial"/>
                <w:sz w:val="15"/>
                <w:szCs w:val="15"/>
                <w:b w:val="1"/>
                <w:bCs w:val="1"/>
                <w:color w:val="auto"/>
                <w:w w:val="89"/>
              </w:rPr>
              <w:t>2021 vs 2020</w:t>
            </w:r>
          </w:p>
        </w:tc>
        <w:tc>
          <w:tcPr>
            <w:tcW w:w="80" w:type="dxa"/>
            <w:vAlign w:val="bottom"/>
          </w:tcPr>
          <w:p>
            <w:pPr>
              <w:spacing w:after="0"/>
              <w:rPr>
                <w:sz w:val="14"/>
                <w:szCs w:val="14"/>
                <w:color w:val="auto"/>
              </w:rPr>
            </w:pPr>
          </w:p>
        </w:tc>
        <w:tc>
          <w:tcPr>
            <w:tcW w:w="1200" w:type="dxa"/>
            <w:vAlign w:val="bottom"/>
          </w:tcPr>
          <w:p>
            <w:pPr>
              <w:jc w:val="center"/>
              <w:spacing w:after="0" w:line="163" w:lineRule="exact"/>
              <w:rPr>
                <w:sz w:val="20"/>
                <w:szCs w:val="20"/>
                <w:color w:val="auto"/>
              </w:rPr>
            </w:pPr>
            <w:r>
              <w:rPr>
                <w:rFonts w:ascii="Arial" w:cs="Arial" w:eastAsia="Arial" w:hAnsi="Arial"/>
                <w:sz w:val="15"/>
                <w:szCs w:val="15"/>
                <w:b w:val="1"/>
                <w:bCs w:val="1"/>
                <w:color w:val="auto"/>
                <w:w w:val="91"/>
              </w:rPr>
              <w:t>2021 vs 2020</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120" w:type="dxa"/>
            <w:vAlign w:val="bottom"/>
            <w:tcBorders>
              <w:top w:val="single" w:sz="8" w:color="auto"/>
              <w:bottom w:val="single" w:sz="8" w:color="CCEEFF"/>
            </w:tcBorders>
          </w:tcPr>
          <w:p>
            <w:pPr>
              <w:spacing w:after="0" w:line="20" w:lineRule="exact"/>
              <w:rPr>
                <w:sz w:val="1"/>
                <w:szCs w:val="1"/>
                <w:color w:val="auto"/>
              </w:rPr>
            </w:pPr>
          </w:p>
        </w:tc>
        <w:tc>
          <w:tcPr>
            <w:tcW w:w="51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5"/>
        </w:trPr>
        <w:tc>
          <w:tcPr>
            <w:tcW w:w="6280" w:type="dxa"/>
            <w:vAlign w:val="bottom"/>
            <w:gridSpan w:val="3"/>
            <w:shd w:val="clear" w:color="auto" w:fill="CCEEFF"/>
          </w:tcPr>
          <w:p>
            <w:pPr>
              <w:ind w:left="20"/>
              <w:spacing w:after="0"/>
              <w:rPr>
                <w:sz w:val="20"/>
                <w:szCs w:val="20"/>
                <w:color w:val="auto"/>
              </w:rPr>
            </w:pPr>
            <w:r>
              <w:rPr>
                <w:rFonts w:ascii="Arial" w:cs="Arial" w:eastAsia="Arial" w:hAnsi="Arial"/>
                <w:sz w:val="15"/>
                <w:szCs w:val="15"/>
                <w:b w:val="1"/>
                <w:bCs w:val="1"/>
                <w:color w:val="auto"/>
              </w:rPr>
              <w:t>Revenues</w:t>
            </w:r>
          </w:p>
        </w:tc>
        <w:tc>
          <w:tcPr>
            <w:tcW w:w="1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60" w:type="dxa"/>
            <w:vAlign w:val="bottom"/>
            <w:gridSpan w:val="2"/>
          </w:tcPr>
          <w:p>
            <w:pPr>
              <w:ind w:left="120"/>
              <w:spacing w:after="0"/>
              <w:rPr>
                <w:sz w:val="20"/>
                <w:szCs w:val="20"/>
                <w:color w:val="auto"/>
              </w:rPr>
            </w:pPr>
            <w:r>
              <w:rPr>
                <w:rFonts w:ascii="Arial" w:cs="Arial" w:eastAsia="Arial" w:hAnsi="Arial"/>
                <w:sz w:val="15"/>
                <w:szCs w:val="15"/>
                <w:color w:val="auto"/>
              </w:rPr>
              <w:t>Gaming</w:t>
            </w:r>
          </w:p>
        </w:tc>
        <w:tc>
          <w:tcPr>
            <w:tcW w:w="10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980" w:type="dxa"/>
            <w:vAlign w:val="bottom"/>
          </w:tcPr>
          <w:p>
            <w:pPr>
              <w:ind w:left="640"/>
              <w:spacing w:after="0"/>
              <w:rPr>
                <w:sz w:val="20"/>
                <w:szCs w:val="20"/>
                <w:color w:val="auto"/>
              </w:rPr>
            </w:pPr>
            <w:r>
              <w:rPr>
                <w:rFonts w:ascii="Arial" w:cs="Arial" w:eastAsia="Arial" w:hAnsi="Arial"/>
                <w:sz w:val="15"/>
                <w:szCs w:val="15"/>
                <w:color w:val="auto"/>
              </w:rPr>
              <w:t>69.1</w:t>
            </w:r>
          </w:p>
        </w:tc>
        <w:tc>
          <w:tcPr>
            <w:tcW w:w="500" w:type="dxa"/>
            <w:vAlign w:val="bottom"/>
            <w:gridSpan w:val="3"/>
          </w:tcPr>
          <w:p>
            <w:pPr>
              <w:jc w:val="right"/>
              <w:ind w:right="180"/>
              <w:spacing w:after="0"/>
              <w:rPr>
                <w:sz w:val="20"/>
                <w:szCs w:val="20"/>
                <w:color w:val="auto"/>
              </w:rPr>
            </w:pPr>
            <w:r>
              <w:rPr>
                <w:rFonts w:ascii="Arial" w:cs="Arial" w:eastAsia="Arial" w:hAnsi="Arial"/>
                <w:sz w:val="15"/>
                <w:szCs w:val="15"/>
                <w:color w:val="auto"/>
              </w:rPr>
              <w:t>$</w:t>
            </w:r>
          </w:p>
        </w:tc>
        <w:tc>
          <w:tcPr>
            <w:tcW w:w="920" w:type="dxa"/>
            <w:vAlign w:val="bottom"/>
          </w:tcPr>
          <w:p>
            <w:pPr>
              <w:jc w:val="right"/>
              <w:ind w:right="123"/>
              <w:spacing w:after="0"/>
              <w:rPr>
                <w:sz w:val="20"/>
                <w:szCs w:val="20"/>
                <w:color w:val="auto"/>
              </w:rPr>
            </w:pPr>
            <w:r>
              <w:rPr>
                <w:rFonts w:ascii="Arial" w:cs="Arial" w:eastAsia="Arial" w:hAnsi="Arial"/>
                <w:sz w:val="15"/>
                <w:szCs w:val="15"/>
                <w:color w:val="auto"/>
              </w:rPr>
              <w:t>71.9</w:t>
            </w:r>
          </w:p>
        </w:tc>
        <w:tc>
          <w:tcPr>
            <w:tcW w:w="1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960" w:type="dxa"/>
            <w:vAlign w:val="bottom"/>
          </w:tcPr>
          <w:p>
            <w:pPr>
              <w:jc w:val="right"/>
              <w:spacing w:after="0"/>
              <w:rPr>
                <w:sz w:val="20"/>
                <w:szCs w:val="20"/>
                <w:color w:val="auto"/>
              </w:rPr>
            </w:pPr>
            <w:r>
              <w:rPr>
                <w:rFonts w:ascii="Arial" w:cs="Arial" w:eastAsia="Arial" w:hAnsi="Arial"/>
                <w:sz w:val="15"/>
                <w:szCs w:val="15"/>
                <w:color w:val="auto"/>
              </w:rPr>
              <w:t>(2.8)</w:t>
            </w:r>
          </w:p>
        </w:tc>
        <w:tc>
          <w:tcPr>
            <w:tcW w:w="1280" w:type="dxa"/>
            <w:vAlign w:val="bottom"/>
            <w:gridSpan w:val="2"/>
          </w:tcPr>
          <w:p>
            <w:pPr>
              <w:jc w:val="right"/>
              <w:spacing w:after="0"/>
              <w:rPr>
                <w:sz w:val="20"/>
                <w:szCs w:val="20"/>
                <w:color w:val="auto"/>
              </w:rPr>
            </w:pPr>
            <w:r>
              <w:rPr>
                <w:rFonts w:ascii="Arial" w:cs="Arial" w:eastAsia="Arial" w:hAnsi="Arial"/>
                <w:sz w:val="15"/>
                <w:szCs w:val="15"/>
                <w:color w:val="auto"/>
              </w:rPr>
              <w:t>(3.9)%</w:t>
            </w:r>
          </w:p>
        </w:tc>
        <w:tc>
          <w:tcPr>
            <w:tcW w:w="0" w:type="dxa"/>
            <w:vAlign w:val="bottom"/>
          </w:tcPr>
          <w:p>
            <w:pPr>
              <w:spacing w:after="0"/>
              <w:rPr>
                <w:sz w:val="1"/>
                <w:szCs w:val="1"/>
                <w:color w:val="auto"/>
              </w:rPr>
            </w:pPr>
          </w:p>
        </w:tc>
      </w:tr>
      <w:tr>
        <w:trPr>
          <w:trHeight w:val="206"/>
        </w:trPr>
        <w:tc>
          <w:tcPr>
            <w:tcW w:w="20" w:type="dxa"/>
            <w:vAlign w:val="bottom"/>
            <w:shd w:val="clear" w:color="auto" w:fill="CCEEFF"/>
          </w:tcPr>
          <w:p>
            <w:pPr>
              <w:spacing w:after="0"/>
              <w:rPr>
                <w:sz w:val="17"/>
                <w:szCs w:val="17"/>
                <w:color w:val="auto"/>
              </w:rPr>
            </w:pPr>
          </w:p>
        </w:tc>
        <w:tc>
          <w:tcPr>
            <w:tcW w:w="6260" w:type="dxa"/>
            <w:vAlign w:val="bottom"/>
            <w:gridSpan w:val="2"/>
            <w:shd w:val="clear" w:color="auto" w:fill="CCEEFF"/>
          </w:tcPr>
          <w:p>
            <w:pPr>
              <w:ind w:left="120"/>
              <w:spacing w:after="0"/>
              <w:rPr>
                <w:sz w:val="20"/>
                <w:szCs w:val="20"/>
                <w:color w:val="auto"/>
              </w:rPr>
            </w:pPr>
            <w:r>
              <w:rPr>
                <w:rFonts w:ascii="Arial" w:cs="Arial" w:eastAsia="Arial" w:hAnsi="Arial"/>
                <w:sz w:val="15"/>
                <w:szCs w:val="15"/>
                <w:color w:val="auto"/>
              </w:rPr>
              <w:t>Food, beverage, hotel and other</w:t>
            </w:r>
          </w:p>
        </w:tc>
        <w:tc>
          <w:tcPr>
            <w:tcW w:w="10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ind w:left="640"/>
              <w:spacing w:after="0"/>
              <w:rPr>
                <w:sz w:val="20"/>
                <w:szCs w:val="20"/>
                <w:color w:val="auto"/>
              </w:rPr>
            </w:pPr>
            <w:r>
              <w:rPr>
                <w:rFonts w:ascii="Arial" w:cs="Arial" w:eastAsia="Arial" w:hAnsi="Arial"/>
                <w:sz w:val="15"/>
                <w:szCs w:val="15"/>
                <w:color w:val="auto"/>
              </w:rPr>
              <w:t>27.5</w:t>
            </w:r>
          </w:p>
        </w:tc>
        <w:tc>
          <w:tcPr>
            <w:tcW w:w="120" w:type="dxa"/>
            <w:vAlign w:val="bottom"/>
            <w:tcBorders>
              <w:bottom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ind w:right="123"/>
              <w:spacing w:after="0"/>
              <w:rPr>
                <w:sz w:val="20"/>
                <w:szCs w:val="20"/>
                <w:color w:val="auto"/>
              </w:rPr>
            </w:pPr>
            <w:r>
              <w:rPr>
                <w:rFonts w:ascii="Arial" w:cs="Arial" w:eastAsia="Arial" w:hAnsi="Arial"/>
                <w:sz w:val="15"/>
                <w:szCs w:val="15"/>
                <w:color w:val="auto"/>
              </w:rPr>
              <w:t>54.7</w:t>
            </w: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(27.2)</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(49.7)%</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260" w:type="dxa"/>
            <w:vAlign w:val="bottom"/>
            <w:gridSpan w:val="2"/>
          </w:tcPr>
          <w:p>
            <w:pPr>
              <w:ind w:left="300"/>
              <w:spacing w:after="0"/>
              <w:rPr>
                <w:sz w:val="20"/>
                <w:szCs w:val="20"/>
                <w:color w:val="auto"/>
              </w:rPr>
            </w:pPr>
            <w:r>
              <w:rPr>
                <w:rFonts w:ascii="Arial" w:cs="Arial" w:eastAsia="Arial" w:hAnsi="Arial"/>
                <w:sz w:val="15"/>
                <w:szCs w:val="15"/>
                <w:color w:val="auto"/>
              </w:rPr>
              <w:t>Total revenues</w:t>
            </w:r>
          </w:p>
        </w:tc>
        <w:tc>
          <w:tcPr>
            <w:tcW w:w="10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980" w:type="dxa"/>
            <w:vAlign w:val="bottom"/>
          </w:tcPr>
          <w:p>
            <w:pPr>
              <w:ind w:left="640"/>
              <w:spacing w:after="0"/>
              <w:rPr>
                <w:sz w:val="20"/>
                <w:szCs w:val="20"/>
                <w:color w:val="auto"/>
              </w:rPr>
            </w:pPr>
            <w:r>
              <w:rPr>
                <w:rFonts w:ascii="Arial" w:cs="Arial" w:eastAsia="Arial" w:hAnsi="Arial"/>
                <w:sz w:val="15"/>
                <w:szCs w:val="15"/>
                <w:color w:val="auto"/>
              </w:rPr>
              <w:t>96.6</w:t>
            </w:r>
          </w:p>
        </w:tc>
        <w:tc>
          <w:tcPr>
            <w:tcW w:w="500" w:type="dxa"/>
            <w:vAlign w:val="bottom"/>
            <w:gridSpan w:val="3"/>
          </w:tcPr>
          <w:p>
            <w:pPr>
              <w:jc w:val="right"/>
              <w:ind w:right="180"/>
              <w:spacing w:after="0"/>
              <w:rPr>
                <w:sz w:val="20"/>
                <w:szCs w:val="20"/>
                <w:color w:val="auto"/>
              </w:rPr>
            </w:pPr>
            <w:r>
              <w:rPr>
                <w:rFonts w:ascii="Arial" w:cs="Arial" w:eastAsia="Arial" w:hAnsi="Arial"/>
                <w:sz w:val="15"/>
                <w:szCs w:val="15"/>
                <w:color w:val="auto"/>
              </w:rPr>
              <w:t>$</w:t>
            </w:r>
          </w:p>
        </w:tc>
        <w:tc>
          <w:tcPr>
            <w:tcW w:w="920" w:type="dxa"/>
            <w:vAlign w:val="bottom"/>
          </w:tcPr>
          <w:p>
            <w:pPr>
              <w:jc w:val="right"/>
              <w:ind w:right="123"/>
              <w:spacing w:after="0"/>
              <w:rPr>
                <w:sz w:val="20"/>
                <w:szCs w:val="20"/>
                <w:color w:val="auto"/>
              </w:rPr>
            </w:pPr>
            <w:r>
              <w:rPr>
                <w:rFonts w:ascii="Arial" w:cs="Arial" w:eastAsia="Arial" w:hAnsi="Arial"/>
                <w:sz w:val="15"/>
                <w:szCs w:val="15"/>
                <w:color w:val="auto"/>
              </w:rPr>
              <w:t>126.6</w:t>
            </w:r>
          </w:p>
        </w:tc>
        <w:tc>
          <w:tcPr>
            <w:tcW w:w="1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960" w:type="dxa"/>
            <w:vAlign w:val="bottom"/>
          </w:tcPr>
          <w:p>
            <w:pPr>
              <w:jc w:val="right"/>
              <w:spacing w:after="0"/>
              <w:rPr>
                <w:sz w:val="20"/>
                <w:szCs w:val="20"/>
                <w:color w:val="auto"/>
              </w:rPr>
            </w:pPr>
            <w:r>
              <w:rPr>
                <w:rFonts w:ascii="Arial" w:cs="Arial" w:eastAsia="Arial" w:hAnsi="Arial"/>
                <w:sz w:val="15"/>
                <w:szCs w:val="15"/>
                <w:color w:val="auto"/>
              </w:rPr>
              <w:t>(30.0)</w:t>
            </w:r>
          </w:p>
        </w:tc>
        <w:tc>
          <w:tcPr>
            <w:tcW w:w="1280" w:type="dxa"/>
            <w:vAlign w:val="bottom"/>
            <w:gridSpan w:val="2"/>
          </w:tcPr>
          <w:p>
            <w:pPr>
              <w:jc w:val="right"/>
              <w:spacing w:after="0"/>
              <w:rPr>
                <w:sz w:val="20"/>
                <w:szCs w:val="20"/>
                <w:color w:val="auto"/>
              </w:rPr>
            </w:pPr>
            <w:r>
              <w:rPr>
                <w:rFonts w:ascii="Arial" w:cs="Arial" w:eastAsia="Arial" w:hAnsi="Arial"/>
                <w:sz w:val="15"/>
                <w:szCs w:val="15"/>
                <w:color w:val="auto"/>
              </w:rPr>
              <w:t>(23.7)%</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CCEEFF"/>
            </w:tcBorders>
          </w:tcPr>
          <w:p>
            <w:pPr>
              <w:spacing w:after="0" w:line="20" w:lineRule="exact"/>
              <w:rPr>
                <w:sz w:val="1"/>
                <w:szCs w:val="1"/>
                <w:color w:val="auto"/>
              </w:rPr>
            </w:pPr>
          </w:p>
        </w:tc>
        <w:tc>
          <w:tcPr>
            <w:tcW w:w="514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5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6280" w:type="dxa"/>
            <w:vAlign w:val="bottom"/>
            <w:gridSpan w:val="3"/>
          </w:tcPr>
          <w:p>
            <w:pPr>
              <w:ind w:left="20"/>
              <w:spacing w:after="0"/>
              <w:rPr>
                <w:sz w:val="20"/>
                <w:szCs w:val="20"/>
                <w:color w:val="auto"/>
              </w:rPr>
            </w:pPr>
            <w:r>
              <w:rPr>
                <w:rFonts w:ascii="Arial" w:cs="Arial" w:eastAsia="Arial" w:hAnsi="Arial"/>
                <w:sz w:val="15"/>
                <w:szCs w:val="15"/>
                <w:color w:val="auto"/>
              </w:rPr>
              <w:t>Adjusted EBITDAR</w:t>
            </w:r>
          </w:p>
        </w:tc>
        <w:tc>
          <w:tcPr>
            <w:tcW w:w="10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980" w:type="dxa"/>
            <w:vAlign w:val="bottom"/>
          </w:tcPr>
          <w:p>
            <w:pPr>
              <w:ind w:left="640"/>
              <w:spacing w:after="0"/>
              <w:rPr>
                <w:sz w:val="20"/>
                <w:szCs w:val="20"/>
                <w:color w:val="auto"/>
              </w:rPr>
            </w:pPr>
            <w:r>
              <w:rPr>
                <w:rFonts w:ascii="Arial" w:cs="Arial" w:eastAsia="Arial" w:hAnsi="Arial"/>
                <w:sz w:val="15"/>
                <w:szCs w:val="15"/>
                <w:color w:val="auto"/>
              </w:rPr>
              <w:t>35.2</w:t>
            </w:r>
          </w:p>
        </w:tc>
        <w:tc>
          <w:tcPr>
            <w:tcW w:w="500" w:type="dxa"/>
            <w:vAlign w:val="bottom"/>
            <w:gridSpan w:val="3"/>
          </w:tcPr>
          <w:p>
            <w:pPr>
              <w:jc w:val="right"/>
              <w:ind w:right="180"/>
              <w:spacing w:after="0"/>
              <w:rPr>
                <w:sz w:val="20"/>
                <w:szCs w:val="20"/>
                <w:color w:val="auto"/>
              </w:rPr>
            </w:pPr>
            <w:r>
              <w:rPr>
                <w:rFonts w:ascii="Arial" w:cs="Arial" w:eastAsia="Arial" w:hAnsi="Arial"/>
                <w:sz w:val="15"/>
                <w:szCs w:val="15"/>
                <w:color w:val="auto"/>
              </w:rPr>
              <w:t>$</w:t>
            </w:r>
          </w:p>
        </w:tc>
        <w:tc>
          <w:tcPr>
            <w:tcW w:w="920" w:type="dxa"/>
            <w:vAlign w:val="bottom"/>
          </w:tcPr>
          <w:p>
            <w:pPr>
              <w:jc w:val="right"/>
              <w:ind w:right="123"/>
              <w:spacing w:after="0"/>
              <w:rPr>
                <w:sz w:val="20"/>
                <w:szCs w:val="20"/>
                <w:color w:val="auto"/>
              </w:rPr>
            </w:pPr>
            <w:r>
              <w:rPr>
                <w:rFonts w:ascii="Arial" w:cs="Arial" w:eastAsia="Arial" w:hAnsi="Arial"/>
                <w:sz w:val="15"/>
                <w:szCs w:val="15"/>
                <w:color w:val="auto"/>
              </w:rPr>
              <w:t>24.6</w:t>
            </w:r>
          </w:p>
        </w:tc>
        <w:tc>
          <w:tcPr>
            <w:tcW w:w="1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960" w:type="dxa"/>
            <w:vAlign w:val="bottom"/>
          </w:tcPr>
          <w:p>
            <w:pPr>
              <w:jc w:val="right"/>
              <w:spacing w:after="0"/>
              <w:rPr>
                <w:sz w:val="20"/>
                <w:szCs w:val="20"/>
                <w:color w:val="auto"/>
              </w:rPr>
            </w:pPr>
            <w:r>
              <w:rPr>
                <w:rFonts w:ascii="Arial" w:cs="Arial" w:eastAsia="Arial" w:hAnsi="Arial"/>
                <w:sz w:val="15"/>
                <w:szCs w:val="15"/>
                <w:color w:val="auto"/>
              </w:rPr>
              <w:t>10.6</w:t>
            </w:r>
          </w:p>
        </w:tc>
        <w:tc>
          <w:tcPr>
            <w:tcW w:w="1280" w:type="dxa"/>
            <w:vAlign w:val="bottom"/>
            <w:gridSpan w:val="2"/>
          </w:tcPr>
          <w:p>
            <w:pPr>
              <w:jc w:val="right"/>
              <w:spacing w:after="0"/>
              <w:rPr>
                <w:sz w:val="20"/>
                <w:szCs w:val="20"/>
                <w:color w:val="auto"/>
              </w:rPr>
            </w:pPr>
            <w:r>
              <w:rPr>
                <w:rFonts w:ascii="Arial" w:cs="Arial" w:eastAsia="Arial" w:hAnsi="Arial"/>
                <w:sz w:val="15"/>
                <w:szCs w:val="15"/>
                <w:color w:val="auto"/>
              </w:rPr>
              <w:t>43.1 %</w:t>
            </w:r>
          </w:p>
        </w:tc>
        <w:tc>
          <w:tcPr>
            <w:tcW w:w="0" w:type="dxa"/>
            <w:vAlign w:val="bottom"/>
          </w:tcPr>
          <w:p>
            <w:pPr>
              <w:spacing w:after="0"/>
              <w:rPr>
                <w:sz w:val="1"/>
                <w:szCs w:val="1"/>
                <w:color w:val="auto"/>
              </w:rPr>
            </w:pPr>
          </w:p>
        </w:tc>
      </w:tr>
      <w:tr>
        <w:trPr>
          <w:trHeight w:val="209"/>
        </w:trPr>
        <w:tc>
          <w:tcPr>
            <w:tcW w:w="6280" w:type="dxa"/>
            <w:vAlign w:val="bottom"/>
            <w:gridSpan w:val="3"/>
            <w:shd w:val="clear" w:color="auto" w:fill="CCEEFF"/>
          </w:tcPr>
          <w:p>
            <w:pPr>
              <w:ind w:left="20"/>
              <w:spacing w:after="0"/>
              <w:rPr>
                <w:sz w:val="20"/>
                <w:szCs w:val="20"/>
                <w:color w:val="auto"/>
              </w:rPr>
            </w:pPr>
            <w:r>
              <w:rPr>
                <w:rFonts w:ascii="Arial" w:cs="Arial" w:eastAsia="Arial" w:hAnsi="Arial"/>
                <w:sz w:val="15"/>
                <w:szCs w:val="15"/>
                <w:color w:val="auto"/>
              </w:rPr>
              <w:t>Adjusted EBITDAR margin</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640"/>
              <w:spacing w:after="0"/>
              <w:rPr>
                <w:sz w:val="20"/>
                <w:szCs w:val="20"/>
                <w:color w:val="auto"/>
              </w:rPr>
            </w:pPr>
            <w:r>
              <w:rPr>
                <w:rFonts w:ascii="Arial" w:cs="Arial" w:eastAsia="Arial" w:hAnsi="Arial"/>
                <w:sz w:val="15"/>
                <w:szCs w:val="15"/>
                <w:color w:val="auto"/>
                <w:w w:val="94"/>
              </w:rPr>
              <w:t>36.4 %</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19.4 %</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90"/>
              </w:rPr>
              <w:t>1,700 bps</w:t>
            </w:r>
          </w:p>
        </w:tc>
        <w:tc>
          <w:tcPr>
            <w:tcW w:w="0" w:type="dxa"/>
            <w:vAlign w:val="bottom"/>
          </w:tcPr>
          <w:p>
            <w:pPr>
              <w:spacing w:after="0"/>
              <w:rPr>
                <w:sz w:val="1"/>
                <w:szCs w:val="1"/>
                <w:color w:val="auto"/>
              </w:rPr>
            </w:pPr>
          </w:p>
        </w:tc>
      </w:tr>
    </w:tbl>
    <w:p>
      <w:pPr>
        <w:spacing w:after="0" w:line="245" w:lineRule="exact"/>
        <w:rPr>
          <w:sz w:val="20"/>
          <w:szCs w:val="20"/>
          <w:color w:val="auto"/>
        </w:rPr>
      </w:pPr>
    </w:p>
    <w:p>
      <w:pPr>
        <w:jc w:val="both"/>
        <w:ind w:right="60" w:firstLine="309"/>
        <w:spacing w:after="0" w:line="266" w:lineRule="auto"/>
        <w:rPr>
          <w:sz w:val="20"/>
          <w:szCs w:val="20"/>
          <w:color w:val="auto"/>
        </w:rPr>
      </w:pPr>
      <w:r>
        <w:rPr>
          <w:rFonts w:ascii="Arial" w:cs="Arial" w:eastAsia="Arial" w:hAnsi="Arial"/>
          <w:sz w:val="17"/>
          <w:szCs w:val="17"/>
          <w:color w:val="auto"/>
        </w:rPr>
        <w:t>The West segment’s revenues for the three months ended March 31, 2021 decreased by $30.0 million due to the continued closure of our property at Zia Park, which remained closed until March 2021, and the reduced gaming and food, beverage, hotel and other revenues at the Tropicana, Las Vegas property, due to lower traffic resulting from visitor and international travel restrictions.</w:t>
      </w:r>
    </w:p>
    <w:p>
      <w:pPr>
        <w:spacing w:after="0" w:line="136" w:lineRule="exact"/>
        <w:rPr>
          <w:sz w:val="20"/>
          <w:szCs w:val="20"/>
          <w:color w:val="auto"/>
        </w:rPr>
      </w:pPr>
    </w:p>
    <w:p>
      <w:pPr>
        <w:ind w:right="180" w:firstLine="309"/>
        <w:spacing w:after="0" w:line="266" w:lineRule="auto"/>
        <w:rPr>
          <w:sz w:val="20"/>
          <w:szCs w:val="20"/>
          <w:color w:val="auto"/>
        </w:rPr>
      </w:pPr>
      <w:r>
        <w:rPr>
          <w:rFonts w:ascii="Arial" w:cs="Arial" w:eastAsia="Arial" w:hAnsi="Arial"/>
          <w:sz w:val="17"/>
          <w:szCs w:val="17"/>
          <w:color w:val="auto"/>
        </w:rPr>
        <w:t>In spite of the revenue decrease, the West segment’s Adjusted EBITDAR and Adjusted EBITDAR margin increased by $10.6 million and 1,700 basis points respectively, primarily due to the higher proportion of higher margin gaming activities and reduced operating expenses due to limited food, beverage and hotel offerings.</w:t>
      </w: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173990</wp:posOffset>
            </wp:positionV>
            <wp:extent cx="7164070" cy="4191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8" w:name="page39"/>
    <w:bookmarkEnd w:id="38"/>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Midwest Segment</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5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500" w:type="dxa"/>
            <w:vAlign w:val="bottom"/>
            <w:gridSpan w:val="6"/>
          </w:tcPr>
          <w:p>
            <w:pPr>
              <w:spacing w:after="0"/>
              <w:rPr>
                <w:sz w:val="20"/>
                <w:szCs w:val="20"/>
                <w:color w:val="auto"/>
              </w:rPr>
            </w:pPr>
            <w:r>
              <w:rPr>
                <w:rFonts w:ascii="Arial" w:cs="Arial" w:eastAsia="Arial" w:hAnsi="Arial"/>
                <w:sz w:val="15"/>
                <w:szCs w:val="15"/>
                <w:b w:val="1"/>
                <w:bCs w:val="1"/>
                <w:color w:val="auto"/>
              </w:rPr>
              <w:t>For the three months ended March</w:t>
            </w:r>
          </w:p>
        </w:tc>
        <w:tc>
          <w:tcPr>
            <w:tcW w:w="120" w:type="dxa"/>
            <w:vAlign w:val="bottom"/>
          </w:tcPr>
          <w:p>
            <w:pPr>
              <w:spacing w:after="0"/>
              <w:rPr>
                <w:sz w:val="14"/>
                <w:szCs w:val="14"/>
                <w:color w:val="auto"/>
              </w:rPr>
            </w:pPr>
          </w:p>
        </w:tc>
        <w:tc>
          <w:tcPr>
            <w:tcW w:w="960" w:type="dxa"/>
            <w:vAlign w:val="bottom"/>
            <w:vMerge w:val="restart"/>
          </w:tcPr>
          <w:p>
            <w:pPr>
              <w:jc w:val="right"/>
              <w:ind w:right="143"/>
              <w:spacing w:after="0"/>
              <w:rPr>
                <w:sz w:val="20"/>
                <w:szCs w:val="20"/>
                <w:color w:val="auto"/>
              </w:rPr>
            </w:pPr>
            <w:r>
              <w:rPr>
                <w:rFonts w:ascii="Arial" w:cs="Arial" w:eastAsia="Arial" w:hAnsi="Arial"/>
                <w:sz w:val="15"/>
                <w:szCs w:val="15"/>
                <w:b w:val="1"/>
                <w:bCs w:val="1"/>
                <w:color w:val="auto"/>
              </w:rPr>
              <w:t>$ Change</w:t>
            </w:r>
          </w:p>
        </w:tc>
        <w:tc>
          <w:tcPr>
            <w:tcW w:w="80" w:type="dxa"/>
            <w:vAlign w:val="bottom"/>
          </w:tcPr>
          <w:p>
            <w:pPr>
              <w:spacing w:after="0"/>
              <w:rPr>
                <w:sz w:val="14"/>
                <w:szCs w:val="14"/>
                <w:color w:val="auto"/>
              </w:rPr>
            </w:pPr>
          </w:p>
        </w:tc>
        <w:tc>
          <w:tcPr>
            <w:tcW w:w="1200" w:type="dxa"/>
            <w:vAlign w:val="bottom"/>
            <w:vMerge w:val="restart"/>
          </w:tcPr>
          <w:p>
            <w:pPr>
              <w:jc w:val="center"/>
              <w:spacing w:after="0"/>
              <w:rPr>
                <w:sz w:val="20"/>
                <w:szCs w:val="20"/>
                <w:color w:val="auto"/>
              </w:rPr>
            </w:pPr>
            <w:r>
              <w:rPr>
                <w:rFonts w:ascii="Arial" w:cs="Arial" w:eastAsia="Arial" w:hAnsi="Arial"/>
                <w:sz w:val="15"/>
                <w:szCs w:val="15"/>
                <w:b w:val="1"/>
                <w:bCs w:val="1"/>
                <w:color w:val="auto"/>
                <w:w w:val="96"/>
              </w:rPr>
              <w:t>% Change</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514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gridSpan w:val="3"/>
          </w:tcPr>
          <w:p>
            <w:pPr>
              <w:jc w:val="right"/>
              <w:ind w:right="240"/>
              <w:spacing w:after="0"/>
              <w:rPr>
                <w:sz w:val="20"/>
                <w:szCs w:val="20"/>
                <w:color w:val="auto"/>
              </w:rPr>
            </w:pPr>
            <w:r>
              <w:rPr>
                <w:rFonts w:ascii="Arial" w:cs="Arial" w:eastAsia="Arial" w:hAnsi="Arial"/>
                <w:sz w:val="15"/>
                <w:szCs w:val="15"/>
                <w:b w:val="1"/>
                <w:bCs w:val="1"/>
                <w:color w:val="auto"/>
              </w:rPr>
              <w:t>31,</w:t>
            </w:r>
          </w:p>
        </w:tc>
        <w:tc>
          <w:tcPr>
            <w:tcW w:w="9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vMerge w:val="continue"/>
          </w:tcPr>
          <w:p>
            <w:pPr>
              <w:spacing w:after="0"/>
              <w:rPr>
                <w:sz w:val="17"/>
                <w:szCs w:val="17"/>
                <w:color w:val="auto"/>
              </w:rPr>
            </w:pPr>
          </w:p>
        </w:tc>
        <w:tc>
          <w:tcPr>
            <w:tcW w:w="80" w:type="dxa"/>
            <w:vAlign w:val="bottom"/>
          </w:tcPr>
          <w:p>
            <w:pPr>
              <w:spacing w:after="0"/>
              <w:rPr>
                <w:sz w:val="17"/>
                <w:szCs w:val="17"/>
                <w:color w:val="auto"/>
              </w:rPr>
            </w:pPr>
          </w:p>
        </w:tc>
        <w:tc>
          <w:tcPr>
            <w:tcW w:w="120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63"/>
        </w:trPr>
        <w:tc>
          <w:tcPr>
            <w:tcW w:w="6280" w:type="dxa"/>
            <w:vAlign w:val="bottom"/>
            <w:gridSpan w:val="3"/>
          </w:tcPr>
          <w:p>
            <w:pPr>
              <w:ind w:left="20"/>
              <w:spacing w:after="0"/>
              <w:rPr>
                <w:sz w:val="20"/>
                <w:szCs w:val="20"/>
                <w:color w:val="auto"/>
              </w:rPr>
            </w:pPr>
            <w:r>
              <w:rPr>
                <w:rFonts w:ascii="Arial" w:cs="Arial" w:eastAsia="Arial" w:hAnsi="Arial"/>
                <w:sz w:val="14"/>
                <w:szCs w:val="14"/>
                <w:b w:val="1"/>
                <w:bCs w:val="1"/>
                <w:i w:val="1"/>
                <w:iCs w:val="1"/>
                <w:color w:val="auto"/>
              </w:rPr>
              <w:t>(dollars in millions)</w:t>
            </w:r>
          </w:p>
        </w:tc>
        <w:tc>
          <w:tcPr>
            <w:tcW w:w="100" w:type="dxa"/>
            <w:vAlign w:val="bottom"/>
          </w:tcPr>
          <w:p>
            <w:pPr>
              <w:spacing w:after="0"/>
              <w:rPr>
                <w:sz w:val="14"/>
                <w:szCs w:val="14"/>
                <w:color w:val="auto"/>
              </w:rPr>
            </w:pPr>
          </w:p>
        </w:tc>
        <w:tc>
          <w:tcPr>
            <w:tcW w:w="980" w:type="dxa"/>
            <w:vAlign w:val="bottom"/>
          </w:tcPr>
          <w:p>
            <w:pPr>
              <w:jc w:val="right"/>
              <w:ind w:right="243"/>
              <w:spacing w:after="0" w:line="163" w:lineRule="exact"/>
              <w:rPr>
                <w:sz w:val="20"/>
                <w:szCs w:val="20"/>
                <w:color w:val="auto"/>
              </w:rPr>
            </w:pPr>
            <w:r>
              <w:rPr>
                <w:rFonts w:ascii="Arial" w:cs="Arial" w:eastAsia="Arial" w:hAnsi="Arial"/>
                <w:sz w:val="15"/>
                <w:szCs w:val="15"/>
                <w:b w:val="1"/>
                <w:bCs w:val="1"/>
                <w:color w:val="auto"/>
              </w:rPr>
              <w:t>2021</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jc w:val="right"/>
              <w:ind w:right="363"/>
              <w:spacing w:after="0" w:line="163" w:lineRule="exact"/>
              <w:rPr>
                <w:sz w:val="20"/>
                <w:szCs w:val="20"/>
                <w:color w:val="auto"/>
              </w:rPr>
            </w:pPr>
            <w:r>
              <w:rPr>
                <w:rFonts w:ascii="Arial" w:cs="Arial" w:eastAsia="Arial" w:hAnsi="Arial"/>
                <w:sz w:val="15"/>
                <w:szCs w:val="15"/>
                <w:b w:val="1"/>
                <w:bCs w:val="1"/>
                <w:color w:val="auto"/>
              </w:rPr>
              <w:t>2020</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jc w:val="right"/>
              <w:ind w:right="43"/>
              <w:spacing w:after="0" w:line="163" w:lineRule="exact"/>
              <w:rPr>
                <w:sz w:val="20"/>
                <w:szCs w:val="20"/>
                <w:color w:val="auto"/>
              </w:rPr>
            </w:pPr>
            <w:r>
              <w:rPr>
                <w:rFonts w:ascii="Arial" w:cs="Arial" w:eastAsia="Arial" w:hAnsi="Arial"/>
                <w:sz w:val="15"/>
                <w:szCs w:val="15"/>
                <w:b w:val="1"/>
                <w:bCs w:val="1"/>
                <w:color w:val="auto"/>
                <w:w w:val="89"/>
              </w:rPr>
              <w:t>2021 vs 2020</w:t>
            </w:r>
          </w:p>
        </w:tc>
        <w:tc>
          <w:tcPr>
            <w:tcW w:w="80" w:type="dxa"/>
            <w:vAlign w:val="bottom"/>
          </w:tcPr>
          <w:p>
            <w:pPr>
              <w:spacing w:after="0"/>
              <w:rPr>
                <w:sz w:val="14"/>
                <w:szCs w:val="14"/>
                <w:color w:val="auto"/>
              </w:rPr>
            </w:pPr>
          </w:p>
        </w:tc>
        <w:tc>
          <w:tcPr>
            <w:tcW w:w="1200" w:type="dxa"/>
            <w:vAlign w:val="bottom"/>
          </w:tcPr>
          <w:p>
            <w:pPr>
              <w:jc w:val="center"/>
              <w:spacing w:after="0" w:line="163" w:lineRule="exact"/>
              <w:rPr>
                <w:sz w:val="20"/>
                <w:szCs w:val="20"/>
                <w:color w:val="auto"/>
              </w:rPr>
            </w:pPr>
            <w:r>
              <w:rPr>
                <w:rFonts w:ascii="Arial" w:cs="Arial" w:eastAsia="Arial" w:hAnsi="Arial"/>
                <w:sz w:val="15"/>
                <w:szCs w:val="15"/>
                <w:b w:val="1"/>
                <w:bCs w:val="1"/>
                <w:color w:val="auto"/>
                <w:w w:val="91"/>
              </w:rPr>
              <w:t>2021 vs 2020</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120" w:type="dxa"/>
            <w:vAlign w:val="bottom"/>
            <w:tcBorders>
              <w:top w:val="single" w:sz="8" w:color="auto"/>
              <w:bottom w:val="single" w:sz="8" w:color="CCEEFF"/>
            </w:tcBorders>
          </w:tcPr>
          <w:p>
            <w:pPr>
              <w:spacing w:after="0" w:line="20" w:lineRule="exact"/>
              <w:rPr>
                <w:sz w:val="1"/>
                <w:szCs w:val="1"/>
                <w:color w:val="auto"/>
              </w:rPr>
            </w:pPr>
          </w:p>
        </w:tc>
        <w:tc>
          <w:tcPr>
            <w:tcW w:w="51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5"/>
        </w:trPr>
        <w:tc>
          <w:tcPr>
            <w:tcW w:w="6280" w:type="dxa"/>
            <w:vAlign w:val="bottom"/>
            <w:gridSpan w:val="3"/>
            <w:shd w:val="clear" w:color="auto" w:fill="CCEEFF"/>
          </w:tcPr>
          <w:p>
            <w:pPr>
              <w:ind w:left="20"/>
              <w:spacing w:after="0"/>
              <w:rPr>
                <w:sz w:val="20"/>
                <w:szCs w:val="20"/>
                <w:color w:val="auto"/>
              </w:rPr>
            </w:pPr>
            <w:r>
              <w:rPr>
                <w:rFonts w:ascii="Arial" w:cs="Arial" w:eastAsia="Arial" w:hAnsi="Arial"/>
                <w:sz w:val="15"/>
                <w:szCs w:val="15"/>
                <w:b w:val="1"/>
                <w:bCs w:val="1"/>
                <w:color w:val="auto"/>
              </w:rPr>
              <w:t>Revenues</w:t>
            </w:r>
          </w:p>
        </w:tc>
        <w:tc>
          <w:tcPr>
            <w:tcW w:w="1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60" w:type="dxa"/>
            <w:vAlign w:val="bottom"/>
            <w:gridSpan w:val="2"/>
          </w:tcPr>
          <w:p>
            <w:pPr>
              <w:ind w:left="120"/>
              <w:spacing w:after="0"/>
              <w:rPr>
                <w:sz w:val="20"/>
                <w:szCs w:val="20"/>
                <w:color w:val="auto"/>
              </w:rPr>
            </w:pPr>
            <w:r>
              <w:rPr>
                <w:rFonts w:ascii="Arial" w:cs="Arial" w:eastAsia="Arial" w:hAnsi="Arial"/>
                <w:sz w:val="15"/>
                <w:szCs w:val="15"/>
                <w:color w:val="auto"/>
              </w:rPr>
              <w:t>Gaming</w:t>
            </w:r>
          </w:p>
        </w:tc>
        <w:tc>
          <w:tcPr>
            <w:tcW w:w="10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980" w:type="dxa"/>
            <w:vAlign w:val="bottom"/>
          </w:tcPr>
          <w:p>
            <w:pPr>
              <w:jc w:val="right"/>
              <w:ind w:right="3"/>
              <w:spacing w:after="0"/>
              <w:rPr>
                <w:sz w:val="20"/>
                <w:szCs w:val="20"/>
                <w:color w:val="auto"/>
              </w:rPr>
            </w:pPr>
            <w:r>
              <w:rPr>
                <w:rFonts w:ascii="Arial" w:cs="Arial" w:eastAsia="Arial" w:hAnsi="Arial"/>
                <w:sz w:val="15"/>
                <w:szCs w:val="15"/>
                <w:color w:val="auto"/>
              </w:rPr>
              <w:t>216.9</w:t>
            </w:r>
          </w:p>
        </w:tc>
        <w:tc>
          <w:tcPr>
            <w:tcW w:w="500" w:type="dxa"/>
            <w:vAlign w:val="bottom"/>
            <w:gridSpan w:val="3"/>
          </w:tcPr>
          <w:p>
            <w:pPr>
              <w:jc w:val="right"/>
              <w:ind w:right="180"/>
              <w:spacing w:after="0"/>
              <w:rPr>
                <w:sz w:val="20"/>
                <w:szCs w:val="20"/>
                <w:color w:val="auto"/>
              </w:rPr>
            </w:pPr>
            <w:r>
              <w:rPr>
                <w:rFonts w:ascii="Arial" w:cs="Arial" w:eastAsia="Arial" w:hAnsi="Arial"/>
                <w:sz w:val="15"/>
                <w:szCs w:val="15"/>
                <w:color w:val="auto"/>
              </w:rPr>
              <w:t>$</w:t>
            </w:r>
          </w:p>
        </w:tc>
        <w:tc>
          <w:tcPr>
            <w:tcW w:w="920" w:type="dxa"/>
            <w:vAlign w:val="bottom"/>
          </w:tcPr>
          <w:p>
            <w:pPr>
              <w:jc w:val="right"/>
              <w:ind w:right="123"/>
              <w:spacing w:after="0"/>
              <w:rPr>
                <w:sz w:val="20"/>
                <w:szCs w:val="20"/>
                <w:color w:val="auto"/>
              </w:rPr>
            </w:pPr>
            <w:r>
              <w:rPr>
                <w:rFonts w:ascii="Arial" w:cs="Arial" w:eastAsia="Arial" w:hAnsi="Arial"/>
                <w:sz w:val="15"/>
                <w:szCs w:val="15"/>
                <w:color w:val="auto"/>
              </w:rPr>
              <w:t>196.2</w:t>
            </w:r>
          </w:p>
        </w:tc>
        <w:tc>
          <w:tcPr>
            <w:tcW w:w="1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960" w:type="dxa"/>
            <w:vAlign w:val="bottom"/>
          </w:tcPr>
          <w:p>
            <w:pPr>
              <w:jc w:val="right"/>
              <w:spacing w:after="0"/>
              <w:rPr>
                <w:sz w:val="20"/>
                <w:szCs w:val="20"/>
                <w:color w:val="auto"/>
              </w:rPr>
            </w:pPr>
            <w:r>
              <w:rPr>
                <w:rFonts w:ascii="Arial" w:cs="Arial" w:eastAsia="Arial" w:hAnsi="Arial"/>
                <w:sz w:val="15"/>
                <w:szCs w:val="15"/>
                <w:color w:val="auto"/>
              </w:rPr>
              <w:t>20.7</w:t>
            </w:r>
          </w:p>
        </w:tc>
        <w:tc>
          <w:tcPr>
            <w:tcW w:w="1280" w:type="dxa"/>
            <w:vAlign w:val="bottom"/>
            <w:gridSpan w:val="2"/>
          </w:tcPr>
          <w:p>
            <w:pPr>
              <w:jc w:val="right"/>
              <w:spacing w:after="0"/>
              <w:rPr>
                <w:sz w:val="20"/>
                <w:szCs w:val="20"/>
                <w:color w:val="auto"/>
              </w:rPr>
            </w:pPr>
            <w:r>
              <w:rPr>
                <w:rFonts w:ascii="Arial" w:cs="Arial" w:eastAsia="Arial" w:hAnsi="Arial"/>
                <w:sz w:val="15"/>
                <w:szCs w:val="15"/>
                <w:color w:val="auto"/>
              </w:rPr>
              <w:t>10.6 %</w:t>
            </w:r>
          </w:p>
        </w:tc>
        <w:tc>
          <w:tcPr>
            <w:tcW w:w="0" w:type="dxa"/>
            <w:vAlign w:val="bottom"/>
          </w:tcPr>
          <w:p>
            <w:pPr>
              <w:spacing w:after="0"/>
              <w:rPr>
                <w:sz w:val="1"/>
                <w:szCs w:val="1"/>
                <w:color w:val="auto"/>
              </w:rPr>
            </w:pPr>
          </w:p>
        </w:tc>
      </w:tr>
      <w:tr>
        <w:trPr>
          <w:trHeight w:val="206"/>
        </w:trPr>
        <w:tc>
          <w:tcPr>
            <w:tcW w:w="20" w:type="dxa"/>
            <w:vAlign w:val="bottom"/>
            <w:shd w:val="clear" w:color="auto" w:fill="CCEEFF"/>
          </w:tcPr>
          <w:p>
            <w:pPr>
              <w:spacing w:after="0"/>
              <w:rPr>
                <w:sz w:val="17"/>
                <w:szCs w:val="17"/>
                <w:color w:val="auto"/>
              </w:rPr>
            </w:pPr>
          </w:p>
        </w:tc>
        <w:tc>
          <w:tcPr>
            <w:tcW w:w="6260" w:type="dxa"/>
            <w:vAlign w:val="bottom"/>
            <w:gridSpan w:val="2"/>
            <w:shd w:val="clear" w:color="auto" w:fill="CCEEFF"/>
          </w:tcPr>
          <w:p>
            <w:pPr>
              <w:ind w:left="120"/>
              <w:spacing w:after="0"/>
              <w:rPr>
                <w:sz w:val="20"/>
                <w:szCs w:val="20"/>
                <w:color w:val="auto"/>
              </w:rPr>
            </w:pPr>
            <w:r>
              <w:rPr>
                <w:rFonts w:ascii="Arial" w:cs="Arial" w:eastAsia="Arial" w:hAnsi="Arial"/>
                <w:sz w:val="15"/>
                <w:szCs w:val="15"/>
                <w:color w:val="auto"/>
              </w:rPr>
              <w:t>Food, beverage, hotel and other</w:t>
            </w:r>
          </w:p>
        </w:tc>
        <w:tc>
          <w:tcPr>
            <w:tcW w:w="10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rPr>
              <w:t>17.8</w:t>
            </w:r>
          </w:p>
        </w:tc>
        <w:tc>
          <w:tcPr>
            <w:tcW w:w="120" w:type="dxa"/>
            <w:vAlign w:val="bottom"/>
            <w:tcBorders>
              <w:bottom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ind w:right="123"/>
              <w:spacing w:after="0"/>
              <w:rPr>
                <w:sz w:val="20"/>
                <w:szCs w:val="20"/>
                <w:color w:val="auto"/>
              </w:rPr>
            </w:pPr>
            <w:r>
              <w:rPr>
                <w:rFonts w:ascii="Arial" w:cs="Arial" w:eastAsia="Arial" w:hAnsi="Arial"/>
                <w:sz w:val="15"/>
                <w:szCs w:val="15"/>
                <w:color w:val="auto"/>
              </w:rPr>
              <w:t>31.9</w:t>
            </w: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(14.1)</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(44.2)%</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260" w:type="dxa"/>
            <w:vAlign w:val="bottom"/>
            <w:gridSpan w:val="2"/>
          </w:tcPr>
          <w:p>
            <w:pPr>
              <w:ind w:left="300"/>
              <w:spacing w:after="0"/>
              <w:rPr>
                <w:sz w:val="20"/>
                <w:szCs w:val="20"/>
                <w:color w:val="auto"/>
              </w:rPr>
            </w:pPr>
            <w:r>
              <w:rPr>
                <w:rFonts w:ascii="Arial" w:cs="Arial" w:eastAsia="Arial" w:hAnsi="Arial"/>
                <w:sz w:val="15"/>
                <w:szCs w:val="15"/>
                <w:color w:val="auto"/>
              </w:rPr>
              <w:t>Total revenues</w:t>
            </w:r>
          </w:p>
        </w:tc>
        <w:tc>
          <w:tcPr>
            <w:tcW w:w="10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980" w:type="dxa"/>
            <w:vAlign w:val="bottom"/>
          </w:tcPr>
          <w:p>
            <w:pPr>
              <w:jc w:val="right"/>
              <w:ind w:right="3"/>
              <w:spacing w:after="0"/>
              <w:rPr>
                <w:sz w:val="20"/>
                <w:szCs w:val="20"/>
                <w:color w:val="auto"/>
              </w:rPr>
            </w:pPr>
            <w:r>
              <w:rPr>
                <w:rFonts w:ascii="Arial" w:cs="Arial" w:eastAsia="Arial" w:hAnsi="Arial"/>
                <w:sz w:val="15"/>
                <w:szCs w:val="15"/>
                <w:color w:val="auto"/>
              </w:rPr>
              <w:t>234.7</w:t>
            </w:r>
          </w:p>
        </w:tc>
        <w:tc>
          <w:tcPr>
            <w:tcW w:w="500" w:type="dxa"/>
            <w:vAlign w:val="bottom"/>
            <w:gridSpan w:val="3"/>
          </w:tcPr>
          <w:p>
            <w:pPr>
              <w:jc w:val="right"/>
              <w:ind w:right="180"/>
              <w:spacing w:after="0"/>
              <w:rPr>
                <w:sz w:val="20"/>
                <w:szCs w:val="20"/>
                <w:color w:val="auto"/>
              </w:rPr>
            </w:pPr>
            <w:r>
              <w:rPr>
                <w:rFonts w:ascii="Arial" w:cs="Arial" w:eastAsia="Arial" w:hAnsi="Arial"/>
                <w:sz w:val="15"/>
                <w:szCs w:val="15"/>
                <w:color w:val="auto"/>
              </w:rPr>
              <w:t>$</w:t>
            </w:r>
          </w:p>
        </w:tc>
        <w:tc>
          <w:tcPr>
            <w:tcW w:w="920" w:type="dxa"/>
            <w:vAlign w:val="bottom"/>
          </w:tcPr>
          <w:p>
            <w:pPr>
              <w:jc w:val="right"/>
              <w:ind w:right="123"/>
              <w:spacing w:after="0"/>
              <w:rPr>
                <w:sz w:val="20"/>
                <w:szCs w:val="20"/>
                <w:color w:val="auto"/>
              </w:rPr>
            </w:pPr>
            <w:r>
              <w:rPr>
                <w:rFonts w:ascii="Arial" w:cs="Arial" w:eastAsia="Arial" w:hAnsi="Arial"/>
                <w:sz w:val="15"/>
                <w:szCs w:val="15"/>
                <w:color w:val="auto"/>
              </w:rPr>
              <w:t>228.1</w:t>
            </w:r>
          </w:p>
        </w:tc>
        <w:tc>
          <w:tcPr>
            <w:tcW w:w="1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960" w:type="dxa"/>
            <w:vAlign w:val="bottom"/>
          </w:tcPr>
          <w:p>
            <w:pPr>
              <w:jc w:val="right"/>
              <w:spacing w:after="0"/>
              <w:rPr>
                <w:sz w:val="20"/>
                <w:szCs w:val="20"/>
                <w:color w:val="auto"/>
              </w:rPr>
            </w:pPr>
            <w:r>
              <w:rPr>
                <w:rFonts w:ascii="Arial" w:cs="Arial" w:eastAsia="Arial" w:hAnsi="Arial"/>
                <w:sz w:val="15"/>
                <w:szCs w:val="15"/>
                <w:color w:val="auto"/>
              </w:rPr>
              <w:t>6.6</w:t>
            </w:r>
          </w:p>
        </w:tc>
        <w:tc>
          <w:tcPr>
            <w:tcW w:w="1280" w:type="dxa"/>
            <w:vAlign w:val="bottom"/>
            <w:gridSpan w:val="2"/>
          </w:tcPr>
          <w:p>
            <w:pPr>
              <w:jc w:val="right"/>
              <w:spacing w:after="0"/>
              <w:rPr>
                <w:sz w:val="20"/>
                <w:szCs w:val="20"/>
                <w:color w:val="auto"/>
              </w:rPr>
            </w:pPr>
            <w:r>
              <w:rPr>
                <w:rFonts w:ascii="Arial" w:cs="Arial" w:eastAsia="Arial" w:hAnsi="Arial"/>
                <w:sz w:val="15"/>
                <w:szCs w:val="15"/>
                <w:color w:val="auto"/>
              </w:rPr>
              <w:t>2.9 %</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CCEEFF"/>
            </w:tcBorders>
          </w:tcPr>
          <w:p>
            <w:pPr>
              <w:spacing w:after="0" w:line="20" w:lineRule="exact"/>
              <w:rPr>
                <w:sz w:val="1"/>
                <w:szCs w:val="1"/>
                <w:color w:val="auto"/>
              </w:rPr>
            </w:pPr>
          </w:p>
        </w:tc>
        <w:tc>
          <w:tcPr>
            <w:tcW w:w="514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5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6280" w:type="dxa"/>
            <w:vAlign w:val="bottom"/>
            <w:gridSpan w:val="3"/>
          </w:tcPr>
          <w:p>
            <w:pPr>
              <w:ind w:left="20"/>
              <w:spacing w:after="0"/>
              <w:rPr>
                <w:sz w:val="20"/>
                <w:szCs w:val="20"/>
                <w:color w:val="auto"/>
              </w:rPr>
            </w:pPr>
            <w:r>
              <w:rPr>
                <w:rFonts w:ascii="Arial" w:cs="Arial" w:eastAsia="Arial" w:hAnsi="Arial"/>
                <w:sz w:val="15"/>
                <w:szCs w:val="15"/>
                <w:color w:val="auto"/>
              </w:rPr>
              <w:t>Adjusted EBITDAR</w:t>
            </w:r>
          </w:p>
        </w:tc>
        <w:tc>
          <w:tcPr>
            <w:tcW w:w="10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980" w:type="dxa"/>
            <w:vAlign w:val="bottom"/>
          </w:tcPr>
          <w:p>
            <w:pPr>
              <w:jc w:val="right"/>
              <w:ind w:right="3"/>
              <w:spacing w:after="0"/>
              <w:rPr>
                <w:sz w:val="20"/>
                <w:szCs w:val="20"/>
                <w:color w:val="auto"/>
              </w:rPr>
            </w:pPr>
            <w:r>
              <w:rPr>
                <w:rFonts w:ascii="Arial" w:cs="Arial" w:eastAsia="Arial" w:hAnsi="Arial"/>
                <w:sz w:val="15"/>
                <w:szCs w:val="15"/>
                <w:color w:val="auto"/>
              </w:rPr>
              <w:t>106.0</w:t>
            </w:r>
          </w:p>
        </w:tc>
        <w:tc>
          <w:tcPr>
            <w:tcW w:w="500" w:type="dxa"/>
            <w:vAlign w:val="bottom"/>
            <w:gridSpan w:val="3"/>
          </w:tcPr>
          <w:p>
            <w:pPr>
              <w:jc w:val="right"/>
              <w:ind w:right="180"/>
              <w:spacing w:after="0"/>
              <w:rPr>
                <w:sz w:val="20"/>
                <w:szCs w:val="20"/>
                <w:color w:val="auto"/>
              </w:rPr>
            </w:pPr>
            <w:r>
              <w:rPr>
                <w:rFonts w:ascii="Arial" w:cs="Arial" w:eastAsia="Arial" w:hAnsi="Arial"/>
                <w:sz w:val="15"/>
                <w:szCs w:val="15"/>
                <w:color w:val="auto"/>
              </w:rPr>
              <w:t>$</w:t>
            </w:r>
          </w:p>
        </w:tc>
        <w:tc>
          <w:tcPr>
            <w:tcW w:w="920" w:type="dxa"/>
            <w:vAlign w:val="bottom"/>
          </w:tcPr>
          <w:p>
            <w:pPr>
              <w:jc w:val="right"/>
              <w:ind w:right="123"/>
              <w:spacing w:after="0"/>
              <w:rPr>
                <w:sz w:val="20"/>
                <w:szCs w:val="20"/>
                <w:color w:val="auto"/>
              </w:rPr>
            </w:pPr>
            <w:r>
              <w:rPr>
                <w:rFonts w:ascii="Arial" w:cs="Arial" w:eastAsia="Arial" w:hAnsi="Arial"/>
                <w:sz w:val="15"/>
                <w:szCs w:val="15"/>
                <w:color w:val="auto"/>
              </w:rPr>
              <w:t>69.5</w:t>
            </w:r>
          </w:p>
        </w:tc>
        <w:tc>
          <w:tcPr>
            <w:tcW w:w="1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960" w:type="dxa"/>
            <w:vAlign w:val="bottom"/>
          </w:tcPr>
          <w:p>
            <w:pPr>
              <w:jc w:val="right"/>
              <w:spacing w:after="0"/>
              <w:rPr>
                <w:sz w:val="20"/>
                <w:szCs w:val="20"/>
                <w:color w:val="auto"/>
              </w:rPr>
            </w:pPr>
            <w:r>
              <w:rPr>
                <w:rFonts w:ascii="Arial" w:cs="Arial" w:eastAsia="Arial" w:hAnsi="Arial"/>
                <w:sz w:val="15"/>
                <w:szCs w:val="15"/>
                <w:color w:val="auto"/>
              </w:rPr>
              <w:t>36.5</w:t>
            </w:r>
          </w:p>
        </w:tc>
        <w:tc>
          <w:tcPr>
            <w:tcW w:w="1280" w:type="dxa"/>
            <w:vAlign w:val="bottom"/>
            <w:gridSpan w:val="2"/>
          </w:tcPr>
          <w:p>
            <w:pPr>
              <w:jc w:val="right"/>
              <w:spacing w:after="0"/>
              <w:rPr>
                <w:sz w:val="20"/>
                <w:szCs w:val="20"/>
                <w:color w:val="auto"/>
              </w:rPr>
            </w:pPr>
            <w:r>
              <w:rPr>
                <w:rFonts w:ascii="Arial" w:cs="Arial" w:eastAsia="Arial" w:hAnsi="Arial"/>
                <w:sz w:val="15"/>
                <w:szCs w:val="15"/>
                <w:color w:val="auto"/>
              </w:rPr>
              <w:t>52.5 %</w:t>
            </w:r>
          </w:p>
        </w:tc>
        <w:tc>
          <w:tcPr>
            <w:tcW w:w="0" w:type="dxa"/>
            <w:vAlign w:val="bottom"/>
          </w:tcPr>
          <w:p>
            <w:pPr>
              <w:spacing w:after="0"/>
              <w:rPr>
                <w:sz w:val="1"/>
                <w:szCs w:val="1"/>
                <w:color w:val="auto"/>
              </w:rPr>
            </w:pPr>
          </w:p>
        </w:tc>
      </w:tr>
      <w:tr>
        <w:trPr>
          <w:trHeight w:val="209"/>
        </w:trPr>
        <w:tc>
          <w:tcPr>
            <w:tcW w:w="6280" w:type="dxa"/>
            <w:vAlign w:val="bottom"/>
            <w:gridSpan w:val="3"/>
            <w:shd w:val="clear" w:color="auto" w:fill="CCEEFF"/>
          </w:tcPr>
          <w:p>
            <w:pPr>
              <w:ind w:left="20"/>
              <w:spacing w:after="0"/>
              <w:rPr>
                <w:sz w:val="20"/>
                <w:szCs w:val="20"/>
                <w:color w:val="auto"/>
              </w:rPr>
            </w:pPr>
            <w:r>
              <w:rPr>
                <w:rFonts w:ascii="Arial" w:cs="Arial" w:eastAsia="Arial" w:hAnsi="Arial"/>
                <w:sz w:val="15"/>
                <w:szCs w:val="15"/>
                <w:color w:val="auto"/>
              </w:rPr>
              <w:t>Adjusted EBITDAR margin</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45.2 %</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30.5 %</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90"/>
              </w:rPr>
              <w:t>1,470 bps</w:t>
            </w:r>
          </w:p>
        </w:tc>
        <w:tc>
          <w:tcPr>
            <w:tcW w:w="0" w:type="dxa"/>
            <w:vAlign w:val="bottom"/>
          </w:tcPr>
          <w:p>
            <w:pPr>
              <w:spacing w:after="0"/>
              <w:rPr>
                <w:sz w:val="1"/>
                <w:szCs w:val="1"/>
                <w:color w:val="auto"/>
              </w:rPr>
            </w:pPr>
          </w:p>
        </w:tc>
      </w:tr>
    </w:tbl>
    <w:p>
      <w:pPr>
        <w:spacing w:after="0" w:line="245" w:lineRule="exact"/>
        <w:rPr>
          <w:sz w:val="20"/>
          <w:szCs w:val="20"/>
          <w:color w:val="auto"/>
        </w:rPr>
      </w:pPr>
    </w:p>
    <w:p>
      <w:pPr>
        <w:ind w:right="280" w:firstLine="309"/>
        <w:spacing w:after="0" w:line="262" w:lineRule="auto"/>
        <w:rPr>
          <w:sz w:val="20"/>
          <w:szCs w:val="20"/>
          <w:color w:val="auto"/>
        </w:rPr>
      </w:pPr>
      <w:r>
        <w:rPr>
          <w:rFonts w:ascii="Arial" w:cs="Arial" w:eastAsia="Arial" w:hAnsi="Arial"/>
          <w:sz w:val="17"/>
          <w:szCs w:val="17"/>
          <w:color w:val="auto"/>
        </w:rPr>
        <w:t xml:space="preserve">The Midwest segment’s revenues for the three months ended March 31, 2021 increased by $6.6 million, primarily as a result of increased gaming revenues resulting from higher spend-per-visit and increased visitation levels compared to the prior year quarter when our properties were mandated with temporary closures </w:t>
      </w:r>
      <w:r>
        <w:rPr>
          <w:rFonts w:ascii="Arial" w:cs="Arial" w:eastAsia="Arial" w:hAnsi="Arial"/>
          <w:sz w:val="17"/>
          <w:szCs w:val="17"/>
          <w:color w:val="212529"/>
        </w:rPr>
        <w:t>to combat the rapid spread of COVID-19.</w:t>
      </w:r>
      <w:r>
        <w:rPr>
          <w:rFonts w:ascii="Arial" w:cs="Arial" w:eastAsia="Arial" w:hAnsi="Arial"/>
          <w:sz w:val="17"/>
          <w:szCs w:val="17"/>
          <w:color w:val="auto"/>
        </w:rPr>
        <w:t xml:space="preserve"> All of our properties within the Midwest segment continue to operate with reduced gaming and hotel (if applicable) capacity, and limited food and beverage and other amenity offerings.</w:t>
      </w:r>
    </w:p>
    <w:p>
      <w:pPr>
        <w:spacing w:after="0" w:line="139" w:lineRule="exact"/>
        <w:rPr>
          <w:sz w:val="20"/>
          <w:szCs w:val="20"/>
          <w:color w:val="auto"/>
        </w:rPr>
      </w:pPr>
    </w:p>
    <w:p>
      <w:pPr>
        <w:ind w:right="120" w:firstLine="309"/>
        <w:spacing w:after="0" w:line="307" w:lineRule="auto"/>
        <w:rPr>
          <w:sz w:val="20"/>
          <w:szCs w:val="20"/>
          <w:color w:val="auto"/>
        </w:rPr>
      </w:pPr>
      <w:r>
        <w:rPr>
          <w:rFonts w:ascii="Arial" w:cs="Arial" w:eastAsia="Arial" w:hAnsi="Arial"/>
          <w:sz w:val="15"/>
          <w:szCs w:val="15"/>
          <w:color w:val="auto"/>
        </w:rPr>
        <w:t>For the three months ended March 31, 2021, the Midwest segment’s Adjusted EBITDAR and Adjusted EBITDAR margin increased $36.5 million and 1,470 basis points, respectively, as compared to the prior year quarter, due to both the higher proportionate share of gaming activity yielding a higher overall Adjusted EBITDAR margin, and cost saving initiatives implemented throughout the prior year, designed to mitigate revenue degradation in 2020, such as: operating with a reduced workforce, focusing on higher margin gaming offerings, reducing marketing costs, and limiting certain lower margin food and beverage offerings.</w:t>
      </w:r>
    </w:p>
    <w:p>
      <w:pPr>
        <w:spacing w:after="0" w:line="12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Other</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5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20" w:type="dxa"/>
            <w:vAlign w:val="bottom"/>
            <w:gridSpan w:val="5"/>
          </w:tcPr>
          <w:p>
            <w:pPr>
              <w:ind w:left="60"/>
              <w:spacing w:after="0"/>
              <w:rPr>
                <w:sz w:val="20"/>
                <w:szCs w:val="20"/>
                <w:color w:val="auto"/>
              </w:rPr>
            </w:pPr>
            <w:r>
              <w:rPr>
                <w:rFonts w:ascii="Arial" w:cs="Arial" w:eastAsia="Arial" w:hAnsi="Arial"/>
                <w:sz w:val="15"/>
                <w:szCs w:val="15"/>
                <w:b w:val="1"/>
                <w:bCs w:val="1"/>
                <w:color w:val="auto"/>
              </w:rPr>
              <w:t>For the three months ended</w:t>
            </w:r>
          </w:p>
        </w:tc>
        <w:tc>
          <w:tcPr>
            <w:tcW w:w="100" w:type="dxa"/>
            <w:vAlign w:val="bottom"/>
          </w:tcPr>
          <w:p>
            <w:pPr>
              <w:spacing w:after="0"/>
              <w:rPr>
                <w:sz w:val="14"/>
                <w:szCs w:val="14"/>
                <w:color w:val="auto"/>
              </w:rPr>
            </w:pPr>
          </w:p>
        </w:tc>
        <w:tc>
          <w:tcPr>
            <w:tcW w:w="980" w:type="dxa"/>
            <w:vAlign w:val="bottom"/>
            <w:vMerge w:val="restart"/>
          </w:tcPr>
          <w:p>
            <w:pPr>
              <w:ind w:left="140"/>
              <w:spacing w:after="0"/>
              <w:rPr>
                <w:sz w:val="20"/>
                <w:szCs w:val="20"/>
                <w:color w:val="auto"/>
              </w:rPr>
            </w:pPr>
            <w:r>
              <w:rPr>
                <w:rFonts w:ascii="Arial" w:cs="Arial" w:eastAsia="Arial" w:hAnsi="Arial"/>
                <w:sz w:val="15"/>
                <w:szCs w:val="15"/>
                <w:b w:val="1"/>
                <w:bCs w:val="1"/>
                <w:color w:val="auto"/>
              </w:rPr>
              <w:t>$ Change</w:t>
            </w:r>
          </w:p>
        </w:tc>
        <w:tc>
          <w:tcPr>
            <w:tcW w:w="100" w:type="dxa"/>
            <w:vAlign w:val="bottom"/>
          </w:tcPr>
          <w:p>
            <w:pPr>
              <w:spacing w:after="0"/>
              <w:rPr>
                <w:sz w:val="14"/>
                <w:szCs w:val="14"/>
                <w:color w:val="auto"/>
              </w:rPr>
            </w:pPr>
          </w:p>
        </w:tc>
        <w:tc>
          <w:tcPr>
            <w:tcW w:w="1220" w:type="dxa"/>
            <w:vAlign w:val="bottom"/>
            <w:vMerge w:val="restart"/>
          </w:tcPr>
          <w:p>
            <w:pPr>
              <w:jc w:val="right"/>
              <w:ind w:right="183"/>
              <w:spacing w:after="0"/>
              <w:rPr>
                <w:sz w:val="20"/>
                <w:szCs w:val="20"/>
                <w:color w:val="auto"/>
              </w:rPr>
            </w:pPr>
            <w:r>
              <w:rPr>
                <w:rFonts w:ascii="Arial" w:cs="Arial" w:eastAsia="Arial" w:hAnsi="Arial"/>
                <w:sz w:val="15"/>
                <w:szCs w:val="15"/>
                <w:b w:val="1"/>
                <w:bCs w:val="1"/>
                <w:color w:val="auto"/>
              </w:rPr>
              <w:t>% Change</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53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gridSpan w:val="3"/>
          </w:tcPr>
          <w:p>
            <w:pPr>
              <w:jc w:val="right"/>
              <w:spacing w:after="0"/>
              <w:rPr>
                <w:sz w:val="20"/>
                <w:szCs w:val="20"/>
                <w:color w:val="auto"/>
              </w:rPr>
            </w:pPr>
            <w:r>
              <w:rPr>
                <w:rFonts w:ascii="Arial" w:cs="Arial" w:eastAsia="Arial" w:hAnsi="Arial"/>
                <w:sz w:val="15"/>
                <w:szCs w:val="15"/>
                <w:b w:val="1"/>
                <w:bCs w:val="1"/>
                <w:color w:val="auto"/>
              </w:rPr>
              <w:t>March 31,</w:t>
            </w:r>
          </w:p>
        </w:tc>
        <w:tc>
          <w:tcPr>
            <w:tcW w:w="7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63"/>
        </w:trPr>
        <w:tc>
          <w:tcPr>
            <w:tcW w:w="6460" w:type="dxa"/>
            <w:vAlign w:val="bottom"/>
            <w:gridSpan w:val="3"/>
          </w:tcPr>
          <w:p>
            <w:pPr>
              <w:ind w:left="20"/>
              <w:spacing w:after="0"/>
              <w:rPr>
                <w:sz w:val="20"/>
                <w:szCs w:val="20"/>
                <w:color w:val="auto"/>
              </w:rPr>
            </w:pPr>
            <w:r>
              <w:rPr>
                <w:rFonts w:ascii="Arial" w:cs="Arial" w:eastAsia="Arial" w:hAnsi="Arial"/>
                <w:sz w:val="14"/>
                <w:szCs w:val="14"/>
                <w:b w:val="1"/>
                <w:bCs w:val="1"/>
                <w:i w:val="1"/>
                <w:iCs w:val="1"/>
                <w:color w:val="auto"/>
              </w:rPr>
              <w:t>(dollars in millions)</w:t>
            </w:r>
          </w:p>
        </w:tc>
        <w:tc>
          <w:tcPr>
            <w:tcW w:w="160" w:type="dxa"/>
            <w:vAlign w:val="bottom"/>
          </w:tcPr>
          <w:p>
            <w:pPr>
              <w:spacing w:after="0"/>
              <w:rPr>
                <w:sz w:val="14"/>
                <w:szCs w:val="14"/>
                <w:color w:val="auto"/>
              </w:rPr>
            </w:pPr>
          </w:p>
        </w:tc>
        <w:tc>
          <w:tcPr>
            <w:tcW w:w="920" w:type="dxa"/>
            <w:vAlign w:val="bottom"/>
          </w:tcPr>
          <w:p>
            <w:pPr>
              <w:jc w:val="right"/>
              <w:ind w:right="303"/>
              <w:spacing w:after="0" w:line="163" w:lineRule="exact"/>
              <w:rPr>
                <w:sz w:val="20"/>
                <w:szCs w:val="20"/>
                <w:color w:val="auto"/>
              </w:rPr>
            </w:pPr>
            <w:r>
              <w:rPr>
                <w:rFonts w:ascii="Arial" w:cs="Arial" w:eastAsia="Arial" w:hAnsi="Arial"/>
                <w:sz w:val="15"/>
                <w:szCs w:val="15"/>
                <w:b w:val="1"/>
                <w:bCs w:val="1"/>
                <w:color w:val="auto"/>
              </w:rPr>
              <w:t>2021</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60" w:type="dxa"/>
            <w:vAlign w:val="bottom"/>
          </w:tcPr>
          <w:p>
            <w:pPr>
              <w:jc w:val="right"/>
              <w:ind w:right="323"/>
              <w:spacing w:after="0" w:line="163" w:lineRule="exact"/>
              <w:rPr>
                <w:sz w:val="20"/>
                <w:szCs w:val="20"/>
                <w:color w:val="auto"/>
              </w:rPr>
            </w:pPr>
            <w:r>
              <w:rPr>
                <w:rFonts w:ascii="Arial" w:cs="Arial" w:eastAsia="Arial" w:hAnsi="Arial"/>
                <w:sz w:val="15"/>
                <w:szCs w:val="15"/>
                <w:b w:val="1"/>
                <w:bCs w:val="1"/>
                <w:color w:val="auto"/>
              </w:rPr>
              <w:t>2020</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ind w:left="20"/>
              <w:spacing w:after="0" w:line="163" w:lineRule="exact"/>
              <w:rPr>
                <w:sz w:val="20"/>
                <w:szCs w:val="20"/>
                <w:color w:val="auto"/>
              </w:rPr>
            </w:pPr>
            <w:r>
              <w:rPr>
                <w:rFonts w:ascii="Arial" w:cs="Arial" w:eastAsia="Arial" w:hAnsi="Arial"/>
                <w:sz w:val="15"/>
                <w:szCs w:val="15"/>
                <w:b w:val="1"/>
                <w:bCs w:val="1"/>
                <w:color w:val="auto"/>
              </w:rPr>
              <w:t>2021 vs 2020</w:t>
            </w:r>
          </w:p>
        </w:tc>
        <w:tc>
          <w:tcPr>
            <w:tcW w:w="100" w:type="dxa"/>
            <w:vAlign w:val="bottom"/>
          </w:tcPr>
          <w:p>
            <w:pPr>
              <w:spacing w:after="0"/>
              <w:rPr>
                <w:sz w:val="14"/>
                <w:szCs w:val="14"/>
                <w:color w:val="auto"/>
              </w:rPr>
            </w:pPr>
          </w:p>
        </w:tc>
        <w:tc>
          <w:tcPr>
            <w:tcW w:w="1220" w:type="dxa"/>
            <w:vAlign w:val="bottom"/>
          </w:tcPr>
          <w:p>
            <w:pPr>
              <w:jc w:val="right"/>
              <w:ind w:right="123"/>
              <w:spacing w:after="0" w:line="163" w:lineRule="exact"/>
              <w:rPr>
                <w:sz w:val="20"/>
                <w:szCs w:val="20"/>
                <w:color w:val="auto"/>
              </w:rPr>
            </w:pPr>
            <w:r>
              <w:rPr>
                <w:rFonts w:ascii="Arial" w:cs="Arial" w:eastAsia="Arial" w:hAnsi="Arial"/>
                <w:sz w:val="15"/>
                <w:szCs w:val="15"/>
                <w:b w:val="1"/>
                <w:bCs w:val="1"/>
                <w:color w:val="auto"/>
              </w:rPr>
              <w:t>2021 vs 2020</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120" w:type="dxa"/>
            <w:vAlign w:val="bottom"/>
            <w:tcBorders>
              <w:top w:val="single" w:sz="8" w:color="auto"/>
              <w:bottom w:val="single" w:sz="8" w:color="CCEEFF"/>
            </w:tcBorders>
          </w:tcPr>
          <w:p>
            <w:pPr>
              <w:spacing w:after="0" w:line="20" w:lineRule="exact"/>
              <w:rPr>
                <w:sz w:val="1"/>
                <w:szCs w:val="1"/>
                <w:color w:val="auto"/>
              </w:rPr>
            </w:pPr>
          </w:p>
        </w:tc>
        <w:tc>
          <w:tcPr>
            <w:tcW w:w="53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5"/>
        </w:trPr>
        <w:tc>
          <w:tcPr>
            <w:tcW w:w="6460" w:type="dxa"/>
            <w:vAlign w:val="bottom"/>
            <w:gridSpan w:val="3"/>
            <w:shd w:val="clear" w:color="auto" w:fill="CCEEFF"/>
          </w:tcPr>
          <w:p>
            <w:pPr>
              <w:ind w:left="20"/>
              <w:spacing w:after="0"/>
              <w:rPr>
                <w:sz w:val="20"/>
                <w:szCs w:val="20"/>
                <w:color w:val="auto"/>
              </w:rPr>
            </w:pPr>
            <w:r>
              <w:rPr>
                <w:rFonts w:ascii="Arial" w:cs="Arial" w:eastAsia="Arial" w:hAnsi="Arial"/>
                <w:sz w:val="15"/>
                <w:szCs w:val="15"/>
                <w:b w:val="1"/>
                <w:bCs w:val="1"/>
                <w:color w:val="auto"/>
              </w:rPr>
              <w:t>Revenues</w:t>
            </w:r>
          </w:p>
        </w:tc>
        <w:tc>
          <w:tcPr>
            <w:tcW w:w="16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440" w:type="dxa"/>
            <w:vAlign w:val="bottom"/>
            <w:gridSpan w:val="2"/>
          </w:tcPr>
          <w:p>
            <w:pPr>
              <w:ind w:left="120"/>
              <w:spacing w:after="0"/>
              <w:rPr>
                <w:sz w:val="20"/>
                <w:szCs w:val="20"/>
                <w:color w:val="auto"/>
              </w:rPr>
            </w:pPr>
            <w:r>
              <w:rPr>
                <w:rFonts w:ascii="Arial" w:cs="Arial" w:eastAsia="Arial" w:hAnsi="Arial"/>
                <w:sz w:val="15"/>
                <w:szCs w:val="15"/>
                <w:color w:val="auto"/>
              </w:rPr>
              <w:t>Gaming</w:t>
            </w:r>
          </w:p>
        </w:tc>
        <w:tc>
          <w:tcPr>
            <w:tcW w:w="16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920" w:type="dxa"/>
            <w:vAlign w:val="bottom"/>
          </w:tcPr>
          <w:p>
            <w:pPr>
              <w:jc w:val="center"/>
              <w:ind w:left="443"/>
              <w:spacing w:after="0"/>
              <w:rPr>
                <w:sz w:val="20"/>
                <w:szCs w:val="20"/>
                <w:color w:val="auto"/>
              </w:rPr>
            </w:pPr>
            <w:r>
              <w:rPr>
                <w:rFonts w:ascii="Arial" w:cs="Arial" w:eastAsia="Arial" w:hAnsi="Arial"/>
                <w:sz w:val="15"/>
                <w:szCs w:val="15"/>
                <w:color w:val="auto"/>
                <w:w w:val="95"/>
              </w:rPr>
              <w:t>23.6</w:t>
            </w:r>
          </w:p>
        </w:tc>
        <w:tc>
          <w:tcPr>
            <w:tcW w:w="100" w:type="dxa"/>
            <w:vAlign w:val="bottom"/>
          </w:tcPr>
          <w:p>
            <w:pPr>
              <w:spacing w:after="0"/>
              <w:rPr>
                <w:sz w:val="17"/>
                <w:szCs w:val="17"/>
                <w:color w:val="auto"/>
              </w:rPr>
            </w:pPr>
          </w:p>
        </w:tc>
        <w:tc>
          <w:tcPr>
            <w:tcW w:w="340" w:type="dxa"/>
            <w:vAlign w:val="bottom"/>
          </w:tcPr>
          <w:p>
            <w:pPr>
              <w:jc w:val="right"/>
              <w:ind w:right="163"/>
              <w:spacing w:after="0"/>
              <w:rPr>
                <w:sz w:val="20"/>
                <w:szCs w:val="20"/>
                <w:color w:val="auto"/>
              </w:rPr>
            </w:pPr>
            <w:r>
              <w:rPr>
                <w:rFonts w:ascii="Arial" w:cs="Arial" w:eastAsia="Arial" w:hAnsi="Arial"/>
                <w:sz w:val="15"/>
                <w:szCs w:val="15"/>
                <w:color w:val="auto"/>
                <w:w w:val="95"/>
              </w:rPr>
              <w:t>$</w:t>
            </w:r>
          </w:p>
        </w:tc>
        <w:tc>
          <w:tcPr>
            <w:tcW w:w="760" w:type="dxa"/>
            <w:vAlign w:val="bottom"/>
          </w:tcPr>
          <w:p>
            <w:pPr>
              <w:jc w:val="right"/>
              <w:ind w:right="3"/>
              <w:spacing w:after="0"/>
              <w:rPr>
                <w:sz w:val="20"/>
                <w:szCs w:val="20"/>
                <w:color w:val="auto"/>
              </w:rPr>
            </w:pPr>
            <w:r>
              <w:rPr>
                <w:rFonts w:ascii="Arial" w:cs="Arial" w:eastAsia="Arial" w:hAnsi="Arial"/>
                <w:sz w:val="15"/>
                <w:szCs w:val="15"/>
                <w:color w:val="auto"/>
              </w:rPr>
              <w:t>7.6</w:t>
            </w:r>
          </w:p>
        </w:tc>
        <w:tc>
          <w:tcPr>
            <w:tcW w:w="10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Pr>
          <w:p>
            <w:pPr>
              <w:ind w:left="660"/>
              <w:spacing w:after="0"/>
              <w:rPr>
                <w:sz w:val="20"/>
                <w:szCs w:val="20"/>
                <w:color w:val="auto"/>
              </w:rPr>
            </w:pPr>
            <w:r>
              <w:rPr>
                <w:rFonts w:ascii="Arial" w:cs="Arial" w:eastAsia="Arial" w:hAnsi="Arial"/>
                <w:sz w:val="15"/>
                <w:szCs w:val="15"/>
                <w:color w:val="auto"/>
              </w:rPr>
              <w:t>16.0</w:t>
            </w:r>
          </w:p>
        </w:tc>
        <w:tc>
          <w:tcPr>
            <w:tcW w:w="1320" w:type="dxa"/>
            <w:vAlign w:val="bottom"/>
            <w:gridSpan w:val="2"/>
          </w:tcPr>
          <w:p>
            <w:pPr>
              <w:jc w:val="right"/>
              <w:spacing w:after="0"/>
              <w:rPr>
                <w:sz w:val="20"/>
                <w:szCs w:val="20"/>
                <w:color w:val="auto"/>
              </w:rPr>
            </w:pPr>
            <w:r>
              <w:rPr>
                <w:rFonts w:ascii="Arial" w:cs="Arial" w:eastAsia="Arial" w:hAnsi="Arial"/>
                <w:sz w:val="15"/>
                <w:szCs w:val="15"/>
                <w:color w:val="auto"/>
              </w:rPr>
              <w:t>210.5 %</w:t>
            </w:r>
          </w:p>
        </w:tc>
        <w:tc>
          <w:tcPr>
            <w:tcW w:w="0" w:type="dxa"/>
            <w:vAlign w:val="bottom"/>
          </w:tcPr>
          <w:p>
            <w:pPr>
              <w:spacing w:after="0"/>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6440" w:type="dxa"/>
            <w:vAlign w:val="bottom"/>
            <w:gridSpan w:val="2"/>
            <w:shd w:val="clear" w:color="auto" w:fill="CCEEFF"/>
          </w:tcPr>
          <w:p>
            <w:pPr>
              <w:ind w:left="120"/>
              <w:spacing w:after="0"/>
              <w:rPr>
                <w:sz w:val="20"/>
                <w:szCs w:val="20"/>
                <w:color w:val="auto"/>
              </w:rPr>
            </w:pPr>
            <w:r>
              <w:rPr>
                <w:rFonts w:ascii="Arial" w:cs="Arial" w:eastAsia="Arial" w:hAnsi="Arial"/>
                <w:sz w:val="15"/>
                <w:szCs w:val="15"/>
                <w:color w:val="auto"/>
              </w:rPr>
              <w:t>Food, beverage, and other</w:t>
            </w:r>
          </w:p>
        </w:tc>
        <w:tc>
          <w:tcPr>
            <w:tcW w:w="1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center"/>
              <w:ind w:left="443"/>
              <w:spacing w:after="0"/>
              <w:rPr>
                <w:sz w:val="20"/>
                <w:szCs w:val="20"/>
                <w:color w:val="auto"/>
              </w:rPr>
            </w:pPr>
            <w:r>
              <w:rPr>
                <w:rFonts w:ascii="Arial" w:cs="Arial" w:eastAsia="Arial" w:hAnsi="Arial"/>
                <w:sz w:val="15"/>
                <w:szCs w:val="15"/>
                <w:color w:val="auto"/>
                <w:w w:val="95"/>
              </w:rPr>
              <w:t>64.3</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rPr>
              <w:t>12.7</w:t>
            </w: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ind w:left="660"/>
              <w:spacing w:after="0"/>
              <w:rPr>
                <w:sz w:val="20"/>
                <w:szCs w:val="20"/>
                <w:color w:val="auto"/>
              </w:rPr>
            </w:pPr>
            <w:r>
              <w:rPr>
                <w:rFonts w:ascii="Arial" w:cs="Arial" w:eastAsia="Arial" w:hAnsi="Arial"/>
                <w:sz w:val="15"/>
                <w:szCs w:val="15"/>
                <w:color w:val="auto"/>
              </w:rPr>
              <w:t>51.6</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406.3 %</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440" w:type="dxa"/>
            <w:vAlign w:val="bottom"/>
            <w:gridSpan w:val="2"/>
          </w:tcPr>
          <w:p>
            <w:pPr>
              <w:ind w:left="300"/>
              <w:spacing w:after="0"/>
              <w:rPr>
                <w:sz w:val="20"/>
                <w:szCs w:val="20"/>
                <w:color w:val="auto"/>
              </w:rPr>
            </w:pPr>
            <w:r>
              <w:rPr>
                <w:rFonts w:ascii="Arial" w:cs="Arial" w:eastAsia="Arial" w:hAnsi="Arial"/>
                <w:sz w:val="15"/>
                <w:szCs w:val="15"/>
                <w:color w:val="auto"/>
              </w:rPr>
              <w:t>Total revenues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920" w:type="dxa"/>
            <w:vAlign w:val="bottom"/>
            <w:tcBorders>
              <w:bottom w:val="single" w:sz="8" w:color="auto"/>
            </w:tcBorders>
          </w:tcPr>
          <w:p>
            <w:pPr>
              <w:jc w:val="center"/>
              <w:ind w:left="443"/>
              <w:spacing w:after="0"/>
              <w:rPr>
                <w:sz w:val="20"/>
                <w:szCs w:val="20"/>
                <w:color w:val="auto"/>
              </w:rPr>
            </w:pPr>
            <w:r>
              <w:rPr>
                <w:rFonts w:ascii="Arial" w:cs="Arial" w:eastAsia="Arial" w:hAnsi="Arial"/>
                <w:sz w:val="15"/>
                <w:szCs w:val="15"/>
                <w:color w:val="auto"/>
                <w:w w:val="95"/>
              </w:rPr>
              <w:t>87.9</w:t>
            </w:r>
          </w:p>
        </w:tc>
        <w:tc>
          <w:tcPr>
            <w:tcW w:w="100" w:type="dxa"/>
            <w:vAlign w:val="bottom"/>
          </w:tcPr>
          <w:p>
            <w:pPr>
              <w:spacing w:after="0"/>
              <w:rPr>
                <w:sz w:val="17"/>
                <w:szCs w:val="17"/>
                <w:color w:val="auto"/>
              </w:rPr>
            </w:pPr>
          </w:p>
        </w:tc>
        <w:tc>
          <w:tcPr>
            <w:tcW w:w="340" w:type="dxa"/>
            <w:vAlign w:val="bottom"/>
            <w:tcBorders>
              <w:bottom w:val="single" w:sz="8" w:color="auto"/>
            </w:tcBorders>
          </w:tcPr>
          <w:p>
            <w:pPr>
              <w:jc w:val="right"/>
              <w:ind w:right="163"/>
              <w:spacing w:after="0"/>
              <w:rPr>
                <w:sz w:val="20"/>
                <w:szCs w:val="20"/>
                <w:color w:val="auto"/>
              </w:rPr>
            </w:pPr>
            <w:r>
              <w:rPr>
                <w:rFonts w:ascii="Arial" w:cs="Arial" w:eastAsia="Arial" w:hAnsi="Arial"/>
                <w:sz w:val="15"/>
                <w:szCs w:val="15"/>
                <w:color w:val="auto"/>
                <w:w w:val="95"/>
              </w:rPr>
              <w:t>$</w:t>
            </w:r>
          </w:p>
        </w:tc>
        <w:tc>
          <w:tcPr>
            <w:tcW w:w="76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20.3</w:t>
            </w:r>
          </w:p>
        </w:tc>
        <w:tc>
          <w:tcPr>
            <w:tcW w:w="10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tcPr>
          <w:p>
            <w:pPr>
              <w:ind w:left="660"/>
              <w:spacing w:after="0"/>
              <w:rPr>
                <w:sz w:val="20"/>
                <w:szCs w:val="20"/>
                <w:color w:val="auto"/>
              </w:rPr>
            </w:pPr>
            <w:r>
              <w:rPr>
                <w:rFonts w:ascii="Arial" w:cs="Arial" w:eastAsia="Arial" w:hAnsi="Arial"/>
                <w:sz w:val="15"/>
                <w:szCs w:val="15"/>
                <w:color w:val="auto"/>
              </w:rPr>
              <w:t>67.6</w:t>
            </w:r>
          </w:p>
        </w:tc>
        <w:tc>
          <w:tcPr>
            <w:tcW w:w="1320" w:type="dxa"/>
            <w:vAlign w:val="bottom"/>
            <w:gridSpan w:val="2"/>
          </w:tcPr>
          <w:p>
            <w:pPr>
              <w:jc w:val="right"/>
              <w:spacing w:after="0"/>
              <w:rPr>
                <w:sz w:val="20"/>
                <w:szCs w:val="20"/>
                <w:color w:val="auto"/>
              </w:rPr>
            </w:pPr>
            <w:r>
              <w:rPr>
                <w:rFonts w:ascii="Arial" w:cs="Arial" w:eastAsia="Arial" w:hAnsi="Arial"/>
                <w:sz w:val="15"/>
                <w:szCs w:val="15"/>
                <w:color w:val="auto"/>
              </w:rPr>
              <w:t>333.0 %</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CCEEFF"/>
            </w:tcBorders>
          </w:tcPr>
          <w:p>
            <w:pPr>
              <w:spacing w:after="0" w:line="20" w:lineRule="exact"/>
              <w:rPr>
                <w:sz w:val="1"/>
                <w:szCs w:val="1"/>
                <w:color w:val="auto"/>
              </w:rPr>
            </w:pPr>
          </w:p>
        </w:tc>
        <w:tc>
          <w:tcPr>
            <w:tcW w:w="53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5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6460" w:type="dxa"/>
            <w:vAlign w:val="bottom"/>
            <w:gridSpan w:val="3"/>
          </w:tcPr>
          <w:p>
            <w:pPr>
              <w:ind w:left="20"/>
              <w:spacing w:after="0"/>
              <w:rPr>
                <w:sz w:val="20"/>
                <w:szCs w:val="20"/>
                <w:color w:val="auto"/>
              </w:rPr>
            </w:pPr>
            <w:r>
              <w:rPr>
                <w:rFonts w:ascii="Arial" w:cs="Arial" w:eastAsia="Arial" w:hAnsi="Arial"/>
                <w:sz w:val="15"/>
                <w:szCs w:val="15"/>
                <w:color w:val="auto"/>
              </w:rPr>
              <w:t>Adjusted EBITDAR</w:t>
            </w:r>
          </w:p>
        </w:tc>
        <w:tc>
          <w:tcPr>
            <w:tcW w:w="16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920" w:type="dxa"/>
            <w:vAlign w:val="bottom"/>
          </w:tcPr>
          <w:p>
            <w:pPr>
              <w:jc w:val="center"/>
              <w:ind w:left="423"/>
              <w:spacing w:after="0"/>
              <w:rPr>
                <w:sz w:val="20"/>
                <w:szCs w:val="20"/>
                <w:color w:val="auto"/>
              </w:rPr>
            </w:pPr>
            <w:r>
              <w:rPr>
                <w:rFonts w:ascii="Arial" w:cs="Arial" w:eastAsia="Arial" w:hAnsi="Arial"/>
                <w:sz w:val="15"/>
                <w:szCs w:val="15"/>
                <w:color w:val="auto"/>
                <w:w w:val="96"/>
              </w:rPr>
              <w:t>(21.3)</w:t>
            </w:r>
          </w:p>
        </w:tc>
        <w:tc>
          <w:tcPr>
            <w:tcW w:w="100" w:type="dxa"/>
            <w:vAlign w:val="bottom"/>
          </w:tcPr>
          <w:p>
            <w:pPr>
              <w:spacing w:after="0"/>
              <w:rPr>
                <w:sz w:val="17"/>
                <w:szCs w:val="17"/>
                <w:color w:val="auto"/>
              </w:rPr>
            </w:pPr>
          </w:p>
        </w:tc>
        <w:tc>
          <w:tcPr>
            <w:tcW w:w="340" w:type="dxa"/>
            <w:vAlign w:val="bottom"/>
          </w:tcPr>
          <w:p>
            <w:pPr>
              <w:jc w:val="right"/>
              <w:ind w:right="163"/>
              <w:spacing w:after="0"/>
              <w:rPr>
                <w:sz w:val="20"/>
                <w:szCs w:val="20"/>
                <w:color w:val="auto"/>
              </w:rPr>
            </w:pPr>
            <w:r>
              <w:rPr>
                <w:rFonts w:ascii="Arial" w:cs="Arial" w:eastAsia="Arial" w:hAnsi="Arial"/>
                <w:sz w:val="15"/>
                <w:szCs w:val="15"/>
                <w:color w:val="auto"/>
                <w:w w:val="95"/>
              </w:rPr>
              <w:t>$</w:t>
            </w:r>
          </w:p>
        </w:tc>
        <w:tc>
          <w:tcPr>
            <w:tcW w:w="760" w:type="dxa"/>
            <w:vAlign w:val="bottom"/>
          </w:tcPr>
          <w:p>
            <w:pPr>
              <w:jc w:val="right"/>
              <w:spacing w:after="0"/>
              <w:rPr>
                <w:sz w:val="20"/>
                <w:szCs w:val="20"/>
                <w:color w:val="auto"/>
              </w:rPr>
            </w:pPr>
            <w:r>
              <w:rPr>
                <w:rFonts w:ascii="Arial" w:cs="Arial" w:eastAsia="Arial" w:hAnsi="Arial"/>
                <w:sz w:val="15"/>
                <w:szCs w:val="15"/>
                <w:color w:val="auto"/>
              </w:rPr>
              <w:t>(18.9)</w:t>
            </w:r>
          </w:p>
        </w:tc>
        <w:tc>
          <w:tcPr>
            <w:tcW w:w="10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Pr>
          <w:p>
            <w:pPr>
              <w:ind w:left="660"/>
              <w:spacing w:after="0"/>
              <w:rPr>
                <w:sz w:val="20"/>
                <w:szCs w:val="20"/>
                <w:color w:val="auto"/>
              </w:rPr>
            </w:pPr>
            <w:r>
              <w:rPr>
                <w:rFonts w:ascii="Arial" w:cs="Arial" w:eastAsia="Arial" w:hAnsi="Arial"/>
                <w:sz w:val="15"/>
                <w:szCs w:val="15"/>
                <w:color w:val="auto"/>
                <w:w w:val="97"/>
              </w:rPr>
              <w:t>(2.4)</w:t>
            </w:r>
          </w:p>
        </w:tc>
        <w:tc>
          <w:tcPr>
            <w:tcW w:w="1320" w:type="dxa"/>
            <w:vAlign w:val="bottom"/>
            <w:gridSpan w:val="2"/>
          </w:tcPr>
          <w:p>
            <w:pPr>
              <w:jc w:val="right"/>
              <w:spacing w:after="0"/>
              <w:rPr>
                <w:sz w:val="20"/>
                <w:szCs w:val="20"/>
                <w:color w:val="auto"/>
              </w:rPr>
            </w:pPr>
            <w:r>
              <w:rPr>
                <w:rFonts w:ascii="Arial" w:cs="Arial" w:eastAsia="Arial" w:hAnsi="Arial"/>
                <w:sz w:val="15"/>
                <w:szCs w:val="15"/>
                <w:color w:val="auto"/>
              </w:rPr>
              <w:t>12.7 %</w:t>
            </w:r>
          </w:p>
        </w:tc>
        <w:tc>
          <w:tcPr>
            <w:tcW w:w="0" w:type="dxa"/>
            <w:vAlign w:val="bottom"/>
          </w:tcPr>
          <w:p>
            <w:pPr>
              <w:spacing w:after="0"/>
              <w:rPr>
                <w:sz w:val="1"/>
                <w:szCs w:val="1"/>
                <w:color w:val="auto"/>
              </w:rPr>
            </w:pPr>
          </w:p>
        </w:tc>
      </w:tr>
    </w:tbl>
    <w:p>
      <w:pPr>
        <w:spacing w:after="0" w:line="161" w:lineRule="exact"/>
        <w:rPr>
          <w:sz w:val="20"/>
          <w:szCs w:val="20"/>
          <w:color w:val="auto"/>
        </w:rPr>
      </w:pPr>
    </w:p>
    <w:p>
      <w:pPr>
        <w:ind w:right="140" w:firstLine="309"/>
        <w:spacing w:after="0" w:line="246" w:lineRule="auto"/>
        <w:rPr>
          <w:sz w:val="20"/>
          <w:szCs w:val="20"/>
          <w:color w:val="auto"/>
        </w:rPr>
      </w:pPr>
      <w:r>
        <w:rPr>
          <w:rFonts w:ascii="Arial" w:cs="Arial" w:eastAsia="Arial" w:hAnsi="Arial"/>
          <w:sz w:val="17"/>
          <w:szCs w:val="17"/>
          <w:color w:val="auto"/>
        </w:rPr>
        <w:t>Total revenues for the Other category increased for the three months ended March 31, 2021, as compared to the prior year quarter, primarily as a result of the activities at Penn Interactive. Penn Interactive's operations continue to build with the launch of the online Barstool Sportsbook in Pennsylvania during the third quarter of 2020 and the launch of Michigan and Illinois during the first quarter of 2021 and with ongoing increases in online social and real-money gaming revenue.</w:t>
      </w:r>
    </w:p>
    <w:p>
      <w:pPr>
        <w:spacing w:after="0" w:line="153" w:lineRule="exact"/>
        <w:rPr>
          <w:sz w:val="20"/>
          <w:szCs w:val="20"/>
          <w:color w:val="auto"/>
        </w:rPr>
      </w:pPr>
    </w:p>
    <w:p>
      <w:pPr>
        <w:ind w:right="220" w:firstLine="309"/>
        <w:spacing w:after="0" w:line="279" w:lineRule="auto"/>
        <w:rPr>
          <w:sz w:val="20"/>
          <w:szCs w:val="20"/>
          <w:color w:val="auto"/>
        </w:rPr>
      </w:pPr>
      <w:r>
        <w:rPr>
          <w:rFonts w:ascii="Arial" w:cs="Arial" w:eastAsia="Arial" w:hAnsi="Arial"/>
          <w:sz w:val="17"/>
          <w:szCs w:val="17"/>
          <w:color w:val="auto"/>
        </w:rPr>
        <w:t>Adjusted EBITDAR decreased by $2.4 million for the three months ended March 31, 2021 as compared to the prior year quarter, primarily due to increased expenses related to the ramp up of the Penn Interactive online sportsbook operations.</w:t>
      </w:r>
    </w:p>
    <w:p>
      <w:pPr>
        <w:spacing w:after="0" w:line="35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Non-GAAP Financial Measures</w:t>
      </w:r>
    </w:p>
    <w:p>
      <w:pPr>
        <w:spacing w:after="0" w:line="178" w:lineRule="exact"/>
        <w:rPr>
          <w:sz w:val="20"/>
          <w:szCs w:val="20"/>
          <w:color w:val="auto"/>
        </w:rPr>
      </w:pPr>
    </w:p>
    <w:p>
      <w:pPr>
        <w:ind w:left="320"/>
        <w:spacing w:after="0"/>
        <w:rPr>
          <w:sz w:val="20"/>
          <w:szCs w:val="20"/>
          <w:color w:val="auto"/>
        </w:rPr>
      </w:pPr>
      <w:r>
        <w:rPr>
          <w:rFonts w:ascii="Arial" w:cs="Arial" w:eastAsia="Arial" w:hAnsi="Arial"/>
          <w:sz w:val="17"/>
          <w:szCs w:val="17"/>
          <w:b w:val="1"/>
          <w:bCs w:val="1"/>
          <w:i w:val="1"/>
          <w:iCs w:val="1"/>
          <w:color w:val="auto"/>
        </w:rPr>
        <w:t>Use and Definitions</w:t>
      </w:r>
    </w:p>
    <w:p>
      <w:pPr>
        <w:spacing w:after="0" w:line="191" w:lineRule="exact"/>
        <w:rPr>
          <w:sz w:val="20"/>
          <w:szCs w:val="20"/>
          <w:color w:val="auto"/>
        </w:rPr>
      </w:pPr>
    </w:p>
    <w:p>
      <w:pPr>
        <w:ind w:right="100" w:firstLine="309"/>
        <w:spacing w:after="0" w:line="262" w:lineRule="auto"/>
        <w:rPr>
          <w:sz w:val="20"/>
          <w:szCs w:val="20"/>
          <w:color w:val="auto"/>
        </w:rPr>
      </w:pPr>
      <w:r>
        <w:rPr>
          <w:rFonts w:ascii="Arial" w:cs="Arial" w:eastAsia="Arial" w:hAnsi="Arial"/>
          <w:sz w:val="17"/>
          <w:szCs w:val="17"/>
          <w:color w:val="auto"/>
        </w:rPr>
        <w:t>In addition to GAAP financial measures, management uses Adjusted EBITDA, Adjusted EBITDAR and Adjusted EBITDAR margin as non-GAAP financial measures. These non-GAAP financial measures should not be considered a substitute for, nor superior to, financial results and measures determined or calculated in accordance with GAAP. Each of these non-GAAP financial measures is not calculated in the same manner by all companies and, accordingly, may not be an appropriate measure of comparing performance among different companies.</w:t>
      </w: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173990</wp:posOffset>
            </wp:positionV>
            <wp:extent cx="7164070" cy="4191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9" w:name="page40"/>
    <w:bookmarkEnd w:id="39"/>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339" w:lineRule="exact"/>
        <w:rPr>
          <w:sz w:val="20"/>
          <w:szCs w:val="20"/>
          <w:color w:val="auto"/>
        </w:rPr>
      </w:pPr>
    </w:p>
    <w:p>
      <w:pPr>
        <w:ind w:firstLine="309"/>
        <w:spacing w:after="0" w:line="273" w:lineRule="auto"/>
        <w:rPr>
          <w:sz w:val="20"/>
          <w:szCs w:val="20"/>
          <w:color w:val="auto"/>
        </w:rPr>
      </w:pPr>
      <w:r>
        <w:rPr>
          <w:rFonts w:ascii="Arial" w:cs="Arial" w:eastAsia="Arial" w:hAnsi="Arial"/>
          <w:sz w:val="16"/>
          <w:szCs w:val="16"/>
          <w:color w:val="auto"/>
        </w:rPr>
        <w:t>We define Adjusted EBITDA as earnings before interest expense, net; income taxes; depreciation and amortization; stock-based compensation; debt extinguishment and financing charges; impairment losses; insurance recoveries, net of deductible charges; changes in the estimated fair value of our contingent purchase price obligations; gain or loss on disposal of assets, the difference between budget and actual expense for cash-settled stock-based awards; pre-opening and acquisition costs; and other income or expenses. Adjusted EBITDA is inclusive of income or loss from unconsolidated affiliates, with our share of non-operating items (such as interest expense, net; income taxes; depreciation and amortization; and stock-based compensation expense) added back for Barstool Sports and our Kansas Entertainment joint venture. Adjusted EBITDA is inclusive of rent expense associated with our triple net operating leases (the operating lease components contained within the Penn Master Lease and Pinnacle Master Lease (primarily land), the Meadows Lease, the Margaritaville Lease, the Greektown Lease and the Tropicana Lease). Although Adjusted EBITDA includes rent expense associated with our triple net operating leases, we believe Adjusted EBITDA is useful as a supplemental measure in evaluating the performance of our consolidated results of operations. We define adjusted EBITDA margin as Adjusted EBITDA divided by consolidated revenues.</w:t>
      </w:r>
    </w:p>
    <w:p>
      <w:pPr>
        <w:spacing w:after="0" w:line="137" w:lineRule="exact"/>
        <w:rPr>
          <w:sz w:val="20"/>
          <w:szCs w:val="20"/>
          <w:color w:val="auto"/>
        </w:rPr>
      </w:pPr>
    </w:p>
    <w:p>
      <w:pPr>
        <w:ind w:right="20" w:firstLine="309"/>
        <w:spacing w:after="0" w:line="273" w:lineRule="auto"/>
        <w:rPr>
          <w:sz w:val="20"/>
          <w:szCs w:val="20"/>
          <w:color w:val="auto"/>
        </w:rPr>
      </w:pPr>
      <w:r>
        <w:rPr>
          <w:rFonts w:ascii="Arial" w:cs="Arial" w:eastAsia="Arial" w:hAnsi="Arial"/>
          <w:sz w:val="16"/>
          <w:szCs w:val="16"/>
          <w:color w:val="auto"/>
        </w:rPr>
        <w:t>Adjusted EBITDA has economic substance because it is used by management as a performance measure to analyze the performance of our business, and is especially relevant in evaluating large, long-lived casino-hotel projects because it provides a perspective on the current effects of operating decisions separated from the substantial non-operational depreciation charges and financing costs of such projects. We present Adjusted EBITDA because it is used by some investors and creditors as an indicator of the strength and performance of ongoing business operations, including our ability to service debt, and to fund capital expenditures, acquisitions and operations. These calculations are commonly used as a basis for investors, analysts and credit rating agencies to evaluate and compare operating performance and value companies within our industry. In order to view the operations of their casinos on a more stand-alone basis, gaming companies, including us, have historically excluded from their Adjusted EBITDA calculations certain corporate expenses that do not relate to the management of specific casino properties. However, Adjusted EBITDA is not a measure of performance or liquidity calculated in accordance with GAAP. Adjusted EBITDA information is presented as a supplemental disclosure, as management believes that it is a commonly-used measure of performance in the gaming industry and that it is considered by many to be a key indicator of the Company’s operating results.</w:t>
      </w:r>
    </w:p>
    <w:p>
      <w:pPr>
        <w:spacing w:after="0" w:line="150" w:lineRule="exact"/>
        <w:rPr>
          <w:sz w:val="20"/>
          <w:szCs w:val="20"/>
          <w:color w:val="auto"/>
        </w:rPr>
      </w:pPr>
    </w:p>
    <w:p>
      <w:pPr>
        <w:ind w:right="100" w:firstLine="309"/>
        <w:spacing w:after="0" w:line="290" w:lineRule="auto"/>
        <w:rPr>
          <w:sz w:val="20"/>
          <w:szCs w:val="20"/>
          <w:color w:val="auto"/>
        </w:rPr>
      </w:pPr>
      <w:r>
        <w:rPr>
          <w:rFonts w:ascii="Arial" w:cs="Arial" w:eastAsia="Arial" w:hAnsi="Arial"/>
          <w:sz w:val="15"/>
          <w:szCs w:val="15"/>
          <w:color w:val="auto"/>
        </w:rPr>
        <w:t>We define Adjusted EBITDAR as Adjusted EBITDA (as defined above) plus rent expense associated with triple net operating leases (which is a normal, recurring cash operating expense necessary to operate our business). Adjusted EBITDAR is presented on a consolidated basis outside the financial statements solely as a valuation metric. Management believes that Adjusted EBITDAR is an additional metric traditionally used by analysts in valuing gaming companies subject to triple net leases since it eliminates the effects of variability in leasing methods and capital structures. This metric is included as supplemental disclosure because (i) we believe Adjusted EBITDAR is traditionally used by gaming operator analysts and investors to determine the equity value of gaming operators and</w:t>
      </w:r>
    </w:p>
    <w:p>
      <w:pPr>
        <w:ind w:right="300" w:firstLine="3"/>
        <w:spacing w:after="0" w:line="255" w:lineRule="auto"/>
        <w:tabs>
          <w:tab w:leader="none" w:pos="253" w:val="left"/>
        </w:tabs>
        <w:numPr>
          <w:ilvl w:val="0"/>
          <w:numId w:val="17"/>
        </w:numPr>
        <w:rPr>
          <w:rFonts w:ascii="Arial" w:cs="Arial" w:eastAsia="Arial" w:hAnsi="Arial"/>
          <w:sz w:val="17"/>
          <w:szCs w:val="17"/>
          <w:color w:val="auto"/>
        </w:rPr>
      </w:pPr>
      <w:r>
        <w:rPr>
          <w:rFonts w:ascii="Arial" w:cs="Arial" w:eastAsia="Arial" w:hAnsi="Arial"/>
          <w:sz w:val="17"/>
          <w:szCs w:val="17"/>
          <w:color w:val="auto"/>
        </w:rPr>
        <w:t>Adjusted EBITDAR is one of the metrics used by other financial analysts in valuing our business. We believe Adjusted EBITDAR is useful for equity valuation purposes because (i) its calculation isolates the effects of financing real estate; and (ii) using a multiple of Adjusted EBITDAR to calculate enterprise value allows for an adjustment to the balance sheet to recognize estimated liabilities arising from operating leases related to real estate. However, Adjusted EBITDAR, when presented on a consolidated basis, is not a financial measure in accordance with GAAP and should not be viewed as a measure of overall operating performance or considered in isolation or as an alternative to net income because it excludes the rent expense associated with our triple net operating leases and is provided for the limited purposes referenced herein.</w:t>
      </w:r>
    </w:p>
    <w:p>
      <w:pPr>
        <w:spacing w:after="0" w:line="148" w:lineRule="exact"/>
        <w:rPr>
          <w:sz w:val="20"/>
          <w:szCs w:val="20"/>
          <w:color w:val="auto"/>
        </w:rPr>
      </w:pPr>
    </w:p>
    <w:p>
      <w:pPr>
        <w:ind w:right="460" w:firstLine="309"/>
        <w:spacing w:after="0" w:line="266" w:lineRule="auto"/>
        <w:rPr>
          <w:sz w:val="20"/>
          <w:szCs w:val="20"/>
          <w:color w:val="auto"/>
        </w:rPr>
      </w:pPr>
      <w:r>
        <w:rPr>
          <w:rFonts w:ascii="Arial" w:cs="Arial" w:eastAsia="Arial" w:hAnsi="Arial"/>
          <w:sz w:val="17"/>
          <w:szCs w:val="17"/>
          <w:color w:val="auto"/>
        </w:rPr>
        <w:t>Adjusted EBITDAR margin is defined as Adjusted EBITDAR on a consolidated basis divided by revenues on a consolidated basis. Adjusted EBITDAR margin is presented on a consolidated basis outside the financial statements solely as a valuation metric. We further define Adjusted EBITDAR margin by reportable segment as Adjusted EBITDAR for each segment divided by segment revenues.</w:t>
      </w: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173990</wp:posOffset>
            </wp:positionV>
            <wp:extent cx="7164070" cy="4191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0" w:name="page41"/>
    <w:bookmarkEnd w:id="40"/>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339" w:lineRule="exact"/>
        <w:rPr>
          <w:sz w:val="20"/>
          <w:szCs w:val="20"/>
          <w:color w:val="auto"/>
        </w:rPr>
      </w:pPr>
    </w:p>
    <w:p>
      <w:pPr>
        <w:ind w:left="320"/>
        <w:spacing w:after="0"/>
        <w:rPr>
          <w:sz w:val="20"/>
          <w:szCs w:val="20"/>
          <w:color w:val="auto"/>
        </w:rPr>
      </w:pPr>
      <w:r>
        <w:rPr>
          <w:rFonts w:ascii="Arial" w:cs="Arial" w:eastAsia="Arial" w:hAnsi="Arial"/>
          <w:sz w:val="17"/>
          <w:szCs w:val="17"/>
          <w:b w:val="1"/>
          <w:bCs w:val="1"/>
          <w:i w:val="1"/>
          <w:iCs w:val="1"/>
          <w:color w:val="auto"/>
        </w:rPr>
        <w:t>Reconciliation of GAAP Financial Measures to Non-GAAP Financial Measures</w:t>
      </w:r>
    </w:p>
    <w:p>
      <w:pPr>
        <w:spacing w:after="0" w:line="178" w:lineRule="exact"/>
        <w:rPr>
          <w:sz w:val="20"/>
          <w:szCs w:val="20"/>
          <w:color w:val="auto"/>
        </w:rPr>
      </w:pPr>
    </w:p>
    <w:p>
      <w:pPr>
        <w:ind w:right="620" w:firstLine="309"/>
        <w:spacing w:after="0" w:line="279" w:lineRule="auto"/>
        <w:rPr>
          <w:sz w:val="20"/>
          <w:szCs w:val="20"/>
          <w:color w:val="auto"/>
        </w:rPr>
      </w:pPr>
      <w:r>
        <w:rPr>
          <w:rFonts w:ascii="Arial" w:cs="Arial" w:eastAsia="Arial" w:hAnsi="Arial"/>
          <w:sz w:val="17"/>
          <w:szCs w:val="17"/>
          <w:color w:val="auto"/>
        </w:rPr>
        <w:t>The following table includes a reconciliation of net income (loss), which is determined in accordance with GAAP, to Adjusted EBITDA and Adjusted EBITDAR, which are non-GAAP financial measures, as well as related margins:</w:t>
      </w:r>
    </w:p>
    <w:p>
      <w:pPr>
        <w:spacing w:after="0" w:line="85" w:lineRule="exact"/>
        <w:rPr>
          <w:sz w:val="20"/>
          <w:szCs w:val="20"/>
          <w:color w:val="auto"/>
        </w:rPr>
      </w:pPr>
    </w:p>
    <w:p>
      <w:pPr>
        <w:ind w:left="8560"/>
        <w:spacing w:after="0"/>
        <w:rPr>
          <w:sz w:val="20"/>
          <w:szCs w:val="20"/>
          <w:color w:val="auto"/>
        </w:rPr>
      </w:pPr>
      <w:r>
        <w:rPr>
          <w:rFonts w:ascii="Arial" w:cs="Arial" w:eastAsia="Arial" w:hAnsi="Arial"/>
          <w:sz w:val="14"/>
          <w:szCs w:val="14"/>
          <w:b w:val="1"/>
          <w:bCs w:val="1"/>
          <w:color w:val="auto"/>
        </w:rPr>
        <w:t>For the three months ended March 31,</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8440" w:type="dxa"/>
            <w:vAlign w:val="bottom"/>
            <w:gridSpan w:val="3"/>
          </w:tcPr>
          <w:p>
            <w:pPr>
              <w:ind w:left="20"/>
              <w:spacing w:after="0"/>
              <w:rPr>
                <w:sz w:val="20"/>
                <w:szCs w:val="20"/>
                <w:color w:val="auto"/>
              </w:rPr>
            </w:pPr>
            <w:r>
              <w:rPr>
                <w:rFonts w:ascii="Arial" w:cs="Arial" w:eastAsia="Arial" w:hAnsi="Arial"/>
                <w:sz w:val="14"/>
                <w:szCs w:val="14"/>
                <w:b w:val="1"/>
                <w:bCs w:val="1"/>
                <w:i w:val="1"/>
                <w:iCs w:val="1"/>
                <w:color w:val="auto"/>
              </w:rPr>
              <w:t>(dollars in millions)</w:t>
            </w:r>
          </w:p>
        </w:tc>
        <w:tc>
          <w:tcPr>
            <w:tcW w:w="30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tcPr>
          <w:p>
            <w:pPr>
              <w:jc w:val="right"/>
              <w:ind w:right="443"/>
              <w:spacing w:after="0" w:line="167" w:lineRule="exact"/>
              <w:rPr>
                <w:sz w:val="20"/>
                <w:szCs w:val="20"/>
                <w:color w:val="auto"/>
              </w:rPr>
            </w:pPr>
            <w:r>
              <w:rPr>
                <w:rFonts w:ascii="Arial" w:cs="Arial" w:eastAsia="Arial" w:hAnsi="Arial"/>
                <w:sz w:val="15"/>
                <w:szCs w:val="15"/>
                <w:b w:val="1"/>
                <w:bCs w:val="1"/>
                <w:color w:val="auto"/>
              </w:rPr>
              <w:t>2021</w:t>
            </w:r>
          </w:p>
        </w:tc>
        <w:tc>
          <w:tcPr>
            <w:tcW w:w="120" w:type="dxa"/>
            <w:vAlign w:val="bottom"/>
            <w:tcBorders>
              <w:top w:val="single" w:sz="8" w:color="auto"/>
            </w:tcBorders>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tcPr>
          <w:p>
            <w:pPr>
              <w:jc w:val="right"/>
              <w:ind w:right="443"/>
              <w:spacing w:after="0" w:line="167" w:lineRule="exact"/>
              <w:rPr>
                <w:sz w:val="20"/>
                <w:szCs w:val="20"/>
                <w:color w:val="auto"/>
              </w:rPr>
            </w:pPr>
            <w:r>
              <w:rPr>
                <w:rFonts w:ascii="Arial" w:cs="Arial" w:eastAsia="Arial" w:hAnsi="Arial"/>
                <w:sz w:val="15"/>
                <w:szCs w:val="15"/>
                <w:b w:val="1"/>
                <w:bCs w:val="1"/>
                <w:color w:val="auto"/>
              </w:rPr>
              <w:t>2020</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120" w:type="dxa"/>
            <w:vAlign w:val="bottom"/>
            <w:tcBorders>
              <w:top w:val="single" w:sz="8" w:color="auto"/>
              <w:bottom w:val="single" w:sz="8" w:color="CCEEFF"/>
            </w:tcBorders>
          </w:tcPr>
          <w:p>
            <w:pPr>
              <w:spacing w:after="0" w:line="20" w:lineRule="exact"/>
              <w:rPr>
                <w:sz w:val="1"/>
                <w:szCs w:val="1"/>
                <w:color w:val="auto"/>
              </w:rPr>
            </w:pPr>
          </w:p>
        </w:tc>
        <w:tc>
          <w:tcPr>
            <w:tcW w:w="73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198"/>
        </w:trPr>
        <w:tc>
          <w:tcPr>
            <w:tcW w:w="8440" w:type="dxa"/>
            <w:vAlign w:val="bottom"/>
            <w:gridSpan w:val="3"/>
            <w:shd w:val="clear" w:color="auto" w:fill="CCEEFF"/>
          </w:tcPr>
          <w:p>
            <w:pPr>
              <w:ind w:left="20"/>
              <w:spacing w:after="0"/>
              <w:rPr>
                <w:sz w:val="20"/>
                <w:szCs w:val="20"/>
                <w:color w:val="auto"/>
              </w:rPr>
            </w:pPr>
            <w:r>
              <w:rPr>
                <w:rFonts w:ascii="Arial" w:cs="Arial" w:eastAsia="Arial" w:hAnsi="Arial"/>
                <w:sz w:val="15"/>
                <w:szCs w:val="15"/>
                <w:b w:val="1"/>
                <w:bCs w:val="1"/>
                <w:color w:val="auto"/>
              </w:rPr>
              <w:t>Net income (loss)</w:t>
            </w:r>
          </w:p>
        </w:tc>
        <w:tc>
          <w:tcPr>
            <w:tcW w:w="300" w:type="dxa"/>
            <w:vAlign w:val="bottom"/>
            <w:shd w:val="clear" w:color="auto" w:fill="CCEEFF"/>
          </w:tcPr>
          <w:p>
            <w:pPr>
              <w:jc w:val="right"/>
              <w:ind w:right="143"/>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ind w:right="103"/>
              <w:spacing w:after="0"/>
              <w:rPr>
                <w:sz w:val="20"/>
                <w:szCs w:val="20"/>
                <w:color w:val="auto"/>
              </w:rPr>
            </w:pPr>
            <w:r>
              <w:rPr>
                <w:rFonts w:ascii="Arial" w:cs="Arial" w:eastAsia="Arial" w:hAnsi="Arial"/>
                <w:sz w:val="15"/>
                <w:szCs w:val="15"/>
                <w:color w:val="auto"/>
              </w:rPr>
              <w:t>90.9</w:t>
            </w: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43"/>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rPr>
              <w:t>(608.6)</w:t>
            </w:r>
          </w:p>
        </w:tc>
      </w:tr>
      <w:tr>
        <w:trPr>
          <w:trHeight w:val="203"/>
        </w:trPr>
        <w:tc>
          <w:tcPr>
            <w:tcW w:w="8440" w:type="dxa"/>
            <w:vAlign w:val="bottom"/>
            <w:gridSpan w:val="3"/>
          </w:tcPr>
          <w:p>
            <w:pPr>
              <w:ind w:left="20"/>
              <w:spacing w:after="0"/>
              <w:rPr>
                <w:sz w:val="20"/>
                <w:szCs w:val="20"/>
                <w:color w:val="auto"/>
              </w:rPr>
            </w:pPr>
            <w:r>
              <w:rPr>
                <w:rFonts w:ascii="Arial" w:cs="Arial" w:eastAsia="Arial" w:hAnsi="Arial"/>
                <w:sz w:val="15"/>
                <w:szCs w:val="15"/>
                <w:color w:val="auto"/>
              </w:rPr>
              <w:t>Income tax expense (benefit)</w:t>
            </w:r>
          </w:p>
        </w:tc>
        <w:tc>
          <w:tcPr>
            <w:tcW w:w="300" w:type="dxa"/>
            <w:vAlign w:val="bottom"/>
          </w:tcPr>
          <w:p>
            <w:pPr>
              <w:spacing w:after="0"/>
              <w:rPr>
                <w:sz w:val="17"/>
                <w:szCs w:val="17"/>
                <w:color w:val="auto"/>
              </w:rPr>
            </w:pPr>
          </w:p>
        </w:tc>
        <w:tc>
          <w:tcPr>
            <w:tcW w:w="1040" w:type="dxa"/>
            <w:vAlign w:val="bottom"/>
          </w:tcPr>
          <w:p>
            <w:pPr>
              <w:jc w:val="right"/>
              <w:ind w:right="103"/>
              <w:spacing w:after="0"/>
              <w:rPr>
                <w:sz w:val="20"/>
                <w:szCs w:val="20"/>
                <w:color w:val="auto"/>
              </w:rPr>
            </w:pPr>
            <w:r>
              <w:rPr>
                <w:rFonts w:ascii="Arial" w:cs="Arial" w:eastAsia="Arial" w:hAnsi="Arial"/>
                <w:sz w:val="15"/>
                <w:szCs w:val="15"/>
                <w:color w:val="auto"/>
              </w:rPr>
              <w:t>20.6</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jc w:val="right"/>
              <w:ind w:right="63"/>
              <w:spacing w:after="0"/>
              <w:rPr>
                <w:sz w:val="20"/>
                <w:szCs w:val="20"/>
                <w:color w:val="auto"/>
              </w:rPr>
            </w:pPr>
            <w:r>
              <w:rPr>
                <w:rFonts w:ascii="Arial" w:cs="Arial" w:eastAsia="Arial" w:hAnsi="Arial"/>
                <w:sz w:val="15"/>
                <w:szCs w:val="15"/>
                <w:color w:val="auto"/>
              </w:rPr>
              <w:t>(99.5)</w:t>
            </w:r>
          </w:p>
        </w:tc>
      </w:tr>
      <w:tr>
        <w:trPr>
          <w:trHeight w:val="209"/>
        </w:trPr>
        <w:tc>
          <w:tcPr>
            <w:tcW w:w="8440" w:type="dxa"/>
            <w:vAlign w:val="bottom"/>
            <w:gridSpan w:val="3"/>
            <w:shd w:val="clear" w:color="auto" w:fill="CCEEFF"/>
          </w:tcPr>
          <w:p>
            <w:pPr>
              <w:ind w:left="20"/>
              <w:spacing w:after="0"/>
              <w:rPr>
                <w:sz w:val="20"/>
                <w:szCs w:val="20"/>
                <w:color w:val="auto"/>
              </w:rPr>
            </w:pPr>
            <w:r>
              <w:rPr>
                <w:rFonts w:ascii="Arial" w:cs="Arial" w:eastAsia="Arial" w:hAnsi="Arial"/>
                <w:sz w:val="15"/>
                <w:szCs w:val="15"/>
                <w:color w:val="auto"/>
              </w:rPr>
              <w:t>Income from unconsolidated affiliates</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rPr>
              <w:t>(9.6)</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rPr>
              <w:t>(4.1)</w:t>
            </w:r>
          </w:p>
        </w:tc>
      </w:tr>
      <w:tr>
        <w:trPr>
          <w:trHeight w:val="203"/>
        </w:trPr>
        <w:tc>
          <w:tcPr>
            <w:tcW w:w="8440" w:type="dxa"/>
            <w:vAlign w:val="bottom"/>
            <w:gridSpan w:val="3"/>
          </w:tcPr>
          <w:p>
            <w:pPr>
              <w:ind w:left="20"/>
              <w:spacing w:after="0"/>
              <w:rPr>
                <w:sz w:val="20"/>
                <w:szCs w:val="20"/>
                <w:color w:val="auto"/>
              </w:rPr>
            </w:pPr>
            <w:r>
              <w:rPr>
                <w:rFonts w:ascii="Arial" w:cs="Arial" w:eastAsia="Arial" w:hAnsi="Arial"/>
                <w:sz w:val="15"/>
                <w:szCs w:val="15"/>
                <w:color w:val="auto"/>
              </w:rPr>
              <w:t>Interest expense, net</w:t>
            </w:r>
          </w:p>
        </w:tc>
        <w:tc>
          <w:tcPr>
            <w:tcW w:w="300" w:type="dxa"/>
            <w:vAlign w:val="bottom"/>
          </w:tcPr>
          <w:p>
            <w:pPr>
              <w:spacing w:after="0"/>
              <w:rPr>
                <w:sz w:val="17"/>
                <w:szCs w:val="17"/>
                <w:color w:val="auto"/>
              </w:rPr>
            </w:pPr>
          </w:p>
        </w:tc>
        <w:tc>
          <w:tcPr>
            <w:tcW w:w="1040" w:type="dxa"/>
            <w:vAlign w:val="bottom"/>
          </w:tcPr>
          <w:p>
            <w:pPr>
              <w:jc w:val="right"/>
              <w:ind w:right="103"/>
              <w:spacing w:after="0"/>
              <w:rPr>
                <w:sz w:val="20"/>
                <w:szCs w:val="20"/>
                <w:color w:val="auto"/>
              </w:rPr>
            </w:pPr>
            <w:r>
              <w:rPr>
                <w:rFonts w:ascii="Arial" w:cs="Arial" w:eastAsia="Arial" w:hAnsi="Arial"/>
                <w:sz w:val="15"/>
                <w:szCs w:val="15"/>
                <w:color w:val="auto"/>
              </w:rPr>
              <w:t>135.7</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jc w:val="right"/>
              <w:ind w:right="103"/>
              <w:spacing w:after="0"/>
              <w:rPr>
                <w:sz w:val="20"/>
                <w:szCs w:val="20"/>
                <w:color w:val="auto"/>
              </w:rPr>
            </w:pPr>
            <w:r>
              <w:rPr>
                <w:rFonts w:ascii="Arial" w:cs="Arial" w:eastAsia="Arial" w:hAnsi="Arial"/>
                <w:sz w:val="15"/>
                <w:szCs w:val="15"/>
                <w:color w:val="auto"/>
              </w:rPr>
              <w:t>129.8</w:t>
            </w:r>
          </w:p>
        </w:tc>
      </w:tr>
      <w:tr>
        <w:trPr>
          <w:trHeight w:val="209"/>
        </w:trPr>
        <w:tc>
          <w:tcPr>
            <w:tcW w:w="8440" w:type="dxa"/>
            <w:vAlign w:val="bottom"/>
            <w:gridSpan w:val="3"/>
            <w:shd w:val="clear" w:color="auto" w:fill="CCEEFF"/>
          </w:tcPr>
          <w:p>
            <w:pPr>
              <w:ind w:left="20"/>
              <w:spacing w:after="0"/>
              <w:rPr>
                <w:sz w:val="20"/>
                <w:szCs w:val="20"/>
                <w:color w:val="auto"/>
              </w:rPr>
            </w:pPr>
            <w:r>
              <w:rPr>
                <w:rFonts w:ascii="Arial" w:cs="Arial" w:eastAsia="Arial" w:hAnsi="Arial"/>
                <w:sz w:val="15"/>
                <w:szCs w:val="15"/>
                <w:color w:val="auto"/>
              </w:rPr>
              <w:t>Other (income) expense</w:t>
            </w:r>
          </w:p>
        </w:tc>
        <w:tc>
          <w:tcPr>
            <w:tcW w:w="3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63"/>
              <w:spacing w:after="0"/>
              <w:rPr>
                <w:sz w:val="20"/>
                <w:szCs w:val="20"/>
                <w:color w:val="auto"/>
              </w:rPr>
            </w:pPr>
            <w:r>
              <w:rPr>
                <w:rFonts w:ascii="Arial" w:cs="Arial" w:eastAsia="Arial" w:hAnsi="Arial"/>
                <w:sz w:val="15"/>
                <w:szCs w:val="15"/>
                <w:color w:val="auto"/>
              </w:rPr>
              <w:t>(21.1)</w:t>
            </w:r>
          </w:p>
        </w:tc>
        <w:tc>
          <w:tcPr>
            <w:tcW w:w="1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103"/>
              <w:spacing w:after="0"/>
              <w:rPr>
                <w:sz w:val="20"/>
                <w:szCs w:val="20"/>
                <w:color w:val="auto"/>
              </w:rPr>
            </w:pPr>
            <w:r>
              <w:rPr>
                <w:rFonts w:ascii="Arial" w:cs="Arial" w:eastAsia="Arial" w:hAnsi="Arial"/>
                <w:sz w:val="15"/>
                <w:szCs w:val="15"/>
                <w:color w:val="auto"/>
              </w:rPr>
              <w:t>21.8</w:t>
            </w:r>
          </w:p>
        </w:tc>
      </w:tr>
      <w:tr>
        <w:trPr>
          <w:trHeight w:val="196"/>
        </w:trPr>
        <w:tc>
          <w:tcPr>
            <w:tcW w:w="8440" w:type="dxa"/>
            <w:vAlign w:val="bottom"/>
            <w:gridSpan w:val="3"/>
          </w:tcPr>
          <w:p>
            <w:pPr>
              <w:ind w:left="20"/>
              <w:spacing w:after="0"/>
              <w:rPr>
                <w:sz w:val="20"/>
                <w:szCs w:val="20"/>
                <w:color w:val="auto"/>
              </w:rPr>
            </w:pPr>
            <w:r>
              <w:rPr>
                <w:rFonts w:ascii="Arial" w:cs="Arial" w:eastAsia="Arial" w:hAnsi="Arial"/>
                <w:sz w:val="15"/>
                <w:szCs w:val="15"/>
                <w:color w:val="auto"/>
              </w:rPr>
              <w:t>Operating income (loss)</w:t>
            </w:r>
          </w:p>
        </w:tc>
        <w:tc>
          <w:tcPr>
            <w:tcW w:w="300" w:type="dxa"/>
            <w:vAlign w:val="bottom"/>
          </w:tcPr>
          <w:p>
            <w:pPr>
              <w:spacing w:after="0"/>
              <w:rPr>
                <w:sz w:val="17"/>
                <w:szCs w:val="17"/>
                <w:color w:val="auto"/>
              </w:rPr>
            </w:pPr>
          </w:p>
        </w:tc>
        <w:tc>
          <w:tcPr>
            <w:tcW w:w="1040" w:type="dxa"/>
            <w:vAlign w:val="bottom"/>
          </w:tcPr>
          <w:p>
            <w:pPr>
              <w:jc w:val="right"/>
              <w:ind w:right="103"/>
              <w:spacing w:after="0"/>
              <w:rPr>
                <w:sz w:val="20"/>
                <w:szCs w:val="20"/>
                <w:color w:val="auto"/>
              </w:rPr>
            </w:pPr>
            <w:r>
              <w:rPr>
                <w:rFonts w:ascii="Arial" w:cs="Arial" w:eastAsia="Arial" w:hAnsi="Arial"/>
                <w:sz w:val="15"/>
                <w:szCs w:val="15"/>
                <w:color w:val="auto"/>
              </w:rPr>
              <w:t>216.5</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jc w:val="right"/>
              <w:ind w:right="63"/>
              <w:spacing w:after="0"/>
              <w:rPr>
                <w:sz w:val="20"/>
                <w:szCs w:val="20"/>
                <w:color w:val="auto"/>
              </w:rPr>
            </w:pPr>
            <w:r>
              <w:rPr>
                <w:rFonts w:ascii="Arial" w:cs="Arial" w:eastAsia="Arial" w:hAnsi="Arial"/>
                <w:sz w:val="15"/>
                <w:szCs w:val="15"/>
                <w:color w:val="auto"/>
              </w:rPr>
              <w:t>(560.6)</w:t>
            </w:r>
          </w:p>
        </w:tc>
      </w:tr>
      <w:tr>
        <w:trPr>
          <w:trHeight w:val="209"/>
        </w:trPr>
        <w:tc>
          <w:tcPr>
            <w:tcW w:w="8440" w:type="dxa"/>
            <w:vAlign w:val="bottom"/>
            <w:gridSpan w:val="3"/>
            <w:shd w:val="clear" w:color="auto" w:fill="CCEEFF"/>
          </w:tcPr>
          <w:p>
            <w:pPr>
              <w:ind w:left="20"/>
              <w:spacing w:after="0" w:line="209" w:lineRule="exact"/>
              <w:rPr>
                <w:sz w:val="20"/>
                <w:szCs w:val="20"/>
                <w:color w:val="auto"/>
              </w:rPr>
            </w:pPr>
            <w:r>
              <w:rPr>
                <w:rFonts w:ascii="Arial" w:cs="Arial" w:eastAsia="Arial" w:hAnsi="Arial"/>
                <w:sz w:val="15"/>
                <w:szCs w:val="15"/>
                <w:color w:val="auto"/>
              </w:rPr>
              <w:t xml:space="preserve">Stock-based compensation </w:t>
            </w:r>
            <w:r>
              <w:rPr>
                <w:rFonts w:ascii="Arial" w:cs="Arial" w:eastAsia="Arial" w:hAnsi="Arial"/>
                <w:sz w:val="20"/>
                <w:szCs w:val="20"/>
                <w:color w:val="auto"/>
                <w:vertAlign w:val="superscript"/>
              </w:rPr>
              <w:t>(1)</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03"/>
              <w:spacing w:after="0"/>
              <w:rPr>
                <w:sz w:val="20"/>
                <w:szCs w:val="20"/>
                <w:color w:val="auto"/>
              </w:rPr>
            </w:pPr>
            <w:r>
              <w:rPr>
                <w:rFonts w:ascii="Arial" w:cs="Arial" w:eastAsia="Arial" w:hAnsi="Arial"/>
                <w:sz w:val="15"/>
                <w:szCs w:val="15"/>
                <w:color w:val="auto"/>
              </w:rPr>
              <w:t>4.2</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03"/>
              <w:spacing w:after="0"/>
              <w:rPr>
                <w:sz w:val="20"/>
                <w:szCs w:val="20"/>
                <w:color w:val="auto"/>
              </w:rPr>
            </w:pPr>
            <w:r>
              <w:rPr>
                <w:rFonts w:ascii="Arial" w:cs="Arial" w:eastAsia="Arial" w:hAnsi="Arial"/>
                <w:sz w:val="15"/>
                <w:szCs w:val="15"/>
                <w:color w:val="auto"/>
              </w:rPr>
              <w:t>6.0</w:t>
            </w:r>
          </w:p>
        </w:tc>
      </w:tr>
      <w:tr>
        <w:trPr>
          <w:trHeight w:val="206"/>
        </w:trPr>
        <w:tc>
          <w:tcPr>
            <w:tcW w:w="8440" w:type="dxa"/>
            <w:vAlign w:val="bottom"/>
            <w:gridSpan w:val="3"/>
          </w:tcPr>
          <w:p>
            <w:pPr>
              <w:ind w:left="20"/>
              <w:spacing w:after="0" w:line="207" w:lineRule="exact"/>
              <w:rPr>
                <w:sz w:val="20"/>
                <w:szCs w:val="20"/>
                <w:color w:val="auto"/>
              </w:rPr>
            </w:pPr>
            <w:r>
              <w:rPr>
                <w:rFonts w:ascii="Arial" w:cs="Arial" w:eastAsia="Arial" w:hAnsi="Arial"/>
                <w:sz w:val="15"/>
                <w:szCs w:val="15"/>
                <w:color w:val="auto"/>
              </w:rPr>
              <w:t xml:space="preserve">Cash-settled stock-based award variance </w:t>
            </w:r>
            <w:r>
              <w:rPr>
                <w:rFonts w:ascii="Arial" w:cs="Arial" w:eastAsia="Arial" w:hAnsi="Arial"/>
                <w:sz w:val="20"/>
                <w:szCs w:val="20"/>
                <w:color w:val="auto"/>
                <w:vertAlign w:val="superscript"/>
              </w:rPr>
              <w:t>(1)(2)</w:t>
            </w:r>
          </w:p>
        </w:tc>
        <w:tc>
          <w:tcPr>
            <w:tcW w:w="300" w:type="dxa"/>
            <w:vAlign w:val="bottom"/>
          </w:tcPr>
          <w:p>
            <w:pPr>
              <w:spacing w:after="0"/>
              <w:rPr>
                <w:sz w:val="17"/>
                <w:szCs w:val="17"/>
                <w:color w:val="auto"/>
              </w:rPr>
            </w:pPr>
          </w:p>
        </w:tc>
        <w:tc>
          <w:tcPr>
            <w:tcW w:w="1040" w:type="dxa"/>
            <w:vAlign w:val="bottom"/>
          </w:tcPr>
          <w:p>
            <w:pPr>
              <w:jc w:val="right"/>
              <w:ind w:right="103"/>
              <w:spacing w:after="0"/>
              <w:rPr>
                <w:sz w:val="20"/>
                <w:szCs w:val="20"/>
                <w:color w:val="auto"/>
              </w:rPr>
            </w:pPr>
            <w:r>
              <w:rPr>
                <w:rFonts w:ascii="Arial" w:cs="Arial" w:eastAsia="Arial" w:hAnsi="Arial"/>
                <w:sz w:val="15"/>
                <w:szCs w:val="15"/>
                <w:color w:val="auto"/>
              </w:rPr>
              <w:t>21.5</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jc w:val="right"/>
              <w:ind w:right="63"/>
              <w:spacing w:after="0"/>
              <w:rPr>
                <w:sz w:val="20"/>
                <w:szCs w:val="20"/>
                <w:color w:val="auto"/>
              </w:rPr>
            </w:pPr>
            <w:r>
              <w:rPr>
                <w:rFonts w:ascii="Arial" w:cs="Arial" w:eastAsia="Arial" w:hAnsi="Arial"/>
                <w:sz w:val="15"/>
                <w:szCs w:val="15"/>
                <w:color w:val="auto"/>
              </w:rPr>
              <w:t>(8.9)</w:t>
            </w:r>
          </w:p>
        </w:tc>
      </w:tr>
      <w:tr>
        <w:trPr>
          <w:trHeight w:val="206"/>
        </w:trPr>
        <w:tc>
          <w:tcPr>
            <w:tcW w:w="8440" w:type="dxa"/>
            <w:vAlign w:val="bottom"/>
            <w:gridSpan w:val="3"/>
            <w:shd w:val="clear" w:color="auto" w:fill="CCEEFF"/>
          </w:tcPr>
          <w:p>
            <w:pPr>
              <w:ind w:left="20"/>
              <w:spacing w:after="0" w:line="207" w:lineRule="exact"/>
              <w:rPr>
                <w:sz w:val="20"/>
                <w:szCs w:val="20"/>
                <w:color w:val="auto"/>
              </w:rPr>
            </w:pPr>
            <w:r>
              <w:rPr>
                <w:rFonts w:ascii="Arial" w:cs="Arial" w:eastAsia="Arial" w:hAnsi="Arial"/>
                <w:sz w:val="15"/>
                <w:szCs w:val="15"/>
                <w:color w:val="auto"/>
              </w:rPr>
              <w:t xml:space="preserve">(Gain) loss on disposal of assets </w:t>
            </w:r>
            <w:r>
              <w:rPr>
                <w:rFonts w:ascii="Arial" w:cs="Arial" w:eastAsia="Arial" w:hAnsi="Arial"/>
                <w:sz w:val="20"/>
                <w:szCs w:val="20"/>
                <w:color w:val="auto"/>
                <w:vertAlign w:val="superscript"/>
              </w:rPr>
              <w:t>(1)</w:t>
            </w:r>
          </w:p>
        </w:tc>
        <w:tc>
          <w:tcPr>
            <w:tcW w:w="30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rPr>
              <w:t>(0.1)</w:t>
            </w: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103"/>
              <w:spacing w:after="0"/>
              <w:rPr>
                <w:sz w:val="20"/>
                <w:szCs w:val="20"/>
                <w:color w:val="auto"/>
              </w:rPr>
            </w:pPr>
            <w:r>
              <w:rPr>
                <w:rFonts w:ascii="Arial" w:cs="Arial" w:eastAsia="Arial" w:hAnsi="Arial"/>
                <w:sz w:val="15"/>
                <w:szCs w:val="15"/>
                <w:color w:val="auto"/>
              </w:rPr>
              <w:t>0.6</w:t>
            </w:r>
          </w:p>
        </w:tc>
      </w:tr>
      <w:tr>
        <w:trPr>
          <w:trHeight w:val="206"/>
        </w:trPr>
        <w:tc>
          <w:tcPr>
            <w:tcW w:w="8440" w:type="dxa"/>
            <w:vAlign w:val="bottom"/>
            <w:gridSpan w:val="3"/>
          </w:tcPr>
          <w:p>
            <w:pPr>
              <w:ind w:left="20"/>
              <w:spacing w:after="0" w:line="207" w:lineRule="exact"/>
              <w:rPr>
                <w:sz w:val="20"/>
                <w:szCs w:val="20"/>
                <w:color w:val="auto"/>
              </w:rPr>
            </w:pPr>
            <w:r>
              <w:rPr>
                <w:rFonts w:ascii="Arial" w:cs="Arial" w:eastAsia="Arial" w:hAnsi="Arial"/>
                <w:sz w:val="15"/>
                <w:szCs w:val="15"/>
                <w:color w:val="auto"/>
              </w:rPr>
              <w:t xml:space="preserve">Contingent purchase price </w:t>
            </w:r>
            <w:r>
              <w:rPr>
                <w:rFonts w:ascii="Arial" w:cs="Arial" w:eastAsia="Arial" w:hAnsi="Arial"/>
                <w:sz w:val="20"/>
                <w:szCs w:val="20"/>
                <w:color w:val="auto"/>
                <w:vertAlign w:val="superscript"/>
              </w:rPr>
              <w:t>(1)</w:t>
            </w:r>
          </w:p>
        </w:tc>
        <w:tc>
          <w:tcPr>
            <w:tcW w:w="300" w:type="dxa"/>
            <w:vAlign w:val="bottom"/>
          </w:tcPr>
          <w:p>
            <w:pPr>
              <w:spacing w:after="0"/>
              <w:rPr>
                <w:sz w:val="17"/>
                <w:szCs w:val="17"/>
                <w:color w:val="auto"/>
              </w:rPr>
            </w:pPr>
          </w:p>
        </w:tc>
        <w:tc>
          <w:tcPr>
            <w:tcW w:w="1040" w:type="dxa"/>
            <w:vAlign w:val="bottom"/>
          </w:tcPr>
          <w:p>
            <w:pPr>
              <w:jc w:val="right"/>
              <w:ind w:right="103"/>
              <w:spacing w:after="0"/>
              <w:rPr>
                <w:sz w:val="20"/>
                <w:szCs w:val="20"/>
                <w:color w:val="auto"/>
              </w:rPr>
            </w:pPr>
            <w:r>
              <w:rPr>
                <w:rFonts w:ascii="Arial" w:cs="Arial" w:eastAsia="Arial" w:hAnsi="Arial"/>
                <w:sz w:val="15"/>
                <w:szCs w:val="15"/>
                <w:color w:val="auto"/>
              </w:rPr>
              <w:t>0.1</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jc w:val="right"/>
              <w:ind w:right="63"/>
              <w:spacing w:after="0"/>
              <w:rPr>
                <w:sz w:val="20"/>
                <w:szCs w:val="20"/>
                <w:color w:val="auto"/>
              </w:rPr>
            </w:pPr>
            <w:r>
              <w:rPr>
                <w:rFonts w:ascii="Arial" w:cs="Arial" w:eastAsia="Arial" w:hAnsi="Arial"/>
                <w:sz w:val="15"/>
                <w:szCs w:val="15"/>
                <w:color w:val="auto"/>
              </w:rPr>
              <w:t>(2.2)</w:t>
            </w:r>
          </w:p>
        </w:tc>
      </w:tr>
      <w:tr>
        <w:trPr>
          <w:trHeight w:val="206"/>
        </w:trPr>
        <w:tc>
          <w:tcPr>
            <w:tcW w:w="8440" w:type="dxa"/>
            <w:vAlign w:val="bottom"/>
            <w:gridSpan w:val="3"/>
            <w:shd w:val="clear" w:color="auto" w:fill="CCEEFF"/>
          </w:tcPr>
          <w:p>
            <w:pPr>
              <w:ind w:left="20"/>
              <w:spacing w:after="0" w:line="207" w:lineRule="exact"/>
              <w:rPr>
                <w:sz w:val="20"/>
                <w:szCs w:val="20"/>
                <w:color w:val="auto"/>
              </w:rPr>
            </w:pPr>
            <w:r>
              <w:rPr>
                <w:rFonts w:ascii="Arial" w:cs="Arial" w:eastAsia="Arial" w:hAnsi="Arial"/>
                <w:sz w:val="15"/>
                <w:szCs w:val="15"/>
                <w:color w:val="auto"/>
              </w:rPr>
              <w:t xml:space="preserve">Pre-opening and acquisition costs </w:t>
            </w:r>
            <w:r>
              <w:rPr>
                <w:rFonts w:ascii="Arial" w:cs="Arial" w:eastAsia="Arial" w:hAnsi="Arial"/>
                <w:sz w:val="20"/>
                <w:szCs w:val="20"/>
                <w:color w:val="auto"/>
                <w:vertAlign w:val="superscript"/>
              </w:rPr>
              <w:t>(1)</w:t>
            </w:r>
          </w:p>
        </w:tc>
        <w:tc>
          <w:tcPr>
            <w:tcW w:w="30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103"/>
              <w:spacing w:after="0"/>
              <w:rPr>
                <w:sz w:val="20"/>
                <w:szCs w:val="20"/>
                <w:color w:val="auto"/>
              </w:rPr>
            </w:pPr>
            <w:r>
              <w:rPr>
                <w:rFonts w:ascii="Arial" w:cs="Arial" w:eastAsia="Arial" w:hAnsi="Arial"/>
                <w:sz w:val="15"/>
                <w:szCs w:val="15"/>
                <w:color w:val="auto"/>
              </w:rPr>
              <w:t>1.6</w:t>
            </w: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103"/>
              <w:spacing w:after="0"/>
              <w:rPr>
                <w:sz w:val="20"/>
                <w:szCs w:val="20"/>
                <w:color w:val="auto"/>
              </w:rPr>
            </w:pPr>
            <w:r>
              <w:rPr>
                <w:rFonts w:ascii="Arial" w:cs="Arial" w:eastAsia="Arial" w:hAnsi="Arial"/>
                <w:sz w:val="15"/>
                <w:szCs w:val="15"/>
                <w:color w:val="auto"/>
              </w:rPr>
              <w:t>3.2</w:t>
            </w:r>
          </w:p>
        </w:tc>
      </w:tr>
      <w:tr>
        <w:trPr>
          <w:trHeight w:val="203"/>
        </w:trPr>
        <w:tc>
          <w:tcPr>
            <w:tcW w:w="8440" w:type="dxa"/>
            <w:vAlign w:val="bottom"/>
            <w:gridSpan w:val="3"/>
          </w:tcPr>
          <w:p>
            <w:pPr>
              <w:ind w:left="20"/>
              <w:spacing w:after="0"/>
              <w:rPr>
                <w:sz w:val="20"/>
                <w:szCs w:val="20"/>
                <w:color w:val="auto"/>
              </w:rPr>
            </w:pPr>
            <w:r>
              <w:rPr>
                <w:rFonts w:ascii="Arial" w:cs="Arial" w:eastAsia="Arial" w:hAnsi="Arial"/>
                <w:sz w:val="15"/>
                <w:szCs w:val="15"/>
                <w:color w:val="auto"/>
              </w:rPr>
              <w:t>Depreciation and amortization</w:t>
            </w:r>
          </w:p>
        </w:tc>
        <w:tc>
          <w:tcPr>
            <w:tcW w:w="300" w:type="dxa"/>
            <w:vAlign w:val="bottom"/>
          </w:tcPr>
          <w:p>
            <w:pPr>
              <w:spacing w:after="0"/>
              <w:rPr>
                <w:sz w:val="17"/>
                <w:szCs w:val="17"/>
                <w:color w:val="auto"/>
              </w:rPr>
            </w:pPr>
          </w:p>
        </w:tc>
        <w:tc>
          <w:tcPr>
            <w:tcW w:w="1040" w:type="dxa"/>
            <w:vAlign w:val="bottom"/>
          </w:tcPr>
          <w:p>
            <w:pPr>
              <w:jc w:val="right"/>
              <w:ind w:right="103"/>
              <w:spacing w:after="0"/>
              <w:rPr>
                <w:sz w:val="20"/>
                <w:szCs w:val="20"/>
                <w:color w:val="auto"/>
              </w:rPr>
            </w:pPr>
            <w:r>
              <w:rPr>
                <w:rFonts w:ascii="Arial" w:cs="Arial" w:eastAsia="Arial" w:hAnsi="Arial"/>
                <w:sz w:val="15"/>
                <w:szCs w:val="15"/>
                <w:color w:val="auto"/>
              </w:rPr>
              <w:t>81.3</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jc w:val="right"/>
              <w:ind w:right="103"/>
              <w:spacing w:after="0"/>
              <w:rPr>
                <w:sz w:val="20"/>
                <w:szCs w:val="20"/>
                <w:color w:val="auto"/>
              </w:rPr>
            </w:pPr>
            <w:r>
              <w:rPr>
                <w:rFonts w:ascii="Arial" w:cs="Arial" w:eastAsia="Arial" w:hAnsi="Arial"/>
                <w:sz w:val="15"/>
                <w:szCs w:val="15"/>
                <w:color w:val="auto"/>
              </w:rPr>
              <w:t>95.7</w:t>
            </w:r>
          </w:p>
        </w:tc>
      </w:tr>
      <w:tr>
        <w:trPr>
          <w:trHeight w:val="209"/>
        </w:trPr>
        <w:tc>
          <w:tcPr>
            <w:tcW w:w="8440" w:type="dxa"/>
            <w:vAlign w:val="bottom"/>
            <w:gridSpan w:val="3"/>
            <w:shd w:val="clear" w:color="auto" w:fill="CCEEFF"/>
          </w:tcPr>
          <w:p>
            <w:pPr>
              <w:ind w:left="20"/>
              <w:spacing w:after="0"/>
              <w:rPr>
                <w:sz w:val="20"/>
                <w:szCs w:val="20"/>
                <w:color w:val="auto"/>
              </w:rPr>
            </w:pPr>
            <w:r>
              <w:rPr>
                <w:rFonts w:ascii="Arial" w:cs="Arial" w:eastAsia="Arial" w:hAnsi="Arial"/>
                <w:sz w:val="15"/>
                <w:szCs w:val="15"/>
                <w:color w:val="auto"/>
              </w:rPr>
              <w:t>Impairment losses</w:t>
            </w: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00"/>
              <w:spacing w:after="0"/>
              <w:rPr>
                <w:sz w:val="20"/>
                <w:szCs w:val="20"/>
                <w:color w:val="auto"/>
              </w:rPr>
            </w:pPr>
            <w:r>
              <w:rPr>
                <w:rFonts w:ascii="Arial" w:cs="Arial" w:eastAsia="Arial" w:hAnsi="Arial"/>
                <w:sz w:val="15"/>
                <w:szCs w:val="15"/>
                <w:color w:val="auto"/>
              </w:rPr>
              <w:t>—</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03"/>
              <w:spacing w:after="0"/>
              <w:rPr>
                <w:sz w:val="20"/>
                <w:szCs w:val="20"/>
                <w:color w:val="auto"/>
              </w:rPr>
            </w:pPr>
            <w:r>
              <w:rPr>
                <w:rFonts w:ascii="Arial" w:cs="Arial" w:eastAsia="Arial" w:hAnsi="Arial"/>
                <w:sz w:val="15"/>
                <w:szCs w:val="15"/>
                <w:color w:val="auto"/>
              </w:rPr>
              <w:t>616.1</w:t>
            </w:r>
          </w:p>
        </w:tc>
      </w:tr>
      <w:tr>
        <w:trPr>
          <w:trHeight w:val="206"/>
        </w:trPr>
        <w:tc>
          <w:tcPr>
            <w:tcW w:w="8440" w:type="dxa"/>
            <w:vAlign w:val="bottom"/>
            <w:gridSpan w:val="3"/>
          </w:tcPr>
          <w:p>
            <w:pPr>
              <w:ind w:left="20"/>
              <w:spacing w:after="0" w:line="207" w:lineRule="exact"/>
              <w:rPr>
                <w:sz w:val="20"/>
                <w:szCs w:val="20"/>
                <w:color w:val="auto"/>
              </w:rPr>
            </w:pPr>
            <w:r>
              <w:rPr>
                <w:rFonts w:ascii="Arial" w:cs="Arial" w:eastAsia="Arial" w:hAnsi="Arial"/>
                <w:sz w:val="15"/>
                <w:szCs w:val="15"/>
                <w:color w:val="auto"/>
              </w:rPr>
              <w:t xml:space="preserve">Insurance recoveries, net of deductible charges </w:t>
            </w:r>
            <w:r>
              <w:rPr>
                <w:rFonts w:ascii="Arial" w:cs="Arial" w:eastAsia="Arial" w:hAnsi="Arial"/>
                <w:sz w:val="20"/>
                <w:szCs w:val="20"/>
                <w:color w:val="auto"/>
                <w:vertAlign w:val="superscript"/>
              </w:rPr>
              <w:t>(1)</w:t>
            </w:r>
          </w:p>
        </w:tc>
        <w:tc>
          <w:tcPr>
            <w:tcW w:w="300" w:type="dxa"/>
            <w:vAlign w:val="bottom"/>
          </w:tcPr>
          <w:p>
            <w:pPr>
              <w:spacing w:after="0"/>
              <w:rPr>
                <w:sz w:val="17"/>
                <w:szCs w:val="17"/>
                <w:color w:val="auto"/>
              </w:rPr>
            </w:pPr>
          </w:p>
        </w:tc>
        <w:tc>
          <w:tcPr>
            <w:tcW w:w="1160" w:type="dxa"/>
            <w:vAlign w:val="bottom"/>
            <w:gridSpan w:val="2"/>
          </w:tcPr>
          <w:p>
            <w:pPr>
              <w:jc w:val="right"/>
              <w:ind w:right="300"/>
              <w:spacing w:after="0"/>
              <w:rPr>
                <w:sz w:val="20"/>
                <w:szCs w:val="20"/>
                <w:color w:val="auto"/>
              </w:rPr>
            </w:pPr>
            <w:r>
              <w:rPr>
                <w:rFonts w:ascii="Arial" w:cs="Arial" w:eastAsia="Arial" w:hAnsi="Arial"/>
                <w:sz w:val="15"/>
                <w:szCs w:val="15"/>
                <w:color w:val="auto"/>
              </w:rPr>
              <w:t>—</w:t>
            </w:r>
          </w:p>
        </w:tc>
        <w:tc>
          <w:tcPr>
            <w:tcW w:w="300" w:type="dxa"/>
            <w:vAlign w:val="bottom"/>
          </w:tcPr>
          <w:p>
            <w:pPr>
              <w:spacing w:after="0"/>
              <w:rPr>
                <w:sz w:val="17"/>
                <w:szCs w:val="17"/>
                <w:color w:val="auto"/>
              </w:rPr>
            </w:pPr>
          </w:p>
        </w:tc>
        <w:tc>
          <w:tcPr>
            <w:tcW w:w="1040" w:type="dxa"/>
            <w:vAlign w:val="bottom"/>
          </w:tcPr>
          <w:p>
            <w:pPr>
              <w:jc w:val="right"/>
              <w:ind w:right="63"/>
              <w:spacing w:after="0"/>
              <w:rPr>
                <w:sz w:val="20"/>
                <w:szCs w:val="20"/>
                <w:color w:val="auto"/>
              </w:rPr>
            </w:pPr>
            <w:r>
              <w:rPr>
                <w:rFonts w:ascii="Arial" w:cs="Arial" w:eastAsia="Arial" w:hAnsi="Arial"/>
                <w:sz w:val="15"/>
                <w:szCs w:val="15"/>
                <w:color w:val="auto"/>
              </w:rPr>
              <w:t>(0.1)</w:t>
            </w:r>
          </w:p>
        </w:tc>
      </w:tr>
      <w:tr>
        <w:trPr>
          <w:trHeight w:val="206"/>
        </w:trPr>
        <w:tc>
          <w:tcPr>
            <w:tcW w:w="8440" w:type="dxa"/>
            <w:vAlign w:val="bottom"/>
            <w:gridSpan w:val="3"/>
            <w:shd w:val="clear" w:color="auto" w:fill="CCEEFF"/>
          </w:tcPr>
          <w:p>
            <w:pPr>
              <w:ind w:left="20"/>
              <w:spacing w:after="0"/>
              <w:rPr>
                <w:sz w:val="20"/>
                <w:szCs w:val="20"/>
                <w:color w:val="auto"/>
              </w:rPr>
            </w:pPr>
            <w:r>
              <w:rPr>
                <w:rFonts w:ascii="Arial" w:cs="Arial" w:eastAsia="Arial" w:hAnsi="Arial"/>
                <w:sz w:val="15"/>
                <w:szCs w:val="15"/>
                <w:color w:val="auto"/>
              </w:rPr>
              <w:t>Income from unconsolidated affiliates</w:t>
            </w:r>
          </w:p>
        </w:tc>
        <w:tc>
          <w:tcPr>
            <w:tcW w:w="30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103"/>
              <w:spacing w:after="0"/>
              <w:rPr>
                <w:sz w:val="20"/>
                <w:szCs w:val="20"/>
                <w:color w:val="auto"/>
              </w:rPr>
            </w:pPr>
            <w:r>
              <w:rPr>
                <w:rFonts w:ascii="Arial" w:cs="Arial" w:eastAsia="Arial" w:hAnsi="Arial"/>
                <w:sz w:val="15"/>
                <w:szCs w:val="15"/>
                <w:color w:val="auto"/>
              </w:rPr>
              <w:t>9.6</w:t>
            </w: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103"/>
              <w:spacing w:after="0"/>
              <w:rPr>
                <w:sz w:val="20"/>
                <w:szCs w:val="20"/>
                <w:color w:val="auto"/>
              </w:rPr>
            </w:pPr>
            <w:r>
              <w:rPr>
                <w:rFonts w:ascii="Arial" w:cs="Arial" w:eastAsia="Arial" w:hAnsi="Arial"/>
                <w:sz w:val="15"/>
                <w:szCs w:val="15"/>
                <w:color w:val="auto"/>
              </w:rPr>
              <w:t>4.1</w:t>
            </w:r>
          </w:p>
        </w:tc>
      </w:tr>
      <w:tr>
        <w:trPr>
          <w:trHeight w:val="206"/>
        </w:trPr>
        <w:tc>
          <w:tcPr>
            <w:tcW w:w="8440" w:type="dxa"/>
            <w:vAlign w:val="bottom"/>
            <w:gridSpan w:val="3"/>
          </w:tcPr>
          <w:p>
            <w:pPr>
              <w:ind w:left="20"/>
              <w:spacing w:after="0" w:line="207" w:lineRule="exact"/>
              <w:rPr>
                <w:sz w:val="20"/>
                <w:szCs w:val="20"/>
                <w:color w:val="auto"/>
              </w:rPr>
            </w:pPr>
            <w:r>
              <w:rPr>
                <w:rFonts w:ascii="Arial" w:cs="Arial" w:eastAsia="Arial" w:hAnsi="Arial"/>
                <w:sz w:val="15"/>
                <w:szCs w:val="15"/>
                <w:color w:val="auto"/>
              </w:rPr>
              <w:t xml:space="preserve">Non-operating items of equity method investments </w:t>
            </w:r>
            <w:r>
              <w:rPr>
                <w:rFonts w:ascii="Arial" w:cs="Arial" w:eastAsia="Arial" w:hAnsi="Arial"/>
                <w:sz w:val="20"/>
                <w:szCs w:val="20"/>
                <w:color w:val="auto"/>
                <w:vertAlign w:val="superscript"/>
              </w:rPr>
              <w:t>(3)</w:t>
            </w:r>
          </w:p>
        </w:tc>
        <w:tc>
          <w:tcPr>
            <w:tcW w:w="300" w:type="dxa"/>
            <w:vAlign w:val="bottom"/>
          </w:tcPr>
          <w:p>
            <w:pPr>
              <w:spacing w:after="0"/>
              <w:rPr>
                <w:sz w:val="17"/>
                <w:szCs w:val="17"/>
                <w:color w:val="auto"/>
              </w:rPr>
            </w:pPr>
          </w:p>
        </w:tc>
        <w:tc>
          <w:tcPr>
            <w:tcW w:w="1040" w:type="dxa"/>
            <w:vAlign w:val="bottom"/>
          </w:tcPr>
          <w:p>
            <w:pPr>
              <w:jc w:val="right"/>
              <w:ind w:right="103"/>
              <w:spacing w:after="0"/>
              <w:rPr>
                <w:sz w:val="20"/>
                <w:szCs w:val="20"/>
                <w:color w:val="auto"/>
              </w:rPr>
            </w:pPr>
            <w:r>
              <w:rPr>
                <w:rFonts w:ascii="Arial" w:cs="Arial" w:eastAsia="Arial" w:hAnsi="Arial"/>
                <w:sz w:val="15"/>
                <w:szCs w:val="15"/>
                <w:color w:val="auto"/>
              </w:rPr>
              <w:t>1.6</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jc w:val="right"/>
              <w:ind w:right="103"/>
              <w:spacing w:after="0"/>
              <w:rPr>
                <w:sz w:val="20"/>
                <w:szCs w:val="20"/>
                <w:color w:val="auto"/>
              </w:rPr>
            </w:pPr>
            <w:r>
              <w:rPr>
                <w:rFonts w:ascii="Arial" w:cs="Arial" w:eastAsia="Arial" w:hAnsi="Arial"/>
                <w:sz w:val="15"/>
                <w:szCs w:val="15"/>
                <w:color w:val="auto"/>
              </w:rPr>
              <w:t>0.9</w:t>
            </w:r>
          </w:p>
        </w:tc>
      </w:tr>
      <w:tr>
        <w:trPr>
          <w:trHeight w:val="206"/>
        </w:trPr>
        <w:tc>
          <w:tcPr>
            <w:tcW w:w="8440" w:type="dxa"/>
            <w:vAlign w:val="bottom"/>
            <w:gridSpan w:val="3"/>
            <w:shd w:val="clear" w:color="auto" w:fill="CCEEFF"/>
          </w:tcPr>
          <w:p>
            <w:pPr>
              <w:ind w:left="20"/>
              <w:spacing w:after="0" w:line="207" w:lineRule="exact"/>
              <w:rPr>
                <w:sz w:val="20"/>
                <w:szCs w:val="20"/>
                <w:color w:val="auto"/>
              </w:rPr>
            </w:pPr>
            <w:r>
              <w:rPr>
                <w:rFonts w:ascii="Arial" w:cs="Arial" w:eastAsia="Arial" w:hAnsi="Arial"/>
                <w:sz w:val="15"/>
                <w:szCs w:val="15"/>
                <w:color w:val="auto"/>
              </w:rPr>
              <w:t xml:space="preserve">Other expenses </w:t>
            </w:r>
            <w:r>
              <w:rPr>
                <w:rFonts w:ascii="Arial" w:cs="Arial" w:eastAsia="Arial" w:hAnsi="Arial"/>
                <w:sz w:val="20"/>
                <w:szCs w:val="20"/>
                <w:color w:val="auto"/>
                <w:vertAlign w:val="superscript"/>
              </w:rPr>
              <w:t>(1)(4)</w:t>
            </w:r>
          </w:p>
        </w:tc>
        <w:tc>
          <w:tcPr>
            <w:tcW w:w="30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ind w:right="103"/>
              <w:spacing w:after="0"/>
              <w:rPr>
                <w:sz w:val="20"/>
                <w:szCs w:val="20"/>
                <w:color w:val="auto"/>
              </w:rPr>
            </w:pPr>
            <w:r>
              <w:rPr>
                <w:rFonts w:ascii="Arial" w:cs="Arial" w:eastAsia="Arial" w:hAnsi="Arial"/>
                <w:sz w:val="15"/>
                <w:szCs w:val="15"/>
                <w:color w:val="auto"/>
              </w:rPr>
              <w:t>0.3</w:t>
            </w:r>
          </w:p>
        </w:tc>
        <w:tc>
          <w:tcPr>
            <w:tcW w:w="12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ind w:right="103"/>
              <w:spacing w:after="0"/>
              <w:rPr>
                <w:sz w:val="20"/>
                <w:szCs w:val="20"/>
                <w:color w:val="auto"/>
              </w:rPr>
            </w:pPr>
            <w:r>
              <w:rPr>
                <w:rFonts w:ascii="Arial" w:cs="Arial" w:eastAsia="Arial" w:hAnsi="Arial"/>
                <w:sz w:val="15"/>
                <w:szCs w:val="15"/>
                <w:color w:val="auto"/>
              </w:rPr>
              <w:t>—</w:t>
            </w:r>
          </w:p>
        </w:tc>
      </w:tr>
      <w:tr>
        <w:trPr>
          <w:trHeight w:val="196"/>
        </w:trPr>
        <w:tc>
          <w:tcPr>
            <w:tcW w:w="8440" w:type="dxa"/>
            <w:vAlign w:val="bottom"/>
            <w:gridSpan w:val="3"/>
          </w:tcPr>
          <w:p>
            <w:pPr>
              <w:ind w:left="20"/>
              <w:spacing w:after="0"/>
              <w:rPr>
                <w:sz w:val="20"/>
                <w:szCs w:val="20"/>
                <w:color w:val="auto"/>
              </w:rPr>
            </w:pPr>
            <w:r>
              <w:rPr>
                <w:rFonts w:ascii="Arial" w:cs="Arial" w:eastAsia="Arial" w:hAnsi="Arial"/>
                <w:sz w:val="15"/>
                <w:szCs w:val="15"/>
                <w:b w:val="1"/>
                <w:bCs w:val="1"/>
                <w:color w:val="auto"/>
              </w:rPr>
              <w:t>Adjusted EBITDA</w:t>
            </w:r>
          </w:p>
        </w:tc>
        <w:tc>
          <w:tcPr>
            <w:tcW w:w="300" w:type="dxa"/>
            <w:vAlign w:val="bottom"/>
          </w:tcPr>
          <w:p>
            <w:pPr>
              <w:spacing w:after="0"/>
              <w:rPr>
                <w:sz w:val="17"/>
                <w:szCs w:val="17"/>
                <w:color w:val="auto"/>
              </w:rPr>
            </w:pPr>
          </w:p>
        </w:tc>
        <w:tc>
          <w:tcPr>
            <w:tcW w:w="1040" w:type="dxa"/>
            <w:vAlign w:val="bottom"/>
          </w:tcPr>
          <w:p>
            <w:pPr>
              <w:jc w:val="right"/>
              <w:ind w:right="103"/>
              <w:spacing w:after="0"/>
              <w:rPr>
                <w:sz w:val="20"/>
                <w:szCs w:val="20"/>
                <w:color w:val="auto"/>
              </w:rPr>
            </w:pPr>
            <w:r>
              <w:rPr>
                <w:rFonts w:ascii="Arial" w:cs="Arial" w:eastAsia="Arial" w:hAnsi="Arial"/>
                <w:sz w:val="15"/>
                <w:szCs w:val="15"/>
                <w:color w:val="auto"/>
              </w:rPr>
              <w:t>336.6</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jc w:val="right"/>
              <w:ind w:right="103"/>
              <w:spacing w:after="0"/>
              <w:rPr>
                <w:sz w:val="20"/>
                <w:szCs w:val="20"/>
                <w:color w:val="auto"/>
              </w:rPr>
            </w:pPr>
            <w:r>
              <w:rPr>
                <w:rFonts w:ascii="Arial" w:cs="Arial" w:eastAsia="Arial" w:hAnsi="Arial"/>
                <w:sz w:val="15"/>
                <w:szCs w:val="15"/>
                <w:color w:val="auto"/>
              </w:rPr>
              <w:t>154.8</w:t>
            </w:r>
          </w:p>
        </w:tc>
      </w:tr>
      <w:tr>
        <w:trPr>
          <w:trHeight w:val="209"/>
        </w:trPr>
        <w:tc>
          <w:tcPr>
            <w:tcW w:w="8440" w:type="dxa"/>
            <w:vAlign w:val="bottom"/>
            <w:gridSpan w:val="3"/>
            <w:shd w:val="clear" w:color="auto" w:fill="CCEEFF"/>
          </w:tcPr>
          <w:p>
            <w:pPr>
              <w:ind w:left="20"/>
              <w:spacing w:after="0" w:line="209" w:lineRule="exact"/>
              <w:rPr>
                <w:sz w:val="20"/>
                <w:szCs w:val="20"/>
                <w:color w:val="auto"/>
              </w:rPr>
            </w:pPr>
            <w:r>
              <w:rPr>
                <w:rFonts w:ascii="Arial" w:cs="Arial" w:eastAsia="Arial" w:hAnsi="Arial"/>
                <w:sz w:val="15"/>
                <w:szCs w:val="15"/>
                <w:color w:val="auto"/>
              </w:rPr>
              <w:t xml:space="preserve">Rent expense associated with triple net operating leases </w:t>
            </w:r>
            <w:r>
              <w:rPr>
                <w:rFonts w:ascii="Arial" w:cs="Arial" w:eastAsia="Arial" w:hAnsi="Arial"/>
                <w:sz w:val="20"/>
                <w:szCs w:val="20"/>
                <w:color w:val="auto"/>
                <w:vertAlign w:val="superscript"/>
              </w:rPr>
              <w:t>(1)</w:t>
            </w:r>
          </w:p>
        </w:tc>
        <w:tc>
          <w:tcPr>
            <w:tcW w:w="3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103"/>
              <w:spacing w:after="0"/>
              <w:rPr>
                <w:sz w:val="20"/>
                <w:szCs w:val="20"/>
                <w:color w:val="auto"/>
              </w:rPr>
            </w:pPr>
            <w:r>
              <w:rPr>
                <w:rFonts w:ascii="Arial" w:cs="Arial" w:eastAsia="Arial" w:hAnsi="Arial"/>
                <w:sz w:val="15"/>
                <w:szCs w:val="15"/>
                <w:color w:val="auto"/>
              </w:rPr>
              <w:t>110.4</w:t>
            </w:r>
          </w:p>
        </w:tc>
        <w:tc>
          <w:tcPr>
            <w:tcW w:w="1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103"/>
              <w:spacing w:after="0"/>
              <w:rPr>
                <w:sz w:val="20"/>
                <w:szCs w:val="20"/>
                <w:color w:val="auto"/>
              </w:rPr>
            </w:pPr>
            <w:r>
              <w:rPr>
                <w:rFonts w:ascii="Arial" w:cs="Arial" w:eastAsia="Arial" w:hAnsi="Arial"/>
                <w:sz w:val="15"/>
                <w:szCs w:val="15"/>
                <w:color w:val="auto"/>
              </w:rPr>
              <w:t>97.5</w:t>
            </w:r>
          </w:p>
        </w:tc>
      </w:tr>
      <w:tr>
        <w:trPr>
          <w:trHeight w:val="199"/>
        </w:trPr>
        <w:tc>
          <w:tcPr>
            <w:tcW w:w="8440" w:type="dxa"/>
            <w:vAlign w:val="bottom"/>
            <w:gridSpan w:val="3"/>
          </w:tcPr>
          <w:p>
            <w:pPr>
              <w:ind w:left="20"/>
              <w:spacing w:after="0"/>
              <w:rPr>
                <w:sz w:val="20"/>
                <w:szCs w:val="20"/>
                <w:color w:val="auto"/>
              </w:rPr>
            </w:pPr>
            <w:r>
              <w:rPr>
                <w:rFonts w:ascii="Arial" w:cs="Arial" w:eastAsia="Arial" w:hAnsi="Arial"/>
                <w:sz w:val="15"/>
                <w:szCs w:val="15"/>
                <w:b w:val="1"/>
                <w:bCs w:val="1"/>
                <w:color w:val="auto"/>
              </w:rPr>
              <w:t>Adjusted EBITDAR</w:t>
            </w:r>
          </w:p>
        </w:tc>
        <w:tc>
          <w:tcPr>
            <w:tcW w:w="300" w:type="dxa"/>
            <w:vAlign w:val="bottom"/>
            <w:tcBorders>
              <w:bottom w:val="single" w:sz="8" w:color="auto"/>
            </w:tcBorders>
          </w:tcPr>
          <w:p>
            <w:pPr>
              <w:jc w:val="right"/>
              <w:ind w:right="143"/>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tcPr>
          <w:p>
            <w:pPr>
              <w:jc w:val="right"/>
              <w:ind w:right="103"/>
              <w:spacing w:after="0"/>
              <w:rPr>
                <w:sz w:val="20"/>
                <w:szCs w:val="20"/>
                <w:color w:val="auto"/>
              </w:rPr>
            </w:pPr>
            <w:r>
              <w:rPr>
                <w:rFonts w:ascii="Arial" w:cs="Arial" w:eastAsia="Arial" w:hAnsi="Arial"/>
                <w:sz w:val="15"/>
                <w:szCs w:val="15"/>
                <w:color w:val="auto"/>
              </w:rPr>
              <w:t>447.0</w:t>
            </w:r>
          </w:p>
        </w:tc>
        <w:tc>
          <w:tcPr>
            <w:tcW w:w="120" w:type="dxa"/>
            <w:vAlign w:val="bottom"/>
          </w:tcPr>
          <w:p>
            <w:pPr>
              <w:spacing w:after="0"/>
              <w:rPr>
                <w:sz w:val="17"/>
                <w:szCs w:val="17"/>
                <w:color w:val="auto"/>
              </w:rPr>
            </w:pPr>
          </w:p>
        </w:tc>
        <w:tc>
          <w:tcPr>
            <w:tcW w:w="300" w:type="dxa"/>
            <w:vAlign w:val="bottom"/>
            <w:tcBorders>
              <w:bottom w:val="single" w:sz="8" w:color="auto"/>
            </w:tcBorders>
          </w:tcPr>
          <w:p>
            <w:pPr>
              <w:jc w:val="right"/>
              <w:ind w:right="143"/>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tcPr>
          <w:p>
            <w:pPr>
              <w:jc w:val="right"/>
              <w:ind w:right="103"/>
              <w:spacing w:after="0"/>
              <w:rPr>
                <w:sz w:val="20"/>
                <w:szCs w:val="20"/>
                <w:color w:val="auto"/>
              </w:rPr>
            </w:pPr>
            <w:r>
              <w:rPr>
                <w:rFonts w:ascii="Arial" w:cs="Arial" w:eastAsia="Arial" w:hAnsi="Arial"/>
                <w:sz w:val="15"/>
                <w:szCs w:val="15"/>
                <w:color w:val="auto"/>
              </w:rPr>
              <w:t>252.3</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CCEEFF"/>
            </w:tcBorders>
          </w:tcPr>
          <w:p>
            <w:pPr>
              <w:spacing w:after="0" w:line="20" w:lineRule="exact"/>
              <w:rPr>
                <w:sz w:val="1"/>
                <w:szCs w:val="1"/>
                <w:color w:val="auto"/>
              </w:rPr>
            </w:pPr>
          </w:p>
        </w:tc>
        <w:tc>
          <w:tcPr>
            <w:tcW w:w="73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224"/>
        </w:trPr>
        <w:tc>
          <w:tcPr>
            <w:tcW w:w="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73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03"/>
        </w:trPr>
        <w:tc>
          <w:tcPr>
            <w:tcW w:w="8440" w:type="dxa"/>
            <w:vAlign w:val="bottom"/>
            <w:gridSpan w:val="3"/>
          </w:tcPr>
          <w:p>
            <w:pPr>
              <w:ind w:left="20"/>
              <w:spacing w:after="0"/>
              <w:rPr>
                <w:sz w:val="20"/>
                <w:szCs w:val="20"/>
                <w:color w:val="auto"/>
              </w:rPr>
            </w:pPr>
            <w:r>
              <w:rPr>
                <w:rFonts w:ascii="Arial" w:cs="Arial" w:eastAsia="Arial" w:hAnsi="Arial"/>
                <w:sz w:val="15"/>
                <w:szCs w:val="15"/>
                <w:color w:val="auto"/>
              </w:rPr>
              <w:t>Net income (loss) margin</w:t>
            </w:r>
          </w:p>
        </w:tc>
        <w:tc>
          <w:tcPr>
            <w:tcW w:w="3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7.1 %</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(54.5)%</w:t>
            </w:r>
          </w:p>
        </w:tc>
      </w:tr>
      <w:tr>
        <w:trPr>
          <w:trHeight w:val="209"/>
        </w:trPr>
        <w:tc>
          <w:tcPr>
            <w:tcW w:w="8440" w:type="dxa"/>
            <w:vAlign w:val="bottom"/>
            <w:gridSpan w:val="3"/>
            <w:shd w:val="clear" w:color="auto" w:fill="CCEEFF"/>
          </w:tcPr>
          <w:p>
            <w:pPr>
              <w:ind w:left="20"/>
              <w:spacing w:after="0"/>
              <w:rPr>
                <w:sz w:val="20"/>
                <w:szCs w:val="20"/>
                <w:color w:val="auto"/>
              </w:rPr>
            </w:pPr>
            <w:r>
              <w:rPr>
                <w:rFonts w:ascii="Arial" w:cs="Arial" w:eastAsia="Arial" w:hAnsi="Arial"/>
                <w:sz w:val="15"/>
                <w:szCs w:val="15"/>
                <w:color w:val="auto"/>
              </w:rPr>
              <w:t>Adjusted EBITDA margin</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26.4 %</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13.9 %</w:t>
            </w:r>
          </w:p>
        </w:tc>
      </w:tr>
      <w:tr>
        <w:trPr>
          <w:trHeight w:val="201"/>
        </w:trPr>
        <w:tc>
          <w:tcPr>
            <w:tcW w:w="8440" w:type="dxa"/>
            <w:vAlign w:val="bottom"/>
            <w:gridSpan w:val="3"/>
          </w:tcPr>
          <w:p>
            <w:pPr>
              <w:ind w:left="20"/>
              <w:spacing w:after="0"/>
              <w:rPr>
                <w:sz w:val="20"/>
                <w:szCs w:val="20"/>
                <w:color w:val="auto"/>
              </w:rPr>
            </w:pPr>
            <w:r>
              <w:rPr>
                <w:rFonts w:ascii="Arial" w:cs="Arial" w:eastAsia="Arial" w:hAnsi="Arial"/>
                <w:sz w:val="15"/>
                <w:szCs w:val="15"/>
                <w:color w:val="auto"/>
              </w:rPr>
              <w:t>Adjusted EBITDAR margin</w:t>
            </w:r>
          </w:p>
        </w:tc>
        <w:tc>
          <w:tcPr>
            <w:tcW w:w="3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35.1 %</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22.6 %</w:t>
            </w:r>
          </w:p>
        </w:tc>
      </w:tr>
    </w:tbl>
    <w:p>
      <w:pPr>
        <w:spacing w:after="0" w:line="139" w:lineRule="exact"/>
        <w:rPr>
          <w:sz w:val="20"/>
          <w:szCs w:val="20"/>
          <w:color w:val="auto"/>
        </w:rPr>
      </w:pPr>
    </w:p>
    <w:p>
      <w:pPr>
        <w:ind w:left="320"/>
        <w:spacing w:after="0"/>
        <w:tabs>
          <w:tab w:leader="none" w:pos="600" w:val="left"/>
        </w:tabs>
        <w:rPr>
          <w:sz w:val="20"/>
          <w:szCs w:val="20"/>
          <w:color w:val="auto"/>
        </w:rPr>
      </w:pPr>
      <w:r>
        <w:rPr>
          <w:rFonts w:ascii="Arial" w:cs="Arial" w:eastAsia="Arial" w:hAnsi="Arial"/>
          <w:sz w:val="15"/>
          <w:szCs w:val="15"/>
          <w:color w:val="auto"/>
        </w:rPr>
        <w:t>(</w:t>
      </w:r>
      <w:r>
        <w:rPr>
          <w:rFonts w:ascii="Arial" w:cs="Arial" w:eastAsia="Arial" w:hAnsi="Arial"/>
          <w:sz w:val="13"/>
          <w:szCs w:val="13"/>
          <w:color w:val="auto"/>
        </w:rPr>
        <w:t>1)</w:t>
      </w:r>
      <w:r>
        <w:rPr>
          <w:sz w:val="20"/>
          <w:szCs w:val="20"/>
          <w:color w:val="auto"/>
        </w:rPr>
        <w:tab/>
      </w:r>
      <w:r>
        <w:rPr>
          <w:rFonts w:ascii="Arial" w:cs="Arial" w:eastAsia="Arial" w:hAnsi="Arial"/>
          <w:sz w:val="11"/>
          <w:szCs w:val="11"/>
          <w:color w:val="auto"/>
        </w:rPr>
        <w:t>These items are included in “General and administrative” within the Company’s unaudited Consolidated Statements of Operations and Comprehensive Income (Loss).</w:t>
      </w:r>
    </w:p>
    <w:p>
      <w:pPr>
        <w:spacing w:after="0" w:line="49" w:lineRule="exact"/>
        <w:rPr>
          <w:sz w:val="20"/>
          <w:szCs w:val="20"/>
          <w:color w:val="auto"/>
        </w:rPr>
      </w:pPr>
    </w:p>
    <w:p>
      <w:pPr>
        <w:ind w:left="620" w:right="100" w:hanging="307"/>
        <w:spacing w:after="0"/>
        <w:tabs>
          <w:tab w:leader="none" w:pos="608" w:val="left"/>
        </w:tabs>
        <w:numPr>
          <w:ilvl w:val="0"/>
          <w:numId w:val="18"/>
        </w:numPr>
        <w:rPr>
          <w:rFonts w:ascii="Arial" w:cs="Arial" w:eastAsia="Arial" w:hAnsi="Arial"/>
          <w:sz w:val="14"/>
          <w:szCs w:val="14"/>
          <w:color w:val="auto"/>
        </w:rPr>
      </w:pPr>
      <w:r>
        <w:rPr>
          <w:rFonts w:ascii="Arial" w:cs="Arial" w:eastAsia="Arial" w:hAnsi="Arial"/>
          <w:sz w:val="14"/>
          <w:szCs w:val="14"/>
          <w:color w:val="auto"/>
        </w:rPr>
        <w:t>Our cash-settled stock-based awards are adjusted to fair value each reporting period based primarily on the price of the Company’s common stock. As such, significant fluctuations in the price of the Company’s common stock during any reporting period could cause significant variances to budget on cash-settled stock-based awards. During the three months ended March 31, 2021, the price of the Company’s common stock increased significantly, which resulted in unfavorable variances to budget.</w:t>
      </w:r>
    </w:p>
    <w:p>
      <w:pPr>
        <w:spacing w:after="0" w:line="32" w:lineRule="exact"/>
        <w:rPr>
          <w:rFonts w:ascii="Arial" w:cs="Arial" w:eastAsia="Arial" w:hAnsi="Arial"/>
          <w:sz w:val="14"/>
          <w:szCs w:val="14"/>
          <w:color w:val="auto"/>
        </w:rPr>
      </w:pPr>
    </w:p>
    <w:p>
      <w:pPr>
        <w:ind w:left="620" w:right="40" w:hanging="307"/>
        <w:spacing w:after="0" w:line="250" w:lineRule="auto"/>
        <w:tabs>
          <w:tab w:leader="none" w:pos="608" w:val="left"/>
        </w:tabs>
        <w:numPr>
          <w:ilvl w:val="0"/>
          <w:numId w:val="18"/>
        </w:numPr>
        <w:rPr>
          <w:rFonts w:ascii="Arial" w:cs="Arial" w:eastAsia="Arial" w:hAnsi="Arial"/>
          <w:sz w:val="14"/>
          <w:szCs w:val="14"/>
          <w:color w:val="auto"/>
        </w:rPr>
      </w:pPr>
      <w:r>
        <w:rPr>
          <w:rFonts w:ascii="Arial" w:cs="Arial" w:eastAsia="Arial" w:hAnsi="Arial"/>
          <w:sz w:val="14"/>
          <w:szCs w:val="14"/>
          <w:color w:val="auto"/>
        </w:rPr>
        <w:t>Consists principally of interest expense, net; income taxes; depreciation and amortization; and stock-based compensation expense associated with Barstool Sports and our Kansas Entertainment JV.</w:t>
      </w:r>
    </w:p>
    <w:p>
      <w:pPr>
        <w:spacing w:after="0" w:line="25" w:lineRule="exact"/>
        <w:rPr>
          <w:rFonts w:ascii="Arial" w:cs="Arial" w:eastAsia="Arial" w:hAnsi="Arial"/>
          <w:sz w:val="14"/>
          <w:szCs w:val="14"/>
          <w:color w:val="auto"/>
        </w:rPr>
      </w:pPr>
    </w:p>
    <w:p>
      <w:pPr>
        <w:ind w:left="620" w:right="120" w:hanging="307"/>
        <w:spacing w:after="0" w:line="250" w:lineRule="auto"/>
        <w:tabs>
          <w:tab w:leader="none" w:pos="608" w:val="left"/>
        </w:tabs>
        <w:numPr>
          <w:ilvl w:val="0"/>
          <w:numId w:val="18"/>
        </w:numPr>
        <w:rPr>
          <w:rFonts w:ascii="Arial" w:cs="Arial" w:eastAsia="Arial" w:hAnsi="Arial"/>
          <w:sz w:val="14"/>
          <w:szCs w:val="14"/>
          <w:color w:val="auto"/>
        </w:rPr>
      </w:pPr>
      <w:r>
        <w:rPr>
          <w:rFonts w:ascii="Arial" w:cs="Arial" w:eastAsia="Arial" w:hAnsi="Arial"/>
          <w:sz w:val="14"/>
          <w:szCs w:val="14"/>
          <w:color w:val="auto"/>
        </w:rPr>
        <w:t>Consists of non-recurring restructuring charges (primarily severance) associated with a company-wide initiative, triggered by the COVID-19 pandemic, designed to (i) improve the operational effectiveness across our property portfolio; and (ii) improve the effectiveness and efficiency of our Corporate functional support areas.</w:t>
      </w:r>
    </w:p>
    <w:p>
      <w:pPr>
        <w:spacing w:after="0" w:line="206" w:lineRule="exact"/>
        <w:rPr>
          <w:sz w:val="20"/>
          <w:szCs w:val="20"/>
          <w:color w:val="auto"/>
        </w:rPr>
      </w:pPr>
    </w:p>
    <w:p>
      <w:pPr>
        <w:jc w:val="center"/>
        <w:ind w:left="600"/>
        <w:spacing w:after="0"/>
        <w:rPr>
          <w:sz w:val="20"/>
          <w:szCs w:val="20"/>
          <w:color w:val="auto"/>
        </w:rPr>
      </w:pPr>
      <w:r>
        <w:rPr>
          <w:rFonts w:ascii="Arial" w:cs="Arial" w:eastAsia="Arial" w:hAnsi="Arial"/>
          <w:sz w:val="17"/>
          <w:szCs w:val="17"/>
          <w:b w:val="1"/>
          <w:bCs w:val="1"/>
          <w:color w:val="auto"/>
        </w:rPr>
        <w:t>LIQUIDITY AND CAPITAL RESOURCES</w:t>
      </w:r>
    </w:p>
    <w:p>
      <w:pPr>
        <w:spacing w:after="0" w:line="184" w:lineRule="exact"/>
        <w:rPr>
          <w:sz w:val="20"/>
          <w:szCs w:val="20"/>
          <w:color w:val="auto"/>
        </w:rPr>
      </w:pPr>
    </w:p>
    <w:p>
      <w:pPr>
        <w:jc w:val="both"/>
        <w:ind w:right="20" w:firstLine="309"/>
        <w:spacing w:after="0" w:line="318" w:lineRule="auto"/>
        <w:rPr>
          <w:sz w:val="20"/>
          <w:szCs w:val="20"/>
          <w:color w:val="auto"/>
        </w:rPr>
      </w:pPr>
      <w:r>
        <w:rPr>
          <w:rFonts w:ascii="Arial" w:cs="Arial" w:eastAsia="Arial" w:hAnsi="Arial"/>
          <w:sz w:val="15"/>
          <w:szCs w:val="15"/>
          <w:color w:val="auto"/>
        </w:rPr>
        <w:t>Our primary sources of liquidity and capital resources have been and are expected to be cash flow from operations, borrowings from banks, and proceeds from the issuance of debt and equity securities. Our ongoing liquidity will depend on a number of factors, including available cash resources, cash flow from operations, acquisitions or investments, funding of construction for development projects, and our compliance with covenants contained under our debt agreements.</w:t>
      </w: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173990</wp:posOffset>
            </wp:positionV>
            <wp:extent cx="7164070" cy="4191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1" w:name="page42"/>
    <w:bookmarkEnd w:id="41"/>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350"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5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80" w:type="dxa"/>
            <w:vAlign w:val="bottom"/>
            <w:gridSpan w:val="5"/>
          </w:tcPr>
          <w:p>
            <w:pPr>
              <w:ind w:left="20"/>
              <w:spacing w:after="0"/>
              <w:rPr>
                <w:sz w:val="20"/>
                <w:szCs w:val="20"/>
                <w:color w:val="auto"/>
              </w:rPr>
            </w:pPr>
            <w:r>
              <w:rPr>
                <w:rFonts w:ascii="Arial" w:cs="Arial" w:eastAsia="Arial" w:hAnsi="Arial"/>
                <w:sz w:val="17"/>
                <w:szCs w:val="17"/>
                <w:b w:val="1"/>
                <w:bCs w:val="1"/>
                <w:color w:val="auto"/>
                <w:w w:val="99"/>
              </w:rPr>
              <w:t>For the three months ended</w:t>
            </w: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219"/>
        </w:trPr>
        <w:tc>
          <w:tcPr>
            <w:tcW w:w="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53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gridSpan w:val="3"/>
          </w:tcPr>
          <w:p>
            <w:pPr>
              <w:jc w:val="right"/>
              <w:spacing w:after="0"/>
              <w:rPr>
                <w:sz w:val="20"/>
                <w:szCs w:val="20"/>
                <w:color w:val="auto"/>
              </w:rPr>
            </w:pPr>
            <w:r>
              <w:rPr>
                <w:rFonts w:ascii="Arial" w:cs="Arial" w:eastAsia="Arial" w:hAnsi="Arial"/>
                <w:sz w:val="17"/>
                <w:szCs w:val="17"/>
                <w:b w:val="1"/>
                <w:bCs w:val="1"/>
                <w:color w:val="auto"/>
              </w:rPr>
              <w:t>March 31,</w:t>
            </w:r>
          </w:p>
        </w:tc>
        <w:tc>
          <w:tcPr>
            <w:tcW w:w="7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center"/>
              <w:ind w:right="18"/>
              <w:spacing w:after="0"/>
              <w:rPr>
                <w:sz w:val="20"/>
                <w:szCs w:val="20"/>
                <w:color w:val="auto"/>
              </w:rPr>
            </w:pPr>
            <w:r>
              <w:rPr>
                <w:rFonts w:ascii="Arial" w:cs="Arial" w:eastAsia="Arial" w:hAnsi="Arial"/>
                <w:sz w:val="15"/>
                <w:szCs w:val="15"/>
                <w:b w:val="1"/>
                <w:bCs w:val="1"/>
                <w:color w:val="auto"/>
                <w:w w:val="91"/>
              </w:rPr>
              <w:t>$ Change</w:t>
            </w:r>
          </w:p>
        </w:tc>
        <w:tc>
          <w:tcPr>
            <w:tcW w:w="100" w:type="dxa"/>
            <w:vAlign w:val="bottom"/>
          </w:tcPr>
          <w:p>
            <w:pPr>
              <w:spacing w:after="0"/>
              <w:rPr>
                <w:sz w:val="19"/>
                <w:szCs w:val="19"/>
                <w:color w:val="auto"/>
              </w:rPr>
            </w:pP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96"/>
              </w:rPr>
              <w:t>% Change</w:t>
            </w:r>
          </w:p>
        </w:tc>
      </w:tr>
      <w:tr>
        <w:trPr>
          <w:trHeight w:val="173"/>
        </w:trPr>
        <w:tc>
          <w:tcPr>
            <w:tcW w:w="6440" w:type="dxa"/>
            <w:vAlign w:val="bottom"/>
            <w:gridSpan w:val="3"/>
          </w:tcPr>
          <w:p>
            <w:pPr>
              <w:ind w:left="20"/>
              <w:spacing w:after="0"/>
              <w:rPr>
                <w:sz w:val="20"/>
                <w:szCs w:val="20"/>
                <w:color w:val="auto"/>
              </w:rPr>
            </w:pPr>
            <w:r>
              <w:rPr>
                <w:rFonts w:ascii="Arial" w:cs="Arial" w:eastAsia="Arial" w:hAnsi="Arial"/>
                <w:sz w:val="14"/>
                <w:szCs w:val="14"/>
                <w:b w:val="1"/>
                <w:bCs w:val="1"/>
                <w:i w:val="1"/>
                <w:iCs w:val="1"/>
                <w:color w:val="auto"/>
              </w:rPr>
              <w:t>(dollars in millions)</w:t>
            </w:r>
          </w:p>
        </w:tc>
        <w:tc>
          <w:tcPr>
            <w:tcW w:w="120" w:type="dxa"/>
            <w:vAlign w:val="bottom"/>
          </w:tcPr>
          <w:p>
            <w:pPr>
              <w:spacing w:after="0"/>
              <w:rPr>
                <w:sz w:val="15"/>
                <w:szCs w:val="15"/>
                <w:color w:val="auto"/>
              </w:rPr>
            </w:pPr>
          </w:p>
        </w:tc>
        <w:tc>
          <w:tcPr>
            <w:tcW w:w="980" w:type="dxa"/>
            <w:vAlign w:val="bottom"/>
          </w:tcPr>
          <w:p>
            <w:pPr>
              <w:jc w:val="right"/>
              <w:ind w:right="294"/>
              <w:spacing w:after="0" w:line="173" w:lineRule="exact"/>
              <w:rPr>
                <w:sz w:val="20"/>
                <w:szCs w:val="20"/>
                <w:color w:val="auto"/>
              </w:rPr>
            </w:pPr>
            <w:r>
              <w:rPr>
                <w:rFonts w:ascii="Arial" w:cs="Arial" w:eastAsia="Arial" w:hAnsi="Arial"/>
                <w:sz w:val="17"/>
                <w:szCs w:val="17"/>
                <w:b w:val="1"/>
                <w:bCs w:val="1"/>
                <w:color w:val="auto"/>
              </w:rPr>
              <w:t>2021</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60" w:type="dxa"/>
            <w:vAlign w:val="bottom"/>
          </w:tcPr>
          <w:p>
            <w:pPr>
              <w:jc w:val="right"/>
              <w:ind w:right="294"/>
              <w:spacing w:after="0" w:line="173" w:lineRule="exact"/>
              <w:rPr>
                <w:sz w:val="20"/>
                <w:szCs w:val="20"/>
                <w:color w:val="auto"/>
              </w:rPr>
            </w:pPr>
            <w:r>
              <w:rPr>
                <w:rFonts w:ascii="Arial" w:cs="Arial" w:eastAsia="Arial" w:hAnsi="Arial"/>
                <w:sz w:val="17"/>
                <w:szCs w:val="17"/>
                <w:b w:val="1"/>
                <w:bCs w:val="1"/>
                <w:color w:val="auto"/>
                <w:w w:val="95"/>
              </w:rPr>
              <w:t>2020</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gridSpan w:val="2"/>
          </w:tcPr>
          <w:p>
            <w:pPr>
              <w:jc w:val="center"/>
              <w:ind w:right="220"/>
              <w:spacing w:after="0"/>
              <w:rPr>
                <w:sz w:val="20"/>
                <w:szCs w:val="20"/>
                <w:color w:val="auto"/>
              </w:rPr>
            </w:pPr>
            <w:r>
              <w:rPr>
                <w:rFonts w:ascii="Arial" w:cs="Arial" w:eastAsia="Arial" w:hAnsi="Arial"/>
                <w:sz w:val="15"/>
                <w:szCs w:val="15"/>
                <w:b w:val="1"/>
                <w:bCs w:val="1"/>
                <w:color w:val="auto"/>
                <w:w w:val="91"/>
              </w:rPr>
              <w:t>2021 vs 2020</w:t>
            </w:r>
          </w:p>
        </w:tc>
        <w:tc>
          <w:tcPr>
            <w:tcW w:w="1220" w:type="dxa"/>
            <w:vAlign w:val="bottom"/>
          </w:tcPr>
          <w:p>
            <w:pPr>
              <w:jc w:val="center"/>
              <w:spacing w:after="0"/>
              <w:rPr>
                <w:sz w:val="20"/>
                <w:szCs w:val="20"/>
                <w:color w:val="auto"/>
              </w:rPr>
            </w:pPr>
            <w:r>
              <w:rPr>
                <w:rFonts w:ascii="Arial" w:cs="Arial" w:eastAsia="Arial" w:hAnsi="Arial"/>
                <w:sz w:val="15"/>
                <w:szCs w:val="15"/>
                <w:b w:val="1"/>
                <w:bCs w:val="1"/>
                <w:color w:val="auto"/>
                <w:w w:val="89"/>
              </w:rPr>
              <w:t>2021 vs 2020</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120" w:type="dxa"/>
            <w:vAlign w:val="bottom"/>
            <w:tcBorders>
              <w:top w:val="single" w:sz="8" w:color="auto"/>
              <w:bottom w:val="single" w:sz="8" w:color="CCEEFF"/>
            </w:tcBorders>
          </w:tcPr>
          <w:p>
            <w:pPr>
              <w:spacing w:after="0" w:line="20" w:lineRule="exact"/>
              <w:rPr>
                <w:sz w:val="1"/>
                <w:szCs w:val="1"/>
                <w:color w:val="auto"/>
              </w:rPr>
            </w:pPr>
          </w:p>
        </w:tc>
        <w:tc>
          <w:tcPr>
            <w:tcW w:w="53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211"/>
        </w:trPr>
        <w:tc>
          <w:tcPr>
            <w:tcW w:w="6440" w:type="dxa"/>
            <w:vAlign w:val="bottom"/>
            <w:gridSpan w:val="3"/>
            <w:shd w:val="clear" w:color="auto" w:fill="CCEEFF"/>
          </w:tcPr>
          <w:p>
            <w:pPr>
              <w:ind w:left="20"/>
              <w:spacing w:after="0"/>
              <w:rPr>
                <w:sz w:val="20"/>
                <w:szCs w:val="20"/>
                <w:color w:val="auto"/>
              </w:rPr>
            </w:pPr>
            <w:r>
              <w:rPr>
                <w:rFonts w:ascii="Arial" w:cs="Arial" w:eastAsia="Arial" w:hAnsi="Arial"/>
                <w:sz w:val="17"/>
                <w:szCs w:val="17"/>
                <w:color w:val="auto"/>
              </w:rPr>
              <w:t>Net cash provided by (used in) operating activities</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180.5</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4"/>
              <w:spacing w:after="0"/>
              <w:rPr>
                <w:sz w:val="20"/>
                <w:szCs w:val="20"/>
                <w:color w:val="auto"/>
              </w:rPr>
            </w:pPr>
            <w:r>
              <w:rPr>
                <w:rFonts w:ascii="Arial" w:cs="Arial" w:eastAsia="Arial" w:hAnsi="Arial"/>
                <w:sz w:val="17"/>
                <w:szCs w:val="17"/>
                <w:color w:val="auto"/>
                <w:w w:val="84"/>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60" w:type="dxa"/>
            <w:vAlign w:val="bottom"/>
            <w:shd w:val="clear" w:color="auto" w:fill="CCEEFF"/>
          </w:tcPr>
          <w:p>
            <w:pPr>
              <w:jc w:val="center"/>
              <w:ind w:left="378"/>
              <w:spacing w:after="0"/>
              <w:rPr>
                <w:sz w:val="20"/>
                <w:szCs w:val="20"/>
                <w:color w:val="auto"/>
              </w:rPr>
            </w:pPr>
            <w:r>
              <w:rPr>
                <w:rFonts w:ascii="Arial" w:cs="Arial" w:eastAsia="Arial" w:hAnsi="Arial"/>
                <w:sz w:val="17"/>
                <w:szCs w:val="17"/>
                <w:color w:val="auto"/>
                <w:w w:val="89"/>
              </w:rPr>
              <w:t>213.7</w:t>
            </w: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N/M</w:t>
            </w:r>
          </w:p>
        </w:tc>
      </w:tr>
      <w:tr>
        <w:trPr>
          <w:trHeight w:val="218"/>
        </w:trPr>
        <w:tc>
          <w:tcPr>
            <w:tcW w:w="6440" w:type="dxa"/>
            <w:vAlign w:val="bottom"/>
            <w:gridSpan w:val="3"/>
          </w:tcPr>
          <w:p>
            <w:pPr>
              <w:ind w:left="20"/>
              <w:spacing w:after="0"/>
              <w:rPr>
                <w:sz w:val="20"/>
                <w:szCs w:val="20"/>
                <w:color w:val="auto"/>
              </w:rPr>
            </w:pPr>
            <w:r>
              <w:rPr>
                <w:rFonts w:ascii="Arial" w:cs="Arial" w:eastAsia="Arial" w:hAnsi="Arial"/>
                <w:sz w:val="17"/>
                <w:szCs w:val="17"/>
                <w:color w:val="auto"/>
              </w:rPr>
              <w:t>Net cash used in investing activities</w:t>
            </w:r>
          </w:p>
        </w:tc>
        <w:tc>
          <w:tcPr>
            <w:tcW w:w="120" w:type="dxa"/>
            <w:vAlign w:val="bottom"/>
          </w:tcPr>
          <w:p>
            <w:pPr>
              <w:jc w:val="right"/>
              <w:spacing w:after="0"/>
              <w:rPr>
                <w:sz w:val="20"/>
                <w:szCs w:val="20"/>
                <w:color w:val="auto"/>
              </w:rPr>
            </w:pPr>
            <w:r>
              <w:rPr>
                <w:rFonts w:ascii="Arial" w:cs="Arial" w:eastAsia="Arial" w:hAnsi="Arial"/>
                <w:sz w:val="17"/>
                <w:szCs w:val="17"/>
                <w:color w:val="auto"/>
              </w:rPr>
              <w:t>$</w:t>
            </w:r>
          </w:p>
        </w:tc>
        <w:tc>
          <w:tcPr>
            <w:tcW w:w="980" w:type="dxa"/>
            <w:vAlign w:val="bottom"/>
          </w:tcPr>
          <w:p>
            <w:pPr>
              <w:jc w:val="right"/>
              <w:spacing w:after="0"/>
              <w:rPr>
                <w:sz w:val="20"/>
                <w:szCs w:val="20"/>
                <w:color w:val="auto"/>
              </w:rPr>
            </w:pPr>
            <w:r>
              <w:rPr>
                <w:rFonts w:ascii="Arial" w:cs="Arial" w:eastAsia="Arial" w:hAnsi="Arial"/>
                <w:sz w:val="17"/>
                <w:szCs w:val="17"/>
                <w:color w:val="auto"/>
              </w:rPr>
              <w:t>(27.3)</w:t>
            </w:r>
          </w:p>
        </w:tc>
        <w:tc>
          <w:tcPr>
            <w:tcW w:w="100" w:type="dxa"/>
            <w:vAlign w:val="bottom"/>
          </w:tcPr>
          <w:p>
            <w:pPr>
              <w:spacing w:after="0"/>
              <w:rPr>
                <w:sz w:val="18"/>
                <w:szCs w:val="18"/>
                <w:color w:val="auto"/>
              </w:rPr>
            </w:pPr>
          </w:p>
        </w:tc>
        <w:tc>
          <w:tcPr>
            <w:tcW w:w="340" w:type="dxa"/>
            <w:vAlign w:val="bottom"/>
          </w:tcPr>
          <w:p>
            <w:pPr>
              <w:jc w:val="right"/>
              <w:ind w:right="154"/>
              <w:spacing w:after="0"/>
              <w:rPr>
                <w:sz w:val="20"/>
                <w:szCs w:val="20"/>
                <w:color w:val="auto"/>
              </w:rPr>
            </w:pPr>
            <w:r>
              <w:rPr>
                <w:rFonts w:ascii="Arial" w:cs="Arial" w:eastAsia="Arial" w:hAnsi="Arial"/>
                <w:sz w:val="17"/>
                <w:szCs w:val="17"/>
                <w:color w:val="auto"/>
                <w:w w:val="84"/>
              </w:rPr>
              <w:t>$</w:t>
            </w:r>
          </w:p>
        </w:tc>
        <w:tc>
          <w:tcPr>
            <w:tcW w:w="760" w:type="dxa"/>
            <w:vAlign w:val="bottom"/>
          </w:tcPr>
          <w:p>
            <w:pPr>
              <w:jc w:val="right"/>
              <w:spacing w:after="0"/>
              <w:rPr>
                <w:sz w:val="20"/>
                <w:szCs w:val="20"/>
                <w:color w:val="auto"/>
              </w:rPr>
            </w:pPr>
            <w:r>
              <w:rPr>
                <w:rFonts w:ascii="Arial" w:cs="Arial" w:eastAsia="Arial" w:hAnsi="Arial"/>
                <w:sz w:val="17"/>
                <w:szCs w:val="17"/>
                <w:color w:val="auto"/>
              </w:rPr>
              <w:t>(183.4)</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960" w:type="dxa"/>
            <w:vAlign w:val="bottom"/>
          </w:tcPr>
          <w:p>
            <w:pPr>
              <w:jc w:val="center"/>
              <w:ind w:left="378"/>
              <w:spacing w:after="0"/>
              <w:rPr>
                <w:sz w:val="20"/>
                <w:szCs w:val="20"/>
                <w:color w:val="auto"/>
              </w:rPr>
            </w:pPr>
            <w:r>
              <w:rPr>
                <w:rFonts w:ascii="Arial" w:cs="Arial" w:eastAsia="Arial" w:hAnsi="Arial"/>
                <w:sz w:val="17"/>
                <w:szCs w:val="17"/>
                <w:color w:val="auto"/>
                <w:w w:val="89"/>
              </w:rPr>
              <w:t>156.1</w:t>
            </w:r>
          </w:p>
        </w:tc>
        <w:tc>
          <w:tcPr>
            <w:tcW w:w="1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(85.1)%</w:t>
            </w:r>
          </w:p>
        </w:tc>
      </w:tr>
      <w:tr>
        <w:trPr>
          <w:trHeight w:val="220"/>
        </w:trPr>
        <w:tc>
          <w:tcPr>
            <w:tcW w:w="6440" w:type="dxa"/>
            <w:vAlign w:val="bottom"/>
            <w:gridSpan w:val="3"/>
            <w:shd w:val="clear" w:color="auto" w:fill="CCEEFF"/>
          </w:tcPr>
          <w:p>
            <w:pPr>
              <w:ind w:left="20"/>
              <w:spacing w:after="0"/>
              <w:rPr>
                <w:sz w:val="20"/>
                <w:szCs w:val="20"/>
                <w:color w:val="auto"/>
              </w:rPr>
            </w:pPr>
            <w:r>
              <w:rPr>
                <w:rFonts w:ascii="Arial" w:cs="Arial" w:eastAsia="Arial" w:hAnsi="Arial"/>
                <w:sz w:val="17"/>
                <w:szCs w:val="17"/>
                <w:color w:val="auto"/>
              </w:rPr>
              <w:t>Net cash provided by financing activities</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60.1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4"/>
              <w:spacing w:after="0"/>
              <w:rPr>
                <w:sz w:val="20"/>
                <w:szCs w:val="20"/>
                <w:color w:val="auto"/>
              </w:rPr>
            </w:pPr>
            <w:r>
              <w:rPr>
                <w:rFonts w:ascii="Arial" w:cs="Arial" w:eastAsia="Arial" w:hAnsi="Arial"/>
                <w:sz w:val="17"/>
                <w:szCs w:val="17"/>
                <w:color w:val="auto"/>
                <w:w w:val="84"/>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508.8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60" w:type="dxa"/>
            <w:vAlign w:val="bottom"/>
            <w:shd w:val="clear" w:color="auto" w:fill="CCEEFF"/>
          </w:tcPr>
          <w:p>
            <w:pPr>
              <w:jc w:val="center"/>
              <w:ind w:left="338"/>
              <w:spacing w:after="0"/>
              <w:rPr>
                <w:sz w:val="20"/>
                <w:szCs w:val="20"/>
                <w:color w:val="auto"/>
              </w:rPr>
            </w:pPr>
            <w:r>
              <w:rPr>
                <w:rFonts w:ascii="Arial" w:cs="Arial" w:eastAsia="Arial" w:hAnsi="Arial"/>
                <w:sz w:val="17"/>
                <w:szCs w:val="17"/>
                <w:color w:val="auto"/>
                <w:w w:val="92"/>
              </w:rPr>
              <w:t>(448.7)</w:t>
            </w: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(88.2)%</w:t>
            </w:r>
          </w:p>
        </w:tc>
      </w:tr>
    </w:tbl>
    <w:p>
      <w:pPr>
        <w:spacing w:after="0" w:line="149" w:lineRule="exact"/>
        <w:rPr>
          <w:sz w:val="20"/>
          <w:szCs w:val="20"/>
          <w:color w:val="auto"/>
        </w:rPr>
      </w:pPr>
    </w:p>
    <w:p>
      <w:pPr>
        <w:ind w:left="320"/>
        <w:spacing w:after="0"/>
        <w:rPr>
          <w:sz w:val="20"/>
          <w:szCs w:val="20"/>
          <w:color w:val="auto"/>
        </w:rPr>
      </w:pPr>
      <w:r>
        <w:rPr>
          <w:rFonts w:ascii="Arial" w:cs="Arial" w:eastAsia="Arial" w:hAnsi="Arial"/>
          <w:sz w:val="14"/>
          <w:szCs w:val="14"/>
          <w:color w:val="auto"/>
        </w:rPr>
        <w:t>N/M - Not meaningful</w:t>
      </w:r>
    </w:p>
    <w:p>
      <w:pPr>
        <w:spacing w:after="0" w:line="18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Operating Cash Flow</w:t>
      </w:r>
    </w:p>
    <w:p>
      <w:pPr>
        <w:spacing w:after="0" w:line="178" w:lineRule="exact"/>
        <w:rPr>
          <w:sz w:val="20"/>
          <w:szCs w:val="20"/>
          <w:color w:val="auto"/>
        </w:rPr>
      </w:pPr>
    </w:p>
    <w:p>
      <w:pPr>
        <w:ind w:right="40" w:firstLine="309"/>
        <w:spacing w:after="0" w:line="258" w:lineRule="auto"/>
        <w:rPr>
          <w:sz w:val="20"/>
          <w:szCs w:val="20"/>
          <w:color w:val="auto"/>
        </w:rPr>
      </w:pPr>
      <w:r>
        <w:rPr>
          <w:rFonts w:ascii="Arial" w:cs="Arial" w:eastAsia="Arial" w:hAnsi="Arial"/>
          <w:sz w:val="17"/>
          <w:szCs w:val="17"/>
          <w:color w:val="auto"/>
        </w:rPr>
        <w:t>Net cash provided by operating activities of $180.5 million for the three months ended March 31, 2021, compared to net cash used of $33.2 million in the prior year quarter, is principally due to increased gaming revenues as operations at our properties benefited from increased spend-per-visit and visitation levels and higher overall Adjusted EBITDAR margins, resulting from cost saving initiatives implemented throughout 2020, such as: operating with a reduced workforce, focusing on higher margin gaming offerings, reducing marketing costs, and limiting certain lower margin food and beverage offerings. The prior year quarter operating cash flows were negatively impacted by the temporary closures of all of our properties due to the COVID-19 pandemic, which significantly decreased cash receipts from customers.</w:t>
      </w:r>
    </w:p>
    <w:p>
      <w:pPr>
        <w:spacing w:after="0" w:line="14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Investing Cash Flow</w:t>
      </w:r>
    </w:p>
    <w:p>
      <w:pPr>
        <w:spacing w:after="0" w:line="191" w:lineRule="exact"/>
        <w:rPr>
          <w:sz w:val="20"/>
          <w:szCs w:val="20"/>
          <w:color w:val="auto"/>
        </w:rPr>
      </w:pPr>
    </w:p>
    <w:p>
      <w:pPr>
        <w:ind w:right="380" w:firstLine="309"/>
        <w:spacing w:after="0" w:line="283" w:lineRule="auto"/>
        <w:rPr>
          <w:sz w:val="20"/>
          <w:szCs w:val="20"/>
          <w:color w:val="auto"/>
        </w:rPr>
      </w:pPr>
      <w:r>
        <w:rPr>
          <w:rFonts w:ascii="Arial" w:cs="Arial" w:eastAsia="Arial" w:hAnsi="Arial"/>
          <w:sz w:val="16"/>
          <w:szCs w:val="16"/>
          <w:color w:val="auto"/>
        </w:rPr>
        <w:t>The decrease in net cash used in investing activities of $156.1 million for the three months ended March 31, 2021, compared to the prior year quarter, is primarily due to the completion of our investment in Barstool Sports during the three months ended March 31, 2020. Capital expenditures decreased by $17.1 million for the three months ended March 31, 2021, as compared to the prior year quarter. The decrease in capital expenditures in the current year primarily reflects our efforts to reduce maintenance capital expenditures as we mitigate the impact of the COVID-19 pandemic.</w:t>
      </w:r>
    </w:p>
    <w:p>
      <w:pPr>
        <w:spacing w:after="0" w:line="125" w:lineRule="exact"/>
        <w:rPr>
          <w:sz w:val="20"/>
          <w:szCs w:val="20"/>
          <w:color w:val="auto"/>
        </w:rPr>
      </w:pPr>
    </w:p>
    <w:p>
      <w:pPr>
        <w:ind w:left="320"/>
        <w:spacing w:after="0"/>
        <w:rPr>
          <w:sz w:val="20"/>
          <w:szCs w:val="20"/>
          <w:color w:val="auto"/>
        </w:rPr>
      </w:pPr>
      <w:r>
        <w:rPr>
          <w:rFonts w:ascii="Arial" w:cs="Arial" w:eastAsia="Arial" w:hAnsi="Arial"/>
          <w:sz w:val="17"/>
          <w:szCs w:val="17"/>
          <w:i w:val="1"/>
          <w:iCs w:val="1"/>
          <w:color w:val="auto"/>
        </w:rPr>
        <w:t>Capital Expenditures</w:t>
      </w:r>
    </w:p>
    <w:p>
      <w:pPr>
        <w:spacing w:after="0" w:line="178" w:lineRule="exact"/>
        <w:rPr>
          <w:sz w:val="20"/>
          <w:szCs w:val="20"/>
          <w:color w:val="auto"/>
        </w:rPr>
      </w:pPr>
    </w:p>
    <w:p>
      <w:pPr>
        <w:ind w:right="460" w:firstLine="309"/>
        <w:spacing w:after="0" w:line="266" w:lineRule="auto"/>
        <w:rPr>
          <w:sz w:val="20"/>
          <w:szCs w:val="20"/>
          <w:color w:val="auto"/>
        </w:rPr>
      </w:pPr>
      <w:r>
        <w:rPr>
          <w:rFonts w:ascii="Arial" w:cs="Arial" w:eastAsia="Arial" w:hAnsi="Arial"/>
          <w:sz w:val="17"/>
          <w:szCs w:val="17"/>
          <w:color w:val="auto"/>
        </w:rPr>
        <w:t>Capital expenditures are accounted for as either project capital (new facilities or expansions) or maintenance (replacement) capital expenditures. Cash provided by operating activities as well as cash available under our Revolving Credit Facility is used to fund our capital expenditures for three months ended March 31, 2021 and 2020.</w:t>
      </w:r>
    </w:p>
    <w:p>
      <w:pPr>
        <w:spacing w:after="0" w:line="149" w:lineRule="exact"/>
        <w:rPr>
          <w:sz w:val="20"/>
          <w:szCs w:val="20"/>
          <w:color w:val="auto"/>
        </w:rPr>
      </w:pPr>
    </w:p>
    <w:p>
      <w:pPr>
        <w:ind w:right="100" w:firstLine="309"/>
        <w:spacing w:after="0" w:line="283" w:lineRule="auto"/>
        <w:rPr>
          <w:sz w:val="20"/>
          <w:szCs w:val="20"/>
          <w:color w:val="auto"/>
        </w:rPr>
      </w:pPr>
      <w:r>
        <w:rPr>
          <w:rFonts w:ascii="Arial" w:cs="Arial" w:eastAsia="Arial" w:hAnsi="Arial"/>
          <w:sz w:val="16"/>
          <w:szCs w:val="16"/>
          <w:color w:val="auto"/>
        </w:rPr>
        <w:t>Capital expenditures for the three months ended March 31, 2021 and 2020 were $25.7 million and $42.8 million, respectively. Capital expenditures related to our York and Morgantown development project were $10.9 million for the three months ended March 31, 2021. Capital expenditures decreased for the three months ended March 31, 2021, as compared to the prior year period, due to continued cautionary spending and uncertainty surrounding the COVID-19 pandemic, which has carried forward to the current year. We expect that as operations continue to recover, capital expenditures will increase.</w:t>
      </w:r>
    </w:p>
    <w:p>
      <w:pPr>
        <w:spacing w:after="0" w:line="12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Financing Cash Flow</w:t>
      </w:r>
    </w:p>
    <w:p>
      <w:pPr>
        <w:spacing w:after="0" w:line="178" w:lineRule="exact"/>
        <w:rPr>
          <w:sz w:val="20"/>
          <w:szCs w:val="20"/>
          <w:color w:val="auto"/>
        </w:rPr>
      </w:pPr>
    </w:p>
    <w:p>
      <w:pPr>
        <w:ind w:right="160" w:firstLine="309"/>
        <w:spacing w:after="0" w:line="266" w:lineRule="auto"/>
        <w:rPr>
          <w:sz w:val="20"/>
          <w:szCs w:val="20"/>
          <w:color w:val="auto"/>
        </w:rPr>
      </w:pPr>
      <w:r>
        <w:rPr>
          <w:rFonts w:ascii="Arial" w:cs="Arial" w:eastAsia="Arial" w:hAnsi="Arial"/>
          <w:sz w:val="17"/>
          <w:szCs w:val="17"/>
          <w:color w:val="auto"/>
        </w:rPr>
        <w:t>For the three months ended March 31, 2021, net cash provided by financing activities totaled $60.1 million compared to $508.8 million provided in the prior year quarter, reflecting a decrease of $448.7 million, primarily related to net borrowings under our Senior Secured Credit Facilities of $518.3 million during the three months ended March 31, 2020.</w:t>
      </w:r>
    </w:p>
    <w:p>
      <w:pPr>
        <w:spacing w:after="0" w:line="149" w:lineRule="exact"/>
        <w:rPr>
          <w:sz w:val="20"/>
          <w:szCs w:val="20"/>
          <w:color w:val="auto"/>
        </w:rPr>
      </w:pPr>
    </w:p>
    <w:p>
      <w:pPr>
        <w:ind w:left="320"/>
        <w:spacing w:after="0"/>
        <w:rPr>
          <w:sz w:val="20"/>
          <w:szCs w:val="20"/>
          <w:color w:val="auto"/>
        </w:rPr>
      </w:pPr>
      <w:r>
        <w:rPr>
          <w:rFonts w:ascii="Arial" w:cs="Arial" w:eastAsia="Arial" w:hAnsi="Arial"/>
          <w:sz w:val="17"/>
          <w:szCs w:val="17"/>
          <w:i w:val="1"/>
          <w:iCs w:val="1"/>
          <w:color w:val="auto"/>
        </w:rPr>
        <w:t>Debt Issuances, Redemptions and Other Long-term Obligations</w:t>
      </w:r>
    </w:p>
    <w:p>
      <w:pPr>
        <w:spacing w:after="0" w:line="178" w:lineRule="exact"/>
        <w:rPr>
          <w:sz w:val="20"/>
          <w:szCs w:val="20"/>
          <w:color w:val="auto"/>
        </w:rPr>
      </w:pPr>
    </w:p>
    <w:p>
      <w:pPr>
        <w:ind w:right="60" w:firstLine="309"/>
        <w:spacing w:after="0" w:line="312" w:lineRule="auto"/>
        <w:rPr>
          <w:sz w:val="20"/>
          <w:szCs w:val="20"/>
          <w:color w:val="auto"/>
        </w:rPr>
      </w:pPr>
      <w:r>
        <w:rPr>
          <w:rFonts w:ascii="Arial" w:cs="Arial" w:eastAsia="Arial" w:hAnsi="Arial"/>
          <w:sz w:val="16"/>
          <w:szCs w:val="16"/>
          <w:color w:val="auto"/>
        </w:rPr>
        <w:t>On March 13, 2020, we borrowed the remaining available amount of $430.0 million under our Revolving Credit Facility. The Company elected to draw down the remaining available funds from its Revolving Credit Facility in order to maintain maximum financial flexibility in light of the COVID-19 pandemic.</w:t>
      </w:r>
    </w:p>
    <w:p>
      <w:pPr>
        <w:spacing w:after="0" w:line="166" w:lineRule="exact"/>
        <w:rPr>
          <w:sz w:val="20"/>
          <w:szCs w:val="20"/>
          <w:color w:val="auto"/>
        </w:rPr>
      </w:pPr>
    </w:p>
    <w:p>
      <w:pPr>
        <w:ind w:right="60" w:firstLine="309"/>
        <w:spacing w:after="0" w:line="257" w:lineRule="auto"/>
        <w:rPr>
          <w:sz w:val="20"/>
          <w:szCs w:val="20"/>
          <w:color w:val="auto"/>
        </w:rPr>
      </w:pPr>
      <w:r>
        <w:rPr>
          <w:rFonts w:ascii="Arial" w:cs="Arial" w:eastAsia="Arial" w:hAnsi="Arial"/>
          <w:sz w:val="17"/>
          <w:szCs w:val="17"/>
          <w:color w:val="auto"/>
        </w:rPr>
        <w:t>On April 14, 2020, the Company entered into a second amendment to its Credit Agreement with its various lenders (the “Second Amendment”) to provide for certain modifications. During the period beginning on April 14, 2020 and ending on the earlier of (x) the date that is two business days after the date on which the Company delivered a covenant relief period termination notice to the administrative agent and (y) the date on which the administrative agent received a compliance certificate for the quarter ended March 31, 2021 (the “Covenant Relief Period”), the Company does not have to comply with any Maximum Leverage Ratio or Minimum Interest Coverage Ratio (as such terms are defined in the Amended 2017 Credit Agreement). During the Covenant Relief Period, the Company would be subject to a minimum liquidity covenant that required cash and cash equivalents and availability under its Revolving Credit Facility to be (i) at least $400.0 million through April 30,</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173990</wp:posOffset>
            </wp:positionV>
            <wp:extent cx="7164070" cy="4191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2" w:name="page43"/>
    <w:bookmarkEnd w:id="42"/>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339" w:lineRule="exact"/>
        <w:rPr>
          <w:sz w:val="20"/>
          <w:szCs w:val="20"/>
          <w:color w:val="auto"/>
        </w:rPr>
      </w:pPr>
    </w:p>
    <w:p>
      <w:pPr>
        <w:ind w:right="280"/>
        <w:spacing w:after="0" w:line="279" w:lineRule="auto"/>
        <w:rPr>
          <w:sz w:val="20"/>
          <w:szCs w:val="20"/>
          <w:color w:val="auto"/>
        </w:rPr>
      </w:pPr>
      <w:r>
        <w:rPr>
          <w:rFonts w:ascii="Arial" w:cs="Arial" w:eastAsia="Arial" w:hAnsi="Arial"/>
          <w:sz w:val="17"/>
          <w:szCs w:val="17"/>
          <w:color w:val="auto"/>
        </w:rPr>
        <w:t>2020; (ii) $350.0 million during the period from May 1, 2020 through May 31, 2020; (iii) $300.0 million during the period from June 1, 2020 through June 30, 2020; and (iv) $225.0 million during the period from July 1, 2020 through March 31, 2021.</w:t>
      </w:r>
    </w:p>
    <w:p>
      <w:pPr>
        <w:spacing w:after="0" w:line="190" w:lineRule="exact"/>
        <w:rPr>
          <w:sz w:val="20"/>
          <w:szCs w:val="20"/>
          <w:color w:val="auto"/>
        </w:rPr>
      </w:pPr>
    </w:p>
    <w:p>
      <w:pPr>
        <w:ind w:right="60" w:firstLine="309"/>
        <w:spacing w:after="0" w:line="277" w:lineRule="auto"/>
        <w:rPr>
          <w:sz w:val="20"/>
          <w:szCs w:val="20"/>
          <w:color w:val="auto"/>
        </w:rPr>
      </w:pPr>
      <w:r>
        <w:rPr>
          <w:rFonts w:ascii="Arial" w:cs="Arial" w:eastAsia="Arial" w:hAnsi="Arial"/>
          <w:sz w:val="16"/>
          <w:szCs w:val="16"/>
          <w:color w:val="auto"/>
        </w:rPr>
        <w:t>The Second Amendment also amended the financial covenants that are applicable after the Covenant Relief Period to permit the Company to (i) maintain a maximum consolidated total net leverage ratio of 5.50:1.00 for the quarter ended March 31, 2021, 5.00:1.00 for the quarter ended June 30, 2021, 4.75:1.00 for the quarter ended September 30, 2021, 4.50:1.00 for the quarter ended December 31, 2021, and 4.25:1.00 thereafter, tested quarterly on a pro forma trailing twelve month (“PF TTM”) basis; (ii) maintain a maximum senior secured net leverage ratio of 4.50:1.00 for the quarter ended March 31, 2021, 4.00:1.00 for the quarter ended June 30, 2021, 3.75:1.00 for the quarter ended September 30, 2021, 3.50:1.00 for the quarter ended December 31, 2021, and 3.00:1.00 thereafter, tested quarterly on a PF TTM basis; and (iii) maintain an interest coverage ratio of 2.50:1.00, tested quarterly on a PF TTM basis.</w:t>
      </w:r>
    </w:p>
    <w:p>
      <w:pPr>
        <w:spacing w:after="0" w:line="131" w:lineRule="exact"/>
        <w:rPr>
          <w:sz w:val="20"/>
          <w:szCs w:val="20"/>
          <w:color w:val="auto"/>
        </w:rPr>
      </w:pPr>
    </w:p>
    <w:p>
      <w:pPr>
        <w:ind w:right="20" w:firstLine="309"/>
        <w:spacing w:after="0" w:line="257" w:lineRule="auto"/>
        <w:rPr>
          <w:sz w:val="20"/>
          <w:szCs w:val="20"/>
          <w:color w:val="auto"/>
        </w:rPr>
      </w:pPr>
      <w:r>
        <w:rPr>
          <w:rFonts w:ascii="Arial" w:cs="Arial" w:eastAsia="Arial" w:hAnsi="Arial"/>
          <w:sz w:val="17"/>
          <w:szCs w:val="17"/>
          <w:color w:val="auto"/>
        </w:rPr>
        <w:t>In addition, the Second Amendment (i) provided that, during the Covenant Relief Period, loans under the Revolving Credit Facility and the Term Loan A Facility shall bear interest at either a base rate or an adjusted LIBOR rate, in each case, plus an applicable margin, in the case of base rate loans, of 2.00%, and in the case of adjusted LIBOR rate loans, of 3.00%; (ii) provided that, during the Covenant Relief Period, the Company shall pay a commitment fee on the unused portion of the commitments under the Revolving Credit Facility at a rate of 0.50% per annum; (iii) provided for a 0.75% LIBOR floor applicable to all LIBOR loans under the Senior Secured Credit Facilities; (iv) carved out COVID-19 related effects from certain terms of the Senior Secured Credit Facilities during the Covenant Relief Period; and (v) made certain other changes to the covenants and other provisions of the Credit Agreement. Interest on the Term Loan B-1 Facility was not affected by the Second Amendment.</w:t>
      </w:r>
    </w:p>
    <w:p>
      <w:pPr>
        <w:spacing w:after="0" w:line="159" w:lineRule="exact"/>
        <w:rPr>
          <w:sz w:val="20"/>
          <w:szCs w:val="20"/>
          <w:color w:val="auto"/>
        </w:rPr>
      </w:pPr>
    </w:p>
    <w:p>
      <w:pPr>
        <w:jc w:val="both"/>
        <w:ind w:right="40" w:firstLine="309"/>
        <w:spacing w:after="0" w:line="276" w:lineRule="auto"/>
        <w:rPr>
          <w:sz w:val="20"/>
          <w:szCs w:val="20"/>
          <w:color w:val="auto"/>
        </w:rPr>
      </w:pPr>
      <w:r>
        <w:rPr>
          <w:rFonts w:ascii="Arial" w:cs="Arial" w:eastAsia="Arial" w:hAnsi="Arial"/>
          <w:sz w:val="16"/>
          <w:szCs w:val="16"/>
          <w:color w:val="auto"/>
        </w:rPr>
        <w:t>Upon conclusion of the Covenant Relief Period, loans under the Senior Secured Credit Facilities bear interest at either a base rate or an adjusted LIBOR rate, plus an applicable margin. The applicable margins for the Revolving Credit Facility and Term Loan A Facility range from 1.25% to 3.00% per annum for LIBOR loans and 0.25% to 2.00% per annum for base rate loans, in each case depending on the Consolidated Total Net Leverage Ratio (as defined in the Amended 2017 Credit Agreement) as of the most recent fiscal quarter. The Term Loan B-1 Facility continues to bear interest at 2.25% per annum for LIBOR loans and 1.25% per annum for base rate loans. All loans under the Senior Secured Credit Facilities are subject to a LIBOR “floor” of 0.75%. In addition, a commitment fee is paid on the unused portion of the commitments under the Revolving Credit Facility at a rate that ranges from 0.20% to 0.50% per annum, depending on the Consolidated Total Net Leverage Ratio as of the most recent fiscal quarter.</w:t>
      </w:r>
    </w:p>
    <w:p>
      <w:pPr>
        <w:spacing w:after="0" w:line="130" w:lineRule="exact"/>
        <w:rPr>
          <w:sz w:val="20"/>
          <w:szCs w:val="20"/>
          <w:color w:val="auto"/>
        </w:rPr>
      </w:pPr>
    </w:p>
    <w:p>
      <w:pPr>
        <w:ind w:right="20" w:firstLine="309"/>
        <w:spacing w:after="0" w:line="318" w:lineRule="auto"/>
        <w:rPr>
          <w:sz w:val="20"/>
          <w:szCs w:val="20"/>
          <w:color w:val="auto"/>
        </w:rPr>
      </w:pPr>
      <w:r>
        <w:rPr>
          <w:rFonts w:ascii="Arial" w:cs="Arial" w:eastAsia="Arial" w:hAnsi="Arial"/>
          <w:sz w:val="15"/>
          <w:szCs w:val="15"/>
          <w:color w:val="auto"/>
        </w:rPr>
        <w:t>In May 2020, the Company completed an offering of $330.5 million aggregate principal amount of 2.75% unsecured convertible notes that mature, unless earlier converted, redeemed or repurchased, on May 15, 2026 (the “Convertible Notes”) at a price of par. After lender fees and discounts, net proceeds received by the Company were $322.2 million. Interest on the Convertible Notes is payable on May 15th and November 15th of each year, commencing November 15, 2020.</w:t>
      </w:r>
    </w:p>
    <w:p>
      <w:pPr>
        <w:spacing w:after="0" w:line="165" w:lineRule="exact"/>
        <w:rPr>
          <w:sz w:val="20"/>
          <w:szCs w:val="20"/>
          <w:color w:val="auto"/>
        </w:rPr>
      </w:pPr>
    </w:p>
    <w:p>
      <w:pPr>
        <w:ind w:right="100" w:firstLine="309"/>
        <w:spacing w:after="0" w:line="307" w:lineRule="auto"/>
        <w:rPr>
          <w:sz w:val="20"/>
          <w:szCs w:val="20"/>
          <w:color w:val="auto"/>
        </w:rPr>
      </w:pPr>
      <w:r>
        <w:rPr>
          <w:rFonts w:ascii="Arial" w:cs="Arial" w:eastAsia="Arial" w:hAnsi="Arial"/>
          <w:sz w:val="15"/>
          <w:szCs w:val="15"/>
          <w:color w:val="auto"/>
        </w:rPr>
        <w:t>The Convertible Notes are convertible into shares of the Company’s common stock at an initial conversion price of $23.40 per share, or 42.7350 shares, per $1,000 principal amount of notes, subject to adjustment if certain corporate events occur. However, in no event will the conversion exceed 55.5555 shares of common stock per $1,000 principal amount of notes. As of March 31, 2021, the maximum number of shares that could be issued to satisfy the conversion feature of the Convertible Notes is 18,360,815 and the amount by which the Convertible Notes if-converted value exceeded its principal amount was $1,594.4 million.</w:t>
      </w:r>
    </w:p>
    <w:p>
      <w:pPr>
        <w:spacing w:after="0" w:line="110" w:lineRule="exact"/>
        <w:rPr>
          <w:sz w:val="20"/>
          <w:szCs w:val="20"/>
          <w:color w:val="auto"/>
        </w:rPr>
      </w:pPr>
    </w:p>
    <w:p>
      <w:pPr>
        <w:ind w:right="160" w:firstLine="309"/>
        <w:spacing w:after="0" w:line="279" w:lineRule="auto"/>
        <w:rPr>
          <w:sz w:val="20"/>
          <w:szCs w:val="20"/>
          <w:color w:val="auto"/>
        </w:rPr>
      </w:pPr>
      <w:r>
        <w:rPr>
          <w:rFonts w:ascii="Arial" w:cs="Arial" w:eastAsia="Arial" w:hAnsi="Arial"/>
          <w:sz w:val="16"/>
          <w:szCs w:val="16"/>
          <w:color w:val="auto"/>
        </w:rPr>
        <w:t>Starting in the fourth quarter of 2020 and prior to February 15, 2026, at their election, holders of the Convertible Notes may convert outstanding notes if the trading price of the Company’s common stock exceeds 130% of the initial conversion price or, starting shortly after the issuance of the Convertible Notes, if the trading price per $1,000 principal amount of notes is less than 98% of the product of the trading price of the Company’s common stock and the conversion rate then in effect. The Convertible Notes may, at the Company’s election, be settled in cash, shares of common stock of the Company, or a combination thereof. The Company has the option to redeem the Convertible Notes, in whole or in part, beginning November 20, 2023.</w:t>
      </w:r>
    </w:p>
    <w:p>
      <w:pPr>
        <w:spacing w:after="0" w:line="194" w:lineRule="exact"/>
        <w:rPr>
          <w:sz w:val="20"/>
          <w:szCs w:val="20"/>
          <w:color w:val="auto"/>
        </w:rPr>
      </w:pPr>
    </w:p>
    <w:p>
      <w:pPr>
        <w:ind w:firstLine="309"/>
        <w:spacing w:after="0" w:line="259" w:lineRule="auto"/>
        <w:rPr>
          <w:sz w:val="20"/>
          <w:szCs w:val="20"/>
          <w:color w:val="auto"/>
        </w:rPr>
      </w:pPr>
      <w:r>
        <w:rPr>
          <w:rFonts w:ascii="Arial" w:cs="Arial" w:eastAsia="Arial" w:hAnsi="Arial"/>
          <w:sz w:val="17"/>
          <w:szCs w:val="17"/>
          <w:color w:val="auto"/>
        </w:rPr>
        <w:t>In addition, the Convertible Notes convert into shares of the Company’s common stock upon the occurrence of certain corporate events that constitute a fundamental change under the indenture governing the Convertible Notes at a purchase price equal to 100% of the principal amount thereof, plus accrued and unpaid interest to, but excluding, the date of repurchase. In connection with certain corporate events or if the Company issues a notice of redemption, it will, under certain circumstances, increase the conversion rate for holders who elect to convert their Convertible Notes in connection with such corporate events or during the relevant redemption period for such Convertible Notes.</w:t>
      </w:r>
    </w:p>
    <w:p>
      <w:pPr>
        <w:spacing w:after="0" w:line="200" w:lineRule="exact"/>
        <w:rPr>
          <w:sz w:val="20"/>
          <w:szCs w:val="20"/>
          <w:color w:val="auto"/>
        </w:rPr>
      </w:pPr>
    </w:p>
    <w:p>
      <w:pPr>
        <w:spacing w:after="0" w:line="370"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173990</wp:posOffset>
            </wp:positionV>
            <wp:extent cx="7164070" cy="4191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00"/>
          </w:cols>
          <w:pgMar w:left="320" w:top="127" w:right="379" w:bottom="1440" w:gutter="0" w:footer="0" w:header="0"/>
        </w:sectPr>
      </w:pPr>
    </w:p>
    <w:bookmarkStart w:id="43" w:name="page44"/>
    <w:bookmarkEnd w:id="43"/>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339" w:lineRule="exact"/>
        <w:rPr>
          <w:sz w:val="20"/>
          <w:szCs w:val="20"/>
          <w:color w:val="auto"/>
        </w:rPr>
      </w:pPr>
    </w:p>
    <w:p>
      <w:pPr>
        <w:ind w:right="40" w:firstLine="309"/>
        <w:spacing w:after="0" w:line="259" w:lineRule="auto"/>
        <w:rPr>
          <w:sz w:val="20"/>
          <w:szCs w:val="20"/>
          <w:color w:val="auto"/>
        </w:rPr>
      </w:pPr>
      <w:r>
        <w:rPr>
          <w:rFonts w:ascii="Arial" w:cs="Arial" w:eastAsia="Arial" w:hAnsi="Arial"/>
          <w:sz w:val="17"/>
          <w:szCs w:val="17"/>
          <w:color w:val="auto"/>
        </w:rPr>
        <w:t>In February 2021, the Company entered into a financing arrangement providing the Company with upfront cash proceeds while permitting us to participate in future proceeds on certain claims. The financing obligation has been classified as a non-current liability, which is expected to be settled in a future period of which the principal is contingent and predicated on other events. Consistent with an obligor’s accounting under a debt instrument, period interest will be accreted using an effective interest rate of 25% and until such time that the claims and related obligation is settled. The amount included in interest expense related to this obligation was $1.5 million for the three months ended March 31, 2021.</w:t>
      </w:r>
    </w:p>
    <w:p>
      <w:pPr>
        <w:spacing w:after="0" w:line="209" w:lineRule="exact"/>
        <w:rPr>
          <w:sz w:val="20"/>
          <w:szCs w:val="20"/>
          <w:color w:val="auto"/>
        </w:rPr>
      </w:pPr>
    </w:p>
    <w:p>
      <w:pPr>
        <w:ind w:right="60" w:firstLine="309"/>
        <w:spacing w:after="0" w:line="276" w:lineRule="auto"/>
        <w:rPr>
          <w:sz w:val="20"/>
          <w:szCs w:val="20"/>
          <w:color w:val="auto"/>
        </w:rPr>
      </w:pPr>
      <w:r>
        <w:rPr>
          <w:rFonts w:ascii="Arial" w:cs="Arial" w:eastAsia="Arial" w:hAnsi="Arial"/>
          <w:sz w:val="16"/>
          <w:szCs w:val="16"/>
          <w:color w:val="auto"/>
        </w:rPr>
        <w:t>At March 31, 2021, we had $2,488.8 million in aggregate principal amount of indebtedness, including $1,612.0 million outstanding under our Senior Secured Credit Facilities, $330.5 million outstanding under our Convertible Notes, $400.0 million outstanding under our 5.625% senior unsecured notes, and</w:t>
      </w:r>
    </w:p>
    <w:p>
      <w:pPr>
        <w:jc w:val="both"/>
        <w:ind w:right="100"/>
        <w:spacing w:after="0" w:line="259" w:lineRule="auto"/>
        <w:rPr>
          <w:sz w:val="20"/>
          <w:szCs w:val="20"/>
          <w:color w:val="auto"/>
        </w:rPr>
      </w:pPr>
      <w:r>
        <w:rPr>
          <w:rFonts w:ascii="Arial" w:cs="Arial" w:eastAsia="Arial" w:hAnsi="Arial"/>
          <w:sz w:val="17"/>
          <w:szCs w:val="17"/>
          <w:color w:val="auto"/>
        </w:rPr>
        <w:t>$146.3 million outstanding in other long-term obligations. No amounts were drawn on our Revolving Credit Facility. We have no debt maturing prior to 2023. As of March 31, 2021 we had conditional obligations under letters of credit issued pursuant to the Senior Secured Credit Facilities with face amounts aggregating to $28.0 million resulting in $672.0 million available borrowing capacity under our Revolving Credit Facility.</w:t>
      </w:r>
    </w:p>
    <w:p>
      <w:pPr>
        <w:spacing w:after="0" w:line="207" w:lineRule="exact"/>
        <w:rPr>
          <w:sz w:val="20"/>
          <w:szCs w:val="20"/>
          <w:color w:val="auto"/>
        </w:rPr>
      </w:pPr>
    </w:p>
    <w:p>
      <w:pPr>
        <w:ind w:left="320"/>
        <w:spacing w:after="0"/>
        <w:rPr>
          <w:sz w:val="20"/>
          <w:szCs w:val="20"/>
          <w:color w:val="auto"/>
        </w:rPr>
      </w:pPr>
      <w:r>
        <w:rPr>
          <w:rFonts w:ascii="Arial" w:cs="Arial" w:eastAsia="Arial" w:hAnsi="Arial"/>
          <w:sz w:val="17"/>
          <w:szCs w:val="17"/>
          <w:i w:val="1"/>
          <w:iCs w:val="1"/>
          <w:color w:val="auto"/>
        </w:rPr>
        <w:t>Covenants</w:t>
      </w:r>
    </w:p>
    <w:p>
      <w:pPr>
        <w:spacing w:after="0" w:line="243" w:lineRule="exact"/>
        <w:rPr>
          <w:sz w:val="20"/>
          <w:szCs w:val="20"/>
          <w:color w:val="auto"/>
        </w:rPr>
      </w:pPr>
    </w:p>
    <w:p>
      <w:pPr>
        <w:ind w:firstLine="309"/>
        <w:spacing w:after="0" w:line="258" w:lineRule="auto"/>
        <w:rPr>
          <w:sz w:val="20"/>
          <w:szCs w:val="20"/>
          <w:color w:val="auto"/>
        </w:rPr>
      </w:pPr>
      <w:r>
        <w:rPr>
          <w:rFonts w:ascii="Arial" w:cs="Arial" w:eastAsia="Arial" w:hAnsi="Arial"/>
          <w:sz w:val="17"/>
          <w:szCs w:val="17"/>
          <w:color w:val="auto"/>
        </w:rPr>
        <w:t>Our Senior Secured Credit Facilities and 5.625% Notes require us, among other obligations, to maintain specified financial ratios and to satisfy certain financial tests. In addition, our Senior Secured Credit Facilities and 5.625% Notes restrict, among other things, our ability to incur additional indebtedness, incur guarantee obligations, amend debt instruments, pay dividends, create liens on assets, make investments, engage in mergers or consolidations, and otherwise restrict corporate activities. Our debt agreements also contain customary events of default, including cross-default provisions that require us to meet certain requirements under the Penn Master Lease and the Pinnacle Master Lease, each with GLPI. If we are unable to meet our financial covenants or in the event of a cross-default, it could trigger an acceleration of payment terms.</w:t>
      </w:r>
    </w:p>
    <w:p>
      <w:pPr>
        <w:spacing w:after="0" w:line="209" w:lineRule="exact"/>
        <w:rPr>
          <w:sz w:val="20"/>
          <w:szCs w:val="20"/>
          <w:color w:val="auto"/>
        </w:rPr>
      </w:pPr>
    </w:p>
    <w:p>
      <w:pPr>
        <w:ind w:firstLine="309"/>
        <w:spacing w:after="0" w:line="312" w:lineRule="auto"/>
        <w:rPr>
          <w:sz w:val="20"/>
          <w:szCs w:val="20"/>
          <w:color w:val="auto"/>
        </w:rPr>
      </w:pPr>
      <w:r>
        <w:rPr>
          <w:rFonts w:ascii="Arial" w:cs="Arial" w:eastAsia="Arial" w:hAnsi="Arial"/>
          <w:sz w:val="16"/>
          <w:szCs w:val="16"/>
          <w:color w:val="auto"/>
        </w:rPr>
        <w:t>As of March 31, 2021, the Company was in compliance with all required financial covenants. The Company believes that it will remain in compliance with all of its required financial covenants for at least the next twelve months following the date of filing this Quarterly Report on Form 10-Q with the SEC.</w:t>
      </w:r>
    </w:p>
    <w:p>
      <w:pPr>
        <w:spacing w:after="0" w:line="102" w:lineRule="exact"/>
        <w:rPr>
          <w:sz w:val="20"/>
          <w:szCs w:val="20"/>
          <w:color w:val="auto"/>
        </w:rPr>
      </w:pPr>
    </w:p>
    <w:p>
      <w:pPr>
        <w:ind w:right="220" w:firstLine="309"/>
        <w:spacing w:after="0" w:line="279" w:lineRule="auto"/>
        <w:rPr>
          <w:rFonts w:ascii="Arial" w:cs="Arial" w:eastAsia="Arial" w:hAnsi="Arial"/>
          <w:sz w:val="17"/>
          <w:szCs w:val="17"/>
          <w:color w:val="auto"/>
        </w:rPr>
      </w:pPr>
      <w:r>
        <w:rPr>
          <w:rFonts w:ascii="Arial" w:cs="Arial" w:eastAsia="Arial" w:hAnsi="Arial"/>
          <w:sz w:val="17"/>
          <w:szCs w:val="17"/>
          <w:color w:val="auto"/>
        </w:rPr>
        <w:t xml:space="preserve">See </w:t>
      </w:r>
      <w:hyperlink w:anchor="page15">
        <w:r>
          <w:rPr>
            <w:rFonts w:ascii="Arial" w:cs="Arial" w:eastAsia="Arial" w:hAnsi="Arial"/>
            <w:sz w:val="17"/>
            <w:szCs w:val="17"/>
            <w:u w:val="single" w:color="auto"/>
            <w:color w:val="0000FF"/>
          </w:rPr>
          <w:t>Note 8, “Long-term Debt,”</w:t>
        </w:r>
        <w:r>
          <w:rPr>
            <w:rFonts w:ascii="Arial" w:cs="Arial" w:eastAsia="Arial" w:hAnsi="Arial"/>
            <w:sz w:val="17"/>
            <w:szCs w:val="17"/>
            <w:u w:val="single" w:color="auto"/>
            <w:color w:val="auto"/>
          </w:rPr>
          <w:t xml:space="preserve"> </w:t>
        </w:r>
      </w:hyperlink>
      <w:r>
        <w:rPr>
          <w:rFonts w:ascii="Arial" w:cs="Arial" w:eastAsia="Arial" w:hAnsi="Arial"/>
          <w:sz w:val="17"/>
          <w:szCs w:val="17"/>
          <w:color w:val="auto"/>
        </w:rPr>
        <w:t>in the notes to our unaudited Consolidated Financial Statements for additional information of the Company's debt and other long-term obligations.</w:t>
      </w:r>
    </w:p>
    <w:p>
      <w:pPr>
        <w:spacing w:after="0" w:line="190" w:lineRule="exact"/>
        <w:rPr>
          <w:sz w:val="20"/>
          <w:szCs w:val="20"/>
          <w:color w:val="auto"/>
        </w:rPr>
      </w:pPr>
    </w:p>
    <w:p>
      <w:pPr>
        <w:ind w:left="320"/>
        <w:spacing w:after="0"/>
        <w:rPr>
          <w:sz w:val="20"/>
          <w:szCs w:val="20"/>
          <w:color w:val="auto"/>
        </w:rPr>
      </w:pPr>
      <w:r>
        <w:rPr>
          <w:rFonts w:ascii="Arial" w:cs="Arial" w:eastAsia="Arial" w:hAnsi="Arial"/>
          <w:sz w:val="17"/>
          <w:szCs w:val="17"/>
          <w:i w:val="1"/>
          <w:iCs w:val="1"/>
          <w:color w:val="auto"/>
        </w:rPr>
        <w:t>Triple Net Leases</w:t>
      </w:r>
    </w:p>
    <w:p>
      <w:pPr>
        <w:spacing w:after="0" w:line="178" w:lineRule="exact"/>
        <w:rPr>
          <w:sz w:val="20"/>
          <w:szCs w:val="20"/>
          <w:color w:val="auto"/>
        </w:rPr>
      </w:pPr>
    </w:p>
    <w:p>
      <w:pPr>
        <w:ind w:right="120" w:firstLine="309"/>
        <w:spacing w:after="0" w:line="259" w:lineRule="auto"/>
        <w:rPr>
          <w:sz w:val="20"/>
          <w:szCs w:val="20"/>
          <w:color w:val="auto"/>
        </w:rPr>
      </w:pPr>
      <w:r>
        <w:rPr>
          <w:rFonts w:ascii="Arial" w:cs="Arial" w:eastAsia="Arial" w:hAnsi="Arial"/>
          <w:sz w:val="17"/>
          <w:szCs w:val="17"/>
          <w:color w:val="auto"/>
        </w:rPr>
        <w:t>The majority of the real estate assets used in the Company’s operations are subject to triple net master leases; the most significant of which are the Penn Master Lease and the Pinnacle Master Lease. The Company’s Master Leases are accounted for as either operating leases, finance leases, or financing obligations. In addition, five of the gaming facilities used in our operations are subject to individual triple net leases. As previously mentioned, we refer to the Penn Master Lease, the Pinnacle Master Lease, the Meadows Lease, the Margaritaville Lease, the Greektown Lease, the Tropicana Lease and the Morgantown Lease, collectively, as our Triple Net Leases.</w:t>
      </w:r>
    </w:p>
    <w:p>
      <w:pPr>
        <w:spacing w:after="0" w:line="144" w:lineRule="exact"/>
        <w:rPr>
          <w:sz w:val="20"/>
          <w:szCs w:val="20"/>
          <w:color w:val="auto"/>
        </w:rPr>
      </w:pPr>
    </w:p>
    <w:p>
      <w:pPr>
        <w:ind w:right="20" w:firstLine="309"/>
        <w:spacing w:after="0" w:line="242" w:lineRule="auto"/>
        <w:rPr>
          <w:rFonts w:ascii="Arial" w:cs="Arial" w:eastAsia="Arial" w:hAnsi="Arial"/>
          <w:sz w:val="17"/>
          <w:szCs w:val="17"/>
          <w:color w:val="auto"/>
        </w:rPr>
      </w:pPr>
      <w:r>
        <w:rPr>
          <w:rFonts w:ascii="Arial" w:cs="Arial" w:eastAsia="Arial" w:hAnsi="Arial"/>
          <w:sz w:val="17"/>
          <w:szCs w:val="17"/>
          <w:color w:val="auto"/>
        </w:rPr>
        <w:t xml:space="preserve">Under our Triple Net Leases, in addition to lease payments for the real estate assets, we are required to pay the following, among other things: (1) all facility maintenance; (2) all insurance required in connection with the leased properties and the business conducted on the leased properties; (3) taxes levied on or with respect to the leased properties (other than taxes on the income of the lessor); (4) all tenant capital improvements; and (5) all utilities and other services necessary or appropriate for the leased properties and the business conducted on the leased properties. Additionally, our Triple Net Leases are subject to annual escalators and periodic percentage rent resets, as applicable. See </w:t>
      </w:r>
      <w:hyperlink w:anchor="page19">
        <w:r>
          <w:rPr>
            <w:rFonts w:ascii="Arial" w:cs="Arial" w:eastAsia="Arial" w:hAnsi="Arial"/>
            <w:sz w:val="17"/>
            <w:szCs w:val="17"/>
            <w:u w:val="single" w:color="auto"/>
            <w:color w:val="0000FF"/>
          </w:rPr>
          <w:t>Note 9, “Leases,”</w:t>
        </w:r>
        <w:r>
          <w:rPr>
            <w:rFonts w:ascii="Arial" w:cs="Arial" w:eastAsia="Arial" w:hAnsi="Arial"/>
            <w:sz w:val="17"/>
            <w:szCs w:val="17"/>
            <w:u w:val="single" w:color="auto"/>
            <w:color w:val="auto"/>
          </w:rPr>
          <w:t xml:space="preserve"> </w:t>
        </w:r>
      </w:hyperlink>
      <w:r>
        <w:rPr>
          <w:rFonts w:ascii="Arial" w:cs="Arial" w:eastAsia="Arial" w:hAnsi="Arial"/>
          <w:sz w:val="17"/>
          <w:szCs w:val="17"/>
          <w:color w:val="auto"/>
        </w:rPr>
        <w:t>in the notes to our unaudited Consolidated Financial Statements for further discussion and disclosure related to the Company's leases.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3145790</wp:posOffset>
            </wp:positionH>
            <wp:positionV relativeFrom="paragraph">
              <wp:posOffset>-251460</wp:posOffset>
            </wp:positionV>
            <wp:extent cx="3962400" cy="1225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3962400" cy="122555"/>
                    </a:xfrm>
                    <a:prstGeom prst="rect">
                      <a:avLst/>
                    </a:prstGeom>
                    <a:noFill/>
                  </pic:spPr>
                </pic:pic>
              </a:graphicData>
            </a:graphic>
          </wp:anchor>
        </w:drawing>
      </w:r>
    </w:p>
    <w:p>
      <w:pPr>
        <w:spacing w:after="0" w:line="31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173990</wp:posOffset>
            </wp:positionV>
            <wp:extent cx="7164070" cy="4191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44" w:name="page45"/>
    <w:bookmarkEnd w:id="44"/>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left="320"/>
        <w:spacing w:after="0"/>
        <w:rPr>
          <w:sz w:val="20"/>
          <w:szCs w:val="20"/>
          <w:color w:val="auto"/>
        </w:rPr>
      </w:pPr>
      <w:r>
        <w:rPr>
          <w:rFonts w:ascii="Arial" w:cs="Arial" w:eastAsia="Arial" w:hAnsi="Arial"/>
          <w:sz w:val="17"/>
          <w:szCs w:val="17"/>
          <w:i w:val="1"/>
          <w:iCs w:val="1"/>
          <w:color w:val="auto"/>
        </w:rPr>
        <w:t>Payments to our REIT Landlords under Triple Net Leases</w:t>
      </w:r>
    </w:p>
    <w:p>
      <w:pPr>
        <w:spacing w:after="0" w:line="191"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Total payments made to our REIT Landlords, GLPI and VICI, were as follows:</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180" w:type="dxa"/>
            <w:vAlign w:val="bottom"/>
            <w:gridSpan w:val="4"/>
          </w:tcPr>
          <w:p>
            <w:pPr>
              <w:jc w:val="right"/>
              <w:ind w:right="34"/>
              <w:spacing w:after="0"/>
              <w:rPr>
                <w:sz w:val="20"/>
                <w:szCs w:val="20"/>
                <w:color w:val="auto"/>
              </w:rPr>
            </w:pPr>
            <w:r>
              <w:rPr>
                <w:rFonts w:ascii="Arial" w:cs="Arial" w:eastAsia="Arial" w:hAnsi="Arial"/>
                <w:sz w:val="17"/>
                <w:szCs w:val="17"/>
                <w:b w:val="1"/>
                <w:bCs w:val="1"/>
                <w:color w:val="auto"/>
                <w:w w:val="90"/>
              </w:rPr>
              <w:t>For the three months ended</w:t>
            </w:r>
          </w:p>
        </w:tc>
      </w:tr>
      <w:tr>
        <w:trPr>
          <w:trHeight w:val="219"/>
        </w:trPr>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2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gridSpan w:val="3"/>
          </w:tcPr>
          <w:p>
            <w:pPr>
              <w:jc w:val="right"/>
              <w:spacing w:after="0"/>
              <w:rPr>
                <w:sz w:val="20"/>
                <w:szCs w:val="20"/>
                <w:color w:val="auto"/>
              </w:rPr>
            </w:pPr>
            <w:r>
              <w:rPr>
                <w:rFonts w:ascii="Arial" w:cs="Arial" w:eastAsia="Arial" w:hAnsi="Arial"/>
                <w:sz w:val="17"/>
                <w:szCs w:val="17"/>
                <w:b w:val="1"/>
                <w:bCs w:val="1"/>
                <w:color w:val="auto"/>
              </w:rPr>
              <w:t>March 31,</w:t>
            </w:r>
          </w:p>
        </w:tc>
        <w:tc>
          <w:tcPr>
            <w:tcW w:w="740" w:type="dxa"/>
            <w:vAlign w:val="bottom"/>
            <w:tcBorders>
              <w:bottom w:val="single" w:sz="8" w:color="auto"/>
            </w:tcBorders>
          </w:tcPr>
          <w:p>
            <w:pPr>
              <w:spacing w:after="0"/>
              <w:rPr>
                <w:sz w:val="19"/>
                <w:szCs w:val="19"/>
                <w:color w:val="auto"/>
              </w:rPr>
            </w:pPr>
          </w:p>
        </w:tc>
      </w:tr>
      <w:tr>
        <w:trPr>
          <w:trHeight w:val="173"/>
        </w:trPr>
        <w:tc>
          <w:tcPr>
            <w:tcW w:w="8960" w:type="dxa"/>
            <w:vAlign w:val="bottom"/>
            <w:gridSpan w:val="3"/>
          </w:tcPr>
          <w:p>
            <w:pPr>
              <w:ind w:left="20"/>
              <w:spacing w:after="0"/>
              <w:rPr>
                <w:sz w:val="20"/>
                <w:szCs w:val="20"/>
                <w:color w:val="auto"/>
              </w:rPr>
            </w:pPr>
            <w:r>
              <w:rPr>
                <w:rFonts w:ascii="Arial" w:cs="Arial" w:eastAsia="Arial" w:hAnsi="Arial"/>
                <w:sz w:val="14"/>
                <w:szCs w:val="14"/>
                <w:b w:val="1"/>
                <w:bCs w:val="1"/>
                <w:i w:val="1"/>
                <w:iCs w:val="1"/>
                <w:color w:val="auto"/>
              </w:rPr>
              <w:t>(in millions)</w:t>
            </w:r>
          </w:p>
        </w:tc>
        <w:tc>
          <w:tcPr>
            <w:tcW w:w="100" w:type="dxa"/>
            <w:vAlign w:val="bottom"/>
          </w:tcPr>
          <w:p>
            <w:pPr>
              <w:spacing w:after="0"/>
              <w:rPr>
                <w:sz w:val="15"/>
                <w:szCs w:val="15"/>
                <w:color w:val="auto"/>
              </w:rPr>
            </w:pPr>
          </w:p>
        </w:tc>
        <w:tc>
          <w:tcPr>
            <w:tcW w:w="980" w:type="dxa"/>
            <w:vAlign w:val="bottom"/>
          </w:tcPr>
          <w:p>
            <w:pPr>
              <w:jc w:val="right"/>
              <w:ind w:right="294"/>
              <w:spacing w:after="0" w:line="173" w:lineRule="exact"/>
              <w:rPr>
                <w:sz w:val="20"/>
                <w:szCs w:val="20"/>
                <w:color w:val="auto"/>
              </w:rPr>
            </w:pPr>
            <w:r>
              <w:rPr>
                <w:rFonts w:ascii="Arial" w:cs="Arial" w:eastAsia="Arial" w:hAnsi="Arial"/>
                <w:sz w:val="17"/>
                <w:szCs w:val="17"/>
                <w:b w:val="1"/>
                <w:bCs w:val="1"/>
                <w:color w:val="auto"/>
              </w:rPr>
              <w:t>2021</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40" w:type="dxa"/>
            <w:vAlign w:val="bottom"/>
          </w:tcPr>
          <w:p>
            <w:pPr>
              <w:jc w:val="right"/>
              <w:ind w:right="294"/>
              <w:spacing w:after="0" w:line="173" w:lineRule="exact"/>
              <w:rPr>
                <w:sz w:val="20"/>
                <w:szCs w:val="20"/>
                <w:color w:val="auto"/>
              </w:rPr>
            </w:pPr>
            <w:r>
              <w:rPr>
                <w:rFonts w:ascii="Arial" w:cs="Arial" w:eastAsia="Arial" w:hAnsi="Arial"/>
                <w:sz w:val="17"/>
                <w:szCs w:val="17"/>
                <w:b w:val="1"/>
                <w:bCs w:val="1"/>
                <w:color w:val="auto"/>
                <w:w w:val="89"/>
              </w:rPr>
              <w:t>2020</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700" w:type="dxa"/>
            <w:vAlign w:val="bottom"/>
            <w:tcBorders>
              <w:top w:val="single" w:sz="8" w:color="auto"/>
              <w:bottom w:val="single" w:sz="8" w:color="CCEEFF"/>
            </w:tcBorders>
          </w:tcPr>
          <w:p>
            <w:pPr>
              <w:spacing w:after="0" w:line="20" w:lineRule="exact"/>
              <w:rPr>
                <w:sz w:val="1"/>
                <w:szCs w:val="1"/>
                <w:color w:val="auto"/>
              </w:rPr>
            </w:pPr>
          </w:p>
        </w:tc>
        <w:tc>
          <w:tcPr>
            <w:tcW w:w="82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r>
        <w:trPr>
          <w:trHeight w:val="211"/>
        </w:trPr>
        <w:tc>
          <w:tcPr>
            <w:tcW w:w="8960" w:type="dxa"/>
            <w:vAlign w:val="bottom"/>
            <w:gridSpan w:val="3"/>
            <w:shd w:val="clear" w:color="auto" w:fill="CCEEFF"/>
          </w:tcPr>
          <w:p>
            <w:pPr>
              <w:ind w:left="20"/>
              <w:spacing w:after="0"/>
              <w:rPr>
                <w:sz w:val="20"/>
                <w:szCs w:val="20"/>
                <w:color w:val="auto"/>
              </w:rPr>
            </w:pPr>
            <w:r>
              <w:rPr>
                <w:rFonts w:ascii="Arial" w:cs="Arial" w:eastAsia="Arial" w:hAnsi="Arial"/>
                <w:sz w:val="17"/>
                <w:szCs w:val="17"/>
                <w:color w:val="auto"/>
              </w:rPr>
              <w:t>Penn Master Lease</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117.9</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54"/>
              <w:spacing w:after="0"/>
              <w:rPr>
                <w:sz w:val="20"/>
                <w:szCs w:val="20"/>
                <w:color w:val="auto"/>
              </w:rPr>
            </w:pPr>
            <w:r>
              <w:rPr>
                <w:rFonts w:ascii="Arial" w:cs="Arial" w:eastAsia="Arial" w:hAnsi="Arial"/>
                <w:sz w:val="17"/>
                <w:szCs w:val="17"/>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114.8</w:t>
            </w:r>
          </w:p>
        </w:tc>
      </w:tr>
      <w:tr>
        <w:trPr>
          <w:trHeight w:val="218"/>
        </w:trPr>
        <w:tc>
          <w:tcPr>
            <w:tcW w:w="8960" w:type="dxa"/>
            <w:vAlign w:val="bottom"/>
            <w:gridSpan w:val="3"/>
          </w:tcPr>
          <w:p>
            <w:pPr>
              <w:ind w:left="20"/>
              <w:spacing w:after="0"/>
              <w:rPr>
                <w:sz w:val="20"/>
                <w:szCs w:val="20"/>
                <w:color w:val="auto"/>
              </w:rPr>
            </w:pPr>
            <w:r>
              <w:rPr>
                <w:rFonts w:ascii="Arial" w:cs="Arial" w:eastAsia="Arial" w:hAnsi="Arial"/>
                <w:sz w:val="17"/>
                <w:szCs w:val="17"/>
                <w:color w:val="auto"/>
              </w:rPr>
              <w:t>Pinnacle Master Lease</w:t>
            </w: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81.3</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82.5</w:t>
            </w:r>
          </w:p>
        </w:tc>
      </w:tr>
      <w:tr>
        <w:trPr>
          <w:trHeight w:val="220"/>
        </w:trPr>
        <w:tc>
          <w:tcPr>
            <w:tcW w:w="8960" w:type="dxa"/>
            <w:vAlign w:val="bottom"/>
            <w:gridSpan w:val="3"/>
            <w:shd w:val="clear" w:color="auto" w:fill="CCEEFF"/>
          </w:tcPr>
          <w:p>
            <w:pPr>
              <w:ind w:left="20"/>
              <w:spacing w:after="0"/>
              <w:rPr>
                <w:sz w:val="20"/>
                <w:szCs w:val="20"/>
                <w:color w:val="auto"/>
              </w:rPr>
            </w:pPr>
            <w:r>
              <w:rPr>
                <w:rFonts w:ascii="Arial" w:cs="Arial" w:eastAsia="Arial" w:hAnsi="Arial"/>
                <w:sz w:val="17"/>
                <w:szCs w:val="17"/>
                <w:color w:val="auto"/>
              </w:rPr>
              <w:t>Meadows Lease</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6.7</w:t>
            </w:r>
          </w:p>
        </w:tc>
      </w:tr>
      <w:tr>
        <w:trPr>
          <w:trHeight w:val="218"/>
        </w:trPr>
        <w:tc>
          <w:tcPr>
            <w:tcW w:w="8960" w:type="dxa"/>
            <w:vAlign w:val="bottom"/>
            <w:gridSpan w:val="3"/>
          </w:tcPr>
          <w:p>
            <w:pPr>
              <w:ind w:left="20"/>
              <w:spacing w:after="0"/>
              <w:rPr>
                <w:sz w:val="20"/>
                <w:szCs w:val="20"/>
                <w:color w:val="auto"/>
              </w:rPr>
            </w:pPr>
            <w:r>
              <w:rPr>
                <w:rFonts w:ascii="Arial" w:cs="Arial" w:eastAsia="Arial" w:hAnsi="Arial"/>
                <w:sz w:val="17"/>
                <w:szCs w:val="17"/>
                <w:color w:val="auto"/>
              </w:rPr>
              <w:t>Margaritaville Lease</w:t>
            </w: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5.9</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5.9</w:t>
            </w:r>
          </w:p>
        </w:tc>
      </w:tr>
      <w:tr>
        <w:trPr>
          <w:trHeight w:val="220"/>
        </w:trPr>
        <w:tc>
          <w:tcPr>
            <w:tcW w:w="8960" w:type="dxa"/>
            <w:vAlign w:val="bottom"/>
            <w:gridSpan w:val="3"/>
            <w:shd w:val="clear" w:color="auto" w:fill="CCEEFF"/>
          </w:tcPr>
          <w:p>
            <w:pPr>
              <w:ind w:left="20"/>
              <w:spacing w:after="0"/>
              <w:rPr>
                <w:sz w:val="20"/>
                <w:szCs w:val="20"/>
                <w:color w:val="auto"/>
              </w:rPr>
            </w:pPr>
            <w:r>
              <w:rPr>
                <w:rFonts w:ascii="Arial" w:cs="Arial" w:eastAsia="Arial" w:hAnsi="Arial"/>
                <w:sz w:val="17"/>
                <w:szCs w:val="17"/>
                <w:color w:val="auto"/>
              </w:rPr>
              <w:t>Greektown Lease</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13.9</w:t>
            </w:r>
          </w:p>
        </w:tc>
      </w:tr>
      <w:tr>
        <w:trPr>
          <w:trHeight w:val="218"/>
        </w:trPr>
        <w:tc>
          <w:tcPr>
            <w:tcW w:w="8960" w:type="dxa"/>
            <w:vAlign w:val="bottom"/>
            <w:tcBorders>
              <w:bottom w:val="single" w:sz="8" w:color="CCEEFF"/>
            </w:tcBorders>
            <w:gridSpan w:val="3"/>
          </w:tcPr>
          <w:p>
            <w:pPr>
              <w:ind w:left="20"/>
              <w:spacing w:after="0"/>
              <w:rPr>
                <w:sz w:val="20"/>
                <w:szCs w:val="20"/>
                <w:color w:val="auto"/>
              </w:rPr>
            </w:pPr>
            <w:r>
              <w:rPr>
                <w:rFonts w:ascii="Arial" w:cs="Arial" w:eastAsia="Arial" w:hAnsi="Arial"/>
                <w:sz w:val="17"/>
                <w:szCs w:val="17"/>
                <w:color w:val="auto"/>
              </w:rPr>
              <w:t>Morgantown Lease</w:t>
            </w:r>
          </w:p>
        </w:tc>
        <w:tc>
          <w:tcPr>
            <w:tcW w:w="1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0.8</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r>
      <w:tr>
        <w:trPr>
          <w:trHeight w:val="238"/>
        </w:trPr>
        <w:tc>
          <w:tcPr>
            <w:tcW w:w="8960" w:type="dxa"/>
            <w:vAlign w:val="bottom"/>
            <w:tcBorders>
              <w:bottom w:val="single" w:sz="8" w:color="CCEEFF"/>
            </w:tcBorders>
            <w:gridSpan w:val="3"/>
            <w:shd w:val="clear" w:color="auto" w:fill="CCEEFF"/>
          </w:tcPr>
          <w:p>
            <w:pPr>
              <w:ind w:left="20"/>
              <w:spacing w:after="0" w:line="212" w:lineRule="exact"/>
              <w:rPr>
                <w:sz w:val="20"/>
                <w:szCs w:val="20"/>
                <w:color w:val="auto"/>
              </w:rPr>
            </w:pPr>
            <w:r>
              <w:rPr>
                <w:rFonts w:ascii="Arial" w:cs="Arial" w:eastAsia="Arial" w:hAnsi="Arial"/>
                <w:sz w:val="17"/>
                <w:szCs w:val="17"/>
                <w:color w:val="auto"/>
              </w:rPr>
              <w:t xml:space="preserve">Total </w:t>
            </w:r>
            <w:r>
              <w:rPr>
                <w:rFonts w:ascii="Arial" w:cs="Arial" w:eastAsia="Arial" w:hAnsi="Arial"/>
                <w:sz w:val="22"/>
                <w:szCs w:val="22"/>
                <w:color w:val="auto"/>
                <w:vertAlign w:val="superscript"/>
              </w:rPr>
              <w:t>(1)</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226.0</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54"/>
              <w:spacing w:after="0"/>
              <w:rPr>
                <w:sz w:val="20"/>
                <w:szCs w:val="20"/>
                <w:color w:val="auto"/>
              </w:rPr>
            </w:pPr>
            <w:r>
              <w:rPr>
                <w:rFonts w:ascii="Arial" w:cs="Arial" w:eastAsia="Arial" w:hAnsi="Arial"/>
                <w:sz w:val="17"/>
                <w:szCs w:val="17"/>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223.8</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8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r>
    </w:tbl>
    <w:p>
      <w:pPr>
        <w:spacing w:after="0" w:line="239" w:lineRule="exact"/>
        <w:rPr>
          <w:sz w:val="20"/>
          <w:szCs w:val="20"/>
          <w:color w:val="auto"/>
        </w:rPr>
      </w:pPr>
    </w:p>
    <w:p>
      <w:pPr>
        <w:ind w:left="620" w:hanging="307"/>
        <w:spacing w:after="0"/>
        <w:tabs>
          <w:tab w:leader="none" w:pos="620" w:val="left"/>
        </w:tabs>
        <w:numPr>
          <w:ilvl w:val="0"/>
          <w:numId w:val="19"/>
        </w:numPr>
        <w:rPr>
          <w:rFonts w:ascii="Arial" w:cs="Arial" w:eastAsia="Arial" w:hAnsi="Arial"/>
          <w:sz w:val="14"/>
          <w:szCs w:val="14"/>
          <w:color w:val="auto"/>
        </w:rPr>
      </w:pPr>
      <w:r>
        <w:rPr>
          <w:rFonts w:ascii="Arial" w:cs="Arial" w:eastAsia="Arial" w:hAnsi="Arial"/>
          <w:sz w:val="14"/>
          <w:szCs w:val="14"/>
          <w:color w:val="auto"/>
        </w:rPr>
        <w:t>Rent payable under the Tropicana Lease is nominal. Therefore, this lease has been excluded from the table above.</w:t>
      </w:r>
    </w:p>
    <w:p>
      <w:pPr>
        <w:spacing w:after="0" w:line="18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Outlook</w:t>
      </w:r>
    </w:p>
    <w:p>
      <w:pPr>
        <w:spacing w:after="0" w:line="178" w:lineRule="exact"/>
        <w:rPr>
          <w:sz w:val="20"/>
          <w:szCs w:val="20"/>
          <w:color w:val="auto"/>
        </w:rPr>
      </w:pPr>
    </w:p>
    <w:p>
      <w:pPr>
        <w:ind w:right="40" w:firstLine="309"/>
        <w:spacing w:after="0" w:line="271" w:lineRule="auto"/>
        <w:rPr>
          <w:sz w:val="20"/>
          <w:szCs w:val="20"/>
          <w:color w:val="auto"/>
        </w:rPr>
      </w:pPr>
      <w:r>
        <w:rPr>
          <w:rFonts w:ascii="Arial" w:cs="Arial" w:eastAsia="Arial" w:hAnsi="Arial"/>
          <w:sz w:val="15"/>
          <w:szCs w:val="15"/>
          <w:color w:val="auto"/>
        </w:rPr>
        <w:t>Based on our current level of operations, we believe that cash generated from operations and cash on hand, together with amounts available under our Senior Secured Credit Facilities, will be adequate to meet our anticipated obligations under our Triple Net Leases, debt service requirements, capital expenditures and working capital needs for the foreseeable future. However, our ability to generate sufficient cash flow from operations will depend on a range of economic, competitive and business factors, many of which are outside our control, including the impact of the COVID-19 pandemic. We cannot be certain: (i) of the impact of the operating restrictions to accommodate social distancing and health and safety guidelines on our properties and financial results, including the cash generated from operations; (ii) of the magnitude and duration of the impact of the COVID-19 pandemic (including reoccurrences) on general economic conditions, capital markets, unemployment and our liquidity, operations, supply chain and personnel, including the potential that some or all of our properties may be forced to close or cease operations for a certain period of time; (iii) that the U.S. economy and our business will recover to levels that existed prior to the COVID-19 pandemic and on what time frame; (iv) that our anticipated earnings projections will be realized; (v) that we will achieve the expected synergies from our acquisitions; and</w:t>
      </w:r>
    </w:p>
    <w:p>
      <w:pPr>
        <w:spacing w:after="0" w:line="2" w:lineRule="exact"/>
        <w:rPr>
          <w:sz w:val="20"/>
          <w:szCs w:val="20"/>
          <w:color w:val="auto"/>
        </w:rPr>
      </w:pPr>
    </w:p>
    <w:p>
      <w:pPr>
        <w:ind w:right="60" w:firstLine="3"/>
        <w:spacing w:after="0" w:line="255" w:lineRule="auto"/>
        <w:tabs>
          <w:tab w:leader="none" w:pos="291" w:val="left"/>
        </w:tabs>
        <w:numPr>
          <w:ilvl w:val="0"/>
          <w:numId w:val="20"/>
        </w:numPr>
        <w:rPr>
          <w:rFonts w:ascii="Arial" w:cs="Arial" w:eastAsia="Arial" w:hAnsi="Arial"/>
          <w:sz w:val="16"/>
          <w:szCs w:val="16"/>
          <w:color w:val="auto"/>
        </w:rPr>
      </w:pPr>
      <w:r>
        <w:rPr>
          <w:rFonts w:ascii="Arial" w:cs="Arial" w:eastAsia="Arial" w:hAnsi="Arial"/>
          <w:sz w:val="16"/>
          <w:szCs w:val="16"/>
          <w:color w:val="auto"/>
        </w:rPr>
        <w:t xml:space="preserve">that future borrowings will be available under our Senior Secured Credit Facilities or otherwise will be available in the credit markets to enable us to service our indebtedness or to make anticipated capital expenditures. We caution you that the trends seen at our reopened properties, such as higher spend per trip and increased visitation, may not continue. In addition, while we anticipated that a significant amount of our future growth would come through the pursuit of opportunities within other distribution channels, such as retail and online sports betting, social gaming, retail gaming, and iGaming; from acquisitions of gaming properties at reasonable valuations; greenfield projects; and jurisdictional expansions and property expansion in under-penetrated markets; there can be no assurance that this will be the case given the uncertainty arising from the COVID-19 pandemic. If we consummate significant acquisitions in the future or undertake any significant property expansions, our cash requirements may increase significantly and we may need to make additional borrowings or complete equity or debt financings to meet these requirements. See </w:t>
      </w:r>
      <w:hyperlink w:anchor="page48">
        <w:r>
          <w:rPr>
            <w:rFonts w:ascii="Arial" w:cs="Arial" w:eastAsia="Arial" w:hAnsi="Arial"/>
            <w:sz w:val="16"/>
            <w:szCs w:val="16"/>
            <w:u w:val="single" w:color="auto"/>
            <w:color w:val="0000FF"/>
          </w:rPr>
          <w:t>"Part II, Item 1A. Risk Factors"</w:t>
        </w:r>
        <w:r>
          <w:rPr>
            <w:rFonts w:ascii="Arial" w:cs="Arial" w:eastAsia="Arial" w:hAnsi="Arial"/>
            <w:sz w:val="16"/>
            <w:szCs w:val="16"/>
            <w:u w:val="single" w:color="auto"/>
            <w:color w:val="auto"/>
          </w:rPr>
          <w:t xml:space="preserve"> </w:t>
        </w:r>
      </w:hyperlink>
      <w:r>
        <w:rPr>
          <w:rFonts w:ascii="Arial" w:cs="Arial" w:eastAsia="Arial" w:hAnsi="Arial"/>
          <w:sz w:val="16"/>
          <w:szCs w:val="16"/>
          <w:color w:val="auto"/>
        </w:rPr>
        <w:t>of this Form 10-Q and Part I, Item 1A. “Risk Factors” of the Company’s Form 10-K for the year ended December 31, 2020 for a discussion of additional risks related to the Company’s capital structure.</w:t>
      </w:r>
    </w:p>
    <w:p>
      <w:pPr>
        <w:spacing w:after="0" w:line="135" w:lineRule="exact"/>
        <w:rPr>
          <w:sz w:val="20"/>
          <w:szCs w:val="20"/>
          <w:color w:val="auto"/>
        </w:rPr>
      </w:pPr>
    </w:p>
    <w:p>
      <w:pPr>
        <w:jc w:val="both"/>
        <w:ind w:right="480" w:firstLine="309"/>
        <w:spacing w:after="0" w:line="290" w:lineRule="auto"/>
        <w:rPr>
          <w:sz w:val="20"/>
          <w:szCs w:val="20"/>
          <w:color w:val="auto"/>
        </w:rPr>
      </w:pPr>
      <w:r>
        <w:rPr>
          <w:rFonts w:ascii="Arial" w:cs="Arial" w:eastAsia="Arial" w:hAnsi="Arial"/>
          <w:sz w:val="16"/>
          <w:szCs w:val="16"/>
          <w:color w:val="auto"/>
        </w:rPr>
        <w:t>We have historically maintained a capital structure comprised of a mix of equity and debt financing. We vary our leverage to pursue opportunities in the marketplace in an effort to maximize our enterprise value for our shareholders. We expect to meet our debt obligations as they come due through internally-generated funds from operations and/or refinancing them through the debt or equity markets prior to their maturity.</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CRITICAL ACCOUNTING ESTIMATES</w:t>
      </w:r>
    </w:p>
    <w:p>
      <w:pPr>
        <w:spacing w:after="0" w:line="197" w:lineRule="exact"/>
        <w:rPr>
          <w:sz w:val="20"/>
          <w:szCs w:val="20"/>
          <w:color w:val="auto"/>
        </w:rPr>
      </w:pPr>
    </w:p>
    <w:p>
      <w:pPr>
        <w:ind w:right="740" w:firstLine="309"/>
        <w:spacing w:after="0" w:line="279" w:lineRule="auto"/>
        <w:rPr>
          <w:sz w:val="20"/>
          <w:szCs w:val="20"/>
          <w:color w:val="auto"/>
        </w:rPr>
      </w:pPr>
      <w:r>
        <w:rPr>
          <w:rFonts w:ascii="Arial" w:cs="Arial" w:eastAsia="Arial" w:hAnsi="Arial"/>
          <w:sz w:val="17"/>
          <w:szCs w:val="17"/>
          <w:color w:val="auto"/>
        </w:rPr>
        <w:t>A complete discussion of our critical accounting estimates is included in our Form 10-K for the year ended December 31, 2020. There have been no significant changes in our critical accounting estimates during the three months ended March 31, 2021.</w:t>
      </w: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182245</wp:posOffset>
            </wp:positionV>
            <wp:extent cx="7164070" cy="4191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5" w:name="page46"/>
    <w:bookmarkEnd w:id="45"/>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RECENTLY ISSUED ACCOUNTING PRONOUNCEMENTS</w:t>
      </w:r>
    </w:p>
    <w:p>
      <w:pPr>
        <w:spacing w:after="0" w:line="184" w:lineRule="exact"/>
        <w:rPr>
          <w:sz w:val="20"/>
          <w:szCs w:val="20"/>
          <w:color w:val="auto"/>
        </w:rPr>
      </w:pPr>
    </w:p>
    <w:p>
      <w:pPr>
        <w:ind w:right="800" w:firstLine="309"/>
        <w:spacing w:after="0" w:line="312" w:lineRule="auto"/>
        <w:rPr>
          <w:rFonts w:ascii="Arial" w:cs="Arial" w:eastAsia="Arial" w:hAnsi="Arial"/>
          <w:sz w:val="16"/>
          <w:szCs w:val="16"/>
          <w:color w:val="auto"/>
        </w:rPr>
      </w:pPr>
      <w:r>
        <w:rPr>
          <w:rFonts w:ascii="Arial" w:cs="Arial" w:eastAsia="Arial" w:hAnsi="Arial"/>
          <w:sz w:val="16"/>
          <w:szCs w:val="16"/>
          <w:color w:val="auto"/>
        </w:rPr>
        <w:t xml:space="preserve">For information with respect to new accounting pronouncements and the impact of these pronouncements on our unaudited Consolidated Financial Statements, see </w:t>
      </w:r>
      <w:hyperlink w:anchor="page11">
        <w:r>
          <w:rPr>
            <w:rFonts w:ascii="Arial" w:cs="Arial" w:eastAsia="Arial" w:hAnsi="Arial"/>
            <w:sz w:val="16"/>
            <w:szCs w:val="16"/>
            <w:u w:val="single" w:color="auto"/>
            <w:color w:val="0000FF"/>
          </w:rPr>
          <w:t>Note 3, “New Accounting Pronouncements,”</w:t>
        </w:r>
        <w:r>
          <w:rPr>
            <w:rFonts w:ascii="Arial" w:cs="Arial" w:eastAsia="Arial" w:hAnsi="Arial"/>
            <w:sz w:val="16"/>
            <w:szCs w:val="16"/>
            <w:u w:val="single" w:color="auto"/>
            <w:color w:val="auto"/>
          </w:rPr>
          <w:t xml:space="preserve"> </w:t>
        </w:r>
      </w:hyperlink>
      <w:r>
        <w:rPr>
          <w:rFonts w:ascii="Arial" w:cs="Arial" w:eastAsia="Arial" w:hAnsi="Arial"/>
          <w:sz w:val="16"/>
          <w:szCs w:val="16"/>
          <w:color w:val="auto"/>
        </w:rPr>
        <w:t>in the notes to our unaudited Consolidated Financial Statements.</w:t>
      </w:r>
    </w:p>
    <w:p>
      <w:pPr>
        <w:spacing w:after="0" w:line="160"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IMPORTANT FACTORS REGARDING FORWARD-LOOKING STATEMENTS</w:t>
      </w:r>
    </w:p>
    <w:p>
      <w:pPr>
        <w:spacing w:after="0" w:line="197" w:lineRule="exact"/>
        <w:rPr>
          <w:sz w:val="20"/>
          <w:szCs w:val="20"/>
          <w:color w:val="auto"/>
        </w:rPr>
      </w:pPr>
    </w:p>
    <w:p>
      <w:pPr>
        <w:ind w:firstLine="309"/>
        <w:spacing w:after="0" w:line="289" w:lineRule="auto"/>
        <w:rPr>
          <w:sz w:val="20"/>
          <w:szCs w:val="20"/>
          <w:color w:val="auto"/>
        </w:rPr>
      </w:pPr>
      <w:r>
        <w:rPr>
          <w:rFonts w:ascii="Arial" w:cs="Arial" w:eastAsia="Arial" w:hAnsi="Arial"/>
          <w:sz w:val="15"/>
          <w:szCs w:val="15"/>
          <w:color w:val="auto"/>
        </w:rPr>
        <w:t>This Form 10-Q includes “forward-looking statements” within the meaning of Section 27A of the Securities Act of 1933, as amended, and Section 21E of the Securities Exchange Act of 1934, as amended. These statements can be identified by the use of forward-looking terminology such as “expects,” “believes,” “estimates,” “projects,” “intends,” “plans,” “goal,” “seeks,” “may,” “will,” “should,” or “anticipates” or the negative or other variations of these or similar words, or by discussions of future events, strategies or risks and uncertainties. Specifically, forward-looking statements include, but are not limited to, statements regarding: COVID-19; continued demand for the gaming properties that have opened and the possibility that the Company’s gaming properties may be required to close again in the future due to COVID-19; the impact of COVID-19 on general economic conditions, capital markets, unemployment, and the Company’s liquidity, operations, supply chain and personnel; the potential benefits and expected timing of the Perryville transaction with Gaming and Leisure Properties, Inc.; the Company’s estimated cash burn and future liquidity, future revenue and Adjusted EBITDAR, including from the Company’s iGaming business in Pennsylvania and Michigan; the continued success of Barstool Sports in Pennsylvania, Michigan, Illinois and in additional states in the future; the expected benefits and potential challenges of the investment in Barstool Sports, including the anticipated benefits for the Company’s online and retail sports betting, iGaming and social casino products; the expected financial returns from the transaction with Barstool Sports; the expected launch of the Barstool-branded mobile sports betting product in future states and its future revenue and profit contributions; the Company’s expectations of future results of operations and financial condition, including margins; the Company’s development projects or its iGaming initiatives; the timing, cost and expected impact of planned capital expenditures on the Company’s results of operations; the Company’s expectations with regard to the impact of competition; the anticipated opening dates of the Company’s retail sportsbooks in future states and its proposed Pennsylvania Category 4 casinos in York and Berks counties; the Company’s expectations with regard to acquisitions, potential divestitures and development opportunities, as well as the integration of and synergies related to any companies the Company have acquired or may acquire; the outcome and financial impact of the litigation in which the Company is or will be periodically involved; the actions of regulatory, legislative, executive or judicial decisions at the federal, state or local level with regard to our business and the impact of any such actions; the Company’s ability to maintain regulatory approvals for its existing businesses and to receive regulatory approvals for its new business partners; the Company’s expectations with regard to the impact of competition in online sports betting, iGaming and retail/mobile sportsbooks as well as the potential impact of this business line on the Company’s existing businesses; the performance of the Company’s partners in online sports betting, iGaming and retail/mobile sportsbooks, including the risks associated with any new business, the actions of regulatory, legislative, executive or judicial decisions at the federal, state or local level with regard to online sports betting, iGaming and retail/mobile sportsbooks and the impact of any such actions; and the Company’s expectations regarding economic and consumer conditions. Such statements are all subject to risks, uncertainties and changes in circumstances that could significantly affect the Company’s future financial results and business.</w:t>
      </w:r>
    </w:p>
    <w:p>
      <w:pPr>
        <w:spacing w:after="0" w:line="200" w:lineRule="exact"/>
        <w:rPr>
          <w:sz w:val="20"/>
          <w:szCs w:val="20"/>
          <w:color w:val="auto"/>
        </w:rPr>
      </w:pPr>
    </w:p>
    <w:p>
      <w:pPr>
        <w:spacing w:after="0" w:line="205" w:lineRule="exact"/>
        <w:rPr>
          <w:sz w:val="20"/>
          <w:szCs w:val="20"/>
          <w:color w:val="auto"/>
        </w:rPr>
      </w:pPr>
    </w:p>
    <w:p>
      <w:pPr>
        <w:ind w:firstLine="309"/>
        <w:spacing w:after="0" w:line="291" w:lineRule="auto"/>
        <w:rPr>
          <w:sz w:val="20"/>
          <w:szCs w:val="20"/>
          <w:color w:val="auto"/>
        </w:rPr>
      </w:pPr>
      <w:r>
        <w:rPr>
          <w:rFonts w:ascii="Arial" w:cs="Arial" w:eastAsia="Arial" w:hAnsi="Arial"/>
          <w:sz w:val="15"/>
          <w:szCs w:val="15"/>
          <w:color w:val="auto"/>
        </w:rPr>
        <w:t>Accordingly, the Company cautions that the forward-looking statements contained herein are qualified by important factors that could cause actual results to differ materially from those reflected by such statements. Such factors include, but are not limited to: (a) the magnitude and duration of the impact of the COVID-19 pandemic on general economic conditions, capital markets, unemployment, consumer spending and the Company’s liquidity, financial condition, supply chain, operations and personnel; (b) industry, market, economic, political, regulatory and health conditions; (c) disruptions in operations from data protection breaches, cyberattacks, extreme weather conditions, medical epidemics or pandemics such as the COVID-19 (and reoccurrences), and other natural or man-made disasters or catastrophic events; (d) the Company’s ability to access additional capital on favorable terms or at all; (e) the Company’s ability to remain in compliance with the financial covenants of its debt obligations; (f) the consummation of the Perryville transaction with GLPI is subject to various conditions, including third-party agreements and approvals, and accordingly may be delayed or may not occur at all; (g) actions to reduce costs and improve efficiencies to mitigate losses as a result of the COVID-19 pandemic that could negatively impact guest loyalty and the Company’s ability to attract and retain employees; (h) the outcome of any legal proceedings that may be instituted against the Company or its directors, officers or employees; (i) the impact of new or changes in current laws, regulations, rules or other industry standards; (j) the ability of the Company’s operating teams to drive revenue and margins; (k) the impact of significant competition from other gaming and entertainment operations (including from Native American casinos, historic racing machines, state sponsored i-lottery products and VGTs in or adjacent to states in which we operate); (l) the Company’s ability to obtain timely regulatory approvals required to own, develop and/or operate its properties, or other delays, approvals or impediments to completing its planned acquisitions or projects, construction factors, including delays, and increased costs; (m) the passage of state, federal or local legislation (including referenda) that would expand, restrict, further tax, prevent or</w:t>
      </w:r>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182245</wp:posOffset>
            </wp:positionV>
            <wp:extent cx="7164070" cy="4191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46" w:name="page47"/>
    <w:bookmarkEnd w:id="46"/>
    <w:p>
      <w:pPr>
        <w:spacing w:after="0" w:line="290" w:lineRule="auto"/>
        <w:rPr>
          <w:sz w:val="20"/>
          <w:szCs w:val="20"/>
          <w:color w:val="auto"/>
        </w:rPr>
      </w:pPr>
      <w:r>
        <w:rPr>
          <w:rFonts w:ascii="Arial" w:cs="Arial" w:eastAsia="Arial" w:hAnsi="Arial"/>
          <w:sz w:val="15"/>
          <w:szCs w:val="15"/>
          <w:color w:val="auto"/>
        </w:rPr>
        <w:t>negatively impact operations in or adjacent to the jurisdictions in which the Company does or seek to do business (such as a smoking ban at any of its properties or the award of additional gaming licenses proximate to its properties, as recently occurred with legislation in Illinois and Pennsylvania); (n) the effects of local and national economic, credit, capital market, housing, and energy conditions on the economy in general and on the gaming and lodging industries in particular; (o) the activities of our competitors (commercial and tribal) and the rapid emergence of new competitors (traditional, internet, social, sweepstakes based and VGTs in bars and truck stops); (p) increases in the effective rate of taxation for any of our operations or at the corporate level; (q) our ability to identify attractive acquisition and development opportunities (especially in new business lines) and to agree to terms with, and maintain good relationships with partners and municipalities for such transactions; (r) the costs and risks involved in the pursuit of such opportunities and our ability to complete the acquisition or development of, and achieve the expected returns from, such opportunities; (s) the impact of weather, including flooding, hurricanes and tornadoes; (t) changes in accounting standards; (u) the risk of failing to maintain the integrity of our information technology infrastructure and safeguard our business, employee and customer data (particularly as our iGaming division grows); (v) with respect to our iGaming and sports betting endeavors, the impact of significant competition from other companies for online sports betting, iGaming and sportsbooks, the Company’s ability to achieve the expected financial returns related to its investment in Barstool Sports, the Company’s ability to retain key talent, its ability to obtain timely regulatory approvals required to own, develop and/or operate sportsbooks may be delayed and there may be impediments and increased costs to launching the online betting, iGaming and sportsbooks, including delays, and increased costs, intellectual property and legal and regulatory challenges, as well as the Company’s ability to successfully develop innovative products that attract and retain a significant number of players in order to grow its revenues and earnings, its ability to establish key partnerships, its ability to generate meaningful returns and the risks inherent in any new business; (w) with respect to the Company’s proposed Pennsylvania Category 4 casinos in York and Berks counties, risks relating to construction, and its ability to achieve its expected budgets, timelines and investment returns, including the ultimate location of other gaming properties in the Commonwealth of Pennsylvania; and (x) other factors as discussed in the Company’s Annual Report on Form 10-K for the year ended December 31, 2020 and Current Reports on Form 8-K, each as filed with the U.S. Securities and Exchange Commission.</w:t>
      </w:r>
    </w:p>
    <w:p>
      <w:pPr>
        <w:spacing w:after="0" w:line="394" w:lineRule="exact"/>
        <w:rPr>
          <w:sz w:val="20"/>
          <w:szCs w:val="20"/>
          <w:color w:val="auto"/>
        </w:rPr>
      </w:pPr>
    </w:p>
    <w:p>
      <w:pPr>
        <w:spacing w:after="0"/>
        <w:tabs>
          <w:tab w:leader="none" w:pos="780" w:val="left"/>
        </w:tabs>
        <w:rPr>
          <w:sz w:val="20"/>
          <w:szCs w:val="20"/>
          <w:color w:val="auto"/>
        </w:rPr>
      </w:pPr>
      <w:r>
        <w:rPr>
          <w:rFonts w:ascii="Arial" w:cs="Arial" w:eastAsia="Arial" w:hAnsi="Arial"/>
          <w:sz w:val="17"/>
          <w:szCs w:val="17"/>
          <w:b w:val="1"/>
          <w:bCs w:val="1"/>
          <w:color w:val="auto"/>
        </w:rPr>
        <w:t>ITEM 3.</w:t>
        <w:tab/>
        <w:t>QUANTITATIVE AND QUALITATIVE DISCLOSURE ABOUT MARKET RISK</w:t>
      </w:r>
    </w:p>
    <w:p>
      <w:pPr>
        <w:spacing w:after="0" w:line="184" w:lineRule="exact"/>
        <w:rPr>
          <w:sz w:val="20"/>
          <w:szCs w:val="20"/>
          <w:color w:val="auto"/>
        </w:rPr>
      </w:pPr>
    </w:p>
    <w:p>
      <w:pPr>
        <w:ind w:firstLine="309"/>
        <w:spacing w:after="0" w:line="262" w:lineRule="auto"/>
        <w:rPr>
          <w:sz w:val="20"/>
          <w:szCs w:val="20"/>
          <w:color w:val="auto"/>
        </w:rPr>
      </w:pPr>
      <w:r>
        <w:rPr>
          <w:rFonts w:ascii="Arial" w:cs="Arial" w:eastAsia="Arial" w:hAnsi="Arial"/>
          <w:sz w:val="17"/>
          <w:szCs w:val="17"/>
          <w:color w:val="auto"/>
        </w:rPr>
        <w:t>We are exposed to market risk from adverse changes in interest rates with respect to the short-term floating interest rate on borrowings under our Senior Secured Credit Facilities. As of March 31, 2021, the Company’s Senior Secured Credit Facilities had a gross outstanding balance of $1,612.0 million, consisting of a $623.6 million Term Loan A Facility, a $988.4 million Term Loan B-1 Facility. As of March 31, 2021, we have $672.0 million of available borrowing capacity under our Revolving Credit Facility.</w:t>
      </w:r>
    </w:p>
    <w:p>
      <w:pPr>
        <w:spacing w:after="0" w:line="152" w:lineRule="exact"/>
        <w:rPr>
          <w:sz w:val="20"/>
          <w:szCs w:val="20"/>
          <w:color w:val="auto"/>
        </w:rPr>
      </w:pPr>
    </w:p>
    <w:p>
      <w:pPr>
        <w:ind w:right="200" w:firstLine="309"/>
        <w:spacing w:after="0" w:line="312" w:lineRule="auto"/>
        <w:rPr>
          <w:sz w:val="20"/>
          <w:szCs w:val="20"/>
          <w:color w:val="auto"/>
        </w:rPr>
      </w:pPr>
      <w:r>
        <w:rPr>
          <w:rFonts w:ascii="Arial" w:cs="Arial" w:eastAsia="Arial" w:hAnsi="Arial"/>
          <w:sz w:val="16"/>
          <w:szCs w:val="16"/>
          <w:color w:val="auto"/>
        </w:rPr>
        <w:t>The table below provides information as of March 31, 2021 about our long-term debt obligations that are sensitive to changes in interest rates, including the notional amounts maturing during the twelve month period presented and the related weighted-average interest rates by maturity dates.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40" w:type="dxa"/>
            <w:vAlign w:val="bottom"/>
            <w:gridSpan w:val="3"/>
          </w:tcPr>
          <w:p>
            <w:pPr>
              <w:ind w:left="20"/>
              <w:spacing w:after="0"/>
              <w:rPr>
                <w:sz w:val="20"/>
                <w:szCs w:val="20"/>
                <w:color w:val="auto"/>
              </w:rPr>
            </w:pPr>
            <w:r>
              <w:rPr>
                <w:rFonts w:ascii="Arial" w:cs="Arial" w:eastAsia="Arial" w:hAnsi="Arial"/>
                <w:sz w:val="14"/>
                <w:szCs w:val="14"/>
                <w:b w:val="1"/>
                <w:bCs w:val="1"/>
                <w:i w:val="1"/>
                <w:iCs w:val="1"/>
                <w:color w:val="auto"/>
              </w:rPr>
              <w:t>(dollars in millions)</w:t>
            </w:r>
          </w:p>
        </w:tc>
        <w:tc>
          <w:tcPr>
            <w:tcW w:w="1060" w:type="dxa"/>
            <w:vAlign w:val="bottom"/>
            <w:gridSpan w:val="2"/>
          </w:tcPr>
          <w:p>
            <w:pPr>
              <w:ind w:left="20"/>
              <w:spacing w:after="0"/>
              <w:rPr>
                <w:sz w:val="20"/>
                <w:szCs w:val="20"/>
                <w:color w:val="auto"/>
              </w:rPr>
            </w:pPr>
            <w:r>
              <w:rPr>
                <w:rFonts w:ascii="Arial" w:cs="Arial" w:eastAsia="Arial" w:hAnsi="Arial"/>
                <w:sz w:val="14"/>
                <w:szCs w:val="14"/>
                <w:b w:val="1"/>
                <w:bCs w:val="1"/>
                <w:color w:val="auto"/>
                <w:w w:val="89"/>
              </w:rPr>
              <w:t>4/01/21 - 03/31/22</w:t>
            </w:r>
          </w:p>
        </w:tc>
        <w:tc>
          <w:tcPr>
            <w:tcW w:w="100" w:type="dxa"/>
            <w:vAlign w:val="bottom"/>
          </w:tcPr>
          <w:p>
            <w:pPr>
              <w:spacing w:after="0"/>
              <w:rPr>
                <w:sz w:val="14"/>
                <w:szCs w:val="14"/>
                <w:color w:val="auto"/>
              </w:rPr>
            </w:pPr>
          </w:p>
        </w:tc>
        <w:tc>
          <w:tcPr>
            <w:tcW w:w="1080" w:type="dxa"/>
            <w:vAlign w:val="bottom"/>
            <w:gridSpan w:val="2"/>
          </w:tcPr>
          <w:p>
            <w:pPr>
              <w:ind w:left="20"/>
              <w:spacing w:after="0"/>
              <w:rPr>
                <w:sz w:val="20"/>
                <w:szCs w:val="20"/>
                <w:color w:val="auto"/>
              </w:rPr>
            </w:pPr>
            <w:r>
              <w:rPr>
                <w:rFonts w:ascii="Arial" w:cs="Arial" w:eastAsia="Arial" w:hAnsi="Arial"/>
                <w:sz w:val="14"/>
                <w:szCs w:val="14"/>
                <w:b w:val="1"/>
                <w:bCs w:val="1"/>
                <w:color w:val="auto"/>
                <w:w w:val="91"/>
              </w:rPr>
              <w:t>4/01/22 - 03/31/23</w:t>
            </w:r>
          </w:p>
        </w:tc>
        <w:tc>
          <w:tcPr>
            <w:tcW w:w="100" w:type="dxa"/>
            <w:vAlign w:val="bottom"/>
          </w:tcPr>
          <w:p>
            <w:pPr>
              <w:spacing w:after="0"/>
              <w:rPr>
                <w:sz w:val="14"/>
                <w:szCs w:val="14"/>
                <w:color w:val="auto"/>
              </w:rPr>
            </w:pPr>
          </w:p>
        </w:tc>
        <w:tc>
          <w:tcPr>
            <w:tcW w:w="1080" w:type="dxa"/>
            <w:vAlign w:val="bottom"/>
            <w:gridSpan w:val="2"/>
          </w:tcPr>
          <w:p>
            <w:pPr>
              <w:ind w:left="20"/>
              <w:spacing w:after="0"/>
              <w:rPr>
                <w:sz w:val="20"/>
                <w:szCs w:val="20"/>
                <w:color w:val="auto"/>
              </w:rPr>
            </w:pPr>
            <w:r>
              <w:rPr>
                <w:rFonts w:ascii="Arial" w:cs="Arial" w:eastAsia="Arial" w:hAnsi="Arial"/>
                <w:sz w:val="14"/>
                <w:szCs w:val="14"/>
                <w:b w:val="1"/>
                <w:bCs w:val="1"/>
                <w:color w:val="auto"/>
                <w:w w:val="91"/>
              </w:rPr>
              <w:t>4/01/23 - 03/31/24</w:t>
            </w:r>
          </w:p>
        </w:tc>
        <w:tc>
          <w:tcPr>
            <w:tcW w:w="100" w:type="dxa"/>
            <w:vAlign w:val="bottom"/>
          </w:tcPr>
          <w:p>
            <w:pPr>
              <w:spacing w:after="0"/>
              <w:rPr>
                <w:sz w:val="14"/>
                <w:szCs w:val="14"/>
                <w:color w:val="auto"/>
              </w:rPr>
            </w:pPr>
          </w:p>
        </w:tc>
        <w:tc>
          <w:tcPr>
            <w:tcW w:w="1080" w:type="dxa"/>
            <w:vAlign w:val="bottom"/>
            <w:gridSpan w:val="2"/>
          </w:tcPr>
          <w:p>
            <w:pPr>
              <w:ind w:left="20"/>
              <w:spacing w:after="0"/>
              <w:rPr>
                <w:sz w:val="20"/>
                <w:szCs w:val="20"/>
                <w:color w:val="auto"/>
              </w:rPr>
            </w:pPr>
            <w:r>
              <w:rPr>
                <w:rFonts w:ascii="Arial" w:cs="Arial" w:eastAsia="Arial" w:hAnsi="Arial"/>
                <w:sz w:val="14"/>
                <w:szCs w:val="14"/>
                <w:b w:val="1"/>
                <w:bCs w:val="1"/>
                <w:color w:val="auto"/>
                <w:w w:val="91"/>
              </w:rPr>
              <w:t>4/01/24 - 03/31/25</w:t>
            </w:r>
          </w:p>
        </w:tc>
        <w:tc>
          <w:tcPr>
            <w:tcW w:w="100" w:type="dxa"/>
            <w:vAlign w:val="bottom"/>
          </w:tcPr>
          <w:p>
            <w:pPr>
              <w:spacing w:after="0"/>
              <w:rPr>
                <w:sz w:val="14"/>
                <w:szCs w:val="14"/>
                <w:color w:val="auto"/>
              </w:rPr>
            </w:pPr>
          </w:p>
        </w:tc>
        <w:tc>
          <w:tcPr>
            <w:tcW w:w="1080" w:type="dxa"/>
            <w:vAlign w:val="bottom"/>
            <w:gridSpan w:val="2"/>
          </w:tcPr>
          <w:p>
            <w:pPr>
              <w:ind w:left="20"/>
              <w:spacing w:after="0"/>
              <w:rPr>
                <w:sz w:val="20"/>
                <w:szCs w:val="20"/>
                <w:color w:val="auto"/>
              </w:rPr>
            </w:pPr>
            <w:r>
              <w:rPr>
                <w:rFonts w:ascii="Arial" w:cs="Arial" w:eastAsia="Arial" w:hAnsi="Arial"/>
                <w:sz w:val="14"/>
                <w:szCs w:val="14"/>
                <w:b w:val="1"/>
                <w:bCs w:val="1"/>
                <w:color w:val="auto"/>
                <w:w w:val="91"/>
              </w:rPr>
              <w:t>4/01/25 - 03/31/26</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gridSpan w:val="2"/>
          </w:tcPr>
          <w:p>
            <w:pPr>
              <w:ind w:left="80"/>
              <w:spacing w:after="0"/>
              <w:rPr>
                <w:sz w:val="20"/>
                <w:szCs w:val="20"/>
                <w:color w:val="auto"/>
              </w:rPr>
            </w:pPr>
            <w:r>
              <w:rPr>
                <w:rFonts w:ascii="Arial" w:cs="Arial" w:eastAsia="Arial" w:hAnsi="Arial"/>
                <w:sz w:val="14"/>
                <w:szCs w:val="14"/>
                <w:b w:val="1"/>
                <w:bCs w:val="1"/>
                <w:color w:val="auto"/>
              </w:rPr>
              <w:t>Thereafter</w:t>
            </w:r>
          </w:p>
        </w:tc>
        <w:tc>
          <w:tcPr>
            <w:tcW w:w="240" w:type="dxa"/>
            <w:vAlign w:val="bottom"/>
          </w:tcPr>
          <w:p>
            <w:pPr>
              <w:spacing w:after="0"/>
              <w:rPr>
                <w:sz w:val="14"/>
                <w:szCs w:val="14"/>
                <w:color w:val="auto"/>
              </w:rPr>
            </w:pPr>
          </w:p>
        </w:tc>
        <w:tc>
          <w:tcPr>
            <w:tcW w:w="920" w:type="dxa"/>
            <w:vAlign w:val="bottom"/>
            <w:gridSpan w:val="2"/>
          </w:tcPr>
          <w:p>
            <w:pPr>
              <w:ind w:left="140"/>
              <w:spacing w:after="0"/>
              <w:rPr>
                <w:sz w:val="20"/>
                <w:szCs w:val="20"/>
                <w:color w:val="auto"/>
              </w:rPr>
            </w:pPr>
            <w:r>
              <w:rPr>
                <w:rFonts w:ascii="Arial" w:cs="Arial" w:eastAsia="Arial" w:hAnsi="Arial"/>
                <w:sz w:val="14"/>
                <w:szCs w:val="14"/>
                <w:b w:val="1"/>
                <w:bCs w:val="1"/>
                <w:color w:val="auto"/>
              </w:rPr>
              <w:t>Total</w:t>
            </w:r>
          </w:p>
        </w:tc>
        <w:tc>
          <w:tcPr>
            <w:tcW w:w="160" w:type="dxa"/>
            <w:vAlign w:val="bottom"/>
          </w:tcPr>
          <w:p>
            <w:pPr>
              <w:spacing w:after="0"/>
              <w:rPr>
                <w:sz w:val="14"/>
                <w:szCs w:val="14"/>
                <w:color w:val="auto"/>
              </w:rPr>
            </w:pPr>
          </w:p>
        </w:tc>
        <w:tc>
          <w:tcPr>
            <w:tcW w:w="900" w:type="dxa"/>
            <w:vAlign w:val="bottom"/>
          </w:tcPr>
          <w:p>
            <w:pPr>
              <w:jc w:val="right"/>
              <w:ind w:right="145"/>
              <w:spacing w:after="0"/>
              <w:rPr>
                <w:sz w:val="20"/>
                <w:szCs w:val="20"/>
                <w:color w:val="auto"/>
              </w:rPr>
            </w:pPr>
            <w:r>
              <w:rPr>
                <w:rFonts w:ascii="Arial" w:cs="Arial" w:eastAsia="Arial" w:hAnsi="Arial"/>
                <w:sz w:val="14"/>
                <w:szCs w:val="14"/>
                <w:b w:val="1"/>
                <w:bCs w:val="1"/>
                <w:color w:val="auto"/>
                <w:w w:val="98"/>
              </w:rPr>
              <w:t>Fair Value</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120" w:type="dxa"/>
            <w:vAlign w:val="bottom"/>
            <w:tcBorders>
              <w:top w:val="single" w:sz="8" w:color="auto"/>
              <w:bottom w:val="single" w:sz="8" w:color="CCEEFF"/>
            </w:tcBorders>
          </w:tcPr>
          <w:p>
            <w:pPr>
              <w:spacing w:after="0" w:line="20" w:lineRule="exact"/>
              <w:rPr>
                <w:sz w:val="1"/>
                <w:szCs w:val="1"/>
                <w:color w:val="auto"/>
              </w:rPr>
            </w:pPr>
          </w:p>
        </w:tc>
        <w:tc>
          <w:tcPr>
            <w:tcW w:w="6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198"/>
        </w:trPr>
        <w:tc>
          <w:tcPr>
            <w:tcW w:w="1740" w:type="dxa"/>
            <w:vAlign w:val="bottom"/>
            <w:gridSpan w:val="3"/>
            <w:shd w:val="clear" w:color="auto" w:fill="CCEEFF"/>
          </w:tcPr>
          <w:p>
            <w:pPr>
              <w:ind w:left="20"/>
              <w:spacing w:after="0"/>
              <w:rPr>
                <w:sz w:val="20"/>
                <w:szCs w:val="20"/>
                <w:color w:val="auto"/>
              </w:rPr>
            </w:pPr>
            <w:r>
              <w:rPr>
                <w:rFonts w:ascii="Arial" w:cs="Arial" w:eastAsia="Arial" w:hAnsi="Arial"/>
                <w:sz w:val="15"/>
                <w:szCs w:val="15"/>
                <w:color w:val="auto"/>
              </w:rPr>
              <w:t>Fixed rate</w:t>
            </w:r>
          </w:p>
        </w:tc>
        <w:tc>
          <w:tcPr>
            <w:tcW w:w="340" w:type="dxa"/>
            <w:vAlign w:val="bottom"/>
            <w:shd w:val="clear" w:color="auto" w:fill="CCEEFF"/>
          </w:tcPr>
          <w:p>
            <w:pPr>
              <w:spacing w:after="0"/>
              <w:rPr>
                <w:sz w:val="20"/>
                <w:szCs w:val="20"/>
                <w:color w:val="auto"/>
              </w:rPr>
            </w:pPr>
            <w:r>
              <w:rPr>
                <w:rFonts w:ascii="Arial" w:cs="Arial" w:eastAsia="Arial" w:hAnsi="Arial"/>
                <w:sz w:val="15"/>
                <w:szCs w:val="15"/>
                <w:color w:val="auto"/>
              </w:rPr>
              <w:t>$</w:t>
            </w:r>
          </w:p>
        </w:tc>
        <w:tc>
          <w:tcPr>
            <w:tcW w:w="820" w:type="dxa"/>
            <w:vAlign w:val="bottom"/>
            <w:gridSpan w:val="2"/>
            <w:shd w:val="clear" w:color="auto" w:fill="CCEEFF"/>
          </w:tcPr>
          <w:p>
            <w:pPr>
              <w:jc w:val="right"/>
              <w:ind w:right="300"/>
              <w:spacing w:after="0"/>
              <w:rPr>
                <w:sz w:val="20"/>
                <w:szCs w:val="20"/>
                <w:color w:val="auto"/>
              </w:rPr>
            </w:pPr>
            <w:r>
              <w:rPr>
                <w:rFonts w:ascii="Arial" w:cs="Arial" w:eastAsia="Arial" w:hAnsi="Arial"/>
                <w:sz w:val="15"/>
                <w:szCs w:val="15"/>
                <w:color w:val="auto"/>
              </w:rPr>
              <w:t>—</w:t>
            </w:r>
          </w:p>
        </w:tc>
        <w:tc>
          <w:tcPr>
            <w:tcW w:w="360" w:type="dxa"/>
            <w:vAlign w:val="bottom"/>
            <w:shd w:val="clear" w:color="auto" w:fill="CCEEFF"/>
          </w:tcPr>
          <w:p>
            <w:pPr>
              <w:ind w:left="20"/>
              <w:spacing w:after="0"/>
              <w:rPr>
                <w:sz w:val="20"/>
                <w:szCs w:val="20"/>
                <w:color w:val="auto"/>
              </w:rPr>
            </w:pPr>
            <w:r>
              <w:rPr>
                <w:rFonts w:ascii="Arial" w:cs="Arial" w:eastAsia="Arial" w:hAnsi="Arial"/>
                <w:sz w:val="15"/>
                <w:szCs w:val="15"/>
                <w:color w:val="auto"/>
              </w:rPr>
              <w:t>$</w:t>
            </w:r>
          </w:p>
        </w:tc>
        <w:tc>
          <w:tcPr>
            <w:tcW w:w="820" w:type="dxa"/>
            <w:vAlign w:val="bottom"/>
            <w:gridSpan w:val="2"/>
            <w:shd w:val="clear" w:color="auto" w:fill="CCEEFF"/>
          </w:tcPr>
          <w:p>
            <w:pPr>
              <w:jc w:val="right"/>
              <w:ind w:right="300"/>
              <w:spacing w:after="0"/>
              <w:rPr>
                <w:sz w:val="20"/>
                <w:szCs w:val="20"/>
                <w:color w:val="auto"/>
              </w:rPr>
            </w:pPr>
            <w:r>
              <w:rPr>
                <w:rFonts w:ascii="Arial" w:cs="Arial" w:eastAsia="Arial" w:hAnsi="Arial"/>
                <w:sz w:val="15"/>
                <w:szCs w:val="15"/>
                <w:color w:val="auto"/>
              </w:rPr>
              <w:t>—</w:t>
            </w:r>
          </w:p>
        </w:tc>
        <w:tc>
          <w:tcPr>
            <w:tcW w:w="320" w:type="dxa"/>
            <w:vAlign w:val="bottom"/>
            <w:shd w:val="clear" w:color="auto" w:fill="CCEEFF"/>
          </w:tcPr>
          <w:p>
            <w:pPr>
              <w:ind w:left="20"/>
              <w:spacing w:after="0"/>
              <w:rPr>
                <w:sz w:val="20"/>
                <w:szCs w:val="20"/>
                <w:color w:val="auto"/>
              </w:rPr>
            </w:pPr>
            <w:r>
              <w:rPr>
                <w:rFonts w:ascii="Arial" w:cs="Arial" w:eastAsia="Arial" w:hAnsi="Arial"/>
                <w:sz w:val="15"/>
                <w:szCs w:val="15"/>
                <w:color w:val="auto"/>
              </w:rPr>
              <w:t>$</w:t>
            </w: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5"/>
                <w:szCs w:val="15"/>
                <w:color w:val="auto"/>
              </w:rPr>
              <w:t>—</w:t>
            </w:r>
          </w:p>
        </w:tc>
        <w:tc>
          <w:tcPr>
            <w:tcW w:w="360" w:type="dxa"/>
            <w:vAlign w:val="bottom"/>
            <w:shd w:val="clear" w:color="auto" w:fill="CCEEFF"/>
          </w:tcPr>
          <w:p>
            <w:pPr>
              <w:ind w:left="20"/>
              <w:spacing w:after="0"/>
              <w:rPr>
                <w:sz w:val="20"/>
                <w:szCs w:val="20"/>
                <w:color w:val="auto"/>
              </w:rPr>
            </w:pPr>
            <w:r>
              <w:rPr>
                <w:rFonts w:ascii="Arial" w:cs="Arial" w:eastAsia="Arial" w:hAnsi="Arial"/>
                <w:sz w:val="15"/>
                <w:szCs w:val="15"/>
                <w:color w:val="auto"/>
              </w:rPr>
              <w:t>$</w:t>
            </w:r>
          </w:p>
        </w:tc>
        <w:tc>
          <w:tcPr>
            <w:tcW w:w="820" w:type="dxa"/>
            <w:vAlign w:val="bottom"/>
            <w:gridSpan w:val="2"/>
            <w:shd w:val="clear" w:color="auto" w:fill="CCEEFF"/>
          </w:tcPr>
          <w:p>
            <w:pPr>
              <w:jc w:val="right"/>
              <w:ind w:right="300"/>
              <w:spacing w:after="0"/>
              <w:rPr>
                <w:sz w:val="20"/>
                <w:szCs w:val="20"/>
                <w:color w:val="auto"/>
              </w:rPr>
            </w:pPr>
            <w:r>
              <w:rPr>
                <w:rFonts w:ascii="Arial" w:cs="Arial" w:eastAsia="Arial" w:hAnsi="Arial"/>
                <w:sz w:val="15"/>
                <w:szCs w:val="15"/>
                <w:color w:val="auto"/>
              </w:rPr>
              <w:t>—</w:t>
            </w:r>
          </w:p>
        </w:tc>
        <w:tc>
          <w:tcPr>
            <w:tcW w:w="320" w:type="dxa"/>
            <w:vAlign w:val="bottom"/>
            <w:shd w:val="clear" w:color="auto" w:fill="CCEEFF"/>
          </w:tcPr>
          <w:p>
            <w:pPr>
              <w:ind w:left="20"/>
              <w:spacing w:after="0"/>
              <w:rPr>
                <w:sz w:val="20"/>
                <w:szCs w:val="20"/>
                <w:color w:val="auto"/>
              </w:rPr>
            </w:pPr>
            <w:r>
              <w:rPr>
                <w:rFonts w:ascii="Arial" w:cs="Arial" w:eastAsia="Arial" w:hAnsi="Arial"/>
                <w:sz w:val="15"/>
                <w:szCs w:val="15"/>
                <w:color w:val="auto"/>
              </w:rPr>
              <w:t>$</w:t>
            </w: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95"/>
              </w:rPr>
              <w:t>$</w:t>
            </w:r>
          </w:p>
        </w:tc>
        <w:tc>
          <w:tcPr>
            <w:tcW w:w="1000" w:type="dxa"/>
            <w:vAlign w:val="bottom"/>
            <w:shd w:val="clear" w:color="auto" w:fill="CCEEFF"/>
          </w:tcPr>
          <w:p>
            <w:pPr>
              <w:jc w:val="right"/>
              <w:ind w:right="124"/>
              <w:spacing w:after="0"/>
              <w:rPr>
                <w:sz w:val="20"/>
                <w:szCs w:val="20"/>
                <w:color w:val="auto"/>
              </w:rPr>
            </w:pPr>
            <w:r>
              <w:rPr>
                <w:rFonts w:ascii="Arial" w:cs="Arial" w:eastAsia="Arial" w:hAnsi="Arial"/>
                <w:sz w:val="15"/>
                <w:szCs w:val="15"/>
                <w:color w:val="auto"/>
              </w:rPr>
              <w:t>400.0</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w w:val="95"/>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400.0</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415.5</w:t>
            </w:r>
          </w:p>
        </w:tc>
      </w:tr>
      <w:tr>
        <w:trPr>
          <w:trHeight w:val="203"/>
        </w:trPr>
        <w:tc>
          <w:tcPr>
            <w:tcW w:w="1740" w:type="dxa"/>
            <w:vAlign w:val="bottom"/>
            <w:gridSpan w:val="3"/>
          </w:tcPr>
          <w:p>
            <w:pPr>
              <w:ind w:left="20"/>
              <w:spacing w:after="0"/>
              <w:rPr>
                <w:sz w:val="20"/>
                <w:szCs w:val="20"/>
                <w:color w:val="auto"/>
              </w:rPr>
            </w:pPr>
            <w:r>
              <w:rPr>
                <w:rFonts w:ascii="Arial" w:cs="Arial" w:eastAsia="Arial" w:hAnsi="Arial"/>
                <w:sz w:val="15"/>
                <w:szCs w:val="15"/>
                <w:color w:val="auto"/>
              </w:rPr>
              <w:t>Average interest rate</w:t>
            </w:r>
          </w:p>
        </w:tc>
        <w:tc>
          <w:tcPr>
            <w:tcW w:w="3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5.625 %</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9"/>
        </w:trPr>
        <w:tc>
          <w:tcPr>
            <w:tcW w:w="1740" w:type="dxa"/>
            <w:vAlign w:val="bottom"/>
            <w:gridSpan w:val="3"/>
            <w:shd w:val="clear" w:color="auto" w:fill="CCEEFF"/>
          </w:tcPr>
          <w:p>
            <w:pPr>
              <w:ind w:left="20"/>
              <w:spacing w:after="0"/>
              <w:rPr>
                <w:sz w:val="20"/>
                <w:szCs w:val="20"/>
                <w:color w:val="auto"/>
              </w:rPr>
            </w:pPr>
            <w:r>
              <w:rPr>
                <w:rFonts w:ascii="Arial" w:cs="Arial" w:eastAsia="Arial" w:hAnsi="Arial"/>
                <w:sz w:val="15"/>
                <w:szCs w:val="15"/>
                <w:color w:val="auto"/>
              </w:rPr>
              <w:t>Fixed rate</w:t>
            </w:r>
          </w:p>
        </w:tc>
        <w:tc>
          <w:tcPr>
            <w:tcW w:w="340" w:type="dxa"/>
            <w:vAlign w:val="bottom"/>
            <w:shd w:val="clear" w:color="auto" w:fill="CCEEFF"/>
          </w:tcPr>
          <w:p>
            <w:pPr>
              <w:spacing w:after="0"/>
              <w:rPr>
                <w:sz w:val="20"/>
                <w:szCs w:val="20"/>
                <w:color w:val="auto"/>
              </w:rPr>
            </w:pPr>
            <w:r>
              <w:rPr>
                <w:rFonts w:ascii="Arial" w:cs="Arial" w:eastAsia="Arial" w:hAnsi="Arial"/>
                <w:sz w:val="15"/>
                <w:szCs w:val="15"/>
                <w:color w:val="auto"/>
              </w:rPr>
              <w:t>$</w:t>
            </w:r>
          </w:p>
        </w:tc>
        <w:tc>
          <w:tcPr>
            <w:tcW w:w="820" w:type="dxa"/>
            <w:vAlign w:val="bottom"/>
            <w:gridSpan w:val="2"/>
            <w:shd w:val="clear" w:color="auto" w:fill="CCEEFF"/>
          </w:tcPr>
          <w:p>
            <w:pPr>
              <w:jc w:val="right"/>
              <w:ind w:right="300"/>
              <w:spacing w:after="0"/>
              <w:rPr>
                <w:sz w:val="20"/>
                <w:szCs w:val="20"/>
                <w:color w:val="auto"/>
              </w:rPr>
            </w:pPr>
            <w:r>
              <w:rPr>
                <w:rFonts w:ascii="Arial" w:cs="Arial" w:eastAsia="Arial" w:hAnsi="Arial"/>
                <w:sz w:val="15"/>
                <w:szCs w:val="15"/>
                <w:color w:val="auto"/>
              </w:rPr>
              <w:t>—</w:t>
            </w:r>
          </w:p>
        </w:tc>
        <w:tc>
          <w:tcPr>
            <w:tcW w:w="360" w:type="dxa"/>
            <w:vAlign w:val="bottom"/>
            <w:shd w:val="clear" w:color="auto" w:fill="CCEEFF"/>
          </w:tcPr>
          <w:p>
            <w:pPr>
              <w:ind w:left="20"/>
              <w:spacing w:after="0"/>
              <w:rPr>
                <w:sz w:val="20"/>
                <w:szCs w:val="20"/>
                <w:color w:val="auto"/>
              </w:rPr>
            </w:pPr>
            <w:r>
              <w:rPr>
                <w:rFonts w:ascii="Arial" w:cs="Arial" w:eastAsia="Arial" w:hAnsi="Arial"/>
                <w:sz w:val="15"/>
                <w:szCs w:val="15"/>
                <w:color w:val="auto"/>
              </w:rPr>
              <w:t>$</w:t>
            </w:r>
          </w:p>
        </w:tc>
        <w:tc>
          <w:tcPr>
            <w:tcW w:w="820" w:type="dxa"/>
            <w:vAlign w:val="bottom"/>
            <w:gridSpan w:val="2"/>
            <w:shd w:val="clear" w:color="auto" w:fill="CCEEFF"/>
          </w:tcPr>
          <w:p>
            <w:pPr>
              <w:jc w:val="right"/>
              <w:ind w:right="300"/>
              <w:spacing w:after="0"/>
              <w:rPr>
                <w:sz w:val="20"/>
                <w:szCs w:val="20"/>
                <w:color w:val="auto"/>
              </w:rPr>
            </w:pPr>
            <w:r>
              <w:rPr>
                <w:rFonts w:ascii="Arial" w:cs="Arial" w:eastAsia="Arial" w:hAnsi="Arial"/>
                <w:sz w:val="15"/>
                <w:szCs w:val="15"/>
                <w:color w:val="auto"/>
              </w:rPr>
              <w:t>—</w:t>
            </w:r>
          </w:p>
        </w:tc>
        <w:tc>
          <w:tcPr>
            <w:tcW w:w="320" w:type="dxa"/>
            <w:vAlign w:val="bottom"/>
            <w:shd w:val="clear" w:color="auto" w:fill="CCEEFF"/>
          </w:tcPr>
          <w:p>
            <w:pPr>
              <w:ind w:left="20"/>
              <w:spacing w:after="0"/>
              <w:rPr>
                <w:sz w:val="20"/>
                <w:szCs w:val="20"/>
                <w:color w:val="auto"/>
              </w:rPr>
            </w:pPr>
            <w:r>
              <w:rPr>
                <w:rFonts w:ascii="Arial" w:cs="Arial" w:eastAsia="Arial" w:hAnsi="Arial"/>
                <w:sz w:val="15"/>
                <w:szCs w:val="15"/>
                <w:color w:val="auto"/>
              </w:rPr>
              <w:t>$</w:t>
            </w: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5"/>
                <w:szCs w:val="15"/>
                <w:color w:val="auto"/>
              </w:rPr>
              <w:t>—</w:t>
            </w:r>
          </w:p>
        </w:tc>
        <w:tc>
          <w:tcPr>
            <w:tcW w:w="360" w:type="dxa"/>
            <w:vAlign w:val="bottom"/>
            <w:shd w:val="clear" w:color="auto" w:fill="CCEEFF"/>
          </w:tcPr>
          <w:p>
            <w:pPr>
              <w:ind w:left="20"/>
              <w:spacing w:after="0"/>
              <w:rPr>
                <w:sz w:val="20"/>
                <w:szCs w:val="20"/>
                <w:color w:val="auto"/>
              </w:rPr>
            </w:pPr>
            <w:r>
              <w:rPr>
                <w:rFonts w:ascii="Arial" w:cs="Arial" w:eastAsia="Arial" w:hAnsi="Arial"/>
                <w:sz w:val="15"/>
                <w:szCs w:val="15"/>
                <w:color w:val="auto"/>
              </w:rPr>
              <w:t>$</w:t>
            </w:r>
          </w:p>
        </w:tc>
        <w:tc>
          <w:tcPr>
            <w:tcW w:w="820" w:type="dxa"/>
            <w:vAlign w:val="bottom"/>
            <w:gridSpan w:val="2"/>
            <w:shd w:val="clear" w:color="auto" w:fill="CCEEFF"/>
          </w:tcPr>
          <w:p>
            <w:pPr>
              <w:jc w:val="right"/>
              <w:ind w:right="300"/>
              <w:spacing w:after="0"/>
              <w:rPr>
                <w:sz w:val="20"/>
                <w:szCs w:val="20"/>
                <w:color w:val="auto"/>
              </w:rPr>
            </w:pPr>
            <w:r>
              <w:rPr>
                <w:rFonts w:ascii="Arial" w:cs="Arial" w:eastAsia="Arial" w:hAnsi="Arial"/>
                <w:sz w:val="15"/>
                <w:szCs w:val="15"/>
                <w:color w:val="auto"/>
              </w:rPr>
              <w:t>—</w:t>
            </w:r>
          </w:p>
        </w:tc>
        <w:tc>
          <w:tcPr>
            <w:tcW w:w="320" w:type="dxa"/>
            <w:vAlign w:val="bottom"/>
            <w:shd w:val="clear" w:color="auto" w:fill="CCEEFF"/>
          </w:tcPr>
          <w:p>
            <w:pPr>
              <w:ind w:left="20"/>
              <w:spacing w:after="0"/>
              <w:rPr>
                <w:sz w:val="20"/>
                <w:szCs w:val="20"/>
                <w:color w:val="auto"/>
              </w:rPr>
            </w:pPr>
            <w:r>
              <w:rPr>
                <w:rFonts w:ascii="Arial" w:cs="Arial" w:eastAsia="Arial" w:hAnsi="Arial"/>
                <w:sz w:val="15"/>
                <w:szCs w:val="15"/>
                <w:color w:val="auto"/>
              </w:rPr>
              <w:t>$</w:t>
            </w: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95"/>
              </w:rPr>
              <w:t>$</w:t>
            </w:r>
          </w:p>
        </w:tc>
        <w:tc>
          <w:tcPr>
            <w:tcW w:w="1000" w:type="dxa"/>
            <w:vAlign w:val="bottom"/>
            <w:shd w:val="clear" w:color="auto" w:fill="CCEEFF"/>
          </w:tcPr>
          <w:p>
            <w:pPr>
              <w:jc w:val="right"/>
              <w:ind w:right="124"/>
              <w:spacing w:after="0"/>
              <w:rPr>
                <w:sz w:val="20"/>
                <w:szCs w:val="20"/>
                <w:color w:val="auto"/>
              </w:rPr>
            </w:pPr>
            <w:r>
              <w:rPr>
                <w:rFonts w:ascii="Arial" w:cs="Arial" w:eastAsia="Arial" w:hAnsi="Arial"/>
                <w:sz w:val="15"/>
                <w:szCs w:val="15"/>
                <w:color w:val="auto"/>
              </w:rPr>
              <w:t>330.5</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w w:val="95"/>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330.5</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1,488.9</w:t>
            </w:r>
          </w:p>
        </w:tc>
      </w:tr>
      <w:tr>
        <w:trPr>
          <w:trHeight w:val="203"/>
        </w:trPr>
        <w:tc>
          <w:tcPr>
            <w:tcW w:w="1740" w:type="dxa"/>
            <w:vAlign w:val="bottom"/>
            <w:gridSpan w:val="3"/>
          </w:tcPr>
          <w:p>
            <w:pPr>
              <w:ind w:left="20"/>
              <w:spacing w:after="0"/>
              <w:rPr>
                <w:sz w:val="20"/>
                <w:szCs w:val="20"/>
                <w:color w:val="auto"/>
              </w:rPr>
            </w:pPr>
            <w:r>
              <w:rPr>
                <w:rFonts w:ascii="Arial" w:cs="Arial" w:eastAsia="Arial" w:hAnsi="Arial"/>
                <w:sz w:val="15"/>
                <w:szCs w:val="15"/>
                <w:color w:val="auto"/>
              </w:rPr>
              <w:t>Average interest rate</w:t>
            </w:r>
          </w:p>
        </w:tc>
        <w:tc>
          <w:tcPr>
            <w:tcW w:w="3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2.75 %</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9"/>
        </w:trPr>
        <w:tc>
          <w:tcPr>
            <w:tcW w:w="1740" w:type="dxa"/>
            <w:vAlign w:val="bottom"/>
            <w:gridSpan w:val="3"/>
            <w:shd w:val="clear" w:color="auto" w:fill="CCEEFF"/>
          </w:tcPr>
          <w:p>
            <w:pPr>
              <w:ind w:left="20"/>
              <w:spacing w:after="0"/>
              <w:rPr>
                <w:sz w:val="20"/>
                <w:szCs w:val="20"/>
                <w:color w:val="auto"/>
              </w:rPr>
            </w:pPr>
            <w:r>
              <w:rPr>
                <w:rFonts w:ascii="Arial" w:cs="Arial" w:eastAsia="Arial" w:hAnsi="Arial"/>
                <w:sz w:val="15"/>
                <w:szCs w:val="15"/>
                <w:color w:val="auto"/>
              </w:rPr>
              <w:t>Variable rate</w:t>
            </w:r>
          </w:p>
        </w:tc>
        <w:tc>
          <w:tcPr>
            <w:tcW w:w="340" w:type="dxa"/>
            <w:vAlign w:val="bottom"/>
            <w:shd w:val="clear" w:color="auto" w:fill="CCEEFF"/>
          </w:tcPr>
          <w:p>
            <w:pPr>
              <w:spacing w:after="0"/>
              <w:rPr>
                <w:sz w:val="20"/>
                <w:szCs w:val="20"/>
                <w:color w:val="auto"/>
              </w:rPr>
            </w:pPr>
            <w:r>
              <w:rPr>
                <w:rFonts w:ascii="Arial" w:cs="Arial" w:eastAsia="Arial" w:hAnsi="Arial"/>
                <w:sz w:val="15"/>
                <w:szCs w:val="15"/>
                <w:color w:val="auto"/>
              </w:rPr>
              <w:t>$</w:t>
            </w:r>
          </w:p>
        </w:tc>
        <w:tc>
          <w:tcPr>
            <w:tcW w:w="720" w:type="dxa"/>
            <w:vAlign w:val="bottom"/>
            <w:shd w:val="clear" w:color="auto" w:fill="CCEEFF"/>
          </w:tcPr>
          <w:p>
            <w:pPr>
              <w:jc w:val="right"/>
              <w:ind w:right="123"/>
              <w:spacing w:after="0"/>
              <w:rPr>
                <w:sz w:val="20"/>
                <w:szCs w:val="20"/>
                <w:color w:val="auto"/>
              </w:rPr>
            </w:pPr>
            <w:r>
              <w:rPr>
                <w:rFonts w:ascii="Arial" w:cs="Arial" w:eastAsia="Arial" w:hAnsi="Arial"/>
                <w:sz w:val="15"/>
                <w:szCs w:val="15"/>
                <w:color w:val="auto"/>
              </w:rPr>
              <w:t>68.8</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ind w:left="20"/>
              <w:spacing w:after="0"/>
              <w:rPr>
                <w:sz w:val="20"/>
                <w:szCs w:val="20"/>
                <w:color w:val="auto"/>
              </w:rPr>
            </w:pPr>
            <w:r>
              <w:rPr>
                <w:rFonts w:ascii="Arial" w:cs="Arial" w:eastAsia="Arial" w:hAnsi="Arial"/>
                <w:sz w:val="15"/>
                <w:szCs w:val="15"/>
                <w:color w:val="auto"/>
              </w:rPr>
              <w:t>$</w:t>
            </w:r>
          </w:p>
        </w:tc>
        <w:tc>
          <w:tcPr>
            <w:tcW w:w="720" w:type="dxa"/>
            <w:vAlign w:val="bottom"/>
            <w:shd w:val="clear" w:color="auto" w:fill="CCEEFF"/>
          </w:tcPr>
          <w:p>
            <w:pPr>
              <w:jc w:val="right"/>
              <w:ind w:right="123"/>
              <w:spacing w:after="0"/>
              <w:rPr>
                <w:sz w:val="20"/>
                <w:szCs w:val="20"/>
                <w:color w:val="auto"/>
              </w:rPr>
            </w:pPr>
            <w:r>
              <w:rPr>
                <w:rFonts w:ascii="Arial" w:cs="Arial" w:eastAsia="Arial" w:hAnsi="Arial"/>
                <w:sz w:val="15"/>
                <w:szCs w:val="15"/>
                <w:color w:val="auto"/>
              </w:rPr>
              <w:t>82.1</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ind w:left="20"/>
              <w:spacing w:after="0"/>
              <w:rPr>
                <w:sz w:val="20"/>
                <w:szCs w:val="20"/>
                <w:color w:val="auto"/>
              </w:rPr>
            </w:pPr>
            <w:r>
              <w:rPr>
                <w:rFonts w:ascii="Arial" w:cs="Arial" w:eastAsia="Arial" w:hAnsi="Arial"/>
                <w:sz w:val="15"/>
                <w:szCs w:val="15"/>
                <w:color w:val="auto"/>
              </w:rPr>
              <w:t>$</w:t>
            </w:r>
          </w:p>
        </w:tc>
        <w:tc>
          <w:tcPr>
            <w:tcW w:w="760" w:type="dxa"/>
            <w:vAlign w:val="bottom"/>
            <w:shd w:val="clear" w:color="auto" w:fill="CCEEFF"/>
          </w:tcPr>
          <w:p>
            <w:pPr>
              <w:jc w:val="right"/>
              <w:ind w:right="123"/>
              <w:spacing w:after="0"/>
              <w:rPr>
                <w:sz w:val="20"/>
                <w:szCs w:val="20"/>
                <w:color w:val="auto"/>
              </w:rPr>
            </w:pPr>
            <w:r>
              <w:rPr>
                <w:rFonts w:ascii="Arial" w:cs="Arial" w:eastAsia="Arial" w:hAnsi="Arial"/>
                <w:sz w:val="15"/>
                <w:szCs w:val="15"/>
                <w:color w:val="auto"/>
              </w:rPr>
              <w:t>506.6</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ind w:left="20"/>
              <w:spacing w:after="0"/>
              <w:rPr>
                <w:sz w:val="20"/>
                <w:szCs w:val="20"/>
                <w:color w:val="auto"/>
              </w:rPr>
            </w:pPr>
            <w:r>
              <w:rPr>
                <w:rFonts w:ascii="Arial" w:cs="Arial" w:eastAsia="Arial" w:hAnsi="Arial"/>
                <w:sz w:val="15"/>
                <w:szCs w:val="15"/>
                <w:color w:val="auto"/>
              </w:rPr>
              <w:t>$</w:t>
            </w:r>
          </w:p>
        </w:tc>
        <w:tc>
          <w:tcPr>
            <w:tcW w:w="720" w:type="dxa"/>
            <w:vAlign w:val="bottom"/>
            <w:shd w:val="clear" w:color="auto" w:fill="CCEEFF"/>
          </w:tcPr>
          <w:p>
            <w:pPr>
              <w:jc w:val="right"/>
              <w:ind w:right="123"/>
              <w:spacing w:after="0"/>
              <w:rPr>
                <w:sz w:val="20"/>
                <w:szCs w:val="20"/>
                <w:color w:val="auto"/>
              </w:rPr>
            </w:pPr>
            <w:r>
              <w:rPr>
                <w:rFonts w:ascii="Arial" w:cs="Arial" w:eastAsia="Arial" w:hAnsi="Arial"/>
                <w:sz w:val="15"/>
                <w:szCs w:val="15"/>
                <w:color w:val="auto"/>
              </w:rPr>
              <w:t>11.3</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ind w:left="20"/>
              <w:spacing w:after="0"/>
              <w:rPr>
                <w:sz w:val="20"/>
                <w:szCs w:val="20"/>
                <w:color w:val="auto"/>
              </w:rPr>
            </w:pPr>
            <w:r>
              <w:rPr>
                <w:rFonts w:ascii="Arial" w:cs="Arial" w:eastAsia="Arial" w:hAnsi="Arial"/>
                <w:sz w:val="15"/>
                <w:szCs w:val="15"/>
                <w:color w:val="auto"/>
              </w:rPr>
              <w:t>$</w:t>
            </w:r>
          </w:p>
        </w:tc>
        <w:tc>
          <w:tcPr>
            <w:tcW w:w="760" w:type="dxa"/>
            <w:vAlign w:val="bottom"/>
            <w:shd w:val="clear" w:color="auto" w:fill="CCEEFF"/>
          </w:tcPr>
          <w:p>
            <w:pPr>
              <w:jc w:val="right"/>
              <w:ind w:right="123"/>
              <w:spacing w:after="0"/>
              <w:rPr>
                <w:sz w:val="20"/>
                <w:szCs w:val="20"/>
                <w:color w:val="auto"/>
              </w:rPr>
            </w:pPr>
            <w:r>
              <w:rPr>
                <w:rFonts w:ascii="Arial" w:cs="Arial" w:eastAsia="Arial" w:hAnsi="Arial"/>
                <w:sz w:val="15"/>
                <w:szCs w:val="15"/>
                <w:color w:val="auto"/>
              </w:rPr>
              <w:t>943.2</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95"/>
              </w:rPr>
              <w:t>$</w:t>
            </w: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5"/>
                <w:szCs w:val="15"/>
                <w:color w:val="auto"/>
              </w:rPr>
              <w:t>—</w:t>
            </w:r>
          </w:p>
        </w:tc>
        <w:tc>
          <w:tcPr>
            <w:tcW w:w="24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w w:val="95"/>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1,612.0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1,603.9</w:t>
            </w:r>
          </w:p>
        </w:tc>
      </w:tr>
      <w:tr>
        <w:trPr>
          <w:trHeight w:val="268"/>
        </w:trPr>
        <w:tc>
          <w:tcPr>
            <w:tcW w:w="1740" w:type="dxa"/>
            <w:vAlign w:val="bottom"/>
            <w:gridSpan w:val="3"/>
          </w:tcPr>
          <w:p>
            <w:pPr>
              <w:ind w:left="20"/>
              <w:spacing w:after="0"/>
              <w:rPr>
                <w:sz w:val="20"/>
                <w:szCs w:val="20"/>
                <w:color w:val="auto"/>
              </w:rPr>
            </w:pPr>
            <w:r>
              <w:rPr>
                <w:rFonts w:ascii="Arial" w:cs="Arial" w:eastAsia="Arial" w:hAnsi="Arial"/>
                <w:sz w:val="15"/>
                <w:szCs w:val="15"/>
                <w:color w:val="auto"/>
              </w:rPr>
              <w:t xml:space="preserve">Average interest rate </w:t>
            </w:r>
            <w:r>
              <w:rPr>
                <w:rFonts w:ascii="Arial" w:cs="Arial" w:eastAsia="Arial" w:hAnsi="Arial"/>
                <w:sz w:val="20"/>
                <w:szCs w:val="20"/>
                <w:color w:val="auto"/>
                <w:vertAlign w:val="superscript"/>
              </w:rPr>
              <w:t>(1)</w:t>
            </w:r>
          </w:p>
        </w:tc>
        <w:tc>
          <w:tcPr>
            <w:tcW w:w="34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4.25 %</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4.53 %</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4.79 %</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4.15 %</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4.27 %</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00" w:type="dxa"/>
            <w:vAlign w:val="bottom"/>
          </w:tcPr>
          <w:p>
            <w:pPr>
              <w:spacing w:after="0"/>
              <w:rPr>
                <w:sz w:val="23"/>
                <w:szCs w:val="23"/>
                <w:color w:val="auto"/>
              </w:rPr>
            </w:pPr>
          </w:p>
        </w:tc>
      </w:tr>
    </w:tbl>
    <w:p>
      <w:pPr>
        <w:spacing w:after="0" w:line="62" w:lineRule="exact"/>
        <w:rPr>
          <w:sz w:val="20"/>
          <w:szCs w:val="20"/>
          <w:color w:val="auto"/>
        </w:rPr>
      </w:pPr>
    </w:p>
    <w:p>
      <w:pPr>
        <w:ind w:left="620" w:hanging="307"/>
        <w:spacing w:after="0"/>
        <w:tabs>
          <w:tab w:leader="none" w:pos="620" w:val="left"/>
        </w:tabs>
        <w:numPr>
          <w:ilvl w:val="0"/>
          <w:numId w:val="21"/>
        </w:numPr>
        <w:rPr>
          <w:rFonts w:ascii="Arial" w:cs="Arial" w:eastAsia="Arial" w:hAnsi="Arial"/>
          <w:sz w:val="14"/>
          <w:szCs w:val="14"/>
          <w:color w:val="auto"/>
        </w:rPr>
      </w:pPr>
      <w:r>
        <w:rPr>
          <w:rFonts w:ascii="Arial" w:cs="Arial" w:eastAsia="Arial" w:hAnsi="Arial"/>
          <w:sz w:val="14"/>
          <w:szCs w:val="14"/>
          <w:color w:val="auto"/>
        </w:rPr>
        <w:t>Estimated rate, reflective of forward LIBOR as of March 31, 2021 plus the spread over LIBOR applicable to variable-rate borrowing.</w:t>
      </w:r>
    </w:p>
    <w:p>
      <w:pPr>
        <w:spacing w:after="0" w:line="22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4.  CONTROLS AND PROCEDURES</w:t>
      </w:r>
    </w:p>
    <w:p>
      <w:pPr>
        <w:spacing w:after="0" w:line="184" w:lineRule="exact"/>
        <w:rPr>
          <w:sz w:val="20"/>
          <w:szCs w:val="20"/>
          <w:color w:val="auto"/>
        </w:rPr>
      </w:pPr>
    </w:p>
    <w:p>
      <w:pPr>
        <w:ind w:right="20" w:firstLine="309"/>
        <w:spacing w:after="0" w:line="297" w:lineRule="auto"/>
        <w:rPr>
          <w:sz w:val="20"/>
          <w:szCs w:val="20"/>
          <w:color w:val="auto"/>
        </w:rPr>
      </w:pPr>
      <w:r>
        <w:rPr>
          <w:rFonts w:ascii="Arial" w:cs="Arial" w:eastAsia="Arial" w:hAnsi="Arial"/>
          <w:sz w:val="15"/>
          <w:szCs w:val="15"/>
          <w:color w:val="auto"/>
        </w:rPr>
        <w:t>The Company’s management, under the supervision and with the participation of our principal executive officer and principal financial officer, has evaluated the effectiveness of the Company’s disclosure controls and procedures (as defined in Rules 13a-15(e) and 15d-15(e) under the Securities Exchange Act of 1934, as amended (the “Exchange Act”)), as of March 31, 2021. Based on this evaluation, our principal executive officer and principal financial officer concluded that the Company’s disclosure controls and procedures were effective as of March 31, 2021 to ensure that information required to be disclosed by the Company in reports we file or submit under the Exchange Act is (i) recorded, processed, summarized, evaluated and reported, as applicable, within the time periods specified in the United States Securities and Exchange Commission’s rules and forms and (ii) accumulated and communicated to the Company’s management, including the Company’s principal executive officer and principal financial officer, as appropriate to allow timely decisions regarding required disclosures.</w:t>
      </w:r>
    </w:p>
    <w:p>
      <w:pPr>
        <w:spacing w:after="0" w:line="200" w:lineRule="exact"/>
        <w:rPr>
          <w:sz w:val="20"/>
          <w:szCs w:val="20"/>
          <w:color w:val="auto"/>
        </w:rPr>
      </w:pPr>
    </w:p>
    <w:p>
      <w:pPr>
        <w:spacing w:after="0" w:line="27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173990</wp:posOffset>
            </wp:positionV>
            <wp:extent cx="7164070" cy="4191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862" w:right="359" w:bottom="1440" w:gutter="0" w:footer="0" w:header="0"/>
        </w:sectPr>
      </w:pPr>
    </w:p>
    <w:bookmarkStart w:id="47" w:name="page48"/>
    <w:bookmarkEnd w:id="47"/>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339" w:lineRule="exact"/>
        <w:rPr>
          <w:sz w:val="20"/>
          <w:szCs w:val="20"/>
          <w:color w:val="auto"/>
        </w:rPr>
      </w:pPr>
    </w:p>
    <w:p>
      <w:pPr>
        <w:ind w:right="20" w:firstLine="309"/>
        <w:spacing w:after="0" w:line="279" w:lineRule="auto"/>
        <w:rPr>
          <w:sz w:val="20"/>
          <w:szCs w:val="20"/>
          <w:color w:val="auto"/>
        </w:rPr>
      </w:pPr>
      <w:r>
        <w:rPr>
          <w:rFonts w:ascii="Arial" w:cs="Arial" w:eastAsia="Arial" w:hAnsi="Arial"/>
          <w:sz w:val="16"/>
          <w:szCs w:val="16"/>
          <w:color w:val="auto"/>
        </w:rPr>
        <w:t>During the quarter ended March 31, 2021, we substantially completed the implementation of our new Enterprise Resource Planning system as part of the Company’s long-term finance transformation initiatives aimed to automate and simplify our business process. In connection with this implementation, we have updated certain control processes that were impacted. As additional transformation activities occur, we will continue to monitor and evaluate our internal control over financial reporting. There have not been any other changes in our internal control over financial reporting during the three months ended March 31, 2021, that have materially affected, or are reasonably likely to materially affect, our internal control over financial reporting.</w:t>
      </w:r>
    </w:p>
    <w:p>
      <w:pPr>
        <w:spacing w:after="0" w:line="200" w:lineRule="exact"/>
        <w:rPr>
          <w:sz w:val="20"/>
          <w:szCs w:val="20"/>
          <w:color w:val="auto"/>
        </w:rPr>
      </w:pPr>
    </w:p>
    <w:p>
      <w:pPr>
        <w:spacing w:after="0" w:line="220" w:lineRule="exact"/>
        <w:rPr>
          <w:sz w:val="20"/>
          <w:szCs w:val="20"/>
          <w:color w:val="auto"/>
        </w:rPr>
      </w:pPr>
    </w:p>
    <w:p>
      <w:pPr>
        <w:spacing w:after="0"/>
        <w:tabs>
          <w:tab w:leader="none" w:pos="820" w:val="left"/>
        </w:tabs>
        <w:rPr>
          <w:sz w:val="20"/>
          <w:szCs w:val="20"/>
          <w:color w:val="auto"/>
        </w:rPr>
      </w:pPr>
      <w:r>
        <w:rPr>
          <w:rFonts w:ascii="Arial" w:cs="Arial" w:eastAsia="Arial" w:hAnsi="Arial"/>
          <w:sz w:val="17"/>
          <w:szCs w:val="17"/>
          <w:b w:val="1"/>
          <w:bCs w:val="1"/>
          <w:color w:val="auto"/>
        </w:rPr>
        <w:t>PART II.</w:t>
        <w:tab/>
        <w:t>OTHER INFORMATION</w:t>
      </w:r>
    </w:p>
    <w:p>
      <w:pPr>
        <w:spacing w:after="0" w:line="243" w:lineRule="exact"/>
        <w:rPr>
          <w:sz w:val="20"/>
          <w:szCs w:val="20"/>
          <w:color w:val="auto"/>
        </w:rPr>
      </w:pPr>
    </w:p>
    <w:p>
      <w:pPr>
        <w:spacing w:after="0"/>
        <w:tabs>
          <w:tab w:leader="none" w:pos="780" w:val="left"/>
        </w:tabs>
        <w:rPr>
          <w:sz w:val="20"/>
          <w:szCs w:val="20"/>
          <w:color w:val="auto"/>
        </w:rPr>
      </w:pPr>
      <w:r>
        <w:rPr>
          <w:rFonts w:ascii="Arial" w:cs="Arial" w:eastAsia="Arial" w:hAnsi="Arial"/>
          <w:sz w:val="17"/>
          <w:szCs w:val="17"/>
          <w:b w:val="1"/>
          <w:bCs w:val="1"/>
          <w:color w:val="auto"/>
        </w:rPr>
        <w:t>ITEM 1.</w:t>
        <w:tab/>
        <w:t>LEGAL PROCEEDINGS</w:t>
      </w:r>
    </w:p>
    <w:p>
      <w:pPr>
        <w:spacing w:after="0" w:line="184" w:lineRule="exact"/>
        <w:rPr>
          <w:sz w:val="20"/>
          <w:szCs w:val="20"/>
          <w:color w:val="auto"/>
        </w:rPr>
      </w:pPr>
    </w:p>
    <w:p>
      <w:pPr>
        <w:ind w:right="220" w:firstLine="309"/>
        <w:spacing w:after="0" w:line="279" w:lineRule="auto"/>
        <w:rPr>
          <w:sz w:val="20"/>
          <w:szCs w:val="20"/>
          <w:color w:val="auto"/>
        </w:rPr>
      </w:pPr>
      <w:r>
        <w:rPr>
          <w:rFonts w:ascii="Arial" w:cs="Arial" w:eastAsia="Arial" w:hAnsi="Arial"/>
          <w:sz w:val="17"/>
          <w:szCs w:val="17"/>
          <w:color w:val="auto"/>
        </w:rPr>
        <w:t>We are a party to a number of other pending legal proceedings. Management does not expect that the outcome of such proceedings, either individually or in the aggregate, will have a material effect on our financial position, results of operations or cash flows.</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1A.RISK FACTORS</w:t>
      </w:r>
    </w:p>
    <w:p>
      <w:pPr>
        <w:spacing w:after="0" w:line="197" w:lineRule="exact"/>
        <w:rPr>
          <w:sz w:val="20"/>
          <w:szCs w:val="20"/>
          <w:color w:val="auto"/>
        </w:rPr>
      </w:pPr>
    </w:p>
    <w:p>
      <w:pPr>
        <w:ind w:right="40" w:firstLine="309"/>
        <w:spacing w:after="0" w:line="423" w:lineRule="auto"/>
        <w:rPr>
          <w:sz w:val="20"/>
          <w:szCs w:val="20"/>
          <w:color w:val="auto"/>
        </w:rPr>
      </w:pPr>
      <w:r>
        <w:rPr>
          <w:rFonts w:ascii="Arial" w:cs="Arial" w:eastAsia="Arial" w:hAnsi="Arial"/>
          <w:sz w:val="17"/>
          <w:szCs w:val="17"/>
          <w:color w:val="auto"/>
        </w:rPr>
        <w:t xml:space="preserve">We are not aware of any material changes to the risk factors described in the Company’s Annual Report on Form 10-K for the year ended December 31, 2020. </w:t>
      </w:r>
      <w:r>
        <w:rPr>
          <w:rFonts w:ascii="Arial" w:cs="Arial" w:eastAsia="Arial" w:hAnsi="Arial"/>
          <w:sz w:val="17"/>
          <w:szCs w:val="17"/>
          <w:b w:val="1"/>
          <w:bCs w:val="1"/>
          <w:color w:val="auto"/>
        </w:rPr>
        <w:t>ITEM 6. EXHIBITS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1040" w:type="dxa"/>
            <w:vAlign w:val="bottom"/>
            <w:gridSpan w:val="2"/>
          </w:tcPr>
          <w:p>
            <w:pPr>
              <w:jc w:val="center"/>
              <w:ind w:right="80"/>
              <w:spacing w:after="0"/>
              <w:rPr>
                <w:sz w:val="20"/>
                <w:szCs w:val="20"/>
                <w:color w:val="auto"/>
              </w:rPr>
            </w:pPr>
            <w:r>
              <w:rPr>
                <w:rFonts w:ascii="Arial" w:cs="Arial" w:eastAsia="Arial" w:hAnsi="Arial"/>
                <w:sz w:val="17"/>
                <w:szCs w:val="17"/>
                <w:b w:val="1"/>
                <w:bCs w:val="1"/>
                <w:color w:val="auto"/>
                <w:w w:val="98"/>
              </w:rPr>
              <w:t>Exhibit</w:t>
            </w: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4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00" w:type="dxa"/>
            <w:vAlign w:val="bottom"/>
          </w:tcPr>
          <w:p>
            <w:pPr>
              <w:spacing w:after="0"/>
              <w:rPr>
                <w:sz w:val="19"/>
                <w:szCs w:val="19"/>
                <w:color w:val="auto"/>
              </w:rPr>
            </w:pPr>
          </w:p>
        </w:tc>
      </w:tr>
      <w:tr>
        <w:trPr>
          <w:trHeight w:val="224"/>
        </w:trPr>
        <w:tc>
          <w:tcPr>
            <w:tcW w:w="1040" w:type="dxa"/>
            <w:vAlign w:val="bottom"/>
            <w:gridSpan w:val="2"/>
          </w:tcPr>
          <w:p>
            <w:pPr>
              <w:jc w:val="center"/>
              <w:ind w:right="80"/>
              <w:spacing w:after="0"/>
              <w:rPr>
                <w:sz w:val="20"/>
                <w:szCs w:val="20"/>
                <w:color w:val="auto"/>
              </w:rPr>
            </w:pPr>
            <w:r>
              <w:rPr>
                <w:rFonts w:ascii="Arial" w:cs="Arial" w:eastAsia="Arial" w:hAnsi="Arial"/>
                <w:sz w:val="17"/>
                <w:szCs w:val="17"/>
                <w:b w:val="1"/>
                <w:bCs w:val="1"/>
                <w:color w:val="auto"/>
                <w:w w:val="93"/>
              </w:rPr>
              <w:t>Number</w:t>
            </w: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760" w:type="dxa"/>
            <w:vAlign w:val="bottom"/>
            <w:gridSpan w:val="4"/>
          </w:tcPr>
          <w:p>
            <w:pPr>
              <w:ind w:left="3860"/>
              <w:spacing w:after="0"/>
              <w:rPr>
                <w:sz w:val="20"/>
                <w:szCs w:val="20"/>
                <w:color w:val="auto"/>
              </w:rPr>
            </w:pPr>
            <w:r>
              <w:rPr>
                <w:rFonts w:ascii="Arial" w:cs="Arial" w:eastAsia="Arial" w:hAnsi="Arial"/>
                <w:sz w:val="17"/>
                <w:szCs w:val="17"/>
                <w:b w:val="1"/>
                <w:bCs w:val="1"/>
                <w:color w:val="auto"/>
              </w:rPr>
              <w:t>Description of Exhibit</w:t>
            </w:r>
          </w:p>
        </w:tc>
      </w:tr>
      <w:tr>
        <w:trPr>
          <w:trHeight w:val="213"/>
        </w:trPr>
        <w:tc>
          <w:tcPr>
            <w:tcW w:w="9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31.1*</w:t>
            </w:r>
          </w:p>
        </w:tc>
        <w:tc>
          <w:tcPr>
            <w:tcW w:w="8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0180" w:type="dxa"/>
            <w:vAlign w:val="bottom"/>
            <w:tcBorders>
              <w:top w:val="single" w:sz="8" w:color="auto"/>
            </w:tcBorders>
            <w:gridSpan w:val="6"/>
          </w:tcPr>
          <w:p>
            <w:pPr>
              <w:spacing w:after="0"/>
              <w:rPr>
                <w:rFonts w:ascii="Arial" w:cs="Arial" w:eastAsia="Arial" w:hAnsi="Arial"/>
                <w:sz w:val="17"/>
                <w:szCs w:val="17"/>
                <w:color w:val="0000FF"/>
                <w:w w:val="95"/>
              </w:rPr>
            </w:pPr>
            <w:hyperlink w:anchor="page50">
              <w:r>
                <w:rPr>
                  <w:rFonts w:ascii="Arial" w:cs="Arial" w:eastAsia="Arial" w:hAnsi="Arial"/>
                  <w:sz w:val="17"/>
                  <w:szCs w:val="17"/>
                  <w:color w:val="0000FF"/>
                  <w:w w:val="95"/>
                </w:rPr>
                <w:t>CEO Certification pursuant to Exchange Act Rules 13a-14(a) and 15d-14(a), as adopted pursuant to Section 302 of the Sarbanes-Oxley Act of</w:t>
              </w:r>
            </w:hyperlink>
          </w:p>
        </w:tc>
      </w:tr>
      <w:tr>
        <w:trPr>
          <w:trHeight w:val="148"/>
        </w:trPr>
        <w:tc>
          <w:tcPr>
            <w:tcW w:w="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20" w:type="dxa"/>
            <w:vAlign w:val="bottom"/>
            <w:tcBorders>
              <w:top w:val="single" w:sz="8" w:color="0000FF"/>
              <w:bottom w:val="single" w:sz="8" w:color="0000FF"/>
            </w:tcBorders>
            <w:gridSpan w:val="2"/>
          </w:tcPr>
          <w:p>
            <w:pPr>
              <w:spacing w:after="0" w:line="148" w:lineRule="exact"/>
              <w:rPr>
                <w:rFonts w:ascii="Arial" w:cs="Arial" w:eastAsia="Arial" w:hAnsi="Arial"/>
                <w:sz w:val="17"/>
                <w:szCs w:val="17"/>
                <w:color w:val="0000FF"/>
                <w:w w:val="93"/>
              </w:rPr>
            </w:pPr>
            <w:hyperlink w:anchor="page50">
              <w:r>
                <w:rPr>
                  <w:rFonts w:ascii="Arial" w:cs="Arial" w:eastAsia="Arial" w:hAnsi="Arial"/>
                  <w:sz w:val="17"/>
                  <w:szCs w:val="17"/>
                  <w:color w:val="0000FF"/>
                  <w:w w:val="93"/>
                </w:rPr>
                <w:t>2002.</w:t>
              </w:r>
            </w:hyperlink>
          </w:p>
        </w:tc>
        <w:tc>
          <w:tcPr>
            <w:tcW w:w="844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900" w:type="dxa"/>
            <w:vAlign w:val="bottom"/>
            <w:tcBorders>
              <w:top w:val="single" w:sz="8" w:color="0000FF"/>
            </w:tcBorders>
          </w:tcPr>
          <w:p>
            <w:pPr>
              <w:spacing w:after="0"/>
              <w:rPr>
                <w:sz w:val="12"/>
                <w:szCs w:val="12"/>
                <w:color w:val="auto"/>
              </w:rPr>
            </w:pPr>
          </w:p>
        </w:tc>
        <w:tc>
          <w:tcPr>
            <w:tcW w:w="400" w:type="dxa"/>
            <w:vAlign w:val="bottom"/>
          </w:tcPr>
          <w:p>
            <w:pPr>
              <w:spacing w:after="0"/>
              <w:rPr>
                <w:sz w:val="12"/>
                <w:szCs w:val="12"/>
                <w:color w:val="auto"/>
              </w:rPr>
            </w:pPr>
          </w:p>
        </w:tc>
      </w:tr>
      <w:tr>
        <w:trPr>
          <w:trHeight w:val="251"/>
        </w:trPr>
        <w:tc>
          <w:tcPr>
            <w:tcW w:w="960" w:type="dxa"/>
            <w:vAlign w:val="bottom"/>
          </w:tcPr>
          <w:p>
            <w:pPr>
              <w:jc w:val="right"/>
              <w:spacing w:after="0"/>
              <w:rPr>
                <w:sz w:val="20"/>
                <w:szCs w:val="20"/>
                <w:color w:val="auto"/>
              </w:rPr>
            </w:pPr>
            <w:r>
              <w:rPr>
                <w:rFonts w:ascii="Arial" w:cs="Arial" w:eastAsia="Arial" w:hAnsi="Arial"/>
                <w:sz w:val="17"/>
                <w:szCs w:val="17"/>
                <w:color w:val="auto"/>
              </w:rPr>
              <w:t>31.2*</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180" w:type="dxa"/>
            <w:vAlign w:val="bottom"/>
            <w:gridSpan w:val="6"/>
          </w:tcPr>
          <w:p>
            <w:pPr>
              <w:spacing w:after="0"/>
              <w:rPr>
                <w:rFonts w:ascii="Arial" w:cs="Arial" w:eastAsia="Arial" w:hAnsi="Arial"/>
                <w:sz w:val="17"/>
                <w:szCs w:val="17"/>
                <w:color w:val="0000FF"/>
                <w:w w:val="95"/>
              </w:rPr>
            </w:pPr>
            <w:hyperlink w:anchor="page51">
              <w:r>
                <w:rPr>
                  <w:rFonts w:ascii="Arial" w:cs="Arial" w:eastAsia="Arial" w:hAnsi="Arial"/>
                  <w:sz w:val="17"/>
                  <w:szCs w:val="17"/>
                  <w:color w:val="0000FF"/>
                  <w:w w:val="95"/>
                </w:rPr>
                <w:t>CFO Certification pursuant to Exchange Act Rules 13a-14(a) and 15d-14(a), as adopted pursuant to Section 302 of the Sarbanes-Oxley Act of</w:t>
              </w:r>
            </w:hyperlink>
          </w:p>
        </w:tc>
      </w:tr>
      <w:tr>
        <w:trPr>
          <w:trHeight w:val="148"/>
        </w:trPr>
        <w:tc>
          <w:tcPr>
            <w:tcW w:w="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0" w:type="dxa"/>
            <w:vAlign w:val="bottom"/>
            <w:tcBorders>
              <w:top w:val="single" w:sz="8" w:color="0000FF"/>
              <w:bottom w:val="single" w:sz="8" w:color="0000FF"/>
            </w:tcBorders>
          </w:tcPr>
          <w:p>
            <w:pPr>
              <w:spacing w:after="0" w:line="148" w:lineRule="exact"/>
              <w:rPr>
                <w:rFonts w:ascii="Arial" w:cs="Arial" w:eastAsia="Arial" w:hAnsi="Arial"/>
                <w:sz w:val="17"/>
                <w:szCs w:val="17"/>
                <w:color w:val="0000FF"/>
                <w:w w:val="89"/>
              </w:rPr>
            </w:pPr>
            <w:hyperlink w:anchor="page51">
              <w:r>
                <w:rPr>
                  <w:rFonts w:ascii="Arial" w:cs="Arial" w:eastAsia="Arial" w:hAnsi="Arial"/>
                  <w:sz w:val="17"/>
                  <w:szCs w:val="17"/>
                  <w:color w:val="0000FF"/>
                  <w:w w:val="89"/>
                </w:rPr>
                <w:t>2002.</w:t>
              </w:r>
            </w:hyperlink>
          </w:p>
        </w:tc>
        <w:tc>
          <w:tcPr>
            <w:tcW w:w="20" w:type="dxa"/>
            <w:vAlign w:val="bottom"/>
            <w:tcBorders>
              <w:top w:val="single" w:sz="8" w:color="0000FF"/>
            </w:tcBorders>
          </w:tcPr>
          <w:p>
            <w:pPr>
              <w:spacing w:after="0"/>
              <w:rPr>
                <w:sz w:val="12"/>
                <w:szCs w:val="12"/>
                <w:color w:val="auto"/>
              </w:rPr>
            </w:pPr>
          </w:p>
        </w:tc>
        <w:tc>
          <w:tcPr>
            <w:tcW w:w="844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900" w:type="dxa"/>
            <w:vAlign w:val="bottom"/>
            <w:tcBorders>
              <w:top w:val="single" w:sz="8" w:color="0000FF"/>
            </w:tcBorders>
          </w:tcPr>
          <w:p>
            <w:pPr>
              <w:spacing w:after="0"/>
              <w:rPr>
                <w:sz w:val="12"/>
                <w:szCs w:val="12"/>
                <w:color w:val="auto"/>
              </w:rPr>
            </w:pPr>
          </w:p>
        </w:tc>
        <w:tc>
          <w:tcPr>
            <w:tcW w:w="400" w:type="dxa"/>
            <w:vAlign w:val="bottom"/>
          </w:tcPr>
          <w:p>
            <w:pPr>
              <w:spacing w:after="0"/>
              <w:rPr>
                <w:sz w:val="12"/>
                <w:szCs w:val="12"/>
                <w:color w:val="auto"/>
              </w:rPr>
            </w:pPr>
          </w:p>
        </w:tc>
      </w:tr>
      <w:tr>
        <w:trPr>
          <w:trHeight w:val="251"/>
        </w:trPr>
        <w:tc>
          <w:tcPr>
            <w:tcW w:w="960" w:type="dxa"/>
            <w:vAlign w:val="bottom"/>
          </w:tcPr>
          <w:p>
            <w:pPr>
              <w:jc w:val="right"/>
              <w:spacing w:after="0"/>
              <w:rPr>
                <w:sz w:val="20"/>
                <w:szCs w:val="20"/>
                <w:color w:val="auto"/>
              </w:rPr>
            </w:pPr>
            <w:r>
              <w:rPr>
                <w:rFonts w:ascii="Arial" w:cs="Arial" w:eastAsia="Arial" w:hAnsi="Arial"/>
                <w:sz w:val="17"/>
                <w:szCs w:val="17"/>
                <w:color w:val="auto"/>
              </w:rPr>
              <w:t>32.1**</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880" w:type="dxa"/>
            <w:vAlign w:val="bottom"/>
            <w:tcBorders>
              <w:bottom w:val="single" w:sz="8" w:color="0000FF"/>
            </w:tcBorders>
            <w:gridSpan w:val="4"/>
          </w:tcPr>
          <w:p>
            <w:pPr>
              <w:spacing w:after="0"/>
              <w:rPr>
                <w:rFonts w:ascii="Arial" w:cs="Arial" w:eastAsia="Arial" w:hAnsi="Arial"/>
                <w:sz w:val="17"/>
                <w:szCs w:val="17"/>
                <w:color w:val="0000FF"/>
                <w:w w:val="92"/>
              </w:rPr>
            </w:pPr>
            <w:hyperlink w:anchor="page52">
              <w:r>
                <w:rPr>
                  <w:rFonts w:ascii="Arial" w:cs="Arial" w:eastAsia="Arial" w:hAnsi="Arial"/>
                  <w:sz w:val="17"/>
                  <w:szCs w:val="17"/>
                  <w:color w:val="0000FF"/>
                  <w:w w:val="92"/>
                </w:rPr>
                <w:t>CEO Certification pursuant to 18 U.S.C. Section 1350, As Adopted Pursuant to Section 906 of The Sarbanes-Oxley Act of 2002.</w:t>
              </w:r>
            </w:hyperlink>
          </w:p>
        </w:tc>
        <w:tc>
          <w:tcPr>
            <w:tcW w:w="1300" w:type="dxa"/>
            <w:vAlign w:val="bottom"/>
            <w:gridSpan w:val="2"/>
          </w:tcPr>
          <w:p>
            <w:pPr>
              <w:spacing w:after="0"/>
              <w:rPr>
                <w:sz w:val="21"/>
                <w:szCs w:val="21"/>
                <w:color w:val="auto"/>
              </w:rPr>
            </w:pPr>
          </w:p>
        </w:tc>
      </w:tr>
      <w:tr>
        <w:trPr>
          <w:trHeight w:val="251"/>
        </w:trPr>
        <w:tc>
          <w:tcPr>
            <w:tcW w:w="960" w:type="dxa"/>
            <w:vAlign w:val="bottom"/>
          </w:tcPr>
          <w:p>
            <w:pPr>
              <w:jc w:val="right"/>
              <w:spacing w:after="0"/>
              <w:rPr>
                <w:sz w:val="20"/>
                <w:szCs w:val="20"/>
                <w:color w:val="auto"/>
              </w:rPr>
            </w:pPr>
            <w:r>
              <w:rPr>
                <w:rFonts w:ascii="Arial" w:cs="Arial" w:eastAsia="Arial" w:hAnsi="Arial"/>
                <w:sz w:val="17"/>
                <w:szCs w:val="17"/>
                <w:color w:val="auto"/>
              </w:rPr>
              <w:t>32.2**</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180" w:type="dxa"/>
            <w:vAlign w:val="bottom"/>
            <w:gridSpan w:val="6"/>
          </w:tcPr>
          <w:p>
            <w:pPr>
              <w:spacing w:after="0"/>
              <w:rPr>
                <w:rFonts w:ascii="Arial" w:cs="Arial" w:eastAsia="Arial" w:hAnsi="Arial"/>
                <w:sz w:val="17"/>
                <w:szCs w:val="17"/>
                <w:color w:val="0000FF"/>
              </w:rPr>
            </w:pPr>
            <w:hyperlink w:anchor="page53">
              <w:r>
                <w:rPr>
                  <w:rFonts w:ascii="Arial" w:cs="Arial" w:eastAsia="Arial" w:hAnsi="Arial"/>
                  <w:sz w:val="17"/>
                  <w:szCs w:val="17"/>
                  <w:color w:val="0000FF"/>
                </w:rPr>
                <w:t>CFO Certification pursuant to 18 U.S.C. Section 1350, As Adopted Pursuant to Section 906 of The Sarbanes-Oxley Act of 2002.</w:t>
              </w:r>
            </w:hyperlink>
          </w:p>
        </w:tc>
      </w:tr>
      <w:tr>
        <w:trPr>
          <w:trHeight w:val="20"/>
        </w:trPr>
        <w:tc>
          <w:tcPr>
            <w:tcW w:w="10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60" w:type="dxa"/>
            <w:vAlign w:val="bottom"/>
            <w:gridSpan w:val="3"/>
            <w:shd w:val="clear" w:color="auto" w:fill="0000FF"/>
          </w:tcPr>
          <w:p>
            <w:pPr>
              <w:spacing w:after="0" w:line="20" w:lineRule="exact"/>
              <w:rPr>
                <w:sz w:val="1"/>
                <w:szCs w:val="1"/>
                <w:color w:val="auto"/>
              </w:rPr>
            </w:pPr>
          </w:p>
        </w:tc>
        <w:tc>
          <w:tcPr>
            <w:tcW w:w="1320" w:type="dxa"/>
            <w:vAlign w:val="bottom"/>
            <w:gridSpan w:val="3"/>
          </w:tcPr>
          <w:p>
            <w:pPr>
              <w:spacing w:after="0" w:line="20" w:lineRule="exact"/>
              <w:rPr>
                <w:sz w:val="1"/>
                <w:szCs w:val="1"/>
                <w:color w:val="auto"/>
              </w:rPr>
            </w:pPr>
          </w:p>
        </w:tc>
      </w:tr>
      <w:tr>
        <w:trPr>
          <w:trHeight w:val="238"/>
        </w:trPr>
        <w:tc>
          <w:tcPr>
            <w:tcW w:w="1040" w:type="dxa"/>
            <w:vAlign w:val="bottom"/>
            <w:gridSpan w:val="2"/>
          </w:tcPr>
          <w:p>
            <w:pPr>
              <w:jc w:val="right"/>
              <w:ind w:right="100"/>
              <w:spacing w:after="0"/>
              <w:rPr>
                <w:sz w:val="20"/>
                <w:szCs w:val="20"/>
                <w:color w:val="auto"/>
              </w:rPr>
            </w:pPr>
            <w:r>
              <w:rPr>
                <w:rFonts w:ascii="Arial" w:cs="Arial" w:eastAsia="Arial" w:hAnsi="Arial"/>
                <w:sz w:val="17"/>
                <w:szCs w:val="17"/>
                <w:color w:val="auto"/>
              </w:rPr>
              <w:t>101.INS</w:t>
            </w:r>
          </w:p>
        </w:tc>
        <w:tc>
          <w:tcPr>
            <w:tcW w:w="20" w:type="dxa"/>
            <w:vAlign w:val="bottom"/>
          </w:tcPr>
          <w:p>
            <w:pPr>
              <w:spacing w:after="0"/>
              <w:rPr>
                <w:sz w:val="20"/>
                <w:szCs w:val="20"/>
                <w:color w:val="auto"/>
              </w:rPr>
            </w:pPr>
          </w:p>
        </w:tc>
        <w:tc>
          <w:tcPr>
            <w:tcW w:w="10180" w:type="dxa"/>
            <w:vAlign w:val="bottom"/>
            <w:gridSpan w:val="6"/>
          </w:tcPr>
          <w:p>
            <w:pPr>
              <w:spacing w:after="0"/>
              <w:rPr>
                <w:sz w:val="20"/>
                <w:szCs w:val="20"/>
                <w:color w:val="auto"/>
              </w:rPr>
            </w:pPr>
            <w:r>
              <w:rPr>
                <w:rFonts w:ascii="Arial" w:cs="Arial" w:eastAsia="Arial" w:hAnsi="Arial"/>
                <w:sz w:val="17"/>
                <w:szCs w:val="17"/>
                <w:color w:val="auto"/>
                <w:w w:val="94"/>
              </w:rPr>
              <w:t>XBRL Instance Document - the instance document does not appear in the Interactive Data File because its XBRL tags are embedded within the</w:t>
            </w:r>
          </w:p>
        </w:tc>
      </w:tr>
      <w:tr>
        <w:trPr>
          <w:trHeight w:val="217"/>
        </w:trPr>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180" w:type="dxa"/>
            <w:vAlign w:val="bottom"/>
            <w:gridSpan w:val="6"/>
          </w:tcPr>
          <w:p>
            <w:pPr>
              <w:spacing w:after="0"/>
              <w:rPr>
                <w:sz w:val="20"/>
                <w:szCs w:val="20"/>
                <w:color w:val="auto"/>
              </w:rPr>
            </w:pPr>
            <w:r>
              <w:rPr>
                <w:rFonts w:ascii="Arial" w:cs="Arial" w:eastAsia="Arial" w:hAnsi="Arial"/>
                <w:sz w:val="17"/>
                <w:szCs w:val="17"/>
                <w:color w:val="auto"/>
              </w:rPr>
              <w:t>Inline XBRL document.</w:t>
            </w:r>
          </w:p>
        </w:tc>
      </w:tr>
      <w:tr>
        <w:trPr>
          <w:trHeight w:val="271"/>
        </w:trPr>
        <w:tc>
          <w:tcPr>
            <w:tcW w:w="1040" w:type="dxa"/>
            <w:vAlign w:val="bottom"/>
            <w:gridSpan w:val="2"/>
          </w:tcPr>
          <w:p>
            <w:pPr>
              <w:jc w:val="right"/>
              <w:ind w:right="100"/>
              <w:spacing w:after="0"/>
              <w:rPr>
                <w:sz w:val="20"/>
                <w:szCs w:val="20"/>
                <w:color w:val="auto"/>
              </w:rPr>
            </w:pPr>
            <w:r>
              <w:rPr>
                <w:rFonts w:ascii="Arial" w:cs="Arial" w:eastAsia="Arial" w:hAnsi="Arial"/>
                <w:sz w:val="17"/>
                <w:szCs w:val="17"/>
                <w:color w:val="auto"/>
              </w:rPr>
              <w:t>101.SCH</w:t>
            </w:r>
          </w:p>
        </w:tc>
        <w:tc>
          <w:tcPr>
            <w:tcW w:w="20" w:type="dxa"/>
            <w:vAlign w:val="bottom"/>
          </w:tcPr>
          <w:p>
            <w:pPr>
              <w:spacing w:after="0"/>
              <w:rPr>
                <w:sz w:val="23"/>
                <w:szCs w:val="23"/>
                <w:color w:val="auto"/>
              </w:rPr>
            </w:pPr>
          </w:p>
        </w:tc>
        <w:tc>
          <w:tcPr>
            <w:tcW w:w="10180" w:type="dxa"/>
            <w:vAlign w:val="bottom"/>
            <w:gridSpan w:val="6"/>
          </w:tcPr>
          <w:p>
            <w:pPr>
              <w:spacing w:after="0"/>
              <w:rPr>
                <w:sz w:val="20"/>
                <w:szCs w:val="20"/>
                <w:color w:val="auto"/>
              </w:rPr>
            </w:pPr>
            <w:r>
              <w:rPr>
                <w:rFonts w:ascii="Arial" w:cs="Arial" w:eastAsia="Arial" w:hAnsi="Arial"/>
                <w:sz w:val="17"/>
                <w:szCs w:val="17"/>
                <w:color w:val="auto"/>
              </w:rPr>
              <w:t>Inline XBRL Taxonomy Extension Schema Document.</w:t>
            </w:r>
          </w:p>
        </w:tc>
      </w:tr>
      <w:tr>
        <w:trPr>
          <w:trHeight w:val="271"/>
        </w:trPr>
        <w:tc>
          <w:tcPr>
            <w:tcW w:w="1040" w:type="dxa"/>
            <w:vAlign w:val="bottom"/>
            <w:gridSpan w:val="2"/>
          </w:tcPr>
          <w:p>
            <w:pPr>
              <w:jc w:val="right"/>
              <w:ind w:right="100"/>
              <w:spacing w:after="0"/>
              <w:rPr>
                <w:sz w:val="20"/>
                <w:szCs w:val="20"/>
                <w:color w:val="auto"/>
              </w:rPr>
            </w:pPr>
            <w:r>
              <w:rPr>
                <w:rFonts w:ascii="Arial" w:cs="Arial" w:eastAsia="Arial" w:hAnsi="Arial"/>
                <w:sz w:val="17"/>
                <w:szCs w:val="17"/>
                <w:color w:val="auto"/>
              </w:rPr>
              <w:t>101.CAL</w:t>
            </w:r>
          </w:p>
        </w:tc>
        <w:tc>
          <w:tcPr>
            <w:tcW w:w="20" w:type="dxa"/>
            <w:vAlign w:val="bottom"/>
          </w:tcPr>
          <w:p>
            <w:pPr>
              <w:spacing w:after="0"/>
              <w:rPr>
                <w:sz w:val="23"/>
                <w:szCs w:val="23"/>
                <w:color w:val="auto"/>
              </w:rPr>
            </w:pPr>
          </w:p>
        </w:tc>
        <w:tc>
          <w:tcPr>
            <w:tcW w:w="10180" w:type="dxa"/>
            <w:vAlign w:val="bottom"/>
            <w:gridSpan w:val="6"/>
          </w:tcPr>
          <w:p>
            <w:pPr>
              <w:spacing w:after="0"/>
              <w:rPr>
                <w:sz w:val="20"/>
                <w:szCs w:val="20"/>
                <w:color w:val="auto"/>
              </w:rPr>
            </w:pPr>
            <w:r>
              <w:rPr>
                <w:rFonts w:ascii="Arial" w:cs="Arial" w:eastAsia="Arial" w:hAnsi="Arial"/>
                <w:sz w:val="17"/>
                <w:szCs w:val="17"/>
                <w:color w:val="auto"/>
              </w:rPr>
              <w:t>Inline XBRL Taxonomy Extension Calculation Linkbase Document.</w:t>
            </w:r>
          </w:p>
        </w:tc>
      </w:tr>
      <w:tr>
        <w:trPr>
          <w:trHeight w:val="271"/>
        </w:trPr>
        <w:tc>
          <w:tcPr>
            <w:tcW w:w="1040" w:type="dxa"/>
            <w:vAlign w:val="bottom"/>
            <w:gridSpan w:val="2"/>
          </w:tcPr>
          <w:p>
            <w:pPr>
              <w:jc w:val="right"/>
              <w:ind w:right="100"/>
              <w:spacing w:after="0"/>
              <w:rPr>
                <w:sz w:val="20"/>
                <w:szCs w:val="20"/>
                <w:color w:val="auto"/>
              </w:rPr>
            </w:pPr>
            <w:r>
              <w:rPr>
                <w:rFonts w:ascii="Arial" w:cs="Arial" w:eastAsia="Arial" w:hAnsi="Arial"/>
                <w:sz w:val="17"/>
                <w:szCs w:val="17"/>
                <w:color w:val="auto"/>
              </w:rPr>
              <w:t>101.DEF</w:t>
            </w:r>
          </w:p>
        </w:tc>
        <w:tc>
          <w:tcPr>
            <w:tcW w:w="20" w:type="dxa"/>
            <w:vAlign w:val="bottom"/>
          </w:tcPr>
          <w:p>
            <w:pPr>
              <w:spacing w:after="0"/>
              <w:rPr>
                <w:sz w:val="23"/>
                <w:szCs w:val="23"/>
                <w:color w:val="auto"/>
              </w:rPr>
            </w:pPr>
          </w:p>
        </w:tc>
        <w:tc>
          <w:tcPr>
            <w:tcW w:w="10180" w:type="dxa"/>
            <w:vAlign w:val="bottom"/>
            <w:gridSpan w:val="6"/>
          </w:tcPr>
          <w:p>
            <w:pPr>
              <w:spacing w:after="0"/>
              <w:rPr>
                <w:sz w:val="20"/>
                <w:szCs w:val="20"/>
                <w:color w:val="auto"/>
              </w:rPr>
            </w:pPr>
            <w:r>
              <w:rPr>
                <w:rFonts w:ascii="Arial" w:cs="Arial" w:eastAsia="Arial" w:hAnsi="Arial"/>
                <w:sz w:val="17"/>
                <w:szCs w:val="17"/>
                <w:color w:val="auto"/>
              </w:rPr>
              <w:t>Inline XBRL Taxonomy Extension Definition Linkbase Document.</w:t>
            </w:r>
          </w:p>
        </w:tc>
      </w:tr>
      <w:tr>
        <w:trPr>
          <w:trHeight w:val="271"/>
        </w:trPr>
        <w:tc>
          <w:tcPr>
            <w:tcW w:w="1040" w:type="dxa"/>
            <w:vAlign w:val="bottom"/>
            <w:gridSpan w:val="2"/>
          </w:tcPr>
          <w:p>
            <w:pPr>
              <w:jc w:val="right"/>
              <w:ind w:right="100"/>
              <w:spacing w:after="0"/>
              <w:rPr>
                <w:sz w:val="20"/>
                <w:szCs w:val="20"/>
                <w:color w:val="auto"/>
              </w:rPr>
            </w:pPr>
            <w:r>
              <w:rPr>
                <w:rFonts w:ascii="Arial" w:cs="Arial" w:eastAsia="Arial" w:hAnsi="Arial"/>
                <w:sz w:val="17"/>
                <w:szCs w:val="17"/>
                <w:color w:val="auto"/>
              </w:rPr>
              <w:t>101.LAB</w:t>
            </w:r>
          </w:p>
        </w:tc>
        <w:tc>
          <w:tcPr>
            <w:tcW w:w="20" w:type="dxa"/>
            <w:vAlign w:val="bottom"/>
          </w:tcPr>
          <w:p>
            <w:pPr>
              <w:spacing w:after="0"/>
              <w:rPr>
                <w:sz w:val="23"/>
                <w:szCs w:val="23"/>
                <w:color w:val="auto"/>
              </w:rPr>
            </w:pPr>
          </w:p>
        </w:tc>
        <w:tc>
          <w:tcPr>
            <w:tcW w:w="10180" w:type="dxa"/>
            <w:vAlign w:val="bottom"/>
            <w:gridSpan w:val="6"/>
          </w:tcPr>
          <w:p>
            <w:pPr>
              <w:spacing w:after="0"/>
              <w:rPr>
                <w:sz w:val="20"/>
                <w:szCs w:val="20"/>
                <w:color w:val="auto"/>
              </w:rPr>
            </w:pPr>
            <w:r>
              <w:rPr>
                <w:rFonts w:ascii="Arial" w:cs="Arial" w:eastAsia="Arial" w:hAnsi="Arial"/>
                <w:sz w:val="17"/>
                <w:szCs w:val="17"/>
                <w:color w:val="auto"/>
              </w:rPr>
              <w:t>Inline XBRL Taxonomy Extension Label Linkbase Document.</w:t>
            </w:r>
          </w:p>
        </w:tc>
      </w:tr>
      <w:tr>
        <w:trPr>
          <w:trHeight w:val="271"/>
        </w:trPr>
        <w:tc>
          <w:tcPr>
            <w:tcW w:w="1040" w:type="dxa"/>
            <w:vAlign w:val="bottom"/>
            <w:gridSpan w:val="2"/>
          </w:tcPr>
          <w:p>
            <w:pPr>
              <w:jc w:val="right"/>
              <w:ind w:right="100"/>
              <w:spacing w:after="0"/>
              <w:rPr>
                <w:sz w:val="20"/>
                <w:szCs w:val="20"/>
                <w:color w:val="auto"/>
              </w:rPr>
            </w:pPr>
            <w:r>
              <w:rPr>
                <w:rFonts w:ascii="Arial" w:cs="Arial" w:eastAsia="Arial" w:hAnsi="Arial"/>
                <w:sz w:val="17"/>
                <w:szCs w:val="17"/>
                <w:color w:val="auto"/>
              </w:rPr>
              <w:t>101.PRE</w:t>
            </w:r>
          </w:p>
        </w:tc>
        <w:tc>
          <w:tcPr>
            <w:tcW w:w="20" w:type="dxa"/>
            <w:vAlign w:val="bottom"/>
          </w:tcPr>
          <w:p>
            <w:pPr>
              <w:spacing w:after="0"/>
              <w:rPr>
                <w:sz w:val="23"/>
                <w:szCs w:val="23"/>
                <w:color w:val="auto"/>
              </w:rPr>
            </w:pPr>
          </w:p>
        </w:tc>
        <w:tc>
          <w:tcPr>
            <w:tcW w:w="10180" w:type="dxa"/>
            <w:vAlign w:val="bottom"/>
            <w:gridSpan w:val="6"/>
          </w:tcPr>
          <w:p>
            <w:pPr>
              <w:spacing w:after="0"/>
              <w:rPr>
                <w:sz w:val="20"/>
                <w:szCs w:val="20"/>
                <w:color w:val="auto"/>
              </w:rPr>
            </w:pPr>
            <w:r>
              <w:rPr>
                <w:rFonts w:ascii="Arial" w:cs="Arial" w:eastAsia="Arial" w:hAnsi="Arial"/>
                <w:sz w:val="17"/>
                <w:szCs w:val="17"/>
                <w:color w:val="auto"/>
              </w:rPr>
              <w:t>Inline XBRL Taxonomy Extension Presentation Linkbase Document.</w:t>
            </w:r>
          </w:p>
        </w:tc>
      </w:tr>
      <w:tr>
        <w:trPr>
          <w:trHeight w:val="271"/>
        </w:trPr>
        <w:tc>
          <w:tcPr>
            <w:tcW w:w="960" w:type="dxa"/>
            <w:vAlign w:val="bottom"/>
          </w:tcPr>
          <w:p>
            <w:pPr>
              <w:jc w:val="right"/>
              <w:spacing w:after="0"/>
              <w:rPr>
                <w:sz w:val="20"/>
                <w:szCs w:val="20"/>
                <w:color w:val="auto"/>
              </w:rPr>
            </w:pPr>
            <w:r>
              <w:rPr>
                <w:rFonts w:ascii="Arial" w:cs="Arial" w:eastAsia="Arial" w:hAnsi="Arial"/>
                <w:sz w:val="17"/>
                <w:szCs w:val="17"/>
                <w:color w:val="auto"/>
              </w:rPr>
              <w:t>104</w:t>
            </w: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180" w:type="dxa"/>
            <w:vAlign w:val="bottom"/>
            <w:gridSpan w:val="6"/>
          </w:tcPr>
          <w:p>
            <w:pPr>
              <w:spacing w:after="0"/>
              <w:rPr>
                <w:sz w:val="20"/>
                <w:szCs w:val="20"/>
                <w:color w:val="auto"/>
              </w:rPr>
            </w:pPr>
            <w:r>
              <w:rPr>
                <w:rFonts w:ascii="Arial" w:cs="Arial" w:eastAsia="Arial" w:hAnsi="Arial"/>
                <w:sz w:val="17"/>
                <w:szCs w:val="17"/>
                <w:color w:val="auto"/>
              </w:rPr>
              <w:t>Cover Page Inline XBRL File (included in Exhibit 101)</w:t>
            </w:r>
          </w:p>
        </w:tc>
      </w:tr>
    </w:tbl>
    <w:p>
      <w:pPr>
        <w:spacing w:after="0" w:line="54" w:lineRule="exact"/>
        <w:rPr>
          <w:sz w:val="20"/>
          <w:szCs w:val="20"/>
          <w:color w:val="auto"/>
        </w:rPr>
      </w:pPr>
    </w:p>
    <w:p>
      <w:pPr>
        <w:ind w:left="1060" w:hanging="206"/>
        <w:spacing w:after="0"/>
        <w:tabs>
          <w:tab w:leader="none" w:pos="1060" w:val="left"/>
        </w:tabs>
        <w:numPr>
          <w:ilvl w:val="1"/>
          <w:numId w:val="22"/>
        </w:numPr>
        <w:rPr>
          <w:rFonts w:ascii="Arial" w:cs="Arial" w:eastAsia="Arial" w:hAnsi="Arial"/>
          <w:sz w:val="17"/>
          <w:szCs w:val="17"/>
          <w:color w:val="auto"/>
        </w:rPr>
      </w:pPr>
      <w:r>
        <w:rPr>
          <w:rFonts w:ascii="Arial" w:cs="Arial" w:eastAsia="Arial" w:hAnsi="Arial"/>
          <w:sz w:val="17"/>
          <w:szCs w:val="17"/>
          <w:color w:val="auto"/>
        </w:rPr>
        <w:t>Filed herewith.</w:t>
      </w:r>
    </w:p>
    <w:p>
      <w:pPr>
        <w:spacing w:after="0" w:line="23" w:lineRule="exact"/>
        <w:rPr>
          <w:rFonts w:ascii="Arial" w:cs="Arial" w:eastAsia="Arial" w:hAnsi="Arial"/>
          <w:sz w:val="17"/>
          <w:szCs w:val="17"/>
          <w:color w:val="auto"/>
        </w:rPr>
      </w:pPr>
    </w:p>
    <w:p>
      <w:pPr>
        <w:ind w:left="1060" w:hanging="292"/>
        <w:spacing w:after="0"/>
        <w:tabs>
          <w:tab w:leader="none" w:pos="1060" w:val="left"/>
        </w:tabs>
        <w:numPr>
          <w:ilvl w:val="0"/>
          <w:numId w:val="22"/>
        </w:numPr>
        <w:rPr>
          <w:rFonts w:ascii="Arial" w:cs="Arial" w:eastAsia="Arial" w:hAnsi="Arial"/>
          <w:sz w:val="17"/>
          <w:szCs w:val="17"/>
          <w:color w:val="auto"/>
        </w:rPr>
      </w:pPr>
      <w:r>
        <w:rPr>
          <w:rFonts w:ascii="Arial" w:cs="Arial" w:eastAsia="Arial" w:hAnsi="Arial"/>
          <w:sz w:val="17"/>
          <w:szCs w:val="17"/>
          <w:color w:val="auto"/>
        </w:rPr>
        <w:t>Furnished herewith.</w:t>
      </w: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173990</wp:posOffset>
            </wp:positionV>
            <wp:extent cx="7164070" cy="4191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8" w:name="page49"/>
    <w:bookmarkEnd w:id="48"/>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333" w:lineRule="exact"/>
        <w:rPr>
          <w:sz w:val="20"/>
          <w:szCs w:val="20"/>
          <w:color w:val="auto"/>
        </w:rPr>
      </w:pPr>
    </w:p>
    <w:p>
      <w:pPr>
        <w:jc w:val="center"/>
        <w:ind w:right="-239"/>
        <w:spacing w:after="0"/>
        <w:rPr>
          <w:sz w:val="20"/>
          <w:szCs w:val="20"/>
          <w:color w:val="auto"/>
        </w:rPr>
      </w:pPr>
      <w:r>
        <w:rPr>
          <w:rFonts w:ascii="Arial" w:cs="Arial" w:eastAsia="Arial" w:hAnsi="Arial"/>
          <w:sz w:val="17"/>
          <w:szCs w:val="17"/>
          <w:b w:val="1"/>
          <w:bCs w:val="1"/>
          <w:color w:val="auto"/>
        </w:rPr>
        <w:t>SIGNATURES</w:t>
      </w:r>
    </w:p>
    <w:p>
      <w:pPr>
        <w:spacing w:after="0" w:line="184" w:lineRule="exact"/>
        <w:rPr>
          <w:sz w:val="20"/>
          <w:szCs w:val="20"/>
          <w:color w:val="auto"/>
        </w:rPr>
      </w:pPr>
    </w:p>
    <w:p>
      <w:pPr>
        <w:ind w:firstLine="309"/>
        <w:spacing w:after="0" w:line="276" w:lineRule="auto"/>
        <w:rPr>
          <w:sz w:val="20"/>
          <w:szCs w:val="20"/>
          <w:color w:val="auto"/>
        </w:rPr>
      </w:pPr>
      <w:r>
        <w:rPr>
          <w:rFonts w:ascii="Arial" w:cs="Arial" w:eastAsia="Arial" w:hAnsi="Arial"/>
          <w:sz w:val="17"/>
          <w:szCs w:val="17"/>
          <w:color w:val="auto"/>
        </w:rPr>
        <w:t>Pursuant to the requirements of the Securities Exchange Act of 1934, the registrant has duly caused this report to be signed on its behalf by the undersigned thereunto duly authorized.</w:t>
      </w:r>
    </w:p>
    <w:p>
      <w:pPr>
        <w:spacing w:after="0" w:line="2" w:lineRule="exact"/>
        <w:rPr>
          <w:sz w:val="20"/>
          <w:szCs w:val="20"/>
          <w:color w:val="auto"/>
        </w:rPr>
      </w:pPr>
    </w:p>
    <w:tbl>
      <w:tblPr>
        <w:tblLayout w:type="fixed"/>
        <w:tblInd w:w="640" w:type="dxa"/>
        <w:tblCellMar>
          <w:top w:w="0" w:type="dxa"/>
          <w:left w:w="0" w:type="dxa"/>
          <w:bottom w:w="0" w:type="dxa"/>
          <w:right w:w="0" w:type="dxa"/>
        </w:tblCellMar>
      </w:tblPr>
      <w:tr>
        <w:trPr>
          <w:trHeight w:val="217"/>
        </w:trPr>
        <w:tc>
          <w:tcPr>
            <w:tcW w:w="64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3520" w:type="dxa"/>
            <w:vAlign w:val="bottom"/>
          </w:tcPr>
          <w:p>
            <w:pPr>
              <w:ind w:left="180"/>
              <w:spacing w:after="0"/>
              <w:rPr>
                <w:sz w:val="20"/>
                <w:szCs w:val="20"/>
                <w:color w:val="auto"/>
              </w:rPr>
            </w:pPr>
            <w:r>
              <w:rPr>
                <w:rFonts w:ascii="Arial" w:cs="Arial" w:eastAsia="Arial" w:hAnsi="Arial"/>
                <w:sz w:val="17"/>
                <w:szCs w:val="17"/>
                <w:color w:val="auto"/>
              </w:rPr>
              <w:t>PENN NATIONAL GAMING, INC.</w:t>
            </w:r>
          </w:p>
        </w:tc>
      </w:tr>
      <w:tr>
        <w:trPr>
          <w:trHeight w:val="219"/>
        </w:trPr>
        <w:tc>
          <w:tcPr>
            <w:tcW w:w="640" w:type="dxa"/>
            <w:vAlign w:val="bottom"/>
          </w:tcPr>
          <w:p>
            <w:pPr>
              <w:spacing w:after="0"/>
              <w:rPr>
                <w:sz w:val="20"/>
                <w:szCs w:val="20"/>
                <w:color w:val="auto"/>
              </w:rPr>
            </w:pPr>
            <w:r>
              <w:rPr>
                <w:rFonts w:ascii="Arial" w:cs="Arial" w:eastAsia="Arial" w:hAnsi="Arial"/>
                <w:sz w:val="17"/>
                <w:szCs w:val="17"/>
                <w:color w:val="auto"/>
              </w:rPr>
              <w:t>Dated:</w:t>
            </w:r>
          </w:p>
        </w:tc>
        <w:tc>
          <w:tcPr>
            <w:tcW w:w="2860" w:type="dxa"/>
            <w:vAlign w:val="bottom"/>
          </w:tcPr>
          <w:p>
            <w:pPr>
              <w:ind w:left="180"/>
              <w:spacing w:after="0"/>
              <w:rPr>
                <w:sz w:val="20"/>
                <w:szCs w:val="20"/>
                <w:color w:val="auto"/>
              </w:rPr>
            </w:pPr>
            <w:r>
              <w:rPr>
                <w:rFonts w:ascii="Arial" w:cs="Arial" w:eastAsia="Arial" w:hAnsi="Arial"/>
                <w:sz w:val="17"/>
                <w:szCs w:val="17"/>
                <w:color w:val="auto"/>
              </w:rPr>
              <w:t>May 6, 2021</w:t>
            </w:r>
          </w:p>
        </w:tc>
        <w:tc>
          <w:tcPr>
            <w:tcW w:w="2220" w:type="dxa"/>
            <w:vAlign w:val="bottom"/>
          </w:tcPr>
          <w:p>
            <w:pPr>
              <w:ind w:left="1800"/>
              <w:spacing w:after="0"/>
              <w:rPr>
                <w:sz w:val="20"/>
                <w:szCs w:val="20"/>
                <w:color w:val="auto"/>
              </w:rPr>
            </w:pPr>
            <w:r>
              <w:rPr>
                <w:rFonts w:ascii="Arial" w:cs="Arial" w:eastAsia="Arial" w:hAnsi="Arial"/>
                <w:sz w:val="17"/>
                <w:szCs w:val="17"/>
                <w:color w:val="auto"/>
              </w:rPr>
              <w:t>By:</w:t>
            </w:r>
          </w:p>
        </w:tc>
        <w:tc>
          <w:tcPr>
            <w:tcW w:w="3520" w:type="dxa"/>
            <w:vAlign w:val="bottom"/>
          </w:tcPr>
          <w:p>
            <w:pPr>
              <w:ind w:left="1820"/>
              <w:spacing w:after="0"/>
              <w:rPr>
                <w:sz w:val="20"/>
                <w:szCs w:val="20"/>
                <w:color w:val="auto"/>
              </w:rPr>
            </w:pPr>
            <w:r>
              <w:rPr>
                <w:rFonts w:ascii="Arial" w:cs="Arial" w:eastAsia="Arial" w:hAnsi="Arial"/>
                <w:sz w:val="17"/>
                <w:szCs w:val="17"/>
                <w:color w:val="auto"/>
                <w:w w:val="92"/>
              </w:rPr>
              <w:t>/s/ Christine LaBombard</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3939540</wp:posOffset>
            </wp:positionH>
            <wp:positionV relativeFrom="paragraph">
              <wp:posOffset>1270</wp:posOffset>
            </wp:positionV>
            <wp:extent cx="326136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3261360" cy="8255"/>
                    </a:xfrm>
                    <a:prstGeom prst="rect">
                      <a:avLst/>
                    </a:prstGeom>
                    <a:noFill/>
                  </pic:spPr>
                </pic:pic>
              </a:graphicData>
            </a:graphic>
          </wp:anchor>
        </w:drawing>
      </w:r>
    </w:p>
    <w:p>
      <w:pPr>
        <w:jc w:val="center"/>
        <w:ind w:left="6780"/>
        <w:spacing w:after="0"/>
        <w:rPr>
          <w:sz w:val="20"/>
          <w:szCs w:val="20"/>
          <w:color w:val="auto"/>
        </w:rPr>
      </w:pPr>
      <w:r>
        <w:rPr>
          <w:rFonts w:ascii="Arial" w:cs="Arial" w:eastAsia="Arial" w:hAnsi="Arial"/>
          <w:sz w:val="17"/>
          <w:szCs w:val="17"/>
          <w:color w:val="auto"/>
        </w:rPr>
        <w:t>Christine LaBombard</w:t>
      </w:r>
    </w:p>
    <w:p>
      <w:pPr>
        <w:spacing w:after="0" w:line="24" w:lineRule="exact"/>
        <w:rPr>
          <w:sz w:val="20"/>
          <w:szCs w:val="20"/>
          <w:color w:val="auto"/>
        </w:rPr>
      </w:pPr>
    </w:p>
    <w:p>
      <w:pPr>
        <w:jc w:val="center"/>
        <w:ind w:left="6780"/>
        <w:spacing w:after="0"/>
        <w:rPr>
          <w:sz w:val="20"/>
          <w:szCs w:val="20"/>
          <w:color w:val="auto"/>
        </w:rPr>
      </w:pPr>
      <w:r>
        <w:rPr>
          <w:rFonts w:ascii="Arial" w:cs="Arial" w:eastAsia="Arial" w:hAnsi="Arial"/>
          <w:sz w:val="17"/>
          <w:szCs w:val="17"/>
          <w:i w:val="1"/>
          <w:iCs w:val="1"/>
          <w:color w:val="auto"/>
        </w:rPr>
        <w:t>Senior Vice President and Chief Accounting Officer</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239"/>
        <w:spacing w:after="0"/>
        <w:rPr>
          <w:sz w:val="20"/>
          <w:szCs w:val="20"/>
          <w:color w:val="auto"/>
        </w:rPr>
      </w:pPr>
      <w:r>
        <w:rPr>
          <w:rFonts w:ascii="Arial" w:cs="Arial" w:eastAsia="Arial" w:hAnsi="Arial"/>
          <w:sz w:val="17"/>
          <w:szCs w:val="17"/>
          <w:color w:val="auto"/>
        </w:rPr>
        <w:t>47</w:t>
      </w:r>
    </w:p>
    <w:p>
      <w:pPr>
        <w:sectPr>
          <w:pgSz w:w="11900" w:h="16838" w:orient="portrait"/>
          <w:cols w:equalWidth="0" w:num="1">
            <w:col w:w="11000"/>
          </w:cols>
          <w:pgMar w:left="320" w:top="127" w:right="579" w:bottom="1440" w:gutter="0" w:footer="0" w:header="0"/>
        </w:sectPr>
      </w:pPr>
    </w:p>
    <w:bookmarkStart w:id="49" w:name="page50"/>
    <w:bookmarkEnd w:id="49"/>
    <w:p>
      <w:pPr>
        <w:jc w:val="right"/>
        <w:spacing w:after="0"/>
        <w:rPr>
          <w:sz w:val="20"/>
          <w:szCs w:val="20"/>
          <w:color w:val="auto"/>
        </w:rPr>
      </w:pPr>
      <w:r>
        <w:rPr>
          <w:rFonts w:ascii="Arial" w:cs="Arial" w:eastAsia="Arial" w:hAnsi="Arial"/>
          <w:sz w:val="17"/>
          <w:szCs w:val="17"/>
          <w:b w:val="1"/>
          <w:bCs w:val="1"/>
          <w:color w:val="auto"/>
        </w:rPr>
        <w:t>Exhibit 31.1</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7"/>
          <w:szCs w:val="17"/>
          <w:color w:val="auto"/>
        </w:rPr>
        <w:t>I, Jay A. Snowden, certify that:</w:t>
      </w:r>
    </w:p>
    <w:p>
      <w:pPr>
        <w:spacing w:after="0" w:line="217" w:lineRule="exact"/>
        <w:rPr>
          <w:sz w:val="20"/>
          <w:szCs w:val="20"/>
          <w:color w:val="auto"/>
        </w:rPr>
      </w:pPr>
    </w:p>
    <w:p>
      <w:pPr>
        <w:ind w:left="320" w:hanging="317"/>
        <w:spacing w:after="0"/>
        <w:tabs>
          <w:tab w:leader="none" w:pos="320" w:val="left"/>
        </w:tabs>
        <w:numPr>
          <w:ilvl w:val="0"/>
          <w:numId w:val="23"/>
        </w:numPr>
        <w:rPr>
          <w:rFonts w:ascii="Arial" w:cs="Arial" w:eastAsia="Arial" w:hAnsi="Arial"/>
          <w:sz w:val="17"/>
          <w:szCs w:val="17"/>
          <w:color w:val="auto"/>
        </w:rPr>
      </w:pPr>
      <w:r>
        <w:rPr>
          <w:rFonts w:ascii="Arial" w:cs="Arial" w:eastAsia="Arial" w:hAnsi="Arial"/>
          <w:sz w:val="17"/>
          <w:szCs w:val="17"/>
          <w:color w:val="auto"/>
        </w:rPr>
        <w:t>I have reviewed this Quarterly Report on Form 10-Q of Penn National Gaming, Inc.;</w:t>
      </w:r>
    </w:p>
    <w:p>
      <w:pPr>
        <w:spacing w:after="0" w:line="242" w:lineRule="exact"/>
        <w:rPr>
          <w:rFonts w:ascii="Arial" w:cs="Arial" w:eastAsia="Arial" w:hAnsi="Arial"/>
          <w:sz w:val="17"/>
          <w:szCs w:val="17"/>
          <w:color w:val="auto"/>
        </w:rPr>
      </w:pPr>
    </w:p>
    <w:p>
      <w:pPr>
        <w:ind w:left="320" w:hanging="317"/>
        <w:spacing w:after="0" w:line="312" w:lineRule="auto"/>
        <w:tabs>
          <w:tab w:leader="none" w:pos="320" w:val="left"/>
        </w:tabs>
        <w:numPr>
          <w:ilvl w:val="0"/>
          <w:numId w:val="23"/>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6" w:lineRule="exact"/>
        <w:rPr>
          <w:rFonts w:ascii="Arial" w:cs="Arial" w:eastAsia="Arial" w:hAnsi="Arial"/>
          <w:sz w:val="16"/>
          <w:szCs w:val="16"/>
          <w:color w:val="auto"/>
        </w:rPr>
      </w:pPr>
    </w:p>
    <w:p>
      <w:pPr>
        <w:ind w:left="320" w:hanging="317"/>
        <w:spacing w:after="0" w:line="279" w:lineRule="auto"/>
        <w:tabs>
          <w:tab w:leader="none" w:pos="320" w:val="left"/>
        </w:tabs>
        <w:numPr>
          <w:ilvl w:val="0"/>
          <w:numId w:val="2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0" w:lineRule="exact"/>
        <w:rPr>
          <w:rFonts w:ascii="Arial" w:cs="Arial" w:eastAsia="Arial" w:hAnsi="Arial"/>
          <w:sz w:val="17"/>
          <w:szCs w:val="17"/>
          <w:color w:val="auto"/>
        </w:rPr>
      </w:pPr>
    </w:p>
    <w:p>
      <w:pPr>
        <w:jc w:val="both"/>
        <w:ind w:left="320" w:hanging="317"/>
        <w:spacing w:after="0" w:line="266" w:lineRule="auto"/>
        <w:tabs>
          <w:tab w:leader="none" w:pos="320"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0" w:lineRule="exact"/>
        <w:rPr>
          <w:rFonts w:ascii="Arial" w:cs="Arial" w:eastAsia="Arial" w:hAnsi="Arial"/>
          <w:sz w:val="17"/>
          <w:szCs w:val="17"/>
          <w:color w:val="auto"/>
        </w:rPr>
      </w:pPr>
    </w:p>
    <w:p>
      <w:pPr>
        <w:jc w:val="both"/>
        <w:ind w:left="620" w:hanging="307"/>
        <w:spacing w:after="0" w:line="266" w:lineRule="auto"/>
        <w:tabs>
          <w:tab w:leader="none" w:pos="617" w:val="left"/>
        </w:tabs>
        <w:numPr>
          <w:ilvl w:val="1"/>
          <w:numId w:val="23"/>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0" w:lineRule="exact"/>
        <w:rPr>
          <w:rFonts w:ascii="Arial" w:cs="Arial" w:eastAsia="Arial" w:hAnsi="Arial"/>
          <w:sz w:val="17"/>
          <w:szCs w:val="17"/>
          <w:color w:val="auto"/>
        </w:rPr>
      </w:pPr>
    </w:p>
    <w:p>
      <w:pPr>
        <w:jc w:val="both"/>
        <w:ind w:left="620" w:hanging="307"/>
        <w:spacing w:after="0" w:line="266" w:lineRule="auto"/>
        <w:tabs>
          <w:tab w:leader="none" w:pos="614" w:val="left"/>
        </w:tabs>
        <w:numPr>
          <w:ilvl w:val="1"/>
          <w:numId w:val="23"/>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0" w:lineRule="exact"/>
        <w:rPr>
          <w:rFonts w:ascii="Arial" w:cs="Arial" w:eastAsia="Arial" w:hAnsi="Arial"/>
          <w:sz w:val="17"/>
          <w:szCs w:val="17"/>
          <w:color w:val="auto"/>
        </w:rPr>
      </w:pPr>
    </w:p>
    <w:p>
      <w:pPr>
        <w:ind w:left="620" w:hanging="307"/>
        <w:spacing w:after="0" w:line="279" w:lineRule="auto"/>
        <w:tabs>
          <w:tab w:leader="none" w:pos="617" w:val="left"/>
        </w:tabs>
        <w:numPr>
          <w:ilvl w:val="1"/>
          <w:numId w:val="23"/>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90" w:lineRule="exact"/>
        <w:rPr>
          <w:rFonts w:ascii="Arial" w:cs="Arial" w:eastAsia="Arial" w:hAnsi="Arial"/>
          <w:sz w:val="17"/>
          <w:szCs w:val="17"/>
          <w:color w:val="auto"/>
        </w:rPr>
      </w:pPr>
    </w:p>
    <w:p>
      <w:pPr>
        <w:jc w:val="both"/>
        <w:ind w:left="620" w:hanging="307"/>
        <w:spacing w:after="0" w:line="266" w:lineRule="auto"/>
        <w:tabs>
          <w:tab w:leader="none" w:pos="614" w:val="left"/>
        </w:tabs>
        <w:numPr>
          <w:ilvl w:val="1"/>
          <w:numId w:val="23"/>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the annual report) that has materially affected, or is reasonably likely to materially affect, the registrant’s internal control over financial reporting; and</w:t>
      </w:r>
    </w:p>
    <w:p>
      <w:pPr>
        <w:spacing w:after="0" w:line="200" w:lineRule="exact"/>
        <w:rPr>
          <w:rFonts w:ascii="Arial" w:cs="Arial" w:eastAsia="Arial" w:hAnsi="Arial"/>
          <w:sz w:val="17"/>
          <w:szCs w:val="17"/>
          <w:color w:val="auto"/>
        </w:rPr>
      </w:pPr>
    </w:p>
    <w:p>
      <w:pPr>
        <w:ind w:left="320" w:hanging="317"/>
        <w:spacing w:after="0" w:line="279" w:lineRule="auto"/>
        <w:tabs>
          <w:tab w:leader="none" w:pos="320"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90" w:lineRule="exact"/>
        <w:rPr>
          <w:rFonts w:ascii="Arial" w:cs="Arial" w:eastAsia="Arial" w:hAnsi="Arial"/>
          <w:sz w:val="17"/>
          <w:szCs w:val="17"/>
          <w:color w:val="auto"/>
        </w:rPr>
      </w:pPr>
    </w:p>
    <w:p>
      <w:pPr>
        <w:ind w:left="620" w:hanging="307"/>
        <w:spacing w:after="0" w:line="279" w:lineRule="auto"/>
        <w:tabs>
          <w:tab w:leader="none" w:pos="617" w:val="left"/>
        </w:tabs>
        <w:numPr>
          <w:ilvl w:val="1"/>
          <w:numId w:val="23"/>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0" w:lineRule="exact"/>
        <w:rPr>
          <w:rFonts w:ascii="Arial" w:cs="Arial" w:eastAsia="Arial" w:hAnsi="Arial"/>
          <w:sz w:val="17"/>
          <w:szCs w:val="17"/>
          <w:color w:val="auto"/>
        </w:rPr>
      </w:pPr>
    </w:p>
    <w:p>
      <w:pPr>
        <w:ind w:left="620" w:hanging="307"/>
        <w:spacing w:after="0" w:line="279" w:lineRule="auto"/>
        <w:tabs>
          <w:tab w:leader="none" w:pos="614" w:val="left"/>
        </w:tabs>
        <w:numPr>
          <w:ilvl w:val="1"/>
          <w:numId w:val="23"/>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190" w:lineRule="exact"/>
        <w:rPr>
          <w:sz w:val="20"/>
          <w:szCs w:val="20"/>
          <w:color w:val="auto"/>
        </w:rPr>
      </w:pPr>
    </w:p>
    <w:p>
      <w:pPr>
        <w:spacing w:after="0"/>
        <w:rPr>
          <w:sz w:val="20"/>
          <w:szCs w:val="20"/>
          <w:color w:val="auto"/>
        </w:rPr>
      </w:pPr>
      <w:r>
        <w:rPr>
          <w:rFonts w:ascii="Arial" w:cs="Arial" w:eastAsia="Arial" w:hAnsi="Arial"/>
          <w:sz w:val="17"/>
          <w:szCs w:val="17"/>
          <w:color w:val="auto"/>
        </w:rPr>
        <w:t>Date: May 6, 2021</w:t>
      </w:r>
    </w:p>
    <w:p>
      <w:pPr>
        <w:spacing w:after="0" w:line="178" w:lineRule="exact"/>
        <w:rPr>
          <w:sz w:val="20"/>
          <w:szCs w:val="20"/>
          <w:color w:val="auto"/>
        </w:rPr>
      </w:pPr>
    </w:p>
    <w:p>
      <w:pPr>
        <w:ind w:left="6840"/>
        <w:spacing w:after="0"/>
        <w:rPr>
          <w:sz w:val="20"/>
          <w:szCs w:val="20"/>
          <w:color w:val="auto"/>
        </w:rPr>
      </w:pPr>
      <w:r>
        <w:rPr>
          <w:rFonts w:ascii="Arial" w:cs="Arial" w:eastAsia="Arial" w:hAnsi="Arial"/>
          <w:sz w:val="17"/>
          <w:szCs w:val="17"/>
          <w:color w:val="auto"/>
        </w:rPr>
        <w:t>/s/ Jay A. Snowden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4332605</wp:posOffset>
            </wp:positionH>
            <wp:positionV relativeFrom="paragraph">
              <wp:posOffset>14605</wp:posOffset>
            </wp:positionV>
            <wp:extent cx="280797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2807970" cy="8255"/>
                    </a:xfrm>
                    <a:prstGeom prst="rect">
                      <a:avLst/>
                    </a:prstGeom>
                    <a:noFill/>
                  </pic:spPr>
                </pic:pic>
              </a:graphicData>
            </a:graphic>
          </wp:anchor>
        </w:drawing>
      </w:r>
    </w:p>
    <w:p>
      <w:pPr>
        <w:spacing w:after="0" w:line="29" w:lineRule="exact"/>
        <w:rPr>
          <w:sz w:val="20"/>
          <w:szCs w:val="20"/>
          <w:color w:val="auto"/>
        </w:rPr>
      </w:pPr>
    </w:p>
    <w:p>
      <w:pPr>
        <w:ind w:left="6840"/>
        <w:spacing w:after="0"/>
        <w:rPr>
          <w:sz w:val="20"/>
          <w:szCs w:val="20"/>
          <w:color w:val="auto"/>
        </w:rPr>
      </w:pPr>
      <w:r>
        <w:rPr>
          <w:rFonts w:ascii="Arial" w:cs="Arial" w:eastAsia="Arial" w:hAnsi="Arial"/>
          <w:sz w:val="17"/>
          <w:szCs w:val="17"/>
          <w:color w:val="auto"/>
        </w:rPr>
        <w:t>Jay A. Snowden</w:t>
      </w:r>
    </w:p>
    <w:p>
      <w:pPr>
        <w:spacing w:after="0" w:line="49" w:lineRule="exact"/>
        <w:rPr>
          <w:sz w:val="20"/>
          <w:szCs w:val="20"/>
          <w:color w:val="auto"/>
        </w:rPr>
      </w:pPr>
    </w:p>
    <w:p>
      <w:pPr>
        <w:ind w:left="6840"/>
        <w:spacing w:after="0"/>
        <w:rPr>
          <w:sz w:val="20"/>
          <w:szCs w:val="20"/>
          <w:color w:val="auto"/>
        </w:rPr>
      </w:pPr>
      <w:r>
        <w:rPr>
          <w:rFonts w:ascii="Arial" w:cs="Arial" w:eastAsia="Arial" w:hAnsi="Arial"/>
          <w:sz w:val="17"/>
          <w:szCs w:val="17"/>
          <w:color w:val="auto"/>
        </w:rPr>
        <w:t>President and Chief Executive Officer</w:t>
      </w:r>
    </w:p>
    <w:p>
      <w:pPr>
        <w:spacing w:after="0" w:line="49" w:lineRule="exact"/>
        <w:rPr>
          <w:sz w:val="20"/>
          <w:szCs w:val="20"/>
          <w:color w:val="auto"/>
        </w:rPr>
      </w:pPr>
    </w:p>
    <w:p>
      <w:pPr>
        <w:ind w:left="6840"/>
        <w:spacing w:after="0"/>
        <w:rPr>
          <w:sz w:val="20"/>
          <w:szCs w:val="20"/>
          <w:color w:val="auto"/>
        </w:rPr>
      </w:pPr>
      <w:r>
        <w:rPr>
          <w:rFonts w:ascii="Arial" w:cs="Arial" w:eastAsia="Arial" w:hAnsi="Arial"/>
          <w:sz w:val="17"/>
          <w:szCs w:val="17"/>
          <w:color w:val="auto"/>
        </w:rPr>
        <w:t>(Principal Executive Officer)</w:t>
      </w:r>
    </w:p>
    <w:p>
      <w:pPr>
        <w:sectPr>
          <w:pgSz w:w="11900" w:h="16838" w:orient="portrait"/>
          <w:cols w:equalWidth="0" w:num="1">
            <w:col w:w="11240"/>
          </w:cols>
          <w:pgMar w:left="320" w:top="856" w:right="339" w:bottom="1440" w:gutter="0" w:footer="0" w:header="0"/>
        </w:sectPr>
      </w:pPr>
    </w:p>
    <w:bookmarkStart w:id="50" w:name="page51"/>
    <w:bookmarkEnd w:id="50"/>
    <w:p>
      <w:pPr>
        <w:jc w:val="right"/>
        <w:spacing w:after="0"/>
        <w:rPr>
          <w:sz w:val="20"/>
          <w:szCs w:val="20"/>
          <w:color w:val="auto"/>
        </w:rPr>
      </w:pPr>
      <w:r>
        <w:rPr>
          <w:rFonts w:ascii="Arial" w:cs="Arial" w:eastAsia="Arial" w:hAnsi="Arial"/>
          <w:sz w:val="17"/>
          <w:szCs w:val="17"/>
          <w:b w:val="1"/>
          <w:bCs w:val="1"/>
          <w:color w:val="auto"/>
        </w:rPr>
        <w:t>Exhibit 31.2</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w:t>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I, Felicia R. Hendrix, certify that:</w:t>
      </w:r>
    </w:p>
    <w:p>
      <w:pPr>
        <w:spacing w:after="0" w:line="217" w:lineRule="exact"/>
        <w:rPr>
          <w:sz w:val="20"/>
          <w:szCs w:val="20"/>
          <w:color w:val="auto"/>
        </w:rPr>
      </w:pPr>
    </w:p>
    <w:p>
      <w:pPr>
        <w:ind w:left="320" w:hanging="317"/>
        <w:spacing w:after="0"/>
        <w:tabs>
          <w:tab w:leader="none" w:pos="320" w:val="left"/>
        </w:tabs>
        <w:numPr>
          <w:ilvl w:val="0"/>
          <w:numId w:val="24"/>
        </w:numPr>
        <w:rPr>
          <w:rFonts w:ascii="Arial" w:cs="Arial" w:eastAsia="Arial" w:hAnsi="Arial"/>
          <w:sz w:val="17"/>
          <w:szCs w:val="17"/>
          <w:color w:val="auto"/>
        </w:rPr>
      </w:pPr>
      <w:r>
        <w:rPr>
          <w:rFonts w:ascii="Arial" w:cs="Arial" w:eastAsia="Arial" w:hAnsi="Arial"/>
          <w:sz w:val="17"/>
          <w:szCs w:val="17"/>
          <w:color w:val="auto"/>
        </w:rPr>
        <w:t>I have reviewed this Quarterly Report on Form 10-Q of Penn National Gaming, Inc.;</w:t>
      </w:r>
    </w:p>
    <w:p>
      <w:pPr>
        <w:spacing w:after="0" w:line="242" w:lineRule="exact"/>
        <w:rPr>
          <w:rFonts w:ascii="Arial" w:cs="Arial" w:eastAsia="Arial" w:hAnsi="Arial"/>
          <w:sz w:val="17"/>
          <w:szCs w:val="17"/>
          <w:color w:val="auto"/>
        </w:rPr>
      </w:pPr>
    </w:p>
    <w:p>
      <w:pPr>
        <w:ind w:left="320" w:hanging="317"/>
        <w:spacing w:after="0" w:line="312" w:lineRule="auto"/>
        <w:tabs>
          <w:tab w:leader="none" w:pos="320" w:val="left"/>
        </w:tabs>
        <w:numPr>
          <w:ilvl w:val="0"/>
          <w:numId w:val="24"/>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6" w:lineRule="exact"/>
        <w:rPr>
          <w:rFonts w:ascii="Arial" w:cs="Arial" w:eastAsia="Arial" w:hAnsi="Arial"/>
          <w:sz w:val="16"/>
          <w:szCs w:val="16"/>
          <w:color w:val="auto"/>
        </w:rPr>
      </w:pPr>
    </w:p>
    <w:p>
      <w:pPr>
        <w:ind w:left="320" w:hanging="317"/>
        <w:spacing w:after="0" w:line="279" w:lineRule="auto"/>
        <w:tabs>
          <w:tab w:leader="none" w:pos="320" w:val="left"/>
        </w:tabs>
        <w:numPr>
          <w:ilvl w:val="0"/>
          <w:numId w:val="2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0" w:lineRule="exact"/>
        <w:rPr>
          <w:rFonts w:ascii="Arial" w:cs="Arial" w:eastAsia="Arial" w:hAnsi="Arial"/>
          <w:sz w:val="17"/>
          <w:szCs w:val="17"/>
          <w:color w:val="auto"/>
        </w:rPr>
      </w:pPr>
    </w:p>
    <w:p>
      <w:pPr>
        <w:jc w:val="both"/>
        <w:ind w:left="320" w:hanging="317"/>
        <w:spacing w:after="0" w:line="266" w:lineRule="auto"/>
        <w:tabs>
          <w:tab w:leader="none" w:pos="320"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0" w:lineRule="exact"/>
        <w:rPr>
          <w:rFonts w:ascii="Arial" w:cs="Arial" w:eastAsia="Arial" w:hAnsi="Arial"/>
          <w:sz w:val="17"/>
          <w:szCs w:val="17"/>
          <w:color w:val="auto"/>
        </w:rPr>
      </w:pPr>
    </w:p>
    <w:p>
      <w:pPr>
        <w:jc w:val="both"/>
        <w:ind w:left="620" w:hanging="307"/>
        <w:spacing w:after="0" w:line="266" w:lineRule="auto"/>
        <w:tabs>
          <w:tab w:leader="none" w:pos="617" w:val="left"/>
        </w:tabs>
        <w:numPr>
          <w:ilvl w:val="1"/>
          <w:numId w:val="24"/>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0" w:lineRule="exact"/>
        <w:rPr>
          <w:rFonts w:ascii="Arial" w:cs="Arial" w:eastAsia="Arial" w:hAnsi="Arial"/>
          <w:sz w:val="17"/>
          <w:szCs w:val="17"/>
          <w:color w:val="auto"/>
        </w:rPr>
      </w:pPr>
    </w:p>
    <w:p>
      <w:pPr>
        <w:jc w:val="both"/>
        <w:ind w:left="620" w:hanging="307"/>
        <w:spacing w:after="0" w:line="266" w:lineRule="auto"/>
        <w:tabs>
          <w:tab w:leader="none" w:pos="614" w:val="left"/>
        </w:tabs>
        <w:numPr>
          <w:ilvl w:val="1"/>
          <w:numId w:val="24"/>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0" w:lineRule="exact"/>
        <w:rPr>
          <w:rFonts w:ascii="Arial" w:cs="Arial" w:eastAsia="Arial" w:hAnsi="Arial"/>
          <w:sz w:val="17"/>
          <w:szCs w:val="17"/>
          <w:color w:val="auto"/>
        </w:rPr>
      </w:pPr>
    </w:p>
    <w:p>
      <w:pPr>
        <w:ind w:left="620" w:hanging="307"/>
        <w:spacing w:after="0" w:line="279" w:lineRule="auto"/>
        <w:tabs>
          <w:tab w:leader="none" w:pos="617" w:val="left"/>
        </w:tabs>
        <w:numPr>
          <w:ilvl w:val="1"/>
          <w:numId w:val="24"/>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90" w:lineRule="exact"/>
        <w:rPr>
          <w:rFonts w:ascii="Arial" w:cs="Arial" w:eastAsia="Arial" w:hAnsi="Arial"/>
          <w:sz w:val="17"/>
          <w:szCs w:val="17"/>
          <w:color w:val="auto"/>
        </w:rPr>
      </w:pPr>
    </w:p>
    <w:p>
      <w:pPr>
        <w:jc w:val="both"/>
        <w:ind w:left="620" w:hanging="307"/>
        <w:spacing w:after="0" w:line="266" w:lineRule="auto"/>
        <w:tabs>
          <w:tab w:leader="none" w:pos="614" w:val="left"/>
        </w:tabs>
        <w:numPr>
          <w:ilvl w:val="1"/>
          <w:numId w:val="24"/>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the annual report) that has materially affected, or is reasonably likely to materially affect, the registrant’s internal control over financial reporting; and</w:t>
      </w:r>
    </w:p>
    <w:p>
      <w:pPr>
        <w:spacing w:after="0" w:line="200" w:lineRule="exact"/>
        <w:rPr>
          <w:rFonts w:ascii="Arial" w:cs="Arial" w:eastAsia="Arial" w:hAnsi="Arial"/>
          <w:sz w:val="17"/>
          <w:szCs w:val="17"/>
          <w:color w:val="auto"/>
        </w:rPr>
      </w:pPr>
    </w:p>
    <w:p>
      <w:pPr>
        <w:ind w:left="320" w:hanging="317"/>
        <w:spacing w:after="0" w:line="279" w:lineRule="auto"/>
        <w:tabs>
          <w:tab w:leader="none" w:pos="320"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90" w:lineRule="exact"/>
        <w:rPr>
          <w:rFonts w:ascii="Arial" w:cs="Arial" w:eastAsia="Arial" w:hAnsi="Arial"/>
          <w:sz w:val="17"/>
          <w:szCs w:val="17"/>
          <w:color w:val="auto"/>
        </w:rPr>
      </w:pPr>
    </w:p>
    <w:p>
      <w:pPr>
        <w:ind w:left="620" w:hanging="307"/>
        <w:spacing w:after="0" w:line="279" w:lineRule="auto"/>
        <w:tabs>
          <w:tab w:leader="none" w:pos="617" w:val="left"/>
        </w:tabs>
        <w:numPr>
          <w:ilvl w:val="1"/>
          <w:numId w:val="24"/>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0" w:lineRule="exact"/>
        <w:rPr>
          <w:rFonts w:ascii="Arial" w:cs="Arial" w:eastAsia="Arial" w:hAnsi="Arial"/>
          <w:sz w:val="17"/>
          <w:szCs w:val="17"/>
          <w:color w:val="auto"/>
        </w:rPr>
      </w:pPr>
    </w:p>
    <w:p>
      <w:pPr>
        <w:ind w:left="620" w:hanging="307"/>
        <w:spacing w:after="0" w:line="279" w:lineRule="auto"/>
        <w:tabs>
          <w:tab w:leader="none" w:pos="614" w:val="left"/>
        </w:tabs>
        <w:numPr>
          <w:ilvl w:val="1"/>
          <w:numId w:val="24"/>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190" w:lineRule="exact"/>
        <w:rPr>
          <w:sz w:val="20"/>
          <w:szCs w:val="20"/>
          <w:color w:val="auto"/>
        </w:rPr>
      </w:pPr>
    </w:p>
    <w:p>
      <w:pPr>
        <w:spacing w:after="0"/>
        <w:rPr>
          <w:sz w:val="20"/>
          <w:szCs w:val="20"/>
          <w:color w:val="auto"/>
        </w:rPr>
      </w:pPr>
      <w:r>
        <w:rPr>
          <w:rFonts w:ascii="Arial" w:cs="Arial" w:eastAsia="Arial" w:hAnsi="Arial"/>
          <w:sz w:val="17"/>
          <w:szCs w:val="17"/>
          <w:color w:val="auto"/>
        </w:rPr>
        <w:t>Date: May 6, 2021</w:t>
      </w:r>
    </w:p>
    <w:p>
      <w:pPr>
        <w:spacing w:after="0" w:line="165" w:lineRule="exact"/>
        <w:rPr>
          <w:sz w:val="20"/>
          <w:szCs w:val="20"/>
          <w:color w:val="auto"/>
        </w:rPr>
      </w:pPr>
    </w:p>
    <w:p>
      <w:pPr>
        <w:ind w:left="6720"/>
        <w:spacing w:after="0"/>
        <w:rPr>
          <w:sz w:val="20"/>
          <w:szCs w:val="20"/>
          <w:color w:val="auto"/>
        </w:rPr>
      </w:pPr>
      <w:r>
        <w:rPr>
          <w:rFonts w:ascii="Arial" w:cs="Arial" w:eastAsia="Arial" w:hAnsi="Arial"/>
          <w:sz w:val="17"/>
          <w:szCs w:val="17"/>
          <w:color w:val="auto"/>
        </w:rPr>
        <w:t>/s/ Felicia R. Hendrix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4258945</wp:posOffset>
            </wp:positionH>
            <wp:positionV relativeFrom="paragraph">
              <wp:posOffset>14605</wp:posOffset>
            </wp:positionV>
            <wp:extent cx="288163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2881630" cy="8255"/>
                    </a:xfrm>
                    <a:prstGeom prst="rect">
                      <a:avLst/>
                    </a:prstGeom>
                    <a:noFill/>
                  </pic:spPr>
                </pic:pic>
              </a:graphicData>
            </a:graphic>
          </wp:anchor>
        </w:drawing>
      </w:r>
    </w:p>
    <w:p>
      <w:pPr>
        <w:spacing w:after="0" w:line="29" w:lineRule="exact"/>
        <w:rPr>
          <w:sz w:val="20"/>
          <w:szCs w:val="20"/>
          <w:color w:val="auto"/>
        </w:rPr>
      </w:pPr>
    </w:p>
    <w:p>
      <w:pPr>
        <w:ind w:left="6720"/>
        <w:spacing w:after="0"/>
        <w:rPr>
          <w:sz w:val="20"/>
          <w:szCs w:val="20"/>
          <w:color w:val="auto"/>
        </w:rPr>
      </w:pPr>
      <w:r>
        <w:rPr>
          <w:rFonts w:ascii="Arial" w:cs="Arial" w:eastAsia="Arial" w:hAnsi="Arial"/>
          <w:sz w:val="17"/>
          <w:szCs w:val="17"/>
          <w:color w:val="auto"/>
        </w:rPr>
        <w:t>Felicia R. Hendrix</w:t>
      </w:r>
    </w:p>
    <w:p>
      <w:pPr>
        <w:spacing w:after="0" w:line="49" w:lineRule="exact"/>
        <w:rPr>
          <w:sz w:val="20"/>
          <w:szCs w:val="20"/>
          <w:color w:val="auto"/>
        </w:rPr>
      </w:pPr>
    </w:p>
    <w:p>
      <w:pPr>
        <w:ind w:left="6720"/>
        <w:spacing w:after="0"/>
        <w:rPr>
          <w:sz w:val="20"/>
          <w:szCs w:val="20"/>
          <w:color w:val="auto"/>
        </w:rPr>
      </w:pPr>
      <w:r>
        <w:rPr>
          <w:rFonts w:ascii="Arial" w:cs="Arial" w:eastAsia="Arial" w:hAnsi="Arial"/>
          <w:sz w:val="17"/>
          <w:szCs w:val="17"/>
          <w:color w:val="auto"/>
        </w:rPr>
        <w:t>Executive Vice President and Chief Financial Officer</w:t>
      </w:r>
    </w:p>
    <w:p>
      <w:pPr>
        <w:spacing w:after="0" w:line="49" w:lineRule="exact"/>
        <w:rPr>
          <w:sz w:val="20"/>
          <w:szCs w:val="20"/>
          <w:color w:val="auto"/>
        </w:rPr>
      </w:pPr>
    </w:p>
    <w:p>
      <w:pPr>
        <w:ind w:left="6720"/>
        <w:spacing w:after="0"/>
        <w:rPr>
          <w:sz w:val="20"/>
          <w:szCs w:val="20"/>
          <w:color w:val="auto"/>
        </w:rPr>
      </w:pPr>
      <w:r>
        <w:rPr>
          <w:rFonts w:ascii="Arial" w:cs="Arial" w:eastAsia="Arial" w:hAnsi="Arial"/>
          <w:sz w:val="17"/>
          <w:szCs w:val="17"/>
          <w:color w:val="auto"/>
        </w:rPr>
        <w:t>(Principal Financial Officer)</w:t>
      </w:r>
    </w:p>
    <w:p>
      <w:pPr>
        <w:sectPr>
          <w:pgSz w:w="11900" w:h="16838" w:orient="portrait"/>
          <w:cols w:equalWidth="0" w:num="1">
            <w:col w:w="11240"/>
          </w:cols>
          <w:pgMar w:left="320" w:top="856" w:right="339" w:bottom="1440" w:gutter="0" w:footer="0" w:header="0"/>
        </w:sectPr>
      </w:pPr>
    </w:p>
    <w:bookmarkStart w:id="51" w:name="page52"/>
    <w:bookmarkEnd w:id="51"/>
    <w:p>
      <w:pPr>
        <w:jc w:val="right"/>
        <w:spacing w:after="0"/>
        <w:rPr>
          <w:sz w:val="20"/>
          <w:szCs w:val="20"/>
          <w:color w:val="auto"/>
        </w:rPr>
      </w:pPr>
      <w:r>
        <w:rPr>
          <w:rFonts w:ascii="Arial" w:cs="Arial" w:eastAsia="Arial" w:hAnsi="Arial"/>
          <w:sz w:val="17"/>
          <w:szCs w:val="17"/>
          <w:b w:val="1"/>
          <w:bCs w:val="1"/>
          <w:color w:val="auto"/>
        </w:rPr>
        <w:t>Exhibit 32.1</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 PURSUANT TO</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SECTION 906 OF THE SARBANES-OXLEY ACT OF 2002,</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18 U.S.C. SECTION 1350</w:t>
      </w:r>
    </w:p>
    <w:p>
      <w:pPr>
        <w:spacing w:after="0" w:line="232" w:lineRule="exact"/>
        <w:rPr>
          <w:sz w:val="20"/>
          <w:szCs w:val="20"/>
          <w:color w:val="auto"/>
        </w:rPr>
      </w:pPr>
    </w:p>
    <w:p>
      <w:pPr>
        <w:jc w:val="both"/>
        <w:ind w:firstLine="309"/>
        <w:spacing w:after="0" w:line="266" w:lineRule="auto"/>
        <w:rPr>
          <w:sz w:val="20"/>
          <w:szCs w:val="20"/>
          <w:color w:val="auto"/>
        </w:rPr>
      </w:pPr>
      <w:r>
        <w:rPr>
          <w:rFonts w:ascii="Arial" w:cs="Arial" w:eastAsia="Arial" w:hAnsi="Arial"/>
          <w:sz w:val="17"/>
          <w:szCs w:val="17"/>
          <w:color w:val="auto"/>
        </w:rPr>
        <w:t>In connection with the Quarterly Report of Penn National Gaming, Inc. (the “Company”) on Form 10-Q for the quarter ended March 31, 2021 as filed with the U.S. Securities and Exchange Commission on the date hereof (the “Report”), I, Jay A. Snowden, President and Chief Executive Officer of the Company, certify, pursuant to Section 906 of the Sarbanes-Oxley Act of 2002, 18 U.S.C. Section 1350 that, to my knowledge:</w:t>
      </w:r>
    </w:p>
    <w:p>
      <w:pPr>
        <w:spacing w:after="0" w:line="201" w:lineRule="exact"/>
        <w:rPr>
          <w:sz w:val="20"/>
          <w:szCs w:val="20"/>
          <w:color w:val="auto"/>
        </w:rPr>
      </w:pPr>
    </w:p>
    <w:p>
      <w:pPr>
        <w:ind w:left="920" w:hanging="298"/>
        <w:spacing w:after="0"/>
        <w:tabs>
          <w:tab w:leader="none" w:pos="920" w:val="left"/>
        </w:tabs>
        <w:numPr>
          <w:ilvl w:val="0"/>
          <w:numId w:val="25"/>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as amended; and</w:t>
      </w:r>
    </w:p>
    <w:p>
      <w:pPr>
        <w:spacing w:after="0" w:line="242" w:lineRule="exact"/>
        <w:rPr>
          <w:rFonts w:ascii="Arial" w:cs="Arial" w:eastAsia="Arial" w:hAnsi="Arial"/>
          <w:sz w:val="17"/>
          <w:szCs w:val="17"/>
          <w:color w:val="auto"/>
        </w:rPr>
      </w:pPr>
    </w:p>
    <w:p>
      <w:pPr>
        <w:ind w:left="920" w:hanging="298"/>
        <w:spacing w:after="0"/>
        <w:tabs>
          <w:tab w:leader="none" w:pos="920"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100" w:lineRule="exact"/>
        <w:rPr>
          <w:sz w:val="20"/>
          <w:szCs w:val="20"/>
          <w:color w:val="auto"/>
        </w:rPr>
      </w:pPr>
    </w:p>
    <w:p>
      <w:pPr>
        <w:ind w:left="2460"/>
        <w:spacing w:after="0"/>
        <w:tabs>
          <w:tab w:leader="none" w:pos="3000" w:val="left"/>
          <w:tab w:leader="none" w:pos="6820" w:val="left"/>
        </w:tabs>
        <w:rPr>
          <w:sz w:val="20"/>
          <w:szCs w:val="20"/>
          <w:color w:val="auto"/>
        </w:rPr>
      </w:pPr>
      <w:r>
        <w:rPr>
          <w:rFonts w:ascii="Arial" w:cs="Arial" w:eastAsia="Arial" w:hAnsi="Arial"/>
          <w:sz w:val="17"/>
          <w:szCs w:val="17"/>
          <w:color w:val="auto"/>
        </w:rPr>
        <w:t>Date:</w:t>
        <w:tab/>
        <w:t>May 6, 2021</w:t>
      </w:r>
      <w:r>
        <w:rPr>
          <w:sz w:val="20"/>
          <w:szCs w:val="20"/>
          <w:color w:val="auto"/>
        </w:rPr>
        <w:tab/>
      </w:r>
      <w:r>
        <w:rPr>
          <w:rFonts w:ascii="Arial" w:cs="Arial" w:eastAsia="Arial" w:hAnsi="Arial"/>
          <w:sz w:val="15"/>
          <w:szCs w:val="15"/>
          <w:color w:val="auto"/>
        </w:rPr>
        <w:t>/s/ Jay A. Snowden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4332605</wp:posOffset>
            </wp:positionH>
            <wp:positionV relativeFrom="paragraph">
              <wp:posOffset>14605</wp:posOffset>
            </wp:positionV>
            <wp:extent cx="280797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2807970" cy="8255"/>
                    </a:xfrm>
                    <a:prstGeom prst="rect">
                      <a:avLst/>
                    </a:prstGeom>
                    <a:noFill/>
                  </pic:spPr>
                </pic:pic>
              </a:graphicData>
            </a:graphic>
          </wp:anchor>
        </w:drawing>
      </w:r>
    </w:p>
    <w:p>
      <w:pPr>
        <w:spacing w:after="0" w:line="29" w:lineRule="exact"/>
        <w:rPr>
          <w:sz w:val="20"/>
          <w:szCs w:val="20"/>
          <w:color w:val="auto"/>
        </w:rPr>
      </w:pPr>
    </w:p>
    <w:p>
      <w:pPr>
        <w:ind w:left="6840"/>
        <w:spacing w:after="0"/>
        <w:rPr>
          <w:sz w:val="20"/>
          <w:szCs w:val="20"/>
          <w:color w:val="auto"/>
        </w:rPr>
      </w:pPr>
      <w:r>
        <w:rPr>
          <w:rFonts w:ascii="Arial" w:cs="Arial" w:eastAsia="Arial" w:hAnsi="Arial"/>
          <w:sz w:val="17"/>
          <w:szCs w:val="17"/>
          <w:color w:val="auto"/>
        </w:rPr>
        <w:t>Jay A. Snowden</w:t>
      </w:r>
    </w:p>
    <w:p>
      <w:pPr>
        <w:spacing w:after="0" w:line="49" w:lineRule="exact"/>
        <w:rPr>
          <w:sz w:val="20"/>
          <w:szCs w:val="20"/>
          <w:color w:val="auto"/>
        </w:rPr>
      </w:pPr>
    </w:p>
    <w:p>
      <w:pPr>
        <w:ind w:left="6840"/>
        <w:spacing w:after="0"/>
        <w:rPr>
          <w:sz w:val="20"/>
          <w:szCs w:val="20"/>
          <w:color w:val="auto"/>
        </w:rPr>
      </w:pPr>
      <w:r>
        <w:rPr>
          <w:rFonts w:ascii="Arial" w:cs="Arial" w:eastAsia="Arial" w:hAnsi="Arial"/>
          <w:sz w:val="17"/>
          <w:szCs w:val="17"/>
          <w:color w:val="auto"/>
        </w:rPr>
        <w:t>President and Chief Executive Officer</w:t>
      </w:r>
    </w:p>
    <w:p>
      <w:pPr>
        <w:spacing w:after="0" w:line="49" w:lineRule="exact"/>
        <w:rPr>
          <w:sz w:val="20"/>
          <w:szCs w:val="20"/>
          <w:color w:val="auto"/>
        </w:rPr>
      </w:pPr>
    </w:p>
    <w:p>
      <w:pPr>
        <w:ind w:left="6840"/>
        <w:spacing w:after="0"/>
        <w:rPr>
          <w:sz w:val="20"/>
          <w:szCs w:val="20"/>
          <w:color w:val="auto"/>
        </w:rPr>
      </w:pPr>
      <w:r>
        <w:rPr>
          <w:rFonts w:ascii="Arial" w:cs="Arial" w:eastAsia="Arial" w:hAnsi="Arial"/>
          <w:sz w:val="17"/>
          <w:szCs w:val="17"/>
          <w:color w:val="auto"/>
        </w:rPr>
        <w:t>(Principal Executive Officer)</w:t>
      </w:r>
    </w:p>
    <w:p>
      <w:pPr>
        <w:sectPr>
          <w:pgSz w:w="11900" w:h="16838" w:orient="portrait"/>
          <w:cols w:equalWidth="0" w:num="1">
            <w:col w:w="11240"/>
          </w:cols>
          <w:pgMar w:left="320" w:top="856" w:right="339" w:bottom="1440" w:gutter="0" w:footer="0" w:header="0"/>
        </w:sectPr>
      </w:pPr>
    </w:p>
    <w:bookmarkStart w:id="52" w:name="page53"/>
    <w:bookmarkEnd w:id="52"/>
    <w:p>
      <w:pPr>
        <w:jc w:val="right"/>
        <w:spacing w:after="0"/>
        <w:rPr>
          <w:sz w:val="20"/>
          <w:szCs w:val="20"/>
          <w:color w:val="auto"/>
        </w:rPr>
      </w:pPr>
      <w:r>
        <w:rPr>
          <w:rFonts w:ascii="Arial" w:cs="Arial" w:eastAsia="Arial" w:hAnsi="Arial"/>
          <w:sz w:val="17"/>
          <w:szCs w:val="17"/>
          <w:b w:val="1"/>
          <w:bCs w:val="1"/>
          <w:color w:val="auto"/>
        </w:rPr>
        <w:t>Exhibit 32.2</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 PURSUANT TO</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SECTION 906 OF THE SARBANES-OXLEY ACT OF 2002,</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18 U.S.C. SECTION 1350</w:t>
      </w:r>
    </w:p>
    <w:p>
      <w:pPr>
        <w:spacing w:after="0" w:line="232" w:lineRule="exact"/>
        <w:rPr>
          <w:sz w:val="20"/>
          <w:szCs w:val="20"/>
          <w:color w:val="auto"/>
        </w:rPr>
      </w:pPr>
    </w:p>
    <w:p>
      <w:pPr>
        <w:jc w:val="both"/>
        <w:ind w:firstLine="309"/>
        <w:spacing w:after="0" w:line="266" w:lineRule="auto"/>
        <w:rPr>
          <w:sz w:val="20"/>
          <w:szCs w:val="20"/>
          <w:color w:val="auto"/>
        </w:rPr>
      </w:pPr>
      <w:r>
        <w:rPr>
          <w:rFonts w:ascii="Arial" w:cs="Arial" w:eastAsia="Arial" w:hAnsi="Arial"/>
          <w:sz w:val="17"/>
          <w:szCs w:val="17"/>
          <w:color w:val="auto"/>
        </w:rPr>
        <w:t>In connection with the Quarterly Report of Penn National Gaming, Inc. (the “Company”) on Form 10-Q for the quarter ended March 31, 2021 as filed with the U.S. Securities and Exchange Commission on the date hereof (the “Report”), I, Felicia R. Hendrix, Executive Vice President and Chief Financial Officer of the Company, certify, pursuant to Section 906 of the Sarbanes-Oxley Act of 2002, 18 U.S.C. Section 1350 that, to my knowledge:</w:t>
      </w:r>
    </w:p>
    <w:p>
      <w:pPr>
        <w:spacing w:after="0" w:line="201" w:lineRule="exact"/>
        <w:rPr>
          <w:sz w:val="20"/>
          <w:szCs w:val="20"/>
          <w:color w:val="auto"/>
        </w:rPr>
      </w:pPr>
    </w:p>
    <w:p>
      <w:pPr>
        <w:ind w:left="920" w:hanging="298"/>
        <w:spacing w:after="0"/>
        <w:tabs>
          <w:tab w:leader="none" w:pos="920" w:val="left"/>
        </w:tabs>
        <w:numPr>
          <w:ilvl w:val="0"/>
          <w:numId w:val="26"/>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as amended; and</w:t>
      </w:r>
    </w:p>
    <w:p>
      <w:pPr>
        <w:spacing w:after="0" w:line="242" w:lineRule="exact"/>
        <w:rPr>
          <w:rFonts w:ascii="Arial" w:cs="Arial" w:eastAsia="Arial" w:hAnsi="Arial"/>
          <w:sz w:val="17"/>
          <w:szCs w:val="17"/>
          <w:color w:val="auto"/>
        </w:rPr>
      </w:pPr>
    </w:p>
    <w:p>
      <w:pPr>
        <w:ind w:left="920" w:hanging="298"/>
        <w:spacing w:after="0"/>
        <w:tabs>
          <w:tab w:leader="none" w:pos="920" w:val="left"/>
        </w:tabs>
        <w:numPr>
          <w:ilvl w:val="0"/>
          <w:numId w:val="26"/>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100" w:lineRule="exact"/>
        <w:rPr>
          <w:sz w:val="20"/>
          <w:szCs w:val="20"/>
          <w:color w:val="auto"/>
        </w:rPr>
      </w:pPr>
    </w:p>
    <w:p>
      <w:pPr>
        <w:ind w:left="1840"/>
        <w:spacing w:after="0"/>
        <w:tabs>
          <w:tab w:leader="none" w:pos="2360" w:val="left"/>
          <w:tab w:leader="none" w:pos="6200" w:val="left"/>
        </w:tabs>
        <w:rPr>
          <w:sz w:val="20"/>
          <w:szCs w:val="20"/>
          <w:color w:val="auto"/>
        </w:rPr>
      </w:pPr>
      <w:r>
        <w:rPr>
          <w:rFonts w:ascii="Arial" w:cs="Arial" w:eastAsia="Arial" w:hAnsi="Arial"/>
          <w:sz w:val="17"/>
          <w:szCs w:val="17"/>
          <w:color w:val="auto"/>
        </w:rPr>
        <w:t>Date:</w:t>
        <w:tab/>
        <w:t>May 6, 2021</w:t>
      </w:r>
      <w:r>
        <w:rPr>
          <w:sz w:val="20"/>
          <w:szCs w:val="20"/>
          <w:color w:val="auto"/>
        </w:rPr>
        <w:tab/>
      </w:r>
      <w:r>
        <w:rPr>
          <w:rFonts w:ascii="Arial" w:cs="Arial" w:eastAsia="Arial" w:hAnsi="Arial"/>
          <w:sz w:val="16"/>
          <w:szCs w:val="16"/>
          <w:color w:val="auto"/>
        </w:rPr>
        <w:t>/s/ Felicia R. Hendrix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4332605</wp:posOffset>
            </wp:positionH>
            <wp:positionV relativeFrom="paragraph">
              <wp:posOffset>14605</wp:posOffset>
            </wp:positionV>
            <wp:extent cx="280797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2807970" cy="8255"/>
                    </a:xfrm>
                    <a:prstGeom prst="rect">
                      <a:avLst/>
                    </a:prstGeom>
                    <a:noFill/>
                  </pic:spPr>
                </pic:pic>
              </a:graphicData>
            </a:graphic>
          </wp:anchor>
        </w:drawing>
      </w:r>
    </w:p>
    <w:p>
      <w:pPr>
        <w:spacing w:after="0" w:line="29" w:lineRule="exact"/>
        <w:rPr>
          <w:sz w:val="20"/>
          <w:szCs w:val="20"/>
          <w:color w:val="auto"/>
        </w:rPr>
      </w:pPr>
    </w:p>
    <w:p>
      <w:pPr>
        <w:ind w:left="6220"/>
        <w:spacing w:after="0"/>
        <w:rPr>
          <w:sz w:val="20"/>
          <w:szCs w:val="20"/>
          <w:color w:val="auto"/>
        </w:rPr>
      </w:pPr>
      <w:r>
        <w:rPr>
          <w:rFonts w:ascii="Arial" w:cs="Arial" w:eastAsia="Arial" w:hAnsi="Arial"/>
          <w:sz w:val="17"/>
          <w:szCs w:val="17"/>
          <w:color w:val="auto"/>
        </w:rPr>
        <w:t>Felicia R. Hendrix</w:t>
      </w:r>
    </w:p>
    <w:p>
      <w:pPr>
        <w:spacing w:after="0" w:line="49" w:lineRule="exact"/>
        <w:rPr>
          <w:sz w:val="20"/>
          <w:szCs w:val="20"/>
          <w:color w:val="auto"/>
        </w:rPr>
      </w:pPr>
    </w:p>
    <w:p>
      <w:pPr>
        <w:ind w:left="6220"/>
        <w:spacing w:after="0"/>
        <w:rPr>
          <w:sz w:val="20"/>
          <w:szCs w:val="20"/>
          <w:color w:val="auto"/>
        </w:rPr>
      </w:pPr>
      <w:r>
        <w:rPr>
          <w:rFonts w:ascii="Arial" w:cs="Arial" w:eastAsia="Arial" w:hAnsi="Arial"/>
          <w:sz w:val="17"/>
          <w:szCs w:val="17"/>
          <w:color w:val="auto"/>
        </w:rPr>
        <w:t>Executive Vice President and Chief Financial Officer</w:t>
      </w:r>
    </w:p>
    <w:p>
      <w:pPr>
        <w:spacing w:after="0" w:line="49" w:lineRule="exact"/>
        <w:rPr>
          <w:sz w:val="20"/>
          <w:szCs w:val="20"/>
          <w:color w:val="auto"/>
        </w:rPr>
      </w:pPr>
    </w:p>
    <w:p>
      <w:pPr>
        <w:ind w:left="6220"/>
        <w:spacing w:after="0"/>
        <w:rPr>
          <w:sz w:val="20"/>
          <w:szCs w:val="20"/>
          <w:color w:val="auto"/>
        </w:rPr>
      </w:pPr>
      <w:r>
        <w:rPr>
          <w:rFonts w:ascii="Arial" w:cs="Arial" w:eastAsia="Arial" w:hAnsi="Arial"/>
          <w:sz w:val="17"/>
          <w:szCs w:val="17"/>
          <w:color w:val="auto"/>
        </w:rPr>
        <w:t>(Principal Financial Officer)</w:t>
      </w:r>
    </w:p>
    <w:sectPr>
      <w:pgSz w:w="11900" w:h="16838" w:orient="portrait"/>
      <w:cols w:equalWidth="0" w:num="1">
        <w:col w:w="11240"/>
      </w:cols>
      <w:pgMar w:left="320" w:top="85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09CF92E"/>
    <w:multiLevelType w:val="hybridMultilevel"/>
    <w:lvl w:ilvl="0">
      <w:lvlJc w:val="left"/>
      <w:lvlText w:val="☑"/>
      <w:numFmt w:val="bullet"/>
      <w:start w:val="1"/>
    </w:lvl>
  </w:abstractNum>
  <w:abstractNum w:abstractNumId="1">
    <w:nsid w:val="DED7263"/>
    <w:multiLevelType w:val="hybridMultilevel"/>
    <w:lvl w:ilvl="0">
      <w:lvlJc w:val="left"/>
      <w:lvlText w:val="☐"/>
      <w:numFmt w:val="bullet"/>
      <w:start w:val="1"/>
    </w:lvl>
  </w:abstractNum>
  <w:abstractNum w:abstractNumId="2">
    <w:nsid w:val="7FDCC233"/>
    <w:multiLevelType w:val="hybridMultilevel"/>
    <w:lvl w:ilvl="0">
      <w:lvlJc w:val="left"/>
      <w:lvlText w:val="(%1)"/>
      <w:numFmt w:val="decimal"/>
      <w:start w:val="1"/>
    </w:lvl>
  </w:abstractNum>
  <w:abstractNum w:abstractNumId="3">
    <w:nsid w:val="1BEFD79F"/>
    <w:multiLevelType w:val="hybridMultilevel"/>
    <w:lvl w:ilvl="0">
      <w:lvlJc w:val="left"/>
      <w:lvlText w:val="(%1)"/>
      <w:numFmt w:val="lowerRoman"/>
      <w:start w:val="5"/>
    </w:lvl>
  </w:abstractNum>
  <w:abstractNum w:abstractNumId="4">
    <w:nsid w:val="41A7C4C9"/>
    <w:multiLevelType w:val="hybridMultilevel"/>
    <w:lvl w:ilvl="0">
      <w:lvlJc w:val="left"/>
      <w:lvlText w:val="(%1)"/>
      <w:numFmt w:val="lowerRoman"/>
      <w:start w:val="2"/>
    </w:lvl>
  </w:abstractNum>
  <w:abstractNum w:abstractNumId="5">
    <w:nsid w:val="6B68079A"/>
    <w:multiLevelType w:val="hybridMultilevel"/>
    <w:lvl w:ilvl="0">
      <w:lvlJc w:val="left"/>
      <w:lvlText w:val="(%1)"/>
      <w:numFmt w:val="decimal"/>
      <w:start w:val="1"/>
    </w:lvl>
  </w:abstractNum>
  <w:abstractNum w:abstractNumId="6">
    <w:nsid w:val="4E6AFB66"/>
    <w:multiLevelType w:val="hybridMultilevel"/>
    <w:lvl w:ilvl="0">
      <w:lvlJc w:val="left"/>
      <w:lvlText w:val="$"/>
      <w:numFmt w:val="bullet"/>
      <w:start w:val="1"/>
    </w:lvl>
  </w:abstractNum>
  <w:abstractNum w:abstractNumId="7">
    <w:nsid w:val="25E45D32"/>
    <w:multiLevelType w:val="hybridMultilevel"/>
    <w:lvl w:ilvl="0">
      <w:lvlJc w:val="left"/>
      <w:lvlText w:val="$"/>
      <w:numFmt w:val="bullet"/>
      <w:start w:val="1"/>
    </w:lvl>
  </w:abstractNum>
  <w:abstractNum w:abstractNumId="8">
    <w:nsid w:val="519B500D"/>
    <w:multiLevelType w:val="hybridMultilevel"/>
    <w:lvl w:ilvl="0">
      <w:lvlJc w:val="left"/>
      <w:lvlText w:val="(%1)"/>
      <w:numFmt w:val="decimal"/>
      <w:start w:val="1"/>
    </w:lvl>
  </w:abstractNum>
  <w:abstractNum w:abstractNumId="9">
    <w:nsid w:val="431BD7B7"/>
    <w:multiLevelType w:val="hybridMultilevel"/>
    <w:lvl w:ilvl="0">
      <w:lvlJc w:val="left"/>
      <w:lvlText w:val="(%1)"/>
      <w:numFmt w:val="decimal"/>
      <w:start w:val="1"/>
    </w:lvl>
  </w:abstractNum>
  <w:abstractNum w:abstractNumId="10">
    <w:nsid w:val="3F2DBA31"/>
    <w:multiLevelType w:val="hybridMultilevel"/>
    <w:lvl w:ilvl="0">
      <w:lvlJc w:val="left"/>
      <w:lvlText w:val="(%1)"/>
      <w:numFmt w:val="decimal"/>
      <w:start w:val="1"/>
    </w:lvl>
  </w:abstractNum>
  <w:abstractNum w:abstractNumId="11">
    <w:nsid w:val="7C83E458"/>
    <w:multiLevelType w:val="hybridMultilevel"/>
    <w:lvl w:ilvl="0">
      <w:lvlJc w:val="left"/>
      <w:lvlText w:val="•"/>
      <w:numFmt w:val="bullet"/>
      <w:start w:val="1"/>
    </w:lvl>
  </w:abstractNum>
  <w:abstractNum w:abstractNumId="12">
    <w:nsid w:val="257130A3"/>
    <w:multiLevelType w:val="hybridMultilevel"/>
    <w:lvl w:ilvl="0">
      <w:lvlJc w:val="left"/>
      <w:lvlText w:val="(%1)"/>
      <w:numFmt w:val="decimal"/>
      <w:start w:val="1"/>
    </w:lvl>
  </w:abstractNum>
  <w:abstractNum w:abstractNumId="13">
    <w:nsid w:val="62BBD95A"/>
    <w:multiLevelType w:val="hybridMultilevel"/>
    <w:lvl w:ilvl="0">
      <w:lvlJc w:val="left"/>
      <w:lvlText w:val="(%1)"/>
      <w:numFmt w:val="decimal"/>
      <w:start w:val="1"/>
    </w:lvl>
  </w:abstractNum>
  <w:abstractNum w:abstractNumId="14">
    <w:nsid w:val="436C6125"/>
    <w:multiLevelType w:val="hybridMultilevel"/>
    <w:lvl w:ilvl="0">
      <w:lvlJc w:val="left"/>
      <w:lvlText w:val="(%1)"/>
      <w:numFmt w:val="decimal"/>
      <w:start w:val="1"/>
    </w:lvl>
  </w:abstractNum>
  <w:abstractNum w:abstractNumId="15">
    <w:nsid w:val="628C895D"/>
    <w:multiLevelType w:val="hybridMultilevel"/>
    <w:lvl w:ilvl="0">
      <w:lvlJc w:val="left"/>
      <w:lvlText w:val="(%1)"/>
      <w:numFmt w:val="decimal"/>
      <w:start w:val="1"/>
    </w:lvl>
  </w:abstractNum>
  <w:abstractNum w:abstractNumId="16">
    <w:nsid w:val="333AB105"/>
    <w:multiLevelType w:val="hybridMultilevel"/>
    <w:lvl w:ilvl="0">
      <w:lvlJc w:val="left"/>
      <w:lvlText w:val="(%1)"/>
      <w:numFmt w:val="lowerRoman"/>
      <w:start w:val="2"/>
    </w:lvl>
  </w:abstractNum>
  <w:abstractNum w:abstractNumId="17">
    <w:nsid w:val="721DA317"/>
    <w:multiLevelType w:val="hybridMultilevel"/>
    <w:lvl w:ilvl="0">
      <w:lvlJc w:val="left"/>
      <w:lvlText w:val="(%1)"/>
      <w:numFmt w:val="decimal"/>
      <w:start w:val="2"/>
    </w:lvl>
  </w:abstractNum>
  <w:abstractNum w:abstractNumId="18">
    <w:nsid w:val="2443A858"/>
    <w:multiLevelType w:val="hybridMultilevel"/>
    <w:lvl w:ilvl="0">
      <w:lvlJc w:val="left"/>
      <w:lvlText w:val="(%1)"/>
      <w:numFmt w:val="decimal"/>
      <w:start w:val="1"/>
    </w:lvl>
  </w:abstractNum>
  <w:abstractNum w:abstractNumId="19">
    <w:nsid w:val="2D1D5AE9"/>
    <w:multiLevelType w:val="hybridMultilevel"/>
    <w:lvl w:ilvl="0">
      <w:lvlJc w:val="left"/>
      <w:lvlText w:val="(%1)"/>
      <w:numFmt w:val="lowerRoman"/>
      <w:start w:val="6"/>
    </w:lvl>
  </w:abstractNum>
  <w:abstractNum w:abstractNumId="20">
    <w:nsid w:val="6763845E"/>
    <w:multiLevelType w:val="hybridMultilevel"/>
    <w:lvl w:ilvl="0">
      <w:lvlJc w:val="left"/>
      <w:lvlText w:val="(%1)"/>
      <w:numFmt w:val="decimal"/>
      <w:start w:val="1"/>
    </w:lvl>
  </w:abstractNum>
  <w:abstractNum w:abstractNumId="21">
    <w:nsid w:val="75A2A8D4"/>
    <w:multiLevelType w:val="hybridMultilevel"/>
    <w:lvl w:ilvl="0">
      <w:lvlJc w:val="left"/>
      <w:lvlText w:val="**"/>
      <w:numFmt w:val="bullet"/>
      <w:start w:val="1"/>
    </w:lvl>
    <w:lvl w:ilvl="1">
      <w:lvlJc w:val="left"/>
      <w:lvlText w:val="*"/>
      <w:numFmt w:val="bullet"/>
      <w:start w:val="1"/>
    </w:lvl>
  </w:abstractNum>
  <w:abstractNum w:abstractNumId="22">
    <w:nsid w:val="8EDBDAB"/>
    <w:multiLevelType w:val="hybridMultilevel"/>
    <w:lvl w:ilvl="0">
      <w:lvlJc w:val="left"/>
      <w:lvlText w:val="%1."/>
      <w:numFmt w:val="decimal"/>
      <w:start w:val="1"/>
    </w:lvl>
    <w:lvl w:ilvl="1">
      <w:lvlJc w:val="left"/>
      <w:lvlText w:val="(%2)"/>
      <w:numFmt w:val="lowerLetter"/>
      <w:start w:val="1"/>
    </w:lvl>
  </w:abstractNum>
  <w:abstractNum w:abstractNumId="23">
    <w:nsid w:val="79838CB2"/>
    <w:multiLevelType w:val="hybridMultilevel"/>
    <w:lvl w:ilvl="0">
      <w:lvlJc w:val="left"/>
      <w:lvlText w:val="%1."/>
      <w:numFmt w:val="decimal"/>
      <w:start w:val="1"/>
    </w:lvl>
    <w:lvl w:ilvl="1">
      <w:lvlJc w:val="left"/>
      <w:lvlText w:val="(%2)"/>
      <w:numFmt w:val="lowerLetter"/>
      <w:start w:val="1"/>
    </w:lvl>
  </w:abstractNum>
  <w:abstractNum w:abstractNumId="24">
    <w:nsid w:val="4353D0CD"/>
    <w:multiLevelType w:val="hybridMultilevel"/>
    <w:lvl w:ilvl="0">
      <w:lvlJc w:val="left"/>
      <w:lvlText w:val="%1."/>
      <w:numFmt w:val="decimal"/>
      <w:start w:val="1"/>
    </w:lvl>
  </w:abstractNum>
  <w:abstractNum w:abstractNumId="25">
    <w:nsid w:val="B03E0C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2021-05-06T15:48:09Z</dcterms:created>
  <dcterms:modified xsi:type="dcterms:W3CDTF">2021-05-06T15:48:09Z</dcterms:modified>
</cp:coreProperties>
</file>