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0"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4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43"/>
          <w:szCs w:val="43"/>
          <w:b w:val="1"/>
          <w:bCs w:val="1"/>
          <w:u w:val="single" w:color="auto"/>
          <w:color w:val="auto"/>
        </w:rPr>
        <w:t>PENN ENTERTAINMENT, INC.</w:t>
      </w:r>
    </w:p>
    <w:p>
      <w:pPr>
        <w:spacing w:after="0" w:line="5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187960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905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118110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PROXY STATEMENT - 2026</w:t>
      </w:r>
      <w:r>
        <w:rPr>
          <w:sz w:val="20"/>
          <w:szCs w:val="20"/>
          <w:color w:val="auto"/>
        </w:rPr>
        <w:t xml:space="preserve"> </w:t>
      </w:r>
      <w:r>
        <w:rPr>
          <w:rFonts w:ascii="Arial" w:cs="Arial" w:eastAsia="Arial" w:hAnsi="Arial"/>
          <w:sz w:val="9"/>
          <w:szCs w:val="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A LETTER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4"/>
          <w:szCs w:val="14"/>
          <w:color w:val="auto"/>
        </w:rPr>
        <w:t>Over the past year, we have made meaningful changes at PENN and believe our investments in technology, combined with our retail growth projects, position us well for 2026 and beyond. We have advanced our core retail business, strengthened Board oversight, refined our operating structure and repositioned our digital strategy – all with a focus on delivering sustainable, long-term value.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As we look ahead, our priorities are clear: execute with discipline, drive profitable growth, increase free cash flow and enhance shareholder returns.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Stronger Governance for Our Next Phase of Growth and Execution</w:t>
      </w:r>
    </w:p>
    <w:p>
      <w:pPr>
        <w:spacing w:after="0" w:line="109"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are committed to strong governance practices, including with respect to the evolution of our Board’s skillsets. Board refreshment at PENN is thoughtful and deliberate to ensure we have the right expertise and perspectives present in the Boardroom to oversee our strategy. In the past 12 months, we have appointed five new independent directors, meaningfully strengthening the Board’s composition, independence and competencies.</w:t>
      </w:r>
    </w:p>
    <w:p>
      <w:pPr>
        <w:spacing w:after="0" w:line="65"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In 2025, we appointed independent directors Carlos Ruisanchez and Johnny Hartnett to the Board, and earlier this year we added three additional highly qualified independent directors – Heather Ace, Jeffrey Fox and Fabio Schiavolin. Our refreshed Board’s expanded expertise in global gaming, digital operations, human capital, finance and technology positions us to guide PENN through the disciplined execution of its next phase of growth.</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Refocused Digital Strategy</w:t>
      </w:r>
    </w:p>
    <w:p>
      <w:pPr>
        <w:spacing w:after="0" w:line="109" w:lineRule="exact"/>
        <w:rPr>
          <w:sz w:val="20"/>
          <w:szCs w:val="20"/>
          <w:color w:val="auto"/>
        </w:rPr>
      </w:pPr>
    </w:p>
    <w:p>
      <w:pPr>
        <w:jc w:val="both"/>
        <w:ind w:right="220"/>
        <w:spacing w:after="0" w:line="263" w:lineRule="auto"/>
        <w:rPr>
          <w:sz w:val="20"/>
          <w:szCs w:val="20"/>
          <w:color w:val="auto"/>
        </w:rPr>
      </w:pPr>
      <w:r>
        <w:rPr>
          <w:rFonts w:ascii="Arial" w:cs="Arial" w:eastAsia="Arial" w:hAnsi="Arial"/>
          <w:sz w:val="14"/>
          <w:szCs w:val="14"/>
          <w:color w:val="auto"/>
        </w:rPr>
        <w:t>In late 2025, following the mutual early termination of our exclusive U.S. online sports betting agreement with ESPN, we repositioned our digital strategy around a more focused and efficient model centered on iCasino growth, cross-sell and omnichannel engagement. This shift allows us to enhance integration across our ecosystem and better leverage our retail footprint in the U.S. and strength in Canada.</w:t>
      </w:r>
    </w:p>
    <w:p>
      <w:pPr>
        <w:spacing w:after="0" w:line="65"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Our approach to digital is no longer driven by scale alone; it is grounded in durable economics, disciplined investment and long-term returns. PENN’s retail footprint, media assets and technology capabilities provide a differentiated platform for integrating retail and digital engagement. The omnichannel ecosystem we built allows us to strengthen customer relationships, enhance marketing precision and drive greater value across both physical and online platforms.</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are focused on expanding cross-channel engagement, leveraging data and analytics to optimize promotional effectiveness, strengthening the loyalty ecosystem and improving the return profile of customer acquisition investments. This integrated, disciplined approach is designed to support more sustainable growth and long-term value creation.</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Simplified Organizational Structure Advances Strategic Priorities</w:t>
      </w:r>
    </w:p>
    <w:p>
      <w:pPr>
        <w:spacing w:after="0" w:line="109" w:lineRule="exact"/>
        <w:rPr>
          <w:sz w:val="20"/>
          <w:szCs w:val="20"/>
          <w:color w:val="auto"/>
        </w:rPr>
      </w:pPr>
    </w:p>
    <w:p>
      <w:pPr>
        <w:ind w:right="220"/>
        <w:spacing w:after="0" w:line="252" w:lineRule="auto"/>
        <w:rPr>
          <w:sz w:val="20"/>
          <w:szCs w:val="20"/>
          <w:color w:val="auto"/>
        </w:rPr>
      </w:pPr>
      <w:r>
        <w:rPr>
          <w:rFonts w:ascii="Arial" w:cs="Arial" w:eastAsia="Arial" w:hAnsi="Arial"/>
          <w:sz w:val="14"/>
          <w:szCs w:val="14"/>
          <w:color w:val="auto"/>
        </w:rPr>
        <w:t>In January 2026, PENN implemented a new corporate organizational structure designed to align our operations with our strategic priorities, including a more focused approach to our digital business and deeper integration with our core retail and omnichannel model. This realignment centralized key technology, data and digital capabilities under unified leadership, simplified reporting lines and reduced duplication across the organization. We expect these changes to improve operating efficiency, support stronger cross-channel engagement and contribute to increased free cash flow over time.</w:t>
      </w:r>
    </w:p>
    <w:p>
      <w:pPr>
        <w:spacing w:after="0" w:line="73"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These changes are projected to generate over $10 million in annualized run-rate cost savings, the majority of which will be realized in the first half of 2026.</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Disciplined Capital Allocation</w:t>
      </w:r>
    </w:p>
    <w:p>
      <w:pPr>
        <w:spacing w:after="0" w:line="109"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Disciplined capital allocation remains central to our strategy. We deploy capital through a balanced framework: investing in high-return retail development and property enhancements, leveraging our prior investments in Interactive initiatives, reducing leverage and repurchasing shares opportunistically.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98425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ii</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A LETTER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In 2025, we repurchased $354 million of shares, bringing total repurchases since 2022 to $1.1 billion, or approximately 25% of shares outstanding.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These actions underscore our commitment to returning capital to shareholders while maintaining financial flexibility.</w:t>
      </w:r>
    </w:p>
    <w:p>
      <w:pPr>
        <w:spacing w:after="0" w:line="95"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We expect meaningful free cash flow generation in 2026, providing capacity to further reduce leverage, invest in high return projects and continue evaluating share repurchases as conditions warrant.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Looking Ahead</w:t>
      </w:r>
    </w:p>
    <w:p>
      <w:pPr>
        <w:spacing w:after="0" w:line="109"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color w:val="auto"/>
        </w:rPr>
        <w:t>With a strengthened, refreshed Board, a more efficient organization and a disciplined digital strategy, we are confident in our ability to drive long-term growth and create value for shareholders.</w:t>
      </w:r>
    </w:p>
    <w:p>
      <w:pPr>
        <w:spacing w:after="0" w:line="50" w:lineRule="exact"/>
        <w:rPr>
          <w:sz w:val="20"/>
          <w:szCs w:val="20"/>
          <w:color w:val="auto"/>
        </w:rPr>
      </w:pPr>
    </w:p>
    <w:p>
      <w:pPr>
        <w:ind w:right="480"/>
        <w:spacing w:after="0" w:line="248" w:lineRule="auto"/>
        <w:rPr>
          <w:sz w:val="20"/>
          <w:szCs w:val="20"/>
          <w:color w:val="auto"/>
        </w:rPr>
      </w:pPr>
      <w:r>
        <w:rPr>
          <w:rFonts w:ascii="Arial" w:cs="Arial" w:eastAsia="Arial" w:hAnsi="Arial"/>
          <w:sz w:val="14"/>
          <w:szCs w:val="14"/>
          <w:color w:val="auto"/>
        </w:rPr>
        <w:t>We believe the actions we took in 2025 enhanced our operational and financial foundation, positioning PENN for continued performance improvement in 2026 and beyond. We remain focused on driving continued growth across our retail portfolio, achieving break-even adjusted</w:t>
      </w:r>
    </w:p>
    <w:p>
      <w:pPr>
        <w:ind w:right="100"/>
        <w:spacing w:after="0" w:line="208" w:lineRule="auto"/>
        <w:rPr>
          <w:sz w:val="20"/>
          <w:szCs w:val="20"/>
          <w:color w:val="auto"/>
        </w:rPr>
      </w:pPr>
      <w:r>
        <w:rPr>
          <w:rFonts w:ascii="Arial" w:cs="Arial" w:eastAsia="Arial" w:hAnsi="Arial"/>
          <w:sz w:val="14"/>
          <w:szCs w:val="14"/>
          <w:color w:val="auto"/>
        </w:rPr>
        <w:t>EBITDA in Interactive</w:t>
      </w:r>
      <w:r>
        <w:rPr>
          <w:rFonts w:ascii="Arial" w:cs="Arial" w:eastAsia="Arial" w:hAnsi="Arial"/>
          <w:sz w:val="23"/>
          <w:szCs w:val="23"/>
          <w:color w:val="auto"/>
          <w:vertAlign w:val="superscript"/>
        </w:rPr>
        <w:t>1</w:t>
      </w:r>
      <w:r>
        <w:rPr>
          <w:rFonts w:ascii="Arial" w:cs="Arial" w:eastAsia="Arial" w:hAnsi="Arial"/>
          <w:sz w:val="14"/>
          <w:szCs w:val="14"/>
          <w:color w:val="auto"/>
        </w:rPr>
        <w:t>, maintaining disciplined capital allocation and financial flexibility while further deleveraging, and realizing the benefits of our recent organizational enhancements.</w:t>
      </w:r>
    </w:p>
    <w:p>
      <w:pPr>
        <w:spacing w:after="0" w:line="82" w:lineRule="exact"/>
        <w:rPr>
          <w:sz w:val="20"/>
          <w:szCs w:val="20"/>
          <w:color w:val="auto"/>
        </w:rPr>
      </w:pPr>
    </w:p>
    <w:p>
      <w:pPr>
        <w:jc w:val="both"/>
        <w:ind w:right="280"/>
        <w:spacing w:after="0" w:line="263" w:lineRule="auto"/>
        <w:rPr>
          <w:sz w:val="20"/>
          <w:szCs w:val="20"/>
          <w:color w:val="auto"/>
        </w:rPr>
      </w:pPr>
      <w:r>
        <w:rPr>
          <w:rFonts w:ascii="Arial" w:cs="Arial" w:eastAsia="Arial" w:hAnsi="Arial"/>
          <w:sz w:val="14"/>
          <w:szCs w:val="14"/>
          <w:color w:val="auto"/>
        </w:rPr>
        <w:t>PENN’s success is driven by the dedication of our more than 23,000 team members and our commitment to being a responsible partner in the communities we serve. We are proud of the continued progress our Company has made in advancing our corporate responsibility priorities and remain focused on building on this momentum in the years ahead.</w:t>
      </w:r>
    </w:p>
    <w:p>
      <w:pPr>
        <w:spacing w:after="0" w:line="65" w:lineRule="exact"/>
        <w:rPr>
          <w:sz w:val="20"/>
          <w:szCs w:val="20"/>
          <w:color w:val="auto"/>
        </w:rPr>
      </w:pPr>
    </w:p>
    <w:p>
      <w:pPr>
        <w:ind w:right="380"/>
        <w:spacing w:after="0" w:line="285" w:lineRule="auto"/>
        <w:rPr>
          <w:sz w:val="20"/>
          <w:szCs w:val="20"/>
          <w:color w:val="auto"/>
        </w:rPr>
      </w:pPr>
      <w:r>
        <w:rPr>
          <w:rFonts w:ascii="Arial" w:cs="Arial" w:eastAsia="Arial" w:hAnsi="Arial"/>
          <w:sz w:val="14"/>
          <w:szCs w:val="14"/>
          <w:color w:val="auto"/>
        </w:rPr>
        <w:t>On behalf of our Board and leadership team, we would like to thank you, our valued shareholders, for your continued investment, support and confidence. 2026 is sure to be an exciting year at PENN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380365</wp:posOffset>
            </wp:positionV>
            <wp:extent cx="1508760" cy="1337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8760" cy="133731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380365</wp:posOffset>
            </wp:positionV>
            <wp:extent cx="1508760" cy="1337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876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00"/>
        <w:spacing w:after="0"/>
        <w:rPr>
          <w:sz w:val="20"/>
          <w:szCs w:val="20"/>
          <w:color w:val="auto"/>
        </w:rPr>
      </w:pPr>
      <w:r>
        <w:rPr>
          <w:rFonts w:ascii="Arial" w:cs="Arial" w:eastAsia="Arial" w:hAnsi="Arial"/>
          <w:sz w:val="14"/>
          <w:szCs w:val="14"/>
          <w:color w:val="010035"/>
        </w:rPr>
        <w:t>Sincerely,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500" w:type="dxa"/>
        <w:tblCellMar>
          <w:top w:w="0" w:type="dxa"/>
          <w:left w:w="0" w:type="dxa"/>
          <w:bottom w:w="0" w:type="dxa"/>
          <w:right w:w="0" w:type="dxa"/>
        </w:tblCellMar>
      </w:tblPr>
      <w:tr>
        <w:trPr>
          <w:trHeight w:val="247"/>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010035"/>
              </w:rPr>
              <w:t>David Handler</w:t>
            </w:r>
          </w:p>
        </w:tc>
        <w:tc>
          <w:tcPr>
            <w:tcW w:w="3900" w:type="dxa"/>
            <w:vAlign w:val="bottom"/>
          </w:tcPr>
          <w:p>
            <w:pPr>
              <w:ind w:left="1760"/>
              <w:spacing w:after="0"/>
              <w:rPr>
                <w:sz w:val="20"/>
                <w:szCs w:val="20"/>
                <w:color w:val="auto"/>
              </w:rPr>
            </w:pPr>
            <w:r>
              <w:rPr>
                <w:rFonts w:ascii="Arial" w:cs="Arial" w:eastAsia="Arial" w:hAnsi="Arial"/>
                <w:sz w:val="18"/>
                <w:szCs w:val="18"/>
                <w:b w:val="1"/>
                <w:bCs w:val="1"/>
                <w:color w:val="010035"/>
              </w:rPr>
              <w:t>Jay Snowden</w:t>
            </w:r>
          </w:p>
        </w:tc>
        <w:tc>
          <w:tcPr>
            <w:tcW w:w="0" w:type="dxa"/>
            <w:vAlign w:val="bottom"/>
          </w:tcPr>
          <w:p>
            <w:pPr>
              <w:spacing w:after="0"/>
              <w:rPr>
                <w:sz w:val="1"/>
                <w:szCs w:val="1"/>
                <w:color w:val="auto"/>
              </w:rPr>
            </w:pPr>
          </w:p>
        </w:tc>
      </w:tr>
      <w:tr>
        <w:trPr>
          <w:trHeight w:val="81"/>
        </w:trPr>
        <w:tc>
          <w:tcPr>
            <w:tcW w:w="2980" w:type="dxa"/>
            <w:vAlign w:val="bottom"/>
            <w:vMerge w:val="continue"/>
          </w:tcPr>
          <w:p>
            <w:pPr>
              <w:spacing w:after="0"/>
              <w:rPr>
                <w:sz w:val="7"/>
                <w:szCs w:val="7"/>
                <w:color w:val="auto"/>
              </w:rPr>
            </w:pPr>
          </w:p>
        </w:tc>
        <w:tc>
          <w:tcPr>
            <w:tcW w:w="3900" w:type="dxa"/>
            <w:vAlign w:val="bottom"/>
            <w:vMerge w:val="restart"/>
          </w:tcPr>
          <w:p>
            <w:pPr>
              <w:ind w:left="1760"/>
              <w:spacing w:after="0"/>
              <w:rPr>
                <w:sz w:val="20"/>
                <w:szCs w:val="20"/>
                <w:color w:val="auto"/>
              </w:rPr>
            </w:pPr>
            <w:r>
              <w:rPr>
                <w:rFonts w:ascii="Arial" w:cs="Arial" w:eastAsia="Arial" w:hAnsi="Arial"/>
                <w:sz w:val="14"/>
                <w:szCs w:val="14"/>
                <w:color w:val="010035"/>
              </w:rPr>
              <w:t>Chief Executive Officer, President</w:t>
            </w:r>
          </w:p>
        </w:tc>
        <w:tc>
          <w:tcPr>
            <w:tcW w:w="0" w:type="dxa"/>
            <w:vAlign w:val="bottom"/>
          </w:tcPr>
          <w:p>
            <w:pPr>
              <w:spacing w:after="0"/>
              <w:rPr>
                <w:sz w:val="1"/>
                <w:szCs w:val="1"/>
                <w:color w:val="auto"/>
              </w:rPr>
            </w:pPr>
          </w:p>
        </w:tc>
      </w:tr>
      <w:tr>
        <w:trPr>
          <w:trHeight w:val="87"/>
        </w:trPr>
        <w:tc>
          <w:tcPr>
            <w:tcW w:w="2980" w:type="dxa"/>
            <w:vAlign w:val="bottom"/>
            <w:vMerge w:val="restart"/>
          </w:tcPr>
          <w:p>
            <w:pPr>
              <w:spacing w:after="0"/>
              <w:rPr>
                <w:sz w:val="20"/>
                <w:szCs w:val="20"/>
                <w:color w:val="auto"/>
              </w:rPr>
            </w:pPr>
            <w:r>
              <w:rPr>
                <w:rFonts w:ascii="Arial" w:cs="Arial" w:eastAsia="Arial" w:hAnsi="Arial"/>
                <w:sz w:val="14"/>
                <w:szCs w:val="14"/>
                <w:color w:val="010035"/>
              </w:rPr>
              <w:t>Board Chair</w:t>
            </w: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80" w:type="dxa"/>
            <w:vAlign w:val="bottom"/>
            <w:vMerge w:val="continue"/>
          </w:tcPr>
          <w:p>
            <w:pPr>
              <w:spacing w:after="0"/>
              <w:rPr>
                <w:sz w:val="7"/>
                <w:szCs w:val="7"/>
                <w:color w:val="auto"/>
              </w:rPr>
            </w:pPr>
          </w:p>
        </w:tc>
        <w:tc>
          <w:tcPr>
            <w:tcW w:w="3900" w:type="dxa"/>
            <w:vAlign w:val="bottom"/>
            <w:vMerge w:val="restart"/>
          </w:tcPr>
          <w:p>
            <w:pPr>
              <w:ind w:left="1760"/>
              <w:spacing w:after="0"/>
              <w:rPr>
                <w:sz w:val="20"/>
                <w:szCs w:val="20"/>
                <w:color w:val="auto"/>
              </w:rPr>
            </w:pPr>
            <w:r>
              <w:rPr>
                <w:rFonts w:ascii="Arial" w:cs="Arial" w:eastAsia="Arial" w:hAnsi="Arial"/>
                <w:sz w:val="14"/>
                <w:szCs w:val="14"/>
                <w:color w:val="010035"/>
              </w:rPr>
              <w:t>&amp; Board Member</w:t>
            </w:r>
          </w:p>
        </w:tc>
        <w:tc>
          <w:tcPr>
            <w:tcW w:w="0" w:type="dxa"/>
            <w:vAlign w:val="bottom"/>
          </w:tcPr>
          <w:p>
            <w:pPr>
              <w:spacing w:after="0"/>
              <w:rPr>
                <w:sz w:val="1"/>
                <w:szCs w:val="1"/>
                <w:color w:val="auto"/>
              </w:rPr>
            </w:pPr>
          </w:p>
        </w:tc>
      </w:tr>
      <w:tr>
        <w:trPr>
          <w:trHeight w:val="109"/>
        </w:trPr>
        <w:tc>
          <w:tcPr>
            <w:tcW w:w="2980" w:type="dxa"/>
            <w:vAlign w:val="bottom"/>
            <w:vMerge w:val="restart"/>
          </w:tcPr>
          <w:p>
            <w:pPr>
              <w:spacing w:after="0"/>
              <w:rPr>
                <w:sz w:val="20"/>
                <w:szCs w:val="20"/>
                <w:color w:val="auto"/>
              </w:rPr>
            </w:pPr>
            <w:r>
              <w:rPr>
                <w:rFonts w:ascii="Arial" w:cs="Arial" w:eastAsia="Arial" w:hAnsi="Arial"/>
                <w:sz w:val="14"/>
                <w:szCs w:val="14"/>
                <w:color w:val="010035"/>
              </w:rPr>
              <w:t> </w:t>
            </w:r>
          </w:p>
        </w:tc>
        <w:tc>
          <w:tcPr>
            <w:tcW w:w="3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9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822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2" w:lineRule="exact"/>
        <w:rPr>
          <w:sz w:val="20"/>
          <w:szCs w:val="20"/>
          <w:color w:val="auto"/>
        </w:rPr>
      </w:pPr>
    </w:p>
    <w:p>
      <w:pPr>
        <w:ind w:left="240" w:hanging="234"/>
        <w:spacing w:after="0"/>
        <w:tabs>
          <w:tab w:leader="none" w:pos="240" w:val="left"/>
        </w:tabs>
        <w:numPr>
          <w:ilvl w:val="0"/>
          <w:numId w:val="3"/>
        </w:numPr>
        <w:rPr>
          <w:rFonts w:ascii="Times New Roman" w:cs="Times New Roman" w:eastAsia="Times New Roman" w:hAnsi="Times New Roman"/>
          <w:sz w:val="16"/>
          <w:szCs w:val="16"/>
          <w:color w:val="010035"/>
          <w:vertAlign w:val="superscript"/>
        </w:rPr>
      </w:pPr>
      <w:r>
        <w:rPr>
          <w:rFonts w:ascii="Times New Roman" w:cs="Times New Roman" w:eastAsia="Times New Roman" w:hAnsi="Times New Roman"/>
          <w:sz w:val="11"/>
          <w:szCs w:val="11"/>
          <w:color w:val="010035"/>
        </w:rPr>
        <w:t>Interactive forecast does not include costs associated with the anticipated launch of OSB and iCasino in Alberta.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107950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93" w:lineRule="exact"/>
        <w:rPr>
          <w:sz w:val="20"/>
          <w:szCs w:val="20"/>
          <w:color w:val="auto"/>
        </w:rPr>
      </w:pPr>
    </w:p>
    <w:p>
      <w:pPr>
        <w:ind w:left="670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4255770</wp:posOffset>
            </wp:positionH>
            <wp:positionV relativeFrom="paragraph">
              <wp:posOffset>6350</wp:posOffset>
            </wp:positionV>
            <wp:extent cx="1714500" cy="4131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41319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96" w:lineRule="exact"/>
        <w:rPr>
          <w:sz w:val="20"/>
          <w:szCs w:val="20"/>
          <w:color w:val="auto"/>
        </w:rPr>
      </w:pPr>
    </w:p>
    <w:p>
      <w:pPr>
        <w:jc w:val="both"/>
        <w:ind w:right="280"/>
        <w:spacing w:after="0" w:line="263" w:lineRule="auto"/>
        <w:rPr>
          <w:sz w:val="20"/>
          <w:szCs w:val="20"/>
          <w:color w:val="auto"/>
        </w:rPr>
      </w:pPr>
      <w:r>
        <w:rPr>
          <w:rFonts w:ascii="Arial" w:cs="Arial" w:eastAsia="Arial" w:hAnsi="Arial"/>
          <w:sz w:val="14"/>
          <w:szCs w:val="14"/>
          <w:color w:val="auto"/>
        </w:rPr>
        <w:t>This summary highlights information contained elsewhere in this Proxy Statement. This summary does not contain all of the information you should consider, and you should read the entire Proxy Statement before voting.</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4114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78"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At or before the PENN Entertainment, Inc. 2026 Annual Meeting of Shareholders (“Annual Meeting”), shareholders will vote on the following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62865</wp:posOffset>
            </wp:positionV>
            <wp:extent cx="37287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28720" cy="342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174625</wp:posOffset>
            </wp:positionV>
            <wp:extent cx="14541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415" cy="171450"/>
                    </a:xfrm>
                    <a:prstGeom prst="rect">
                      <a:avLst/>
                    </a:prstGeom>
                    <a:noFill/>
                  </pic:spPr>
                </pic:pic>
              </a:graphicData>
            </a:graphic>
          </wp:anchor>
        </w:drawing>
      </w:r>
    </w:p>
    <w:p>
      <w:pPr>
        <w:spacing w:after="0" w:line="31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Proposal 1:</w:t>
      </w:r>
      <w:r>
        <w:rPr>
          <w:rFonts w:ascii="Arial" w:cs="Arial" w:eastAsia="Arial" w:hAnsi="Arial"/>
          <w:sz w:val="14"/>
          <w:szCs w:val="14"/>
          <w:color w:val="auto"/>
        </w:rPr>
        <w:t xml:space="preserve">  Election of Class III Directors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-1270</wp:posOffset>
            </wp:positionV>
            <wp:extent cx="37287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83820</wp:posOffset>
            </wp:positionV>
            <wp:extent cx="14541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415" cy="171450"/>
                    </a:xfrm>
                    <a:prstGeom prst="rect">
                      <a:avLst/>
                    </a:prstGeom>
                    <a:noFill/>
                  </pic:spPr>
                </pic:pic>
              </a:graphicData>
            </a:graphic>
          </wp:anchor>
        </w:drawing>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Proposal 2:</w:t>
      </w:r>
      <w:r>
        <w:rPr>
          <w:rFonts w:ascii="Arial" w:cs="Arial" w:eastAsia="Arial" w:hAnsi="Arial"/>
          <w:sz w:val="14"/>
          <w:szCs w:val="14"/>
          <w:color w:val="auto"/>
        </w:rPr>
        <w:t>Ratification of Appointment of Independent Registered</w:t>
      </w:r>
    </w:p>
    <w:p>
      <w:pPr>
        <w:ind w:left="1400" w:hanging="1111"/>
        <w:spacing w:after="0" w:line="181" w:lineRule="auto"/>
        <w:tabs>
          <w:tab w:leader="none" w:pos="1400" w:val="left"/>
        </w:tabs>
        <w:numPr>
          <w:ilvl w:val="0"/>
          <w:numId w:val="4"/>
        </w:numPr>
        <w:rPr>
          <w:rFonts w:ascii="Arial" w:cs="Arial" w:eastAsia="Arial" w:hAnsi="Arial"/>
          <w:sz w:val="22"/>
          <w:szCs w:val="22"/>
          <w:color w:val="auto"/>
          <w:vertAlign w:val="subscript"/>
        </w:rPr>
      </w:pPr>
      <w:r>
        <w:rPr>
          <w:rFonts w:ascii="Arial" w:cs="Arial" w:eastAsia="Arial" w:hAnsi="Arial"/>
          <w:sz w:val="12"/>
          <w:szCs w:val="12"/>
          <w:color w:val="auto"/>
        </w:rPr>
        <w:t>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99695</wp:posOffset>
            </wp:positionV>
            <wp:extent cx="37287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185420</wp:posOffset>
            </wp:positionV>
            <wp:extent cx="14541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415" cy="171450"/>
                    </a:xfrm>
                    <a:prstGeom prst="rect">
                      <a:avLst/>
                    </a:prstGeom>
                    <a:noFill/>
                  </pic:spPr>
                </pic:pic>
              </a:graphicData>
            </a:graphic>
          </wp:anchor>
        </w:drawing>
      </w:r>
    </w:p>
    <w:p>
      <w:pPr>
        <w:spacing w:after="0" w:line="30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Proposal 3:</w:t>
      </w:r>
      <w:r>
        <w:rPr>
          <w:rFonts w:ascii="Arial" w:cs="Arial" w:eastAsia="Arial" w:hAnsi="Arial"/>
          <w:sz w:val="14"/>
          <w:szCs w:val="14"/>
          <w:color w:val="auto"/>
        </w:rPr>
        <w:t>Advisory Vote to Approve the Compensation of Named</w:t>
      </w:r>
    </w:p>
    <w:p>
      <w:pPr>
        <w:ind w:left="1400" w:hanging="1111"/>
        <w:spacing w:after="0" w:line="181" w:lineRule="auto"/>
        <w:tabs>
          <w:tab w:leader="none" w:pos="1400" w:val="left"/>
        </w:tabs>
        <w:numPr>
          <w:ilvl w:val="0"/>
          <w:numId w:val="5"/>
        </w:numPr>
        <w:rPr>
          <w:rFonts w:ascii="Arial" w:cs="Arial" w:eastAsia="Arial" w:hAnsi="Arial"/>
          <w:sz w:val="22"/>
          <w:szCs w:val="22"/>
          <w:color w:val="auto"/>
          <w:vertAlign w:val="subscript"/>
        </w:rPr>
      </w:pPr>
      <w:r>
        <w:rPr>
          <w:rFonts w:ascii="Arial" w:cs="Arial" w:eastAsia="Arial" w:hAnsi="Arial"/>
          <w:sz w:val="12"/>
          <w:szCs w:val="12"/>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99695</wp:posOffset>
            </wp:positionV>
            <wp:extent cx="37287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185420</wp:posOffset>
            </wp:positionV>
            <wp:extent cx="14541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415" cy="171450"/>
                    </a:xfrm>
                    <a:prstGeom prst="rect">
                      <a:avLst/>
                    </a:prstGeom>
                    <a:noFill/>
                  </pic:spPr>
                </pic:pic>
              </a:graphicData>
            </a:graphic>
          </wp:anchor>
        </w:drawing>
      </w:r>
    </w:p>
    <w:p>
      <w:pPr>
        <w:spacing w:after="0" w:line="30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Proposal 4:</w:t>
      </w:r>
      <w:r>
        <w:rPr>
          <w:rFonts w:ascii="Arial" w:cs="Arial" w:eastAsia="Arial" w:hAnsi="Arial"/>
          <w:sz w:val="14"/>
          <w:szCs w:val="14"/>
          <w:color w:val="auto"/>
        </w:rPr>
        <w:t>Approval of the Third Amendment to our 2022 Long-Term Incentive</w:t>
      </w:r>
    </w:p>
    <w:p>
      <w:pPr>
        <w:ind w:left="1400" w:hanging="1111"/>
        <w:spacing w:after="0" w:line="181" w:lineRule="auto"/>
        <w:tabs>
          <w:tab w:leader="none" w:pos="1400" w:val="left"/>
        </w:tabs>
        <w:numPr>
          <w:ilvl w:val="0"/>
          <w:numId w:val="6"/>
        </w:numPr>
        <w:rPr>
          <w:rFonts w:ascii="Arial" w:cs="Arial" w:eastAsia="Arial" w:hAnsi="Arial"/>
          <w:sz w:val="22"/>
          <w:szCs w:val="22"/>
          <w:color w:val="auto"/>
          <w:vertAlign w:val="subscript"/>
        </w:rPr>
      </w:pPr>
      <w:r>
        <w:rPr>
          <w:rFonts w:ascii="Arial" w:cs="Arial" w:eastAsia="Arial" w:hAnsi="Arial"/>
          <w:sz w:val="12"/>
          <w:szCs w:val="12"/>
          <w:color w:val="auto"/>
        </w:rPr>
        <w:t>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99695</wp:posOffset>
            </wp:positionV>
            <wp:extent cx="37287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185420</wp:posOffset>
            </wp:positionV>
            <wp:extent cx="14541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415" cy="171450"/>
                    </a:xfrm>
                    <a:prstGeom prst="rect">
                      <a:avLst/>
                    </a:prstGeom>
                    <a:noFill/>
                  </pic:spPr>
                </pic:pic>
              </a:graphicData>
            </a:graphic>
          </wp:anchor>
        </w:drawing>
      </w:r>
    </w:p>
    <w:p>
      <w:pPr>
        <w:spacing w:after="0" w:line="31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Proposal 5:</w:t>
      </w:r>
      <w:r>
        <w:rPr>
          <w:rFonts w:ascii="Arial" w:cs="Arial" w:eastAsia="Arial" w:hAnsi="Arial"/>
          <w:sz w:val="14"/>
          <w:szCs w:val="14"/>
          <w:color w:val="auto"/>
        </w:rPr>
        <w:t>Advisory Vote on a Shareholder Proposal Requesting Annual Election of</w:t>
      </w:r>
    </w:p>
    <w:p>
      <w:pPr>
        <w:ind w:left="1400" w:hanging="1111"/>
        <w:spacing w:after="0" w:line="181" w:lineRule="auto"/>
        <w:tabs>
          <w:tab w:leader="none" w:pos="1400" w:val="left"/>
        </w:tabs>
        <w:numPr>
          <w:ilvl w:val="0"/>
          <w:numId w:val="7"/>
        </w:numPr>
        <w:rPr>
          <w:rFonts w:ascii="Arial" w:cs="Arial" w:eastAsia="Arial" w:hAnsi="Arial"/>
          <w:sz w:val="22"/>
          <w:szCs w:val="22"/>
          <w:color w:val="auto"/>
          <w:vertAlign w:val="subscript"/>
        </w:rPr>
      </w:pPr>
      <w:r>
        <w:rPr>
          <w:rFonts w:ascii="Arial" w:cs="Arial" w:eastAsia="Arial" w:hAnsi="Arial"/>
          <w:sz w:val="12"/>
          <w:szCs w:val="12"/>
          <w:color w:val="auto"/>
        </w:rPr>
        <w:t>Directors, if properly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31115</wp:posOffset>
            </wp:positionV>
            <wp:extent cx="37287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28720" cy="34290"/>
                    </a:xfrm>
                    <a:prstGeom prst="rect">
                      <a:avLst/>
                    </a:prstGeom>
                    <a:noFill/>
                  </pic:spPr>
                </pic:pic>
              </a:graphicData>
            </a:graphic>
          </wp:anchor>
        </w:drawing>
      </w:r>
    </w:p>
    <w:p>
      <w:pPr>
        <w:spacing w:after="0" w:line="371"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Shareholders will also transact such other business as may properly come before the Annual Meeting and any postponement or adjournment thereof.</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41148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92"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Each share of common stock held by a shareholder of record of such common stock as of the close of business on March 27, 2026 is entitled to vote on each of the items to be voted on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10035"/>
        </w:rPr>
        <w:t>DATE AND TIME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010035"/>
        </w:rPr>
        <w:t>June 16, 2026 at 10 a.m. 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10035"/>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010035"/>
        </w:rPr>
        <w:t>VIRTUAL MEETING:</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010035"/>
        </w:rPr>
        <w:t>The Annual Meeting is a virtual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10035"/>
        </w:rPr>
        <w:t>meeting at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10035"/>
        </w:rPr>
        <w:t>www.virtualshareholdermeeting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10035"/>
        </w:rPr>
        <w:t>.com/PENN2026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b w:val="1"/>
          <w:bCs w:val="1"/>
          <w:color w:val="010035"/>
        </w:rPr>
        <w:t xml:space="preserve">RECORD DATE: </w:t>
      </w:r>
      <w:r>
        <w:rPr>
          <w:rFonts w:ascii="Arial" w:cs="Arial" w:eastAsia="Arial" w:hAnsi="Arial"/>
          <w:sz w:val="14"/>
          <w:szCs w:val="14"/>
          <w:color w:val="010035"/>
        </w:rPr>
        <w:t>March 27, 2026</w:t>
      </w:r>
      <w:r>
        <w:rPr>
          <w:rFonts w:ascii="Arial" w:cs="Arial" w:eastAsia="Arial" w:hAnsi="Arial"/>
          <w:sz w:val="14"/>
          <w:szCs w:val="14"/>
          <w:b w:val="1"/>
          <w:bCs w:val="1"/>
          <w:color w:val="010035"/>
        </w:rPr>
        <w:t xml:space="preserve"> </w:t>
      </w:r>
      <w:r>
        <w:rPr>
          <w:rFonts w:ascii="Arial" w:cs="Arial" w:eastAsia="Arial" w:hAnsi="Arial"/>
          <w:sz w:val="14"/>
          <w:szCs w:val="14"/>
          <w:color w:val="010035"/>
        </w:rPr>
        <w:t>Only shareholders of record as of the close of business on the Record Date will be entitled to notice of and to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010035"/>
        </w:rPr>
        <w:t>ATTENDANCE:</w:t>
      </w:r>
    </w:p>
    <w:p>
      <w:pPr>
        <w:spacing w:after="0" w:line="42" w:lineRule="exact"/>
        <w:rPr>
          <w:sz w:val="20"/>
          <w:szCs w:val="20"/>
          <w:color w:val="auto"/>
        </w:rPr>
      </w:pPr>
    </w:p>
    <w:p>
      <w:pPr>
        <w:ind w:right="320"/>
        <w:spacing w:after="0" w:line="263" w:lineRule="auto"/>
        <w:rPr>
          <w:sz w:val="20"/>
          <w:szCs w:val="20"/>
          <w:color w:val="auto"/>
        </w:rPr>
      </w:pPr>
      <w:r>
        <w:rPr>
          <w:rFonts w:ascii="Arial" w:cs="Arial" w:eastAsia="Arial" w:hAnsi="Arial"/>
          <w:sz w:val="14"/>
          <w:szCs w:val="14"/>
          <w:color w:val="010035"/>
        </w:rPr>
        <w:t>Only shareholders of record or their legal proxies may participate in the virtual Annual Meeting.</w:t>
      </w:r>
    </w:p>
    <w:p>
      <w:pPr>
        <w:spacing w:after="0" w:line="355" w:lineRule="exact"/>
        <w:rPr>
          <w:sz w:val="20"/>
          <w:szCs w:val="20"/>
          <w:color w:val="auto"/>
        </w:rPr>
      </w:pPr>
    </w:p>
    <w:p>
      <w:pPr>
        <w:sectPr>
          <w:pgSz w:w="11900" w:h="16838" w:orient="portrait"/>
          <w:cols w:equalWidth="0" w:num="2">
            <w:col w:w="6460" w:space="480"/>
            <w:col w:w="2460"/>
          </w:cols>
          <w:pgMar w:left="1240" w:top="114" w:right="1259" w:bottom="1440" w:gutter="0" w:footer="0" w:header="0"/>
          <w:type w:val="continuous"/>
        </w:sectPr>
      </w:pPr>
    </w:p>
    <w:p>
      <w:pPr>
        <w:spacing w:after="0"/>
        <w:rPr>
          <w:sz w:val="20"/>
          <w:szCs w:val="20"/>
          <w:color w:val="auto"/>
        </w:rPr>
      </w:pPr>
      <w:r>
        <w:rPr>
          <w:rFonts w:ascii="Arial" w:cs="Arial" w:eastAsia="Arial" w:hAnsi="Arial"/>
          <w:sz w:val="22"/>
          <w:szCs w:val="22"/>
          <w:b w:val="1"/>
          <w:bCs w:val="1"/>
          <w:color w:val="69439A"/>
        </w:rPr>
        <w:t>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41148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78" w:lineRule="exact"/>
        <w:rPr>
          <w:sz w:val="20"/>
          <w:szCs w:val="20"/>
          <w:color w:val="auto"/>
        </w:rPr>
      </w:pPr>
    </w:p>
    <w:p>
      <w:pPr>
        <w:ind w:right="3020"/>
        <w:spacing w:after="0" w:line="256" w:lineRule="auto"/>
        <w:rPr>
          <w:sz w:val="20"/>
          <w:szCs w:val="20"/>
          <w:color w:val="auto"/>
        </w:rPr>
      </w:pPr>
      <w:r>
        <w:rPr>
          <w:rFonts w:ascii="Arial" w:cs="Arial" w:eastAsia="Arial" w:hAnsi="Arial"/>
          <w:sz w:val="14"/>
          <w:szCs w:val="14"/>
          <w:color w:val="auto"/>
        </w:rPr>
        <w:t>Your vote is extremely important no matter how many shares you own. Whether or not you expect to attend the Annual Meeting, please promptly use your proxy card to vote by proxy over the internet or by mail. If you have any questions or require any assistance with voting your shares, please call PENN Entertainment’s proxy solicitor:</w:t>
      </w:r>
    </w:p>
    <w:p>
      <w:pPr>
        <w:spacing w:after="0" w:line="150" w:lineRule="exact"/>
        <w:rPr>
          <w:sz w:val="20"/>
          <w:szCs w:val="20"/>
          <w:color w:val="auto"/>
        </w:rPr>
      </w:pPr>
    </w:p>
    <w:p>
      <w:pPr>
        <w:jc w:val="center"/>
        <w:ind w:right="2920"/>
        <w:spacing w:after="0"/>
        <w:rPr>
          <w:sz w:val="20"/>
          <w:szCs w:val="20"/>
          <w:color w:val="auto"/>
        </w:rPr>
      </w:pPr>
      <w:r>
        <w:rPr>
          <w:rFonts w:ascii="Arial" w:cs="Arial" w:eastAsia="Arial" w:hAnsi="Arial"/>
          <w:sz w:val="14"/>
          <w:szCs w:val="14"/>
          <w:b w:val="1"/>
          <w:bCs w:val="1"/>
          <w:color w:val="auto"/>
        </w:rPr>
        <w:t>INNISFREE M&amp;A INCORPORATED</w:t>
      </w:r>
    </w:p>
    <w:p>
      <w:pPr>
        <w:spacing w:after="0" w:line="15" w:lineRule="exact"/>
        <w:rPr>
          <w:sz w:val="20"/>
          <w:szCs w:val="20"/>
          <w:color w:val="auto"/>
        </w:rPr>
      </w:pPr>
    </w:p>
    <w:p>
      <w:pPr>
        <w:jc w:val="center"/>
        <w:ind w:right="2920"/>
        <w:spacing w:after="0"/>
        <w:rPr>
          <w:sz w:val="20"/>
          <w:szCs w:val="20"/>
          <w:color w:val="auto"/>
        </w:rPr>
      </w:pPr>
      <w:r>
        <w:rPr>
          <w:rFonts w:ascii="Arial" w:cs="Arial" w:eastAsia="Arial" w:hAnsi="Arial"/>
          <w:sz w:val="14"/>
          <w:szCs w:val="14"/>
          <w:b w:val="1"/>
          <w:bCs w:val="1"/>
          <w:color w:val="auto"/>
        </w:rPr>
        <w:t>Shareholders may call 1 (877) 800 - 5187 (toll-free from the U.S. and Canada) or</w:t>
      </w:r>
    </w:p>
    <w:p>
      <w:pPr>
        <w:spacing w:after="0" w:line="1" w:lineRule="exact"/>
        <w:rPr>
          <w:sz w:val="20"/>
          <w:szCs w:val="20"/>
          <w:color w:val="auto"/>
        </w:rPr>
      </w:pPr>
    </w:p>
    <w:p>
      <w:pPr>
        <w:jc w:val="center"/>
        <w:ind w:right="2920"/>
        <w:spacing w:after="0"/>
        <w:rPr>
          <w:sz w:val="20"/>
          <w:szCs w:val="20"/>
          <w:color w:val="auto"/>
        </w:rPr>
      </w:pPr>
      <w:r>
        <w:rPr>
          <w:rFonts w:ascii="Arial" w:cs="Arial" w:eastAsia="Arial" w:hAnsi="Arial"/>
          <w:sz w:val="14"/>
          <w:szCs w:val="14"/>
          <w:b w:val="1"/>
          <w:bCs w:val="1"/>
          <w:color w:val="auto"/>
        </w:rPr>
        <w:t>+1 (412) 232-3651 (from other countries)</w:t>
      </w:r>
    </w:p>
    <w:p>
      <w:pPr>
        <w:spacing w:after="0" w:line="1" w:lineRule="exact"/>
        <w:rPr>
          <w:sz w:val="20"/>
          <w:szCs w:val="20"/>
          <w:color w:val="auto"/>
        </w:rPr>
      </w:pPr>
    </w:p>
    <w:p>
      <w:pPr>
        <w:jc w:val="center"/>
        <w:ind w:right="2920"/>
        <w:spacing w:after="0"/>
        <w:rPr>
          <w:sz w:val="20"/>
          <w:szCs w:val="20"/>
          <w:color w:val="auto"/>
        </w:rPr>
      </w:pPr>
      <w:r>
        <w:rPr>
          <w:rFonts w:ascii="Arial" w:cs="Arial" w:eastAsia="Arial" w:hAnsi="Arial"/>
          <w:sz w:val="14"/>
          <w:szCs w:val="14"/>
          <w:b w:val="1"/>
          <w:bCs w:val="1"/>
          <w:color w:val="auto"/>
        </w:rPr>
        <w:t>Banks and Brokers may call collect 1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109220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iv</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Proxy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Even if you plan to attend the virtual Annual Meeting, please vote right away by using one of the following advance voting methods. Make sure to have the proxy card or voting instruction form in hand and follow the instructions. You can vote in advance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5966460" cy="1774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6460" cy="1774190"/>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010035"/>
        </w:rPr>
        <w:t> </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69439A"/>
        </w:rPr>
        <w:t>VIA THE INTERNET</w:t>
      </w:r>
    </w:p>
    <w:p>
      <w:pPr>
        <w:spacing w:after="0" w:line="58" w:lineRule="exact"/>
        <w:rPr>
          <w:sz w:val="20"/>
          <w:szCs w:val="20"/>
          <w:color w:val="auto"/>
        </w:rPr>
      </w:pPr>
    </w:p>
    <w:p>
      <w:pPr>
        <w:ind w:left="140"/>
        <w:spacing w:after="0" w:line="249" w:lineRule="auto"/>
        <w:rPr>
          <w:sz w:val="20"/>
          <w:szCs w:val="20"/>
          <w:color w:val="auto"/>
        </w:rPr>
      </w:pPr>
      <w:r>
        <w:rPr>
          <w:rFonts w:ascii="Arial" w:cs="Arial" w:eastAsia="Arial" w:hAnsi="Arial"/>
          <w:sz w:val="14"/>
          <w:szCs w:val="14"/>
          <w:color w:val="010035"/>
        </w:rPr>
        <w:t>Locate the control number on your proxy card or voting instruction form in order to access the website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010035"/>
        </w:rPr>
        <w:t> </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SCAN</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4"/>
          <w:szCs w:val="14"/>
          <w:color w:val="010035"/>
        </w:rPr>
        <w:t>Your proxy card or voting instruction form may also include a QR code for voting via your mobile 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010035"/>
        </w:rPr>
        <w:t xml:space="preserve">  </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BY MAIL</w:t>
      </w:r>
    </w:p>
    <w:p>
      <w:pPr>
        <w:spacing w:after="0" w:line="23" w:lineRule="exact"/>
        <w:rPr>
          <w:sz w:val="20"/>
          <w:szCs w:val="20"/>
          <w:color w:val="auto"/>
        </w:rPr>
      </w:pPr>
    </w:p>
    <w:p>
      <w:pPr>
        <w:spacing w:after="0" w:line="247" w:lineRule="auto"/>
        <w:rPr>
          <w:sz w:val="20"/>
          <w:szCs w:val="20"/>
          <w:color w:val="auto"/>
        </w:rPr>
      </w:pPr>
      <w:r>
        <w:rPr>
          <w:rFonts w:ascii="Arial" w:cs="Arial" w:eastAsia="Arial" w:hAnsi="Arial"/>
          <w:sz w:val="14"/>
          <w:szCs w:val="14"/>
          <w:color w:val="010035"/>
        </w:rPr>
        <w:t>Mark, sign, date and then return the proxy card or voting instruction form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147955</wp:posOffset>
            </wp:positionV>
            <wp:extent cx="5966460"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010035"/>
        </w:rPr>
        <w:t> </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BY TELEPHONE</w:t>
      </w:r>
    </w:p>
    <w:p>
      <w:pPr>
        <w:spacing w:after="0" w:line="23"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010035"/>
        </w:rPr>
        <w:t>Use the toll-free number shown on your proxy card or voting instruction form and follow the recorded instructions.</w:t>
      </w:r>
    </w:p>
    <w:p>
      <w:pPr>
        <w:spacing w:after="0" w:line="200" w:lineRule="exact"/>
        <w:rPr>
          <w:sz w:val="20"/>
          <w:szCs w:val="20"/>
          <w:color w:val="auto"/>
        </w:rPr>
      </w:pPr>
    </w:p>
    <w:p>
      <w:pPr>
        <w:sectPr>
          <w:pgSz w:w="11900" w:h="16838" w:orient="portrait"/>
          <w:cols w:equalWidth="0" w:num="4">
            <w:col w:w="2020" w:space="540"/>
            <w:col w:w="1820" w:space="600"/>
            <w:col w:w="1800" w:space="640"/>
            <w:col w:w="1940"/>
          </w:cols>
          <w:pgMar w:left="1240" w:top="114" w:right="129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Your vote is important. We encourage you to vote promptly, regardless of whether you plan to attend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251585"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15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Rogers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Chief Strategy and Legal Officer and Secretary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Wyomissing,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April 27, 2026</w:t>
      </w:r>
    </w:p>
    <w:p>
      <w:pPr>
        <w:spacing w:after="0" w:line="95" w:lineRule="exact"/>
        <w:rPr>
          <w:sz w:val="20"/>
          <w:szCs w:val="20"/>
          <w:color w:val="auto"/>
        </w:rPr>
      </w:pPr>
    </w:p>
    <w:p>
      <w:pPr>
        <w:spacing w:after="0" w:line="256" w:lineRule="auto"/>
        <w:rPr>
          <w:sz w:val="20"/>
          <w:szCs w:val="20"/>
          <w:color w:val="auto"/>
        </w:rPr>
      </w:pPr>
      <w:r>
        <w:rPr>
          <w:rFonts w:ascii="Arial" w:cs="Arial" w:eastAsia="Arial" w:hAnsi="Arial"/>
          <w:sz w:val="14"/>
          <w:szCs w:val="14"/>
          <w:b w:val="1"/>
          <w:bCs w:val="1"/>
          <w:color w:val="auto"/>
        </w:rPr>
        <w:t xml:space="preserve">IMPORTANT NOTICE REGARDING THE AVAILABILITY OF PROXY MATERIALS FOR THE ANNUAL MEETING TO BE HELD ON JUNE 16, 2026: </w:t>
      </w:r>
      <w:r>
        <w:rPr>
          <w:rFonts w:ascii="Arial" w:cs="Arial" w:eastAsia="Arial" w:hAnsi="Arial"/>
          <w:sz w:val="14"/>
          <w:szCs w:val="14"/>
          <w:color w:val="auto"/>
        </w:rPr>
        <w:t>Our Proxy Statement and the 2025 Annual Report are available free of charge on our website at</w:t>
      </w:r>
      <w:r>
        <w:rPr>
          <w:rFonts w:ascii="Arial" w:cs="Arial" w:eastAsia="Arial" w:hAnsi="Arial"/>
          <w:sz w:val="14"/>
          <w:szCs w:val="14"/>
          <w:b w:val="1"/>
          <w:bCs w:val="1"/>
          <w:color w:val="auto"/>
        </w:rPr>
        <w:t xml:space="preserve"> </w:t>
      </w:r>
      <w:r>
        <w:rPr>
          <w:rFonts w:ascii="Arial" w:cs="Arial" w:eastAsia="Arial" w:hAnsi="Arial"/>
          <w:sz w:val="14"/>
          <w:szCs w:val="14"/>
          <w:color w:val="auto"/>
        </w:rPr>
        <w:t>https://investors.pennentertainment.com/reports-filings/sec-filings. In addition, our shareholders may access this information, as well as submit their voting instructions,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92710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Attendance 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To attend the virtual Annual Meeting, you must be a shareholder on the Record Date and have previously registered to attend the meeting. Register to attend the Annual Meeting on or before 9:45 a.m. ET on June 16, 2026 by visiting www.proxyvote.com. You will need the 16-digit control number found on your proxy card or voting instruction form. You will receive a confirmation e-mail with information on how to attend the meeting. After you have registered, you will be able to participate in the Annual Meeting by visiting www.virtualshareholdermeeting.com/PENN2026 and entering the same 16-digit control number you used to preregister and as shown in your confirmation e-mail.</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Beneficial shareholders who do not have a 16-digit control number should follow the instructions provided on the voting instruction form provided by your broker, bank, or other nominee. In addition to registering for the meeting, beneficial holders that wish to vote at the meeting must obtain a legal proxy from their bank, broker, or other nominee prior to the meeting. You will need to have an electronic image (such as a pdf file or scan) of the legal proxy with you if you are voting at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Electronic entry to the virtual Annual Meeting will begin at 9:45 a.m. ET, and the Annual Meeting will begin promptly at</w:t>
      </w:r>
    </w:p>
    <w:p>
      <w:pPr>
        <w:spacing w:after="0" w:line="15" w:lineRule="exact"/>
        <w:rPr>
          <w:sz w:val="20"/>
          <w:szCs w:val="20"/>
          <w:color w:val="auto"/>
        </w:rPr>
      </w:pPr>
    </w:p>
    <w:p>
      <w:pPr>
        <w:ind w:right="340"/>
        <w:spacing w:after="0" w:line="264" w:lineRule="auto"/>
        <w:rPr>
          <w:sz w:val="20"/>
          <w:szCs w:val="20"/>
          <w:color w:val="auto"/>
        </w:rPr>
      </w:pPr>
      <w:r>
        <w:rPr>
          <w:rFonts w:ascii="Arial" w:cs="Arial" w:eastAsia="Arial" w:hAnsi="Arial"/>
          <w:sz w:val="14"/>
          <w:szCs w:val="14"/>
          <w:color w:val="auto"/>
        </w:rPr>
        <w:t>10:00 a.m. ET. If you encounter difficulties accessing the virtual Annual Meeting, please call the technical support number that will be posted at www.virtualshareholdermeeting.com/PENN2026.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 w:name="page8"/>
    <w:bookmarkEnd w:id="7"/>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102870</wp:posOffset>
            </wp:positionV>
            <wp:extent cx="442341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ind w:left="800"/>
        <w:spacing w:after="0"/>
        <w:tabs>
          <w:tab w:leader="none" w:pos="1220" w:val="left"/>
        </w:tabs>
        <w:rPr>
          <w:sz w:val="20"/>
          <w:szCs w:val="20"/>
          <w:color w:val="auto"/>
        </w:rPr>
      </w:pPr>
      <w:r>
        <w:rPr>
          <w:rFonts w:ascii="Arial" w:cs="Arial" w:eastAsia="Arial" w:hAnsi="Arial"/>
          <w:sz w:val="14"/>
          <w:szCs w:val="14"/>
          <w:color w:val="auto"/>
        </w:rPr>
        <w:t>vi</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6350</wp:posOffset>
            </wp:positionV>
            <wp:extent cx="5966460"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ind w:left="800"/>
        <w:spacing w:after="0"/>
        <w:rPr>
          <w:sz w:val="20"/>
          <w:szCs w:val="20"/>
          <w:color w:val="auto"/>
        </w:rPr>
      </w:pPr>
      <w:r>
        <w:rPr>
          <w:sz w:val="1"/>
          <w:szCs w:val="1"/>
          <w:color w:val="auto"/>
        </w:rPr>
        <w:drawing>
          <wp:inline distT="0" distB="0" distL="0" distR="0">
            <wp:extent cx="137160" cy="4572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29"/>
          <w:szCs w:val="29"/>
          <w:b w:val="1"/>
          <w:bCs w:val="1"/>
          <w:color w:val="FFFFFF"/>
        </w:rPr>
        <w:t xml:space="preserve">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-292100</wp:posOffset>
            </wp:positionV>
            <wp:extent cx="582930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9300" cy="3003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307340</wp:posOffset>
            </wp:positionV>
            <wp:extent cx="289750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800"/>
        <w:spacing w:after="0"/>
        <w:rPr>
          <w:sz w:val="20"/>
          <w:szCs w:val="20"/>
          <w:color w:val="auto"/>
        </w:rPr>
      </w:pPr>
      <w:r>
        <w:rPr>
          <w:rFonts w:ascii="Arial" w:cs="Arial" w:eastAsia="Arial" w:hAnsi="Arial"/>
          <w:sz w:val="14"/>
          <w:szCs w:val="14"/>
          <w:b w:val="1"/>
          <w:bCs w:val="1"/>
          <w:u w:val="single" w:color="auto"/>
          <w:color w:val="0000EE"/>
        </w:rPr>
        <w:t>Proxy Statement Summary</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Proxy Voting Methods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2025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74930</wp:posOffset>
            </wp:positionV>
            <wp:extent cx="289750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4"/>
          <w:szCs w:val="14"/>
          <w:b w:val="1"/>
          <w:bCs w:val="1"/>
          <w:u w:val="single" w:color="auto"/>
          <w:color w:val="0000EE"/>
        </w:rPr>
        <w:t>Our Board of Directors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Director Qualifications, Skills and Experience</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Corporate Governance Highlights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74930</wp:posOffset>
            </wp:positionV>
            <wp:extent cx="289750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4"/>
          <w:szCs w:val="14"/>
          <w:b w:val="1"/>
          <w:bCs w:val="1"/>
          <w:u w:val="single" w:color="auto"/>
          <w:color w:val="0000EE"/>
        </w:rPr>
        <w:t>Proposal 1: Election of Class III Directors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Class III Director Nominees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Commitment to Corporate Governance</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Director Candidate Qualification and Selection Process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Committees of the Board</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Risk Management Oversight</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u w:val="single" w:color="auto"/>
          <w:color w:val="0000EE"/>
        </w:rPr>
        <w:t>Shareholder Outreach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74930</wp:posOffset>
            </wp:positionV>
            <wp:extent cx="289750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1</w:t>
            </w:r>
          </w:p>
        </w:tc>
        <w:tc>
          <w:tcPr>
            <w:tcW w:w="320" w:type="dxa"/>
            <w:vAlign w:val="bottom"/>
          </w:tcPr>
          <w:p>
            <w:pPr>
              <w:spacing w:after="0"/>
              <w:rPr>
                <w:sz w:val="15"/>
                <w:szCs w:val="15"/>
                <w:color w:val="auto"/>
              </w:rPr>
            </w:pPr>
          </w:p>
        </w:tc>
        <w:tc>
          <w:tcPr>
            <w:tcW w:w="274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b w:val="1"/>
                <w:bCs w:val="1"/>
                <w:color w:val="0000EE"/>
              </w:rPr>
              <w:t>Compensation Discussion and Analysis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2"/>
                <w:szCs w:val="12"/>
                <w:b w:val="1"/>
                <w:bCs w:val="1"/>
                <w:color w:val="0000EE"/>
                <w:w w:val="74"/>
              </w:rPr>
              <w:t>53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14"/>
                <w:szCs w:val="14"/>
                <w:color w:val="0000EE"/>
              </w:rPr>
              <w:t>2025</w:t>
            </w:r>
          </w:p>
        </w:tc>
        <w:tc>
          <w:tcPr>
            <w:tcW w:w="1960" w:type="dxa"/>
            <w:vAlign w:val="bottom"/>
            <w:gridSpan w:val="4"/>
            <w:vMerge w:val="restart"/>
          </w:tcPr>
          <w:p>
            <w:pPr>
              <w:ind w:left="20"/>
              <w:spacing w:after="0"/>
              <w:rPr>
                <w:sz w:val="20"/>
                <w:szCs w:val="20"/>
                <w:color w:val="auto"/>
              </w:rPr>
            </w:pPr>
            <w:r>
              <w:rPr>
                <w:rFonts w:ascii="Arial" w:cs="Arial" w:eastAsia="Arial" w:hAnsi="Arial"/>
                <w:sz w:val="14"/>
                <w:szCs w:val="14"/>
                <w:color w:val="0000EE"/>
              </w:rPr>
              <w:t>Business and Strategy Update</w:t>
            </w: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0000EE"/>
                <w:w w:val="74"/>
              </w:rPr>
              <w:t>53</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0" w:type="dxa"/>
            <w:vAlign w:val="bottom"/>
            <w:gridSpan w:val="4"/>
          </w:tcPr>
          <w:p>
            <w:pPr>
              <w:jc w:val="right"/>
              <w:spacing w:after="0"/>
              <w:rPr>
                <w:sz w:val="20"/>
                <w:szCs w:val="20"/>
                <w:color w:val="auto"/>
              </w:rPr>
            </w:pPr>
            <w:r>
              <w:rPr>
                <w:rFonts w:ascii="Arial" w:cs="Arial" w:eastAsia="Arial" w:hAnsi="Arial"/>
                <w:sz w:val="14"/>
                <w:szCs w:val="14"/>
                <w:color w:val="0000EE"/>
              </w:rPr>
              <w:t>1</w:t>
            </w:r>
          </w:p>
        </w:tc>
        <w:tc>
          <w:tcPr>
            <w:tcW w:w="320" w:type="dxa"/>
            <w:vAlign w:val="bottom"/>
          </w:tcPr>
          <w:p>
            <w:pPr>
              <w:spacing w:after="0"/>
              <w:rPr>
                <w:sz w:val="15"/>
                <w:szCs w:val="15"/>
                <w:color w:val="auto"/>
              </w:rPr>
            </w:pPr>
          </w:p>
        </w:tc>
        <w:tc>
          <w:tcPr>
            <w:tcW w:w="340" w:type="dxa"/>
            <w:vAlign w:val="bottom"/>
            <w:tcBorders>
              <w:bottom w:val="single" w:sz="8" w:color="0000EE"/>
            </w:tcBorders>
            <w:vMerge w:val="continue"/>
          </w:tcPr>
          <w:p>
            <w:pPr>
              <w:spacing w:after="0"/>
              <w:rPr>
                <w:sz w:val="15"/>
                <w:szCs w:val="15"/>
                <w:color w:val="auto"/>
              </w:rPr>
            </w:pPr>
          </w:p>
        </w:tc>
        <w:tc>
          <w:tcPr>
            <w:tcW w:w="1960" w:type="dxa"/>
            <w:vAlign w:val="bottom"/>
            <w:tcBorders>
              <w:bottom w:val="single" w:sz="8" w:color="0000EE"/>
            </w:tcBorders>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0000EE"/>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14"/>
                <w:szCs w:val="14"/>
                <w:color w:val="0000EE"/>
              </w:rPr>
              <w:t>2025</w:t>
            </w:r>
          </w:p>
        </w:tc>
        <w:tc>
          <w:tcPr>
            <w:tcW w:w="2420" w:type="dxa"/>
            <w:vAlign w:val="bottom"/>
            <w:gridSpan w:val="8"/>
            <w:vMerge w:val="restart"/>
          </w:tcPr>
          <w:p>
            <w:pPr>
              <w:ind w:left="20"/>
              <w:spacing w:after="0"/>
              <w:rPr>
                <w:sz w:val="20"/>
                <w:szCs w:val="20"/>
                <w:color w:val="auto"/>
              </w:rPr>
            </w:pPr>
            <w:r>
              <w:rPr>
                <w:rFonts w:ascii="Arial" w:cs="Arial" w:eastAsia="Arial" w:hAnsi="Arial"/>
                <w:sz w:val="14"/>
                <w:szCs w:val="14"/>
                <w:color w:val="0000EE"/>
              </w:rPr>
              <w:t>Key Executive Compensation Actions</w:t>
            </w: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0000EE"/>
                <w:w w:val="74"/>
              </w:rPr>
              <w:t>55</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gridSpan w:val="3"/>
          </w:tcPr>
          <w:p>
            <w:pPr>
              <w:jc w:val="right"/>
              <w:spacing w:after="0"/>
              <w:rPr>
                <w:sz w:val="20"/>
                <w:szCs w:val="20"/>
                <w:color w:val="auto"/>
              </w:rPr>
            </w:pPr>
            <w:r>
              <w:rPr>
                <w:rFonts w:ascii="Arial" w:cs="Arial" w:eastAsia="Arial" w:hAnsi="Arial"/>
                <w:sz w:val="14"/>
                <w:szCs w:val="14"/>
                <w:color w:val="0000EE"/>
              </w:rPr>
              <w:t>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bottom w:val="single" w:sz="8" w:color="0000EE"/>
            </w:tcBorders>
            <w:vMerge w:val="continue"/>
          </w:tcPr>
          <w:p>
            <w:pPr>
              <w:spacing w:after="0"/>
              <w:rPr>
                <w:sz w:val="15"/>
                <w:szCs w:val="15"/>
                <w:color w:val="auto"/>
              </w:rPr>
            </w:pPr>
          </w:p>
        </w:tc>
        <w:tc>
          <w:tcPr>
            <w:tcW w:w="2420" w:type="dxa"/>
            <w:vAlign w:val="bottom"/>
            <w:tcBorders>
              <w:bottom w:val="single" w:sz="8" w:color="0000EE"/>
            </w:tcBorders>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0000EE"/>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vMerge w:val="restart"/>
          </w:tcPr>
          <w:p>
            <w:pPr>
              <w:spacing w:after="0"/>
              <w:rPr>
                <w:sz w:val="20"/>
                <w:szCs w:val="20"/>
                <w:color w:val="auto"/>
              </w:rPr>
            </w:pPr>
            <w:r>
              <w:rPr>
                <w:rFonts w:ascii="Arial" w:cs="Arial" w:eastAsia="Arial" w:hAnsi="Arial"/>
                <w:sz w:val="14"/>
                <w:szCs w:val="14"/>
                <w:color w:val="0000EE"/>
              </w:rPr>
              <w:t>Compensation Philosophy</w:t>
            </w:r>
          </w:p>
        </w:tc>
        <w:tc>
          <w:tcPr>
            <w:tcW w:w="2640" w:type="dxa"/>
            <w:vAlign w:val="bottom"/>
            <w:gridSpan w:val="12"/>
            <w:vMerge w:val="restart"/>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0000EE"/>
              </w:rPr>
              <w:t>60</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gridSpan w:val="2"/>
            <w:vMerge w:val="restart"/>
          </w:tcPr>
          <w:p>
            <w:pPr>
              <w:spacing w:after="0"/>
              <w:rPr>
                <w:sz w:val="15"/>
                <w:szCs w:val="15"/>
                <w:color w:val="auto"/>
              </w:rPr>
            </w:pPr>
          </w:p>
        </w:tc>
        <w:tc>
          <w:tcPr>
            <w:tcW w:w="60" w:type="dxa"/>
            <w:vAlign w:val="bottom"/>
            <w:vMerge w:val="restart"/>
          </w:tcPr>
          <w:p>
            <w:pPr>
              <w:jc w:val="right"/>
              <w:spacing w:after="0"/>
              <w:rPr>
                <w:sz w:val="20"/>
                <w:szCs w:val="20"/>
                <w:color w:val="auto"/>
              </w:rPr>
            </w:pPr>
            <w:r>
              <w:rPr>
                <w:rFonts w:ascii="Arial" w:cs="Arial" w:eastAsia="Arial" w:hAnsi="Arial"/>
                <w:sz w:val="5"/>
                <w:szCs w:val="5"/>
                <w:b w:val="1"/>
                <w:bCs w:val="1"/>
                <w:color w:val="0000EE"/>
                <w:w w:val="70"/>
              </w:rPr>
              <w:t>6</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640" w:type="dxa"/>
            <w:vAlign w:val="bottom"/>
            <w:gridSpan w:val="1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320" w:type="dxa"/>
            <w:vAlign w:val="bottom"/>
            <w:gridSpan w:val="14"/>
            <w:vMerge w:val="restart"/>
          </w:tcPr>
          <w:p>
            <w:pPr>
              <w:spacing w:after="0"/>
              <w:rPr>
                <w:sz w:val="20"/>
                <w:szCs w:val="20"/>
                <w:color w:val="auto"/>
              </w:rPr>
            </w:pPr>
            <w:r>
              <w:rPr>
                <w:rFonts w:ascii="Arial" w:cs="Arial" w:eastAsia="Arial" w:hAnsi="Arial"/>
                <w:sz w:val="14"/>
                <w:szCs w:val="14"/>
                <w:color w:val="0000EE"/>
              </w:rPr>
              <w:t>Compensation Framework</w:t>
            </w:r>
          </w:p>
        </w:tc>
        <w:tc>
          <w:tcPr>
            <w:tcW w:w="240" w:type="dxa"/>
            <w:vAlign w:val="bottom"/>
            <w:gridSpan w:val="4"/>
            <w:vMerge w:val="restart"/>
          </w:tcPr>
          <w:p>
            <w:pPr>
              <w:jc w:val="right"/>
              <w:ind w:right="20"/>
              <w:spacing w:after="0"/>
              <w:rPr>
                <w:sz w:val="20"/>
                <w:szCs w:val="20"/>
                <w:color w:val="auto"/>
              </w:rPr>
            </w:pPr>
            <w:r>
              <w:rPr>
                <w:rFonts w:ascii="Arial" w:cs="Arial" w:eastAsia="Arial" w:hAnsi="Arial"/>
                <w:sz w:val="14"/>
                <w:szCs w:val="14"/>
                <w:color w:val="0000EE"/>
              </w:rPr>
              <w:t>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gridSpan w:val="14"/>
            <w:vMerge w:val="continue"/>
          </w:tcPr>
          <w:p>
            <w:pPr>
              <w:spacing w:after="0" w:line="20" w:lineRule="exact"/>
              <w:rPr>
                <w:sz w:val="1"/>
                <w:szCs w:val="1"/>
                <w:color w:val="auto"/>
              </w:rPr>
            </w:pPr>
          </w:p>
        </w:tc>
        <w:tc>
          <w:tcPr>
            <w:tcW w:w="2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20" w:type="dxa"/>
            <w:vAlign w:val="bottom"/>
            <w:gridSpan w:val="2"/>
            <w:vMerge w:val="restart"/>
          </w:tcPr>
          <w:p>
            <w:pPr>
              <w:spacing w:after="0"/>
              <w:rPr>
                <w:sz w:val="4"/>
                <w:szCs w:val="4"/>
                <w:color w:val="auto"/>
              </w:rPr>
            </w:pPr>
          </w:p>
        </w:tc>
        <w:tc>
          <w:tcPr>
            <w:tcW w:w="60" w:type="dxa"/>
            <w:vAlign w:val="bottom"/>
            <w:vMerge w:val="restart"/>
          </w:tcPr>
          <w:p>
            <w:pPr>
              <w:jc w:val="right"/>
              <w:spacing w:after="0"/>
              <w:rPr>
                <w:sz w:val="20"/>
                <w:szCs w:val="20"/>
                <w:color w:val="auto"/>
              </w:rPr>
            </w:pPr>
            <w:r>
              <w:rPr>
                <w:rFonts w:ascii="Arial" w:cs="Arial" w:eastAsia="Arial" w:hAnsi="Arial"/>
                <w:sz w:val="5"/>
                <w:szCs w:val="5"/>
                <w:color w:val="0000EE"/>
                <w:w w:val="70"/>
              </w:rPr>
              <w:t>8</w:t>
            </w: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320" w:type="dxa"/>
            <w:vAlign w:val="bottom"/>
            <w:gridSpan w:val="14"/>
            <w:vMerge w:val="continue"/>
          </w:tcPr>
          <w:p>
            <w:pPr>
              <w:spacing w:after="0"/>
              <w:rPr>
                <w:sz w:val="4"/>
                <w:szCs w:val="4"/>
                <w:color w:val="auto"/>
              </w:rPr>
            </w:pPr>
          </w:p>
        </w:tc>
        <w:tc>
          <w:tcPr>
            <w:tcW w:w="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20" w:type="dxa"/>
            <w:vAlign w:val="bottom"/>
            <w:vMerge w:val="restart"/>
          </w:tcPr>
          <w:p>
            <w:pPr>
              <w:spacing w:after="0"/>
              <w:rPr>
                <w:sz w:val="9"/>
                <w:szCs w:val="9"/>
                <w:color w:val="auto"/>
              </w:rPr>
            </w:pPr>
          </w:p>
        </w:tc>
        <w:tc>
          <w:tcPr>
            <w:tcW w:w="320" w:type="dxa"/>
            <w:vAlign w:val="bottom"/>
            <w:vMerge w:val="restart"/>
          </w:tcPr>
          <w:p>
            <w:pPr>
              <w:spacing w:after="0"/>
              <w:rPr>
                <w:sz w:val="9"/>
                <w:szCs w:val="9"/>
                <w:color w:val="auto"/>
              </w:rPr>
            </w:pPr>
          </w:p>
        </w:tc>
        <w:tc>
          <w:tcPr>
            <w:tcW w:w="340" w:type="dxa"/>
            <w:vAlign w:val="bottom"/>
            <w:tcBorders>
              <w:top w:val="single" w:sz="8" w:color="0000EE"/>
              <w:bottom w:val="single" w:sz="8" w:color="69439A"/>
            </w:tcBorders>
          </w:tcPr>
          <w:p>
            <w:pPr>
              <w:spacing w:after="0"/>
              <w:rPr>
                <w:sz w:val="9"/>
                <w:szCs w:val="9"/>
                <w:color w:val="auto"/>
              </w:rPr>
            </w:pPr>
          </w:p>
        </w:tc>
        <w:tc>
          <w:tcPr>
            <w:tcW w:w="1340" w:type="dxa"/>
            <w:vAlign w:val="bottom"/>
            <w:tcBorders>
              <w:top w:val="single" w:sz="8" w:color="0000EE"/>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540" w:type="dxa"/>
            <w:vAlign w:val="bottom"/>
            <w:tcBorders>
              <w:bottom w:val="single" w:sz="8" w:color="69439A"/>
            </w:tcBorders>
          </w:tcPr>
          <w:p>
            <w:pPr>
              <w:spacing w:after="0"/>
              <w:rPr>
                <w:sz w:val="9"/>
                <w:szCs w:val="9"/>
                <w:color w:val="auto"/>
              </w:rPr>
            </w:pPr>
          </w:p>
        </w:tc>
        <w:tc>
          <w:tcPr>
            <w:tcW w:w="6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40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640" w:type="dxa"/>
            <w:vAlign w:val="bottom"/>
            <w:tcBorders>
              <w:bottom w:val="single" w:sz="8" w:color="69439A"/>
            </w:tcBorders>
          </w:tcPr>
          <w:p>
            <w:pPr>
              <w:spacing w:after="0"/>
              <w:rPr>
                <w:sz w:val="9"/>
                <w:szCs w:val="9"/>
                <w:color w:val="auto"/>
              </w:rPr>
            </w:pPr>
          </w:p>
        </w:tc>
        <w:tc>
          <w:tcPr>
            <w:tcW w:w="360" w:type="dxa"/>
            <w:vAlign w:val="bottom"/>
            <w:tcBorders>
              <w:bottom w:val="single" w:sz="8" w:color="69439A"/>
            </w:tcBorders>
          </w:tcPr>
          <w:p>
            <w:pPr>
              <w:spacing w:after="0"/>
              <w:rPr>
                <w:sz w:val="9"/>
                <w:szCs w:val="9"/>
                <w:color w:val="auto"/>
              </w:rPr>
            </w:pPr>
          </w:p>
        </w:tc>
        <w:tc>
          <w:tcPr>
            <w:tcW w:w="180" w:type="dxa"/>
            <w:vAlign w:val="bottom"/>
            <w:tcBorders>
              <w:bottom w:val="single" w:sz="8" w:color="69439A"/>
            </w:tcBorders>
          </w:tcPr>
          <w:p>
            <w:pPr>
              <w:spacing w:after="0"/>
              <w:rPr>
                <w:sz w:val="9"/>
                <w:szCs w:val="9"/>
                <w:color w:val="auto"/>
              </w:rPr>
            </w:pPr>
          </w:p>
        </w:tc>
        <w:tc>
          <w:tcPr>
            <w:tcW w:w="360" w:type="dxa"/>
            <w:vAlign w:val="bottom"/>
            <w:tcBorders>
              <w:bottom w:val="single" w:sz="8" w:color="69439A"/>
            </w:tcBorders>
          </w:tcPr>
          <w:p>
            <w:pPr>
              <w:spacing w:after="0"/>
              <w:rPr>
                <w:sz w:val="9"/>
                <w:szCs w:val="9"/>
                <w:color w:val="auto"/>
              </w:rPr>
            </w:pPr>
          </w:p>
        </w:tc>
        <w:tc>
          <w:tcPr>
            <w:tcW w:w="60" w:type="dxa"/>
            <w:vAlign w:val="bottom"/>
            <w:tcBorders>
              <w:bottom w:val="single" w:sz="8" w:color="69439A"/>
            </w:tcBorders>
          </w:tcPr>
          <w:p>
            <w:pPr>
              <w:spacing w:after="0"/>
              <w:rPr>
                <w:sz w:val="9"/>
                <w:szCs w:val="9"/>
                <w:color w:val="auto"/>
              </w:rPr>
            </w:pPr>
          </w:p>
        </w:tc>
        <w:tc>
          <w:tcPr>
            <w:tcW w:w="120" w:type="dxa"/>
            <w:vAlign w:val="bottom"/>
            <w:tcBorders>
              <w:top w:val="single" w:sz="8" w:color="0000EE"/>
              <w:bottom w:val="single" w:sz="8" w:color="69439A"/>
            </w:tcBorders>
          </w:tcPr>
          <w:p>
            <w:pPr>
              <w:spacing w:after="0"/>
              <w:rPr>
                <w:sz w:val="9"/>
                <w:szCs w:val="9"/>
                <w:color w:val="auto"/>
              </w:rPr>
            </w:pPr>
          </w:p>
        </w:tc>
        <w:tc>
          <w:tcPr>
            <w:tcW w:w="40" w:type="dxa"/>
            <w:vAlign w:val="bottom"/>
            <w:tcBorders>
              <w:top w:val="single" w:sz="8" w:color="0000EE"/>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0000EE"/>
              </w:rPr>
              <w:t>Executive Compensation</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b w:val="1"/>
                <w:bCs w:val="1"/>
                <w:color w:val="0000EE"/>
                <w:w w:val="74"/>
              </w:rPr>
              <w:t>63</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20" w:type="dxa"/>
            <w:vAlign w:val="bottom"/>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0000EE"/>
                <w:w w:val="70"/>
              </w:rPr>
              <w:t>9</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Borders>
              <w:bottom w:val="single" w:sz="8" w:color="0000EE"/>
            </w:tcBorders>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0000EE"/>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vMerge w:val="restart"/>
          </w:tcPr>
          <w:p>
            <w:pPr>
              <w:spacing w:after="0"/>
              <w:rPr>
                <w:sz w:val="20"/>
                <w:szCs w:val="20"/>
                <w:color w:val="auto"/>
              </w:rPr>
            </w:pPr>
            <w:r>
              <w:rPr>
                <w:rFonts w:ascii="Arial" w:cs="Arial" w:eastAsia="Arial" w:hAnsi="Arial"/>
                <w:sz w:val="14"/>
                <w:szCs w:val="14"/>
                <w:color w:val="0000EE"/>
              </w:rPr>
              <w:t>2025</w:t>
            </w:r>
          </w:p>
        </w:tc>
        <w:tc>
          <w:tcPr>
            <w:tcW w:w="1980" w:type="dxa"/>
            <w:vAlign w:val="bottom"/>
            <w:gridSpan w:val="5"/>
            <w:vMerge w:val="restart"/>
          </w:tcPr>
          <w:p>
            <w:pPr>
              <w:ind w:left="20"/>
              <w:spacing w:after="0"/>
              <w:rPr>
                <w:sz w:val="20"/>
                <w:szCs w:val="20"/>
                <w:color w:val="auto"/>
              </w:rPr>
            </w:pPr>
            <w:r>
              <w:rPr>
                <w:rFonts w:ascii="Arial" w:cs="Arial" w:eastAsia="Arial" w:hAnsi="Arial"/>
                <w:sz w:val="14"/>
                <w:szCs w:val="14"/>
                <w:color w:val="0000EE"/>
              </w:rPr>
              <w:t>Summary Compensation Table</w:t>
            </w:r>
          </w:p>
        </w:tc>
        <w:tc>
          <w:tcPr>
            <w:tcW w:w="400" w:type="dxa"/>
            <w:vAlign w:val="bottom"/>
          </w:tcPr>
          <w:p>
            <w:pPr>
              <w:spacing w:after="0"/>
              <w:rPr>
                <w:sz w:val="3"/>
                <w:szCs w:val="3"/>
                <w:color w:val="auto"/>
              </w:rPr>
            </w:pPr>
          </w:p>
        </w:tc>
        <w:tc>
          <w:tcPr>
            <w:tcW w:w="60" w:type="dxa"/>
            <w:vAlign w:val="bottom"/>
            <w:gridSpan w:val="3"/>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0000EE"/>
                <w:w w:val="74"/>
              </w:rPr>
              <w:t>76</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00" w:type="dxa"/>
            <w:vAlign w:val="bottom"/>
            <w:gridSpan w:val="4"/>
          </w:tcPr>
          <w:p>
            <w:pPr>
              <w:jc w:val="right"/>
              <w:spacing w:after="0"/>
              <w:rPr>
                <w:sz w:val="20"/>
                <w:szCs w:val="20"/>
                <w:color w:val="auto"/>
              </w:rPr>
            </w:pPr>
            <w:r>
              <w:rPr>
                <w:rFonts w:ascii="Arial" w:cs="Arial" w:eastAsia="Arial" w:hAnsi="Arial"/>
                <w:sz w:val="14"/>
                <w:szCs w:val="14"/>
                <w:color w:val="0000EE"/>
              </w:rPr>
              <w:t>10</w:t>
            </w:r>
          </w:p>
        </w:tc>
        <w:tc>
          <w:tcPr>
            <w:tcW w:w="320" w:type="dxa"/>
            <w:vAlign w:val="bottom"/>
          </w:tcPr>
          <w:p>
            <w:pPr>
              <w:spacing w:after="0"/>
              <w:rPr>
                <w:sz w:val="15"/>
                <w:szCs w:val="15"/>
                <w:color w:val="auto"/>
              </w:rPr>
            </w:pPr>
          </w:p>
        </w:tc>
        <w:tc>
          <w:tcPr>
            <w:tcW w:w="340" w:type="dxa"/>
            <w:vAlign w:val="bottom"/>
            <w:tcBorders>
              <w:bottom w:val="single" w:sz="8" w:color="0000EE"/>
            </w:tcBorders>
            <w:vMerge w:val="continue"/>
          </w:tcPr>
          <w:p>
            <w:pPr>
              <w:spacing w:after="0"/>
              <w:rPr>
                <w:sz w:val="15"/>
                <w:szCs w:val="15"/>
                <w:color w:val="auto"/>
              </w:rPr>
            </w:pPr>
          </w:p>
        </w:tc>
        <w:tc>
          <w:tcPr>
            <w:tcW w:w="1980" w:type="dxa"/>
            <w:vAlign w:val="bottom"/>
            <w:tcBorders>
              <w:bottom w:val="single" w:sz="8" w:color="0000EE"/>
            </w:tcBorders>
            <w:gridSpan w:val="5"/>
            <w:vMerge w:val="continue"/>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0000EE"/>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14"/>
                <w:szCs w:val="14"/>
                <w:color w:val="0000EE"/>
              </w:rPr>
              <w:t>2025</w:t>
            </w:r>
          </w:p>
        </w:tc>
        <w:tc>
          <w:tcPr>
            <w:tcW w:w="3980" w:type="dxa"/>
            <w:vAlign w:val="bottom"/>
            <w:gridSpan w:val="13"/>
            <w:vMerge w:val="restart"/>
          </w:tcPr>
          <w:p>
            <w:pPr>
              <w:ind w:left="20"/>
              <w:spacing w:after="0"/>
              <w:rPr>
                <w:sz w:val="20"/>
                <w:szCs w:val="20"/>
                <w:color w:val="auto"/>
              </w:rPr>
            </w:pPr>
            <w:r>
              <w:rPr>
                <w:rFonts w:ascii="Arial" w:cs="Arial" w:eastAsia="Arial" w:hAnsi="Arial"/>
                <w:sz w:val="14"/>
                <w:szCs w:val="14"/>
                <w:color w:val="0000EE"/>
              </w:rPr>
              <w:t>Grants of Plan Based Awards</w:t>
            </w:r>
          </w:p>
        </w:tc>
        <w:tc>
          <w:tcPr>
            <w:tcW w:w="2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0000EE"/>
              </w:rPr>
              <w:t>77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0000EE"/>
              </w:rPr>
              <w:t>12</w:t>
            </w:r>
          </w:p>
        </w:tc>
        <w:tc>
          <w:tcPr>
            <w:tcW w:w="3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3980" w:type="dxa"/>
            <w:vAlign w:val="bottom"/>
            <w:gridSpan w:val="13"/>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gridSpan w:val="4"/>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vMerge w:val="restart"/>
          </w:tcPr>
          <w:p>
            <w:pPr>
              <w:spacing w:after="0"/>
              <w:rPr>
                <w:sz w:val="20"/>
                <w:szCs w:val="20"/>
                <w:color w:val="auto"/>
              </w:rPr>
            </w:pPr>
            <w:r>
              <w:rPr>
                <w:rFonts w:ascii="Arial" w:cs="Arial" w:eastAsia="Arial" w:hAnsi="Arial"/>
                <w:sz w:val="14"/>
                <w:szCs w:val="14"/>
                <w:color w:val="0000EE"/>
              </w:rPr>
              <w:t>2025</w:t>
            </w:r>
          </w:p>
        </w:tc>
        <w:tc>
          <w:tcPr>
            <w:tcW w:w="3980" w:type="dxa"/>
            <w:vAlign w:val="bottom"/>
            <w:gridSpan w:val="13"/>
            <w:vMerge w:val="restart"/>
          </w:tcPr>
          <w:p>
            <w:pPr>
              <w:ind w:left="20"/>
              <w:spacing w:after="0"/>
              <w:rPr>
                <w:sz w:val="20"/>
                <w:szCs w:val="20"/>
                <w:color w:val="auto"/>
              </w:rPr>
            </w:pPr>
            <w:r>
              <w:rPr>
                <w:rFonts w:ascii="Arial" w:cs="Arial" w:eastAsia="Arial" w:hAnsi="Arial"/>
                <w:sz w:val="14"/>
                <w:szCs w:val="14"/>
                <w:color w:val="0000EE"/>
              </w:rPr>
              <w:t>Nonqualified Deferred Compensation</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0000EE"/>
              </w:rPr>
              <w:t>79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160" w:type="dxa"/>
            <w:vAlign w:val="bottom"/>
            <w:tcBorders>
              <w:top w:val="single" w:sz="8" w:color="0000EE"/>
            </w:tcBorders>
            <w:gridSpan w:val="3"/>
            <w:vMerge w:val="restart"/>
          </w:tcPr>
          <w:p>
            <w:pPr>
              <w:jc w:val="right"/>
              <w:spacing w:after="0"/>
              <w:rPr>
                <w:sz w:val="20"/>
                <w:szCs w:val="20"/>
                <w:color w:val="auto"/>
              </w:rPr>
            </w:pPr>
            <w:r>
              <w:rPr>
                <w:rFonts w:ascii="Arial" w:cs="Arial" w:eastAsia="Arial" w:hAnsi="Arial"/>
                <w:sz w:val="14"/>
                <w:szCs w:val="14"/>
                <w:color w:val="0000EE"/>
                <w:w w:val="89"/>
              </w:rPr>
              <w:t>13</w:t>
            </w:r>
          </w:p>
        </w:tc>
        <w:tc>
          <w:tcPr>
            <w:tcW w:w="3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3980" w:type="dxa"/>
            <w:vAlign w:val="bottom"/>
            <w:gridSpan w:val="13"/>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 w:type="dxa"/>
            <w:vAlign w:val="bottom"/>
            <w:vMerge w:val="continue"/>
          </w:tcPr>
          <w:p>
            <w:pPr>
              <w:spacing w:after="0"/>
              <w:rPr>
                <w:sz w:val="13"/>
                <w:szCs w:val="13"/>
                <w:color w:val="auto"/>
              </w:rPr>
            </w:pPr>
          </w:p>
        </w:tc>
        <w:tc>
          <w:tcPr>
            <w:tcW w:w="160" w:type="dxa"/>
            <w:vAlign w:val="bottom"/>
            <w:tcBorders>
              <w:bottom w:val="single" w:sz="8" w:color="0000EE"/>
            </w:tcBorders>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3780" w:type="dxa"/>
            <w:vAlign w:val="bottom"/>
            <w:gridSpan w:val="12"/>
            <w:vMerge w:val="restart"/>
          </w:tcPr>
          <w:p>
            <w:pPr>
              <w:spacing w:after="0"/>
              <w:rPr>
                <w:sz w:val="20"/>
                <w:szCs w:val="20"/>
                <w:color w:val="auto"/>
              </w:rPr>
            </w:pPr>
            <w:r>
              <w:rPr>
                <w:rFonts w:ascii="Arial" w:cs="Arial" w:eastAsia="Arial" w:hAnsi="Arial"/>
                <w:sz w:val="14"/>
                <w:szCs w:val="14"/>
                <w:color w:val="0000EE"/>
              </w:rPr>
              <w:t>Potential Payments Upon Termination or Change in Control</w:t>
            </w:r>
          </w:p>
        </w:tc>
        <w:tc>
          <w:tcPr>
            <w:tcW w:w="540" w:type="dxa"/>
            <w:vAlign w:val="bottom"/>
            <w:gridSpan w:val="2"/>
            <w:vMerge w:val="restart"/>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0000EE"/>
              </w:rPr>
              <w:t>80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0000EE"/>
                <w:w w:val="89"/>
              </w:rPr>
              <w:t>24</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780" w:type="dxa"/>
            <w:vAlign w:val="bottom"/>
            <w:gridSpan w:val="12"/>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80" w:type="dxa"/>
            <w:vAlign w:val="bottom"/>
            <w:gridSpan w:val="12"/>
            <w:vMerge w:val="restart"/>
          </w:tcPr>
          <w:p>
            <w:pPr>
              <w:spacing w:after="0"/>
              <w:rPr>
                <w:sz w:val="20"/>
                <w:szCs w:val="20"/>
                <w:color w:val="auto"/>
              </w:rPr>
            </w:pPr>
            <w:r>
              <w:rPr>
                <w:rFonts w:ascii="Arial" w:cs="Arial" w:eastAsia="Arial" w:hAnsi="Arial"/>
                <w:sz w:val="14"/>
                <w:szCs w:val="14"/>
                <w:color w:val="0000EE"/>
              </w:rPr>
              <w:t>Employment, Retirement and Separation Agreements</w:t>
            </w:r>
          </w:p>
        </w:tc>
        <w:tc>
          <w:tcPr>
            <w:tcW w:w="540" w:type="dxa"/>
            <w:vAlign w:val="bottom"/>
            <w:gridSpan w:val="2"/>
            <w:vMerge w:val="restart"/>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0000EE"/>
              </w:rPr>
              <w:t>82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gridSpan w:val="12"/>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0000EE"/>
                <w:w w:val="89"/>
              </w:rPr>
              <w:t>28</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780" w:type="dxa"/>
            <w:vAlign w:val="bottom"/>
            <w:gridSpan w:val="12"/>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0" w:type="dxa"/>
            <w:vAlign w:val="bottom"/>
            <w:gridSpan w:val="2"/>
            <w:vMerge w:val="continue"/>
          </w:tcPr>
          <w:p>
            <w:pPr>
              <w:spacing w:after="0"/>
              <w:rPr>
                <w:sz w:val="9"/>
                <w:szCs w:val="9"/>
                <w:color w:val="auto"/>
              </w:rPr>
            </w:pPr>
          </w:p>
        </w:tc>
        <w:tc>
          <w:tcPr>
            <w:tcW w:w="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320" w:type="dxa"/>
            <w:vAlign w:val="bottom"/>
            <w:vMerge w:val="restart"/>
          </w:tcPr>
          <w:p>
            <w:pPr>
              <w:spacing w:after="0"/>
              <w:rPr>
                <w:sz w:val="9"/>
                <w:szCs w:val="9"/>
                <w:color w:val="auto"/>
              </w:rPr>
            </w:pPr>
          </w:p>
        </w:tc>
        <w:tc>
          <w:tcPr>
            <w:tcW w:w="340" w:type="dxa"/>
            <w:vAlign w:val="bottom"/>
            <w:tcBorders>
              <w:top w:val="single" w:sz="8" w:color="0000EE"/>
              <w:bottom w:val="single" w:sz="8" w:color="69439A"/>
            </w:tcBorders>
          </w:tcPr>
          <w:p>
            <w:pPr>
              <w:spacing w:after="0"/>
              <w:rPr>
                <w:sz w:val="9"/>
                <w:szCs w:val="9"/>
                <w:color w:val="auto"/>
              </w:rPr>
            </w:pPr>
          </w:p>
        </w:tc>
        <w:tc>
          <w:tcPr>
            <w:tcW w:w="134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540" w:type="dxa"/>
            <w:vAlign w:val="bottom"/>
            <w:tcBorders>
              <w:top w:val="single" w:sz="8" w:color="0000EE"/>
              <w:bottom w:val="single" w:sz="8" w:color="69439A"/>
            </w:tcBorders>
          </w:tcPr>
          <w:p>
            <w:pPr>
              <w:spacing w:after="0"/>
              <w:rPr>
                <w:sz w:val="9"/>
                <w:szCs w:val="9"/>
                <w:color w:val="auto"/>
              </w:rPr>
            </w:pPr>
          </w:p>
        </w:tc>
        <w:tc>
          <w:tcPr>
            <w:tcW w:w="6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40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640" w:type="dxa"/>
            <w:vAlign w:val="bottom"/>
            <w:tcBorders>
              <w:top w:val="single" w:sz="8" w:color="0000EE"/>
              <w:bottom w:val="single" w:sz="8" w:color="69439A"/>
            </w:tcBorders>
          </w:tcPr>
          <w:p>
            <w:pPr>
              <w:spacing w:after="0"/>
              <w:rPr>
                <w:sz w:val="9"/>
                <w:szCs w:val="9"/>
                <w:color w:val="auto"/>
              </w:rPr>
            </w:pPr>
          </w:p>
        </w:tc>
        <w:tc>
          <w:tcPr>
            <w:tcW w:w="360" w:type="dxa"/>
            <w:vAlign w:val="bottom"/>
            <w:tcBorders>
              <w:bottom w:val="single" w:sz="8" w:color="69439A"/>
            </w:tcBorders>
          </w:tcPr>
          <w:p>
            <w:pPr>
              <w:spacing w:after="0"/>
              <w:rPr>
                <w:sz w:val="9"/>
                <w:szCs w:val="9"/>
                <w:color w:val="auto"/>
              </w:rPr>
            </w:pPr>
          </w:p>
        </w:tc>
        <w:tc>
          <w:tcPr>
            <w:tcW w:w="180" w:type="dxa"/>
            <w:vAlign w:val="bottom"/>
            <w:tcBorders>
              <w:bottom w:val="single" w:sz="8" w:color="69439A"/>
            </w:tcBorders>
          </w:tcPr>
          <w:p>
            <w:pPr>
              <w:spacing w:after="0"/>
              <w:rPr>
                <w:sz w:val="9"/>
                <w:szCs w:val="9"/>
                <w:color w:val="auto"/>
              </w:rPr>
            </w:pPr>
          </w:p>
        </w:tc>
        <w:tc>
          <w:tcPr>
            <w:tcW w:w="360" w:type="dxa"/>
            <w:vAlign w:val="bottom"/>
            <w:tcBorders>
              <w:bottom w:val="single" w:sz="8" w:color="69439A"/>
            </w:tcBorders>
          </w:tcPr>
          <w:p>
            <w:pPr>
              <w:spacing w:after="0"/>
              <w:rPr>
                <w:sz w:val="9"/>
                <w:szCs w:val="9"/>
                <w:color w:val="auto"/>
              </w:rPr>
            </w:pPr>
          </w:p>
        </w:tc>
        <w:tc>
          <w:tcPr>
            <w:tcW w:w="60" w:type="dxa"/>
            <w:vAlign w:val="bottom"/>
            <w:tcBorders>
              <w:bottom w:val="single" w:sz="8" w:color="69439A"/>
            </w:tcBorders>
          </w:tcPr>
          <w:p>
            <w:pPr>
              <w:spacing w:after="0"/>
              <w:rPr>
                <w:sz w:val="9"/>
                <w:szCs w:val="9"/>
                <w:color w:val="auto"/>
              </w:rPr>
            </w:pPr>
          </w:p>
        </w:tc>
        <w:tc>
          <w:tcPr>
            <w:tcW w:w="120" w:type="dxa"/>
            <w:vAlign w:val="bottom"/>
            <w:tcBorders>
              <w:top w:val="single" w:sz="8" w:color="0000EE"/>
              <w:bottom w:val="single" w:sz="8" w:color="69439A"/>
            </w:tcBorders>
          </w:tcPr>
          <w:p>
            <w:pPr>
              <w:spacing w:after="0"/>
              <w:rPr>
                <w:sz w:val="9"/>
                <w:szCs w:val="9"/>
                <w:color w:val="auto"/>
              </w:rPr>
            </w:pPr>
          </w:p>
        </w:tc>
        <w:tc>
          <w:tcPr>
            <w:tcW w:w="4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0000EE"/>
              </w:rPr>
              <w:t>Pay Versus Performance</w:t>
            </w: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00EE"/>
                <w:w w:val="89"/>
              </w:rPr>
              <w:t>86</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80" w:type="dxa"/>
            <w:vAlign w:val="bottom"/>
            <w:gridSpan w:val="3"/>
          </w:tcPr>
          <w:p>
            <w:pPr>
              <w:jc w:val="right"/>
              <w:spacing w:after="0"/>
              <w:rPr>
                <w:sz w:val="20"/>
                <w:szCs w:val="20"/>
                <w:color w:val="auto"/>
              </w:rPr>
            </w:pPr>
            <w:r>
              <w:rPr>
                <w:rFonts w:ascii="Arial" w:cs="Arial" w:eastAsia="Arial" w:hAnsi="Arial"/>
                <w:sz w:val="14"/>
                <w:szCs w:val="14"/>
                <w:color w:val="0000EE"/>
              </w:rPr>
              <w:t>32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Borders>
              <w:bottom w:val="single" w:sz="8" w:color="0000EE"/>
            </w:tcBorders>
            <w:gridSpan w:val="2"/>
            <w:vMerge w:val="continue"/>
          </w:tcPr>
          <w:p>
            <w:pPr>
              <w:spacing w:after="0"/>
              <w:rPr>
                <w:sz w:val="17"/>
                <w:szCs w:val="17"/>
                <w:color w:val="auto"/>
              </w:rPr>
            </w:pPr>
          </w:p>
        </w:tc>
        <w:tc>
          <w:tcPr>
            <w:tcW w:w="1100" w:type="dxa"/>
            <w:vAlign w:val="bottom"/>
            <w:gridSpan w:val="8"/>
          </w:tcPr>
          <w:p>
            <w:pPr>
              <w:spacing w:after="0"/>
              <w:rPr>
                <w:sz w:val="17"/>
                <w:szCs w:val="17"/>
                <w:color w:val="auto"/>
              </w:rPr>
            </w:pPr>
          </w:p>
        </w:tc>
        <w:tc>
          <w:tcPr>
            <w:tcW w:w="118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0000EE"/>
                <w:w w:val="89"/>
              </w:rPr>
              <w:t>37</w:t>
            </w: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320" w:type="dxa"/>
            <w:vAlign w:val="bottom"/>
            <w:vMerge w:val="restart"/>
          </w:tcPr>
          <w:p>
            <w:pPr>
              <w:spacing w:after="0"/>
              <w:rPr>
                <w:sz w:val="5"/>
                <w:szCs w:val="5"/>
                <w:color w:val="auto"/>
              </w:rPr>
            </w:pPr>
          </w:p>
        </w:tc>
        <w:tc>
          <w:tcPr>
            <w:tcW w:w="340" w:type="dxa"/>
            <w:vAlign w:val="bottom"/>
            <w:tcBorders>
              <w:bottom w:val="single" w:sz="8" w:color="69439A"/>
            </w:tcBorders>
          </w:tcPr>
          <w:p>
            <w:pPr>
              <w:spacing w:after="0"/>
              <w:rPr>
                <w:sz w:val="5"/>
                <w:szCs w:val="5"/>
                <w:color w:val="auto"/>
              </w:rPr>
            </w:pPr>
          </w:p>
        </w:tc>
        <w:tc>
          <w:tcPr>
            <w:tcW w:w="1340" w:type="dxa"/>
            <w:vAlign w:val="bottom"/>
            <w:tcBorders>
              <w:bottom w:val="single" w:sz="8" w:color="69439A"/>
            </w:tcBorders>
          </w:tcPr>
          <w:p>
            <w:pPr>
              <w:spacing w:after="0"/>
              <w:rPr>
                <w:sz w:val="5"/>
                <w:szCs w:val="5"/>
                <w:color w:val="auto"/>
              </w:rPr>
            </w:pPr>
          </w:p>
        </w:tc>
        <w:tc>
          <w:tcPr>
            <w:tcW w:w="20" w:type="dxa"/>
            <w:vAlign w:val="bottom"/>
            <w:tcBorders>
              <w:bottom w:val="single" w:sz="8" w:color="69439A"/>
            </w:tcBorders>
          </w:tcPr>
          <w:p>
            <w:pPr>
              <w:spacing w:after="0"/>
              <w:rPr>
                <w:sz w:val="5"/>
                <w:szCs w:val="5"/>
                <w:color w:val="auto"/>
              </w:rPr>
            </w:pPr>
          </w:p>
        </w:tc>
        <w:tc>
          <w:tcPr>
            <w:tcW w:w="540" w:type="dxa"/>
            <w:vAlign w:val="bottom"/>
            <w:tcBorders>
              <w:bottom w:val="single" w:sz="8" w:color="69439A"/>
            </w:tcBorders>
          </w:tcPr>
          <w:p>
            <w:pPr>
              <w:spacing w:after="0"/>
              <w:rPr>
                <w:sz w:val="5"/>
                <w:szCs w:val="5"/>
                <w:color w:val="auto"/>
              </w:rPr>
            </w:pPr>
          </w:p>
        </w:tc>
        <w:tc>
          <w:tcPr>
            <w:tcW w:w="60" w:type="dxa"/>
            <w:vAlign w:val="bottom"/>
            <w:tcBorders>
              <w:bottom w:val="single" w:sz="8" w:color="69439A"/>
            </w:tcBorders>
          </w:tcPr>
          <w:p>
            <w:pPr>
              <w:spacing w:after="0"/>
              <w:rPr>
                <w:sz w:val="5"/>
                <w:szCs w:val="5"/>
                <w:color w:val="auto"/>
              </w:rPr>
            </w:pPr>
          </w:p>
        </w:tc>
        <w:tc>
          <w:tcPr>
            <w:tcW w:w="20" w:type="dxa"/>
            <w:vAlign w:val="bottom"/>
            <w:tcBorders>
              <w:bottom w:val="single" w:sz="8" w:color="69439A"/>
            </w:tcBorders>
          </w:tcPr>
          <w:p>
            <w:pPr>
              <w:spacing w:after="0"/>
              <w:rPr>
                <w:sz w:val="5"/>
                <w:szCs w:val="5"/>
                <w:color w:val="auto"/>
              </w:rPr>
            </w:pPr>
          </w:p>
        </w:tc>
        <w:tc>
          <w:tcPr>
            <w:tcW w:w="400" w:type="dxa"/>
            <w:vAlign w:val="bottom"/>
            <w:tcBorders>
              <w:bottom w:val="single" w:sz="8" w:color="69439A"/>
            </w:tcBorders>
          </w:tcPr>
          <w:p>
            <w:pPr>
              <w:spacing w:after="0"/>
              <w:rPr>
                <w:sz w:val="5"/>
                <w:szCs w:val="5"/>
                <w:color w:val="auto"/>
              </w:rPr>
            </w:pPr>
          </w:p>
        </w:tc>
        <w:tc>
          <w:tcPr>
            <w:tcW w:w="20" w:type="dxa"/>
            <w:vAlign w:val="bottom"/>
            <w:tcBorders>
              <w:bottom w:val="single" w:sz="8" w:color="69439A"/>
            </w:tcBorders>
          </w:tcPr>
          <w:p>
            <w:pPr>
              <w:spacing w:after="0"/>
              <w:rPr>
                <w:sz w:val="5"/>
                <w:szCs w:val="5"/>
                <w:color w:val="auto"/>
              </w:rPr>
            </w:pPr>
          </w:p>
        </w:tc>
        <w:tc>
          <w:tcPr>
            <w:tcW w:w="20" w:type="dxa"/>
            <w:vAlign w:val="bottom"/>
            <w:tcBorders>
              <w:bottom w:val="single" w:sz="8" w:color="69439A"/>
            </w:tcBorders>
          </w:tcPr>
          <w:p>
            <w:pPr>
              <w:spacing w:after="0"/>
              <w:rPr>
                <w:sz w:val="5"/>
                <w:szCs w:val="5"/>
                <w:color w:val="auto"/>
              </w:rPr>
            </w:pPr>
          </w:p>
        </w:tc>
        <w:tc>
          <w:tcPr>
            <w:tcW w:w="20" w:type="dxa"/>
            <w:vAlign w:val="bottom"/>
            <w:tcBorders>
              <w:bottom w:val="single" w:sz="8" w:color="69439A"/>
            </w:tcBorders>
          </w:tcPr>
          <w:p>
            <w:pPr>
              <w:spacing w:after="0"/>
              <w:rPr>
                <w:sz w:val="5"/>
                <w:szCs w:val="5"/>
                <w:color w:val="auto"/>
              </w:rPr>
            </w:pPr>
          </w:p>
        </w:tc>
        <w:tc>
          <w:tcPr>
            <w:tcW w:w="640" w:type="dxa"/>
            <w:vAlign w:val="bottom"/>
            <w:tcBorders>
              <w:bottom w:val="single" w:sz="8" w:color="69439A"/>
            </w:tcBorders>
          </w:tcPr>
          <w:p>
            <w:pPr>
              <w:spacing w:after="0"/>
              <w:rPr>
                <w:sz w:val="5"/>
                <w:szCs w:val="5"/>
                <w:color w:val="auto"/>
              </w:rPr>
            </w:pPr>
          </w:p>
        </w:tc>
        <w:tc>
          <w:tcPr>
            <w:tcW w:w="360" w:type="dxa"/>
            <w:vAlign w:val="bottom"/>
            <w:tcBorders>
              <w:bottom w:val="single" w:sz="8" w:color="69439A"/>
            </w:tcBorders>
          </w:tcPr>
          <w:p>
            <w:pPr>
              <w:spacing w:after="0"/>
              <w:rPr>
                <w:sz w:val="5"/>
                <w:szCs w:val="5"/>
                <w:color w:val="auto"/>
              </w:rPr>
            </w:pPr>
          </w:p>
        </w:tc>
        <w:tc>
          <w:tcPr>
            <w:tcW w:w="180" w:type="dxa"/>
            <w:vAlign w:val="bottom"/>
            <w:tcBorders>
              <w:bottom w:val="single" w:sz="8" w:color="69439A"/>
            </w:tcBorders>
          </w:tcPr>
          <w:p>
            <w:pPr>
              <w:spacing w:after="0"/>
              <w:rPr>
                <w:sz w:val="5"/>
                <w:szCs w:val="5"/>
                <w:color w:val="auto"/>
              </w:rPr>
            </w:pPr>
          </w:p>
        </w:tc>
        <w:tc>
          <w:tcPr>
            <w:tcW w:w="360" w:type="dxa"/>
            <w:vAlign w:val="bottom"/>
            <w:tcBorders>
              <w:bottom w:val="single" w:sz="8" w:color="69439A"/>
            </w:tcBorders>
          </w:tcPr>
          <w:p>
            <w:pPr>
              <w:spacing w:after="0"/>
              <w:rPr>
                <w:sz w:val="5"/>
                <w:szCs w:val="5"/>
                <w:color w:val="auto"/>
              </w:rPr>
            </w:pPr>
          </w:p>
        </w:tc>
        <w:tc>
          <w:tcPr>
            <w:tcW w:w="60" w:type="dxa"/>
            <w:vAlign w:val="bottom"/>
            <w:tcBorders>
              <w:bottom w:val="single" w:sz="8" w:color="69439A"/>
            </w:tcBorders>
          </w:tcPr>
          <w:p>
            <w:pPr>
              <w:spacing w:after="0"/>
              <w:rPr>
                <w:sz w:val="5"/>
                <w:szCs w:val="5"/>
                <w:color w:val="auto"/>
              </w:rPr>
            </w:pPr>
          </w:p>
        </w:tc>
        <w:tc>
          <w:tcPr>
            <w:tcW w:w="120" w:type="dxa"/>
            <w:vAlign w:val="bottom"/>
            <w:tcBorders>
              <w:bottom w:val="single" w:sz="8" w:color="69439A"/>
            </w:tcBorders>
          </w:tcPr>
          <w:p>
            <w:pPr>
              <w:spacing w:after="0"/>
              <w:rPr>
                <w:sz w:val="5"/>
                <w:szCs w:val="5"/>
                <w:color w:val="auto"/>
              </w:rPr>
            </w:pPr>
          </w:p>
        </w:tc>
        <w:tc>
          <w:tcPr>
            <w:tcW w:w="40" w:type="dxa"/>
            <w:vAlign w:val="bottom"/>
            <w:tcBorders>
              <w:bottom w:val="single" w:sz="8" w:color="69439A"/>
            </w:tcBorders>
          </w:tcPr>
          <w:p>
            <w:pPr>
              <w:spacing w:after="0"/>
              <w:rPr>
                <w:sz w:val="5"/>
                <w:szCs w:val="5"/>
                <w:color w:val="auto"/>
              </w:rPr>
            </w:pPr>
          </w:p>
        </w:tc>
        <w:tc>
          <w:tcPr>
            <w:tcW w:w="20" w:type="dxa"/>
            <w:vAlign w:val="bottom"/>
            <w:tcBorders>
              <w:bottom w:val="single" w:sz="8" w:color="69439A"/>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2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4320" w:type="dxa"/>
            <w:vAlign w:val="bottom"/>
            <w:gridSpan w:val="14"/>
            <w:vMerge w:val="restart"/>
          </w:tcPr>
          <w:p>
            <w:pPr>
              <w:spacing w:after="0"/>
              <w:rPr>
                <w:sz w:val="20"/>
                <w:szCs w:val="20"/>
                <w:color w:val="auto"/>
              </w:rPr>
            </w:pPr>
            <w:r>
              <w:rPr>
                <w:rFonts w:ascii="Arial" w:cs="Arial" w:eastAsia="Arial" w:hAnsi="Arial"/>
                <w:sz w:val="14"/>
                <w:szCs w:val="14"/>
                <w:b w:val="1"/>
                <w:bCs w:val="1"/>
                <w:color w:val="0000EE"/>
              </w:rPr>
              <w:t>Proposal 4: Approval of the Third Amendment to our 2022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0" w:type="dxa"/>
            <w:vAlign w:val="bottom"/>
            <w:tcBorders>
              <w:top w:val="single" w:sz="8" w:color="0000EE"/>
            </w:tcBorders>
            <w:vMerge w:val="restart"/>
          </w:tcPr>
          <w:p>
            <w:pPr>
              <w:jc w:val="right"/>
              <w:spacing w:after="0"/>
              <w:rPr>
                <w:sz w:val="20"/>
                <w:szCs w:val="20"/>
                <w:color w:val="auto"/>
              </w:rPr>
            </w:pPr>
            <w:r>
              <w:rPr>
                <w:rFonts w:ascii="Arial" w:cs="Arial" w:eastAsia="Arial" w:hAnsi="Arial"/>
                <w:sz w:val="12"/>
                <w:szCs w:val="12"/>
                <w:color w:val="0000EE"/>
                <w:w w:val="74"/>
              </w:rPr>
              <w:t>40</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320" w:type="dxa"/>
            <w:vAlign w:val="bottom"/>
            <w:gridSpan w:val="14"/>
            <w:vMerge w:val="continue"/>
          </w:tcPr>
          <w:p>
            <w:pPr>
              <w:spacing w:after="0"/>
              <w:rPr>
                <w:sz w:val="8"/>
                <w:szCs w:val="8"/>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00EE"/>
              </w:rPr>
              <w:t>93</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0" w:type="dxa"/>
            <w:vAlign w:val="bottom"/>
            <w:vMerge w:val="restart"/>
          </w:tcPr>
          <w:p>
            <w:pPr>
              <w:spacing w:after="0"/>
              <w:rPr>
                <w:sz w:val="8"/>
                <w:szCs w:val="8"/>
                <w:color w:val="auto"/>
              </w:rPr>
            </w:pPr>
          </w:p>
        </w:tc>
        <w:tc>
          <w:tcPr>
            <w:tcW w:w="80" w:type="dxa"/>
            <w:vAlign w:val="bottom"/>
            <w:tcBorders>
              <w:top w:val="single" w:sz="8" w:color="0000EE"/>
              <w:bottom w:val="single" w:sz="8" w:color="0000EE"/>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960" w:type="dxa"/>
            <w:vAlign w:val="bottom"/>
            <w:tcBorders>
              <w:top w:val="single" w:sz="8" w:color="0000EE"/>
              <w:bottom w:val="single" w:sz="8" w:color="0000EE"/>
            </w:tcBorders>
            <w:gridSpan w:val="13"/>
            <w:vMerge w:val="restart"/>
          </w:tcPr>
          <w:p>
            <w:pPr>
              <w:spacing w:after="0" w:line="142" w:lineRule="exact"/>
              <w:rPr>
                <w:sz w:val="20"/>
                <w:szCs w:val="20"/>
                <w:color w:val="auto"/>
              </w:rPr>
            </w:pPr>
            <w:r>
              <w:rPr>
                <w:rFonts w:ascii="Arial" w:cs="Arial" w:eastAsia="Arial" w:hAnsi="Arial"/>
                <w:sz w:val="14"/>
                <w:szCs w:val="14"/>
                <w:b w:val="1"/>
                <w:bCs w:val="1"/>
                <w:color w:val="0000EE"/>
              </w:rPr>
              <w:t>Long-Term Incentive Compensation Plan</w:t>
            </w:r>
          </w:p>
        </w:tc>
        <w:tc>
          <w:tcPr>
            <w:tcW w:w="36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gridSpan w:val="13"/>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Borders>
              <w:top w:val="single" w:sz="8" w:color="0000EE"/>
              <w:bottom w:val="single" w:sz="8" w:color="69439A"/>
            </w:tcBorders>
          </w:tcPr>
          <w:p>
            <w:pPr>
              <w:spacing w:after="0"/>
              <w:rPr>
                <w:sz w:val="9"/>
                <w:szCs w:val="9"/>
                <w:color w:val="auto"/>
              </w:rPr>
            </w:pPr>
          </w:p>
        </w:tc>
        <w:tc>
          <w:tcPr>
            <w:tcW w:w="134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540" w:type="dxa"/>
            <w:vAlign w:val="bottom"/>
            <w:tcBorders>
              <w:top w:val="single" w:sz="8" w:color="0000EE"/>
              <w:bottom w:val="single" w:sz="8" w:color="69439A"/>
            </w:tcBorders>
          </w:tcPr>
          <w:p>
            <w:pPr>
              <w:spacing w:after="0"/>
              <w:rPr>
                <w:sz w:val="9"/>
                <w:szCs w:val="9"/>
                <w:color w:val="auto"/>
              </w:rPr>
            </w:pPr>
          </w:p>
        </w:tc>
        <w:tc>
          <w:tcPr>
            <w:tcW w:w="6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40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640" w:type="dxa"/>
            <w:vAlign w:val="bottom"/>
            <w:tcBorders>
              <w:bottom w:val="single" w:sz="8" w:color="69439A"/>
            </w:tcBorders>
          </w:tcPr>
          <w:p>
            <w:pPr>
              <w:spacing w:after="0"/>
              <w:rPr>
                <w:sz w:val="9"/>
                <w:szCs w:val="9"/>
                <w:color w:val="auto"/>
              </w:rPr>
            </w:pPr>
          </w:p>
        </w:tc>
        <w:tc>
          <w:tcPr>
            <w:tcW w:w="360" w:type="dxa"/>
            <w:vAlign w:val="bottom"/>
            <w:tcBorders>
              <w:bottom w:val="single" w:sz="8" w:color="69439A"/>
            </w:tcBorders>
          </w:tcPr>
          <w:p>
            <w:pPr>
              <w:spacing w:after="0"/>
              <w:rPr>
                <w:sz w:val="9"/>
                <w:szCs w:val="9"/>
                <w:color w:val="auto"/>
              </w:rPr>
            </w:pPr>
          </w:p>
        </w:tc>
        <w:tc>
          <w:tcPr>
            <w:tcW w:w="180" w:type="dxa"/>
            <w:vAlign w:val="bottom"/>
            <w:tcBorders>
              <w:bottom w:val="single" w:sz="8" w:color="69439A"/>
            </w:tcBorders>
          </w:tcPr>
          <w:p>
            <w:pPr>
              <w:spacing w:after="0"/>
              <w:rPr>
                <w:sz w:val="9"/>
                <w:szCs w:val="9"/>
                <w:color w:val="auto"/>
              </w:rPr>
            </w:pPr>
          </w:p>
        </w:tc>
        <w:tc>
          <w:tcPr>
            <w:tcW w:w="360" w:type="dxa"/>
            <w:vAlign w:val="bottom"/>
            <w:tcBorders>
              <w:bottom w:val="single" w:sz="8" w:color="69439A"/>
            </w:tcBorders>
          </w:tcPr>
          <w:p>
            <w:pPr>
              <w:spacing w:after="0"/>
              <w:rPr>
                <w:sz w:val="9"/>
                <w:szCs w:val="9"/>
                <w:color w:val="auto"/>
              </w:rPr>
            </w:pPr>
          </w:p>
        </w:tc>
        <w:tc>
          <w:tcPr>
            <w:tcW w:w="60" w:type="dxa"/>
            <w:vAlign w:val="bottom"/>
            <w:tcBorders>
              <w:bottom w:val="single" w:sz="8" w:color="69439A"/>
            </w:tcBorders>
          </w:tcPr>
          <w:p>
            <w:pPr>
              <w:spacing w:after="0"/>
              <w:rPr>
                <w:sz w:val="9"/>
                <w:szCs w:val="9"/>
                <w:color w:val="auto"/>
              </w:rPr>
            </w:pPr>
          </w:p>
        </w:tc>
        <w:tc>
          <w:tcPr>
            <w:tcW w:w="120" w:type="dxa"/>
            <w:vAlign w:val="bottom"/>
            <w:tcBorders>
              <w:top w:val="single" w:sz="8" w:color="0000EE"/>
              <w:bottom w:val="single" w:sz="8" w:color="69439A"/>
            </w:tcBorders>
          </w:tcPr>
          <w:p>
            <w:pPr>
              <w:spacing w:after="0"/>
              <w:rPr>
                <w:sz w:val="9"/>
                <w:szCs w:val="9"/>
                <w:color w:val="auto"/>
              </w:rPr>
            </w:pPr>
          </w:p>
        </w:tc>
        <w:tc>
          <w:tcPr>
            <w:tcW w:w="4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ectPr>
          <w:pgSz w:w="11900" w:h="16838" w:orient="portrait"/>
          <w:cols w:equalWidth="0" w:num="2">
            <w:col w:w="4400" w:space="720"/>
            <w:col w:w="5900"/>
          </w:cols>
          <w:pgMar w:left="440" w:top="114" w:right="439" w:bottom="1440" w:gutter="0" w:footer="0" w:header="0"/>
          <w:type w:val="continuous"/>
        </w:sectPr>
      </w:pPr>
    </w:p>
    <w:tbl>
      <w:tblPr>
        <w:tblLayout w:type="fixed"/>
        <w:tblInd w:w="80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0000EE"/>
              </w:rPr>
              <w:t>Director Compensation</w:t>
            </w:r>
          </w:p>
        </w:tc>
        <w:tc>
          <w:tcPr>
            <w:tcW w:w="2580" w:type="dxa"/>
            <w:vAlign w:val="bottom"/>
            <w:gridSpan w:val="8"/>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0000EE"/>
              </w:rPr>
              <w:t>43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10"/>
          </w:tcPr>
          <w:p>
            <w:pPr>
              <w:spacing w:after="0"/>
              <w:rPr>
                <w:sz w:val="20"/>
                <w:szCs w:val="20"/>
                <w:color w:val="auto"/>
              </w:rPr>
            </w:pPr>
            <w:r>
              <w:rPr>
                <w:rFonts w:ascii="Arial" w:cs="Arial" w:eastAsia="Arial" w:hAnsi="Arial"/>
                <w:sz w:val="14"/>
                <w:szCs w:val="14"/>
                <w:color w:val="0000EE"/>
              </w:rPr>
              <w:t>Director Compensation Table</w:t>
            </w:r>
          </w:p>
        </w:tc>
        <w:tc>
          <w:tcPr>
            <w:tcW w:w="300" w:type="dxa"/>
            <w:vAlign w:val="bottom"/>
            <w:gridSpan w:val="2"/>
          </w:tcPr>
          <w:p>
            <w:pPr>
              <w:jc w:val="right"/>
              <w:spacing w:after="0"/>
              <w:rPr>
                <w:sz w:val="20"/>
                <w:szCs w:val="20"/>
                <w:color w:val="auto"/>
              </w:rPr>
            </w:pPr>
            <w:r>
              <w:rPr>
                <w:rFonts w:ascii="Arial" w:cs="Arial" w:eastAsia="Arial" w:hAnsi="Arial"/>
                <w:sz w:val="14"/>
                <w:szCs w:val="14"/>
                <w:color w:val="0000EE"/>
              </w:rPr>
              <w:t>43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10"/>
          </w:tcPr>
          <w:p>
            <w:pPr>
              <w:spacing w:after="0"/>
              <w:rPr>
                <w:sz w:val="20"/>
                <w:szCs w:val="20"/>
                <w:color w:val="auto"/>
              </w:rPr>
            </w:pPr>
            <w:r>
              <w:rPr>
                <w:rFonts w:ascii="Arial" w:cs="Arial" w:eastAsia="Arial" w:hAnsi="Arial"/>
                <w:sz w:val="14"/>
                <w:szCs w:val="14"/>
                <w:color w:val="0000EE"/>
              </w:rPr>
              <w:t>Security Ownership of Certain Beneficial Owners</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0000EE"/>
              </w:rPr>
              <w:t>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160" w:type="dxa"/>
            <w:vAlign w:val="bottom"/>
            <w:tcBorders>
              <w:top w:val="single" w:sz="8" w:color="0000EE"/>
            </w:tcBorders>
            <w:gridSpan w:val="7"/>
          </w:tcPr>
          <w:p>
            <w:pPr>
              <w:spacing w:after="0" w:line="142" w:lineRule="exact"/>
              <w:rPr>
                <w:sz w:val="20"/>
                <w:szCs w:val="20"/>
                <w:color w:val="auto"/>
              </w:rPr>
            </w:pPr>
            <w:r>
              <w:rPr>
                <w:rFonts w:ascii="Arial" w:cs="Arial" w:eastAsia="Arial" w:hAnsi="Arial"/>
                <w:sz w:val="14"/>
                <w:szCs w:val="14"/>
                <w:color w:val="0000EE"/>
              </w:rPr>
              <w:t>and Management</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120" w:type="dxa"/>
            <w:vAlign w:val="bottom"/>
            <w:tcBorders>
              <w:top w:val="single" w:sz="8" w:color="0000EE"/>
              <w:bottom w:val="single" w:sz="8" w:color="69439A"/>
            </w:tcBorders>
          </w:tcPr>
          <w:p>
            <w:pPr>
              <w:spacing w:after="0"/>
              <w:rPr>
                <w:sz w:val="9"/>
                <w:szCs w:val="9"/>
                <w:color w:val="auto"/>
              </w:rPr>
            </w:pPr>
          </w:p>
        </w:tc>
        <w:tc>
          <w:tcPr>
            <w:tcW w:w="480" w:type="dxa"/>
            <w:vAlign w:val="bottom"/>
            <w:tcBorders>
              <w:bottom w:val="single" w:sz="8" w:color="69439A"/>
            </w:tcBorders>
          </w:tcPr>
          <w:p>
            <w:pPr>
              <w:spacing w:after="0"/>
              <w:rPr>
                <w:sz w:val="9"/>
                <w:szCs w:val="9"/>
                <w:color w:val="auto"/>
              </w:rPr>
            </w:pPr>
          </w:p>
        </w:tc>
        <w:tc>
          <w:tcPr>
            <w:tcW w:w="180" w:type="dxa"/>
            <w:vAlign w:val="bottom"/>
            <w:tcBorders>
              <w:bottom w:val="single" w:sz="8" w:color="69439A"/>
            </w:tcBorders>
          </w:tcPr>
          <w:p>
            <w:pPr>
              <w:spacing w:after="0"/>
              <w:rPr>
                <w:sz w:val="9"/>
                <w:szCs w:val="9"/>
                <w:color w:val="auto"/>
              </w:rPr>
            </w:pPr>
          </w:p>
        </w:tc>
        <w:tc>
          <w:tcPr>
            <w:tcW w:w="80" w:type="dxa"/>
            <w:vAlign w:val="bottom"/>
            <w:tcBorders>
              <w:bottom w:val="single" w:sz="8" w:color="69439A"/>
            </w:tcBorders>
          </w:tcPr>
          <w:p>
            <w:pPr>
              <w:spacing w:after="0"/>
              <w:rPr>
                <w:sz w:val="9"/>
                <w:szCs w:val="9"/>
                <w:color w:val="auto"/>
              </w:rPr>
            </w:pPr>
          </w:p>
        </w:tc>
        <w:tc>
          <w:tcPr>
            <w:tcW w:w="280" w:type="dxa"/>
            <w:vAlign w:val="bottom"/>
            <w:tcBorders>
              <w:bottom w:val="single" w:sz="8" w:color="69439A"/>
            </w:tcBorders>
          </w:tcPr>
          <w:p>
            <w:pPr>
              <w:spacing w:after="0"/>
              <w:rPr>
                <w:sz w:val="9"/>
                <w:szCs w:val="9"/>
                <w:color w:val="auto"/>
              </w:rPr>
            </w:pPr>
          </w:p>
        </w:tc>
        <w:tc>
          <w:tcPr>
            <w:tcW w:w="280" w:type="dxa"/>
            <w:vAlign w:val="bottom"/>
            <w:tcBorders>
              <w:bottom w:val="single" w:sz="8" w:color="69439A"/>
            </w:tcBorders>
          </w:tcPr>
          <w:p>
            <w:pPr>
              <w:spacing w:after="0"/>
              <w:rPr>
                <w:sz w:val="9"/>
                <w:szCs w:val="9"/>
                <w:color w:val="auto"/>
              </w:rPr>
            </w:pPr>
          </w:p>
        </w:tc>
        <w:tc>
          <w:tcPr>
            <w:tcW w:w="740" w:type="dxa"/>
            <w:vAlign w:val="bottom"/>
            <w:tcBorders>
              <w:bottom w:val="single" w:sz="8" w:color="69439A"/>
            </w:tcBorders>
          </w:tcPr>
          <w:p>
            <w:pPr>
              <w:spacing w:after="0"/>
              <w:rPr>
                <w:sz w:val="9"/>
                <w:szCs w:val="9"/>
                <w:color w:val="auto"/>
              </w:rPr>
            </w:pPr>
          </w:p>
        </w:tc>
        <w:tc>
          <w:tcPr>
            <w:tcW w:w="620" w:type="dxa"/>
            <w:vAlign w:val="bottom"/>
            <w:tcBorders>
              <w:bottom w:val="single" w:sz="8" w:color="69439A"/>
            </w:tcBorders>
          </w:tcPr>
          <w:p>
            <w:pPr>
              <w:spacing w:after="0"/>
              <w:rPr>
                <w:sz w:val="9"/>
                <w:szCs w:val="9"/>
                <w:color w:val="auto"/>
              </w:rPr>
            </w:pPr>
          </w:p>
        </w:tc>
        <w:tc>
          <w:tcPr>
            <w:tcW w:w="280" w:type="dxa"/>
            <w:vAlign w:val="bottom"/>
            <w:tcBorders>
              <w:bottom w:val="single" w:sz="8" w:color="69439A"/>
            </w:tcBorders>
          </w:tcPr>
          <w:p>
            <w:pPr>
              <w:spacing w:after="0"/>
              <w:rPr>
                <w:sz w:val="9"/>
                <w:szCs w:val="9"/>
                <w:color w:val="auto"/>
              </w:rPr>
            </w:pPr>
          </w:p>
        </w:tc>
        <w:tc>
          <w:tcPr>
            <w:tcW w:w="120" w:type="dxa"/>
            <w:vAlign w:val="bottom"/>
            <w:tcBorders>
              <w:bottom w:val="single" w:sz="8" w:color="69439A"/>
            </w:tcBorders>
          </w:tcPr>
          <w:p>
            <w:pPr>
              <w:spacing w:after="0"/>
              <w:rPr>
                <w:sz w:val="9"/>
                <w:szCs w:val="9"/>
                <w:color w:val="auto"/>
              </w:rPr>
            </w:pPr>
          </w:p>
        </w:tc>
        <w:tc>
          <w:tcPr>
            <w:tcW w:w="180" w:type="dxa"/>
            <w:vAlign w:val="bottom"/>
            <w:tcBorders>
              <w:bottom w:val="single" w:sz="8" w:color="69439A"/>
            </w:tcBorders>
          </w:tcPr>
          <w:p>
            <w:pPr>
              <w:spacing w:after="0"/>
              <w:rPr>
                <w:sz w:val="9"/>
                <w:szCs w:val="9"/>
                <w:color w:val="auto"/>
              </w:rPr>
            </w:pPr>
          </w:p>
        </w:tc>
        <w:tc>
          <w:tcPr>
            <w:tcW w:w="120" w:type="dxa"/>
            <w:vAlign w:val="bottom"/>
            <w:tcBorders>
              <w:top w:val="single" w:sz="8" w:color="0000EE"/>
              <w:bottom w:val="single" w:sz="8" w:color="69439A"/>
            </w:tcBorders>
          </w:tcPr>
          <w:p>
            <w:pPr>
              <w:spacing w:after="0"/>
              <w:rPr>
                <w:sz w:val="9"/>
                <w:szCs w:val="9"/>
                <w:color w:val="auto"/>
              </w:rPr>
            </w:pPr>
          </w:p>
        </w:tc>
        <w:tc>
          <w:tcPr>
            <w:tcW w:w="80" w:type="dxa"/>
            <w:vAlign w:val="bottom"/>
            <w:tcBorders>
              <w:bottom w:val="single" w:sz="8" w:color="6943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80" w:type="dxa"/>
            <w:vAlign w:val="bottom"/>
            <w:gridSpan w:val="10"/>
          </w:tcPr>
          <w:p>
            <w:pPr>
              <w:spacing w:after="0"/>
              <w:rPr>
                <w:sz w:val="20"/>
                <w:szCs w:val="20"/>
                <w:color w:val="auto"/>
              </w:rPr>
            </w:pPr>
            <w:r>
              <w:rPr>
                <w:rFonts w:ascii="Arial" w:cs="Arial" w:eastAsia="Arial" w:hAnsi="Arial"/>
                <w:sz w:val="14"/>
                <w:szCs w:val="14"/>
                <w:b w:val="1"/>
                <w:bCs w:val="1"/>
                <w:color w:val="0000EE"/>
              </w:rPr>
              <w:t>Proposal 2: Ratification of Appointment of Independent</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00EE"/>
              </w:rPr>
              <w:t>47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0000EE"/>
            </w:tcBorders>
            <w:gridSpan w:val="6"/>
          </w:tcPr>
          <w:p>
            <w:pPr>
              <w:spacing w:after="0" w:line="142" w:lineRule="exact"/>
              <w:rPr>
                <w:sz w:val="20"/>
                <w:szCs w:val="20"/>
                <w:color w:val="auto"/>
              </w:rPr>
            </w:pPr>
            <w:r>
              <w:rPr>
                <w:rFonts w:ascii="Arial" w:cs="Arial" w:eastAsia="Arial" w:hAnsi="Arial"/>
                <w:sz w:val="14"/>
                <w:szCs w:val="14"/>
                <w:b w:val="1"/>
                <w:bCs w:val="1"/>
                <w:color w:val="0000EE"/>
              </w:rPr>
              <w:t>Registered Public Accounting Firm</w:t>
            </w:r>
          </w:p>
        </w:tc>
        <w:tc>
          <w:tcPr>
            <w:tcW w:w="1360" w:type="dxa"/>
            <w:vAlign w:val="bottom"/>
            <w:tcBorders>
              <w:top w:val="single" w:sz="8" w:color="0000EE"/>
            </w:tcBorders>
            <w:gridSpan w:val="2"/>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gridSpan w:val="6"/>
          </w:tcPr>
          <w:p>
            <w:pPr>
              <w:spacing w:after="0"/>
              <w:rPr>
                <w:sz w:val="20"/>
                <w:szCs w:val="20"/>
                <w:color w:val="auto"/>
              </w:rPr>
            </w:pPr>
            <w:r>
              <w:rPr>
                <w:rFonts w:ascii="Arial" w:cs="Arial" w:eastAsia="Arial" w:hAnsi="Arial"/>
                <w:sz w:val="14"/>
                <w:szCs w:val="14"/>
                <w:color w:val="0000EE"/>
              </w:rPr>
              <w:t>Audit Committee Report</w:t>
            </w:r>
          </w:p>
        </w:tc>
        <w:tc>
          <w:tcPr>
            <w:tcW w:w="1760" w:type="dxa"/>
            <w:vAlign w:val="bottom"/>
            <w:gridSpan w:val="4"/>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0000EE"/>
              </w:rPr>
              <w:t>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120" w:type="dxa"/>
            <w:vAlign w:val="bottom"/>
            <w:tcBorders>
              <w:top w:val="single" w:sz="8" w:color="0000EE"/>
              <w:bottom w:val="single" w:sz="8" w:color="69439A"/>
            </w:tcBorders>
          </w:tcPr>
          <w:p>
            <w:pPr>
              <w:spacing w:after="0"/>
              <w:rPr>
                <w:sz w:val="9"/>
                <w:szCs w:val="9"/>
                <w:color w:val="auto"/>
              </w:rPr>
            </w:pPr>
          </w:p>
        </w:tc>
        <w:tc>
          <w:tcPr>
            <w:tcW w:w="480" w:type="dxa"/>
            <w:vAlign w:val="bottom"/>
            <w:tcBorders>
              <w:top w:val="single" w:sz="8" w:color="0000EE"/>
              <w:bottom w:val="single" w:sz="8" w:color="69439A"/>
            </w:tcBorders>
          </w:tcPr>
          <w:p>
            <w:pPr>
              <w:spacing w:after="0"/>
              <w:rPr>
                <w:sz w:val="9"/>
                <w:szCs w:val="9"/>
                <w:color w:val="auto"/>
              </w:rPr>
            </w:pPr>
          </w:p>
        </w:tc>
        <w:tc>
          <w:tcPr>
            <w:tcW w:w="180" w:type="dxa"/>
            <w:vAlign w:val="bottom"/>
            <w:tcBorders>
              <w:bottom w:val="single" w:sz="8" w:color="69439A"/>
            </w:tcBorders>
          </w:tcPr>
          <w:p>
            <w:pPr>
              <w:spacing w:after="0"/>
              <w:rPr>
                <w:sz w:val="9"/>
                <w:szCs w:val="9"/>
                <w:color w:val="auto"/>
              </w:rPr>
            </w:pPr>
          </w:p>
        </w:tc>
        <w:tc>
          <w:tcPr>
            <w:tcW w:w="80" w:type="dxa"/>
            <w:vAlign w:val="bottom"/>
            <w:tcBorders>
              <w:bottom w:val="single" w:sz="8" w:color="69439A"/>
            </w:tcBorders>
          </w:tcPr>
          <w:p>
            <w:pPr>
              <w:spacing w:after="0"/>
              <w:rPr>
                <w:sz w:val="9"/>
                <w:szCs w:val="9"/>
                <w:color w:val="auto"/>
              </w:rPr>
            </w:pPr>
          </w:p>
        </w:tc>
        <w:tc>
          <w:tcPr>
            <w:tcW w:w="280" w:type="dxa"/>
            <w:vAlign w:val="bottom"/>
            <w:tcBorders>
              <w:bottom w:val="single" w:sz="8" w:color="69439A"/>
            </w:tcBorders>
          </w:tcPr>
          <w:p>
            <w:pPr>
              <w:spacing w:after="0"/>
              <w:rPr>
                <w:sz w:val="9"/>
                <w:szCs w:val="9"/>
                <w:color w:val="auto"/>
              </w:rPr>
            </w:pPr>
          </w:p>
        </w:tc>
        <w:tc>
          <w:tcPr>
            <w:tcW w:w="280" w:type="dxa"/>
            <w:vAlign w:val="bottom"/>
            <w:tcBorders>
              <w:bottom w:val="single" w:sz="8" w:color="69439A"/>
            </w:tcBorders>
          </w:tcPr>
          <w:p>
            <w:pPr>
              <w:spacing w:after="0"/>
              <w:rPr>
                <w:sz w:val="9"/>
                <w:szCs w:val="9"/>
                <w:color w:val="auto"/>
              </w:rPr>
            </w:pPr>
          </w:p>
        </w:tc>
        <w:tc>
          <w:tcPr>
            <w:tcW w:w="740" w:type="dxa"/>
            <w:vAlign w:val="bottom"/>
            <w:tcBorders>
              <w:bottom w:val="single" w:sz="8" w:color="69439A"/>
            </w:tcBorders>
          </w:tcPr>
          <w:p>
            <w:pPr>
              <w:spacing w:after="0"/>
              <w:rPr>
                <w:sz w:val="9"/>
                <w:szCs w:val="9"/>
                <w:color w:val="auto"/>
              </w:rPr>
            </w:pPr>
          </w:p>
        </w:tc>
        <w:tc>
          <w:tcPr>
            <w:tcW w:w="620" w:type="dxa"/>
            <w:vAlign w:val="bottom"/>
            <w:tcBorders>
              <w:bottom w:val="single" w:sz="8" w:color="69439A"/>
            </w:tcBorders>
          </w:tcPr>
          <w:p>
            <w:pPr>
              <w:spacing w:after="0"/>
              <w:rPr>
                <w:sz w:val="9"/>
                <w:szCs w:val="9"/>
                <w:color w:val="auto"/>
              </w:rPr>
            </w:pPr>
          </w:p>
        </w:tc>
        <w:tc>
          <w:tcPr>
            <w:tcW w:w="280" w:type="dxa"/>
            <w:vAlign w:val="bottom"/>
            <w:tcBorders>
              <w:bottom w:val="single" w:sz="8" w:color="69439A"/>
            </w:tcBorders>
          </w:tcPr>
          <w:p>
            <w:pPr>
              <w:spacing w:after="0"/>
              <w:rPr>
                <w:sz w:val="9"/>
                <w:szCs w:val="9"/>
                <w:color w:val="auto"/>
              </w:rPr>
            </w:pPr>
          </w:p>
        </w:tc>
        <w:tc>
          <w:tcPr>
            <w:tcW w:w="120" w:type="dxa"/>
            <w:vAlign w:val="bottom"/>
            <w:tcBorders>
              <w:bottom w:val="single" w:sz="8" w:color="69439A"/>
            </w:tcBorders>
          </w:tcPr>
          <w:p>
            <w:pPr>
              <w:spacing w:after="0"/>
              <w:rPr>
                <w:sz w:val="9"/>
                <w:szCs w:val="9"/>
                <w:color w:val="auto"/>
              </w:rPr>
            </w:pPr>
          </w:p>
        </w:tc>
        <w:tc>
          <w:tcPr>
            <w:tcW w:w="180" w:type="dxa"/>
            <w:vAlign w:val="bottom"/>
            <w:tcBorders>
              <w:bottom w:val="single" w:sz="8" w:color="69439A"/>
            </w:tcBorders>
          </w:tcPr>
          <w:p>
            <w:pPr>
              <w:spacing w:after="0"/>
              <w:rPr>
                <w:sz w:val="9"/>
                <w:szCs w:val="9"/>
                <w:color w:val="auto"/>
              </w:rPr>
            </w:pPr>
          </w:p>
        </w:tc>
        <w:tc>
          <w:tcPr>
            <w:tcW w:w="120" w:type="dxa"/>
            <w:vAlign w:val="bottom"/>
            <w:tcBorders>
              <w:top w:val="single" w:sz="8" w:color="0000EE"/>
              <w:bottom w:val="single" w:sz="8" w:color="69439A"/>
            </w:tcBorders>
          </w:tcPr>
          <w:p>
            <w:pPr>
              <w:spacing w:after="0"/>
              <w:rPr>
                <w:sz w:val="9"/>
                <w:szCs w:val="9"/>
                <w:color w:val="auto"/>
              </w:rPr>
            </w:pPr>
          </w:p>
        </w:tc>
        <w:tc>
          <w:tcPr>
            <w:tcW w:w="80" w:type="dxa"/>
            <w:vAlign w:val="bottom"/>
            <w:tcBorders>
              <w:bottom w:val="single" w:sz="8" w:color="6943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80" w:type="dxa"/>
            <w:vAlign w:val="bottom"/>
            <w:gridSpan w:val="10"/>
          </w:tcPr>
          <w:p>
            <w:pPr>
              <w:spacing w:after="0"/>
              <w:rPr>
                <w:sz w:val="20"/>
                <w:szCs w:val="20"/>
                <w:color w:val="auto"/>
              </w:rPr>
            </w:pPr>
            <w:r>
              <w:rPr>
                <w:rFonts w:ascii="Arial" w:cs="Arial" w:eastAsia="Arial" w:hAnsi="Arial"/>
                <w:sz w:val="14"/>
                <w:szCs w:val="14"/>
                <w:b w:val="1"/>
                <w:bCs w:val="1"/>
                <w:color w:val="0000EE"/>
              </w:rPr>
              <w:t>Proposal 3: Advisory Vote to Approve the Compensation of</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00EE"/>
              </w:rPr>
              <w:t>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60" w:type="dxa"/>
            <w:vAlign w:val="bottom"/>
            <w:tcBorders>
              <w:top w:val="single" w:sz="8" w:color="0000EE"/>
            </w:tcBorders>
            <w:gridSpan w:val="9"/>
          </w:tcPr>
          <w:p>
            <w:pPr>
              <w:spacing w:after="0" w:line="142" w:lineRule="exact"/>
              <w:rPr>
                <w:sz w:val="20"/>
                <w:szCs w:val="20"/>
                <w:color w:val="auto"/>
              </w:rPr>
            </w:pPr>
            <w:r>
              <w:rPr>
                <w:rFonts w:ascii="Arial" w:cs="Arial" w:eastAsia="Arial" w:hAnsi="Arial"/>
                <w:sz w:val="14"/>
                <w:szCs w:val="14"/>
                <w:b w:val="1"/>
                <w:bCs w:val="1"/>
                <w:color w:val="0000EE"/>
              </w:rPr>
              <w:t>Named Executive Officers</w:t>
            </w:r>
          </w:p>
        </w:tc>
        <w:tc>
          <w:tcPr>
            <w:tcW w:w="1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10"/>
          </w:tcPr>
          <w:p>
            <w:pPr>
              <w:spacing w:after="0"/>
              <w:rPr>
                <w:sz w:val="20"/>
                <w:szCs w:val="20"/>
                <w:color w:val="auto"/>
              </w:rPr>
            </w:pPr>
            <w:r>
              <w:rPr>
                <w:rFonts w:ascii="Arial" w:cs="Arial" w:eastAsia="Arial" w:hAnsi="Arial"/>
                <w:sz w:val="14"/>
                <w:szCs w:val="14"/>
                <w:color w:val="0000EE"/>
              </w:rPr>
              <w:t>Compensation Committee Report</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0000EE"/>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Compensation Committee Chair Q&amp;A</w:t>
            </w:r>
          </w:p>
        </w:tc>
        <w:tc>
          <w:tcPr>
            <w:tcW w:w="1760" w:type="dxa"/>
            <w:vAlign w:val="bottom"/>
            <w:gridSpan w:val="4"/>
            <w:vMerge w:val="restart"/>
          </w:tcPr>
          <w:p>
            <w:pPr>
              <w:spacing w:after="0"/>
              <w:rPr>
                <w:sz w:val="19"/>
                <w:szCs w:val="19"/>
                <w:color w:val="auto"/>
              </w:rPr>
            </w:pPr>
          </w:p>
        </w:tc>
        <w:tc>
          <w:tcPr>
            <w:tcW w:w="180" w:type="dxa"/>
            <w:vAlign w:val="bottom"/>
            <w:vMerge w:val="restart"/>
          </w:tcPr>
          <w:p>
            <w:pPr>
              <w:spacing w:after="0"/>
              <w:rPr>
                <w:sz w:val="19"/>
                <w:szCs w:val="19"/>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76"/>
              </w:rPr>
              <w:t>52</w:t>
            </w:r>
          </w:p>
        </w:tc>
        <w:tc>
          <w:tcPr>
            <w:tcW w:w="8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2"/>
                <w:szCs w:val="2"/>
                <w:color w:val="auto"/>
                <w:w w:val="97"/>
              </w:rPr>
              <w:t> </w:t>
            </w:r>
          </w:p>
        </w:tc>
        <w:tc>
          <w:tcPr>
            <w:tcW w:w="0" w:type="dxa"/>
            <w:vAlign w:val="bottom"/>
          </w:tcPr>
          <w:p>
            <w:pPr>
              <w:spacing w:after="0"/>
              <w:rPr>
                <w:sz w:val="1"/>
                <w:szCs w:val="1"/>
                <w:color w:val="auto"/>
              </w:rPr>
            </w:pPr>
          </w:p>
        </w:tc>
      </w:tr>
      <w:tr>
        <w:trPr>
          <w:trHeight w:val="20"/>
        </w:trPr>
        <w:tc>
          <w:tcPr>
            <w:tcW w:w="2420" w:type="dxa"/>
            <w:vAlign w:val="bottom"/>
            <w:tcBorders>
              <w:bottom w:val="single" w:sz="8" w:color="69439A"/>
            </w:tcBorders>
            <w:gridSpan w:val="6"/>
          </w:tcPr>
          <w:p>
            <w:pPr>
              <w:spacing w:after="0" w:line="20" w:lineRule="exact"/>
              <w:rPr>
                <w:sz w:val="1"/>
                <w:szCs w:val="1"/>
                <w:color w:val="auto"/>
              </w:rPr>
            </w:pPr>
          </w:p>
        </w:tc>
        <w:tc>
          <w:tcPr>
            <w:tcW w:w="1760" w:type="dxa"/>
            <w:vAlign w:val="bottom"/>
            <w:tcBorders>
              <w:bottom w:val="single" w:sz="8" w:color="69439A"/>
            </w:tcBorders>
            <w:gridSpan w:val="4"/>
            <w:vMerge w:val="continue"/>
          </w:tcPr>
          <w:p>
            <w:pPr>
              <w:spacing w:after="0" w:line="20" w:lineRule="exact"/>
              <w:rPr>
                <w:sz w:val="1"/>
                <w:szCs w:val="1"/>
                <w:color w:val="auto"/>
              </w:rPr>
            </w:pPr>
          </w:p>
        </w:tc>
        <w:tc>
          <w:tcPr>
            <w:tcW w:w="180" w:type="dxa"/>
            <w:vAlign w:val="bottom"/>
            <w:tcBorders>
              <w:bottom w:val="single" w:sz="8" w:color="69439A"/>
            </w:tcBorders>
            <w:vMerge w:val="continue"/>
          </w:tcPr>
          <w:p>
            <w:pPr>
              <w:spacing w:after="0" w:line="20" w:lineRule="exact"/>
              <w:rPr>
                <w:sz w:val="1"/>
                <w:szCs w:val="1"/>
                <w:color w:val="auto"/>
              </w:rPr>
            </w:pPr>
          </w:p>
        </w:tc>
        <w:tc>
          <w:tcPr>
            <w:tcW w:w="120" w:type="dxa"/>
            <w:vAlign w:val="bottom"/>
            <w:tcBorders>
              <w:bottom w:val="single" w:sz="8" w:color="69439A"/>
            </w:tcBorders>
          </w:tcPr>
          <w:p>
            <w:pPr>
              <w:spacing w:after="0" w:line="20" w:lineRule="exact"/>
              <w:rPr>
                <w:sz w:val="1"/>
                <w:szCs w:val="1"/>
                <w:color w:val="auto"/>
              </w:rPr>
            </w:pPr>
          </w:p>
        </w:tc>
        <w:tc>
          <w:tcPr>
            <w:tcW w:w="80" w:type="dxa"/>
            <w:vAlign w:val="bottom"/>
            <w:tcBorders>
              <w:bottom w:val="single" w:sz="8" w:color="69439A"/>
            </w:tcBorders>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39370</wp:posOffset>
            </wp:positionV>
            <wp:extent cx="77470" cy="1423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8"/>
          </w:tcPr>
          <w:p>
            <w:pPr>
              <w:spacing w:after="0"/>
              <w:rPr>
                <w:sz w:val="20"/>
                <w:szCs w:val="20"/>
                <w:color w:val="auto"/>
              </w:rPr>
            </w:pPr>
            <w:r>
              <w:rPr>
                <w:rFonts w:ascii="Arial" w:cs="Arial" w:eastAsia="Arial" w:hAnsi="Arial"/>
                <w:sz w:val="14"/>
                <w:szCs w:val="14"/>
                <w:b w:val="1"/>
                <w:bCs w:val="1"/>
                <w:color w:val="0000EE"/>
              </w:rPr>
              <w:t>Proposal 5: Advisory Shareholder Proposal Requesting</w:t>
            </w:r>
          </w:p>
        </w:tc>
        <w:tc>
          <w:tcPr>
            <w:tcW w:w="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0000EE"/>
                <w:w w:val="94"/>
              </w:rPr>
              <w:t>107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Borders>
              <w:top w:val="single" w:sz="8" w:color="0000EE"/>
            </w:tcBorders>
            <w:gridSpan w:val="6"/>
          </w:tcPr>
          <w:p>
            <w:pPr>
              <w:spacing w:after="0" w:line="142" w:lineRule="exact"/>
              <w:rPr>
                <w:sz w:val="20"/>
                <w:szCs w:val="20"/>
                <w:color w:val="auto"/>
              </w:rPr>
            </w:pPr>
            <w:r>
              <w:rPr>
                <w:rFonts w:ascii="Arial" w:cs="Arial" w:eastAsia="Arial" w:hAnsi="Arial"/>
                <w:sz w:val="14"/>
                <w:szCs w:val="14"/>
                <w:b w:val="1"/>
                <w:bCs w:val="1"/>
                <w:color w:val="0000EE"/>
              </w:rPr>
              <w:t>Annual Election of Directors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60" w:type="dxa"/>
            <w:vAlign w:val="bottom"/>
            <w:tcBorders>
              <w:top w:val="single" w:sz="8" w:color="0000EE"/>
              <w:bottom w:val="single" w:sz="8" w:color="69439A"/>
            </w:tcBorders>
          </w:tcPr>
          <w:p>
            <w:pPr>
              <w:spacing w:after="0"/>
              <w:rPr>
                <w:sz w:val="9"/>
                <w:szCs w:val="9"/>
                <w:color w:val="auto"/>
              </w:rPr>
            </w:pPr>
          </w:p>
        </w:tc>
        <w:tc>
          <w:tcPr>
            <w:tcW w:w="460" w:type="dxa"/>
            <w:vAlign w:val="bottom"/>
            <w:tcBorders>
              <w:top w:val="single" w:sz="8" w:color="0000EE"/>
              <w:bottom w:val="single" w:sz="8" w:color="69439A"/>
            </w:tcBorders>
          </w:tcPr>
          <w:p>
            <w:pPr>
              <w:spacing w:after="0"/>
              <w:rPr>
                <w:sz w:val="9"/>
                <w:szCs w:val="9"/>
                <w:color w:val="auto"/>
              </w:rPr>
            </w:pPr>
          </w:p>
        </w:tc>
        <w:tc>
          <w:tcPr>
            <w:tcW w:w="620" w:type="dxa"/>
            <w:vAlign w:val="bottom"/>
            <w:tcBorders>
              <w:top w:val="single" w:sz="8" w:color="0000EE"/>
              <w:bottom w:val="single" w:sz="8" w:color="69439A"/>
            </w:tcBorders>
          </w:tcPr>
          <w:p>
            <w:pPr>
              <w:spacing w:after="0"/>
              <w:rPr>
                <w:sz w:val="9"/>
                <w:szCs w:val="9"/>
                <w:color w:val="auto"/>
              </w:rPr>
            </w:pPr>
          </w:p>
        </w:tc>
        <w:tc>
          <w:tcPr>
            <w:tcW w:w="1040" w:type="dxa"/>
            <w:vAlign w:val="bottom"/>
            <w:tcBorders>
              <w:bottom w:val="single" w:sz="8" w:color="69439A"/>
            </w:tcBorders>
          </w:tcPr>
          <w:p>
            <w:pPr>
              <w:spacing w:after="0"/>
              <w:rPr>
                <w:sz w:val="9"/>
                <w:szCs w:val="9"/>
                <w:color w:val="auto"/>
              </w:rPr>
            </w:pPr>
          </w:p>
        </w:tc>
        <w:tc>
          <w:tcPr>
            <w:tcW w:w="460" w:type="dxa"/>
            <w:vAlign w:val="bottom"/>
            <w:tcBorders>
              <w:bottom w:val="single" w:sz="8" w:color="69439A"/>
            </w:tcBorders>
          </w:tcPr>
          <w:p>
            <w:pPr>
              <w:spacing w:after="0"/>
              <w:rPr>
                <w:sz w:val="9"/>
                <w:szCs w:val="9"/>
                <w:color w:val="auto"/>
              </w:rPr>
            </w:pPr>
          </w:p>
        </w:tc>
        <w:tc>
          <w:tcPr>
            <w:tcW w:w="360" w:type="dxa"/>
            <w:vAlign w:val="bottom"/>
            <w:tcBorders>
              <w:bottom w:val="single" w:sz="8" w:color="69439A"/>
            </w:tcBorders>
          </w:tcPr>
          <w:p>
            <w:pPr>
              <w:spacing w:after="0"/>
              <w:rPr>
                <w:sz w:val="9"/>
                <w:szCs w:val="9"/>
                <w:color w:val="auto"/>
              </w:rPr>
            </w:pPr>
          </w:p>
        </w:tc>
        <w:tc>
          <w:tcPr>
            <w:tcW w:w="240" w:type="dxa"/>
            <w:vAlign w:val="bottom"/>
            <w:tcBorders>
              <w:bottom w:val="single" w:sz="8" w:color="69439A"/>
            </w:tcBorders>
          </w:tcPr>
          <w:p>
            <w:pPr>
              <w:spacing w:after="0"/>
              <w:rPr>
                <w:sz w:val="9"/>
                <w:szCs w:val="9"/>
                <w:color w:val="auto"/>
              </w:rPr>
            </w:pPr>
          </w:p>
        </w:tc>
        <w:tc>
          <w:tcPr>
            <w:tcW w:w="120" w:type="dxa"/>
            <w:vAlign w:val="bottom"/>
            <w:tcBorders>
              <w:bottom w:val="single" w:sz="8" w:color="69439A"/>
            </w:tcBorders>
          </w:tcPr>
          <w:p>
            <w:pPr>
              <w:spacing w:after="0"/>
              <w:rPr>
                <w:sz w:val="9"/>
                <w:szCs w:val="9"/>
                <w:color w:val="auto"/>
              </w:rPr>
            </w:pPr>
          </w:p>
        </w:tc>
        <w:tc>
          <w:tcPr>
            <w:tcW w:w="120" w:type="dxa"/>
            <w:vAlign w:val="bottom"/>
            <w:tcBorders>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220" w:type="dxa"/>
            <w:vAlign w:val="bottom"/>
            <w:tcBorders>
              <w:top w:val="single" w:sz="8" w:color="0000EE"/>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60" w:type="dxa"/>
            <w:vAlign w:val="bottom"/>
            <w:gridSpan w:val="8"/>
          </w:tcPr>
          <w:p>
            <w:pPr>
              <w:spacing w:after="0"/>
              <w:rPr>
                <w:sz w:val="20"/>
                <w:szCs w:val="20"/>
                <w:color w:val="auto"/>
              </w:rPr>
            </w:pPr>
            <w:r>
              <w:rPr>
                <w:rFonts w:ascii="Arial" w:cs="Arial" w:eastAsia="Arial" w:hAnsi="Arial"/>
                <w:sz w:val="14"/>
                <w:szCs w:val="14"/>
                <w:b w:val="1"/>
                <w:bCs w:val="1"/>
                <w:color w:val="0000EE"/>
              </w:rPr>
              <w:t>About the Meeting: Questions and Answers</w:t>
            </w:r>
          </w:p>
        </w:tc>
        <w:tc>
          <w:tcPr>
            <w:tcW w:w="400" w:type="dxa"/>
            <w:vAlign w:val="bottom"/>
            <w:gridSpan w:val="5"/>
          </w:tcPr>
          <w:p>
            <w:pPr>
              <w:ind w:left="140"/>
              <w:spacing w:after="0"/>
              <w:rPr>
                <w:sz w:val="20"/>
                <w:szCs w:val="20"/>
                <w:color w:val="auto"/>
              </w:rPr>
            </w:pPr>
            <w:r>
              <w:rPr>
                <w:rFonts w:ascii="Arial" w:cs="Arial" w:eastAsia="Arial" w:hAnsi="Arial"/>
                <w:sz w:val="14"/>
                <w:szCs w:val="14"/>
                <w:b w:val="1"/>
                <w:bCs w:val="1"/>
                <w:color w:val="0000EE"/>
              </w:rPr>
              <w:t>114</w:t>
            </w:r>
          </w:p>
        </w:tc>
        <w:tc>
          <w:tcPr>
            <w:tcW w:w="0" w:type="dxa"/>
            <w:vAlign w:val="bottom"/>
          </w:tcPr>
          <w:p>
            <w:pPr>
              <w:spacing w:after="0"/>
              <w:rPr>
                <w:sz w:val="1"/>
                <w:szCs w:val="1"/>
                <w:color w:val="auto"/>
              </w:rPr>
            </w:pPr>
          </w:p>
        </w:tc>
      </w:tr>
      <w:tr>
        <w:trPr>
          <w:trHeight w:val="109"/>
        </w:trPr>
        <w:tc>
          <w:tcPr>
            <w:tcW w:w="860" w:type="dxa"/>
            <w:vAlign w:val="bottom"/>
            <w:tcBorders>
              <w:top w:val="single" w:sz="8" w:color="0000EE"/>
              <w:bottom w:val="single" w:sz="8" w:color="69439A"/>
            </w:tcBorders>
          </w:tcPr>
          <w:p>
            <w:pPr>
              <w:spacing w:after="0"/>
              <w:rPr>
                <w:sz w:val="9"/>
                <w:szCs w:val="9"/>
                <w:color w:val="auto"/>
              </w:rPr>
            </w:pPr>
          </w:p>
        </w:tc>
        <w:tc>
          <w:tcPr>
            <w:tcW w:w="460" w:type="dxa"/>
            <w:vAlign w:val="bottom"/>
            <w:tcBorders>
              <w:top w:val="single" w:sz="8" w:color="0000EE"/>
              <w:bottom w:val="single" w:sz="8" w:color="69439A"/>
            </w:tcBorders>
          </w:tcPr>
          <w:p>
            <w:pPr>
              <w:spacing w:after="0"/>
              <w:rPr>
                <w:sz w:val="9"/>
                <w:szCs w:val="9"/>
                <w:color w:val="auto"/>
              </w:rPr>
            </w:pPr>
          </w:p>
        </w:tc>
        <w:tc>
          <w:tcPr>
            <w:tcW w:w="620" w:type="dxa"/>
            <w:vAlign w:val="bottom"/>
            <w:tcBorders>
              <w:top w:val="single" w:sz="8" w:color="0000EE"/>
              <w:bottom w:val="single" w:sz="8" w:color="69439A"/>
            </w:tcBorders>
          </w:tcPr>
          <w:p>
            <w:pPr>
              <w:spacing w:after="0"/>
              <w:rPr>
                <w:sz w:val="9"/>
                <w:szCs w:val="9"/>
                <w:color w:val="auto"/>
              </w:rPr>
            </w:pPr>
          </w:p>
        </w:tc>
        <w:tc>
          <w:tcPr>
            <w:tcW w:w="1040" w:type="dxa"/>
            <w:vAlign w:val="bottom"/>
            <w:tcBorders>
              <w:top w:val="single" w:sz="8" w:color="0000EE"/>
              <w:bottom w:val="single" w:sz="8" w:color="69439A"/>
            </w:tcBorders>
          </w:tcPr>
          <w:p>
            <w:pPr>
              <w:spacing w:after="0"/>
              <w:rPr>
                <w:sz w:val="9"/>
                <w:szCs w:val="9"/>
                <w:color w:val="auto"/>
              </w:rPr>
            </w:pPr>
          </w:p>
        </w:tc>
        <w:tc>
          <w:tcPr>
            <w:tcW w:w="460" w:type="dxa"/>
            <w:vAlign w:val="bottom"/>
            <w:tcBorders>
              <w:bottom w:val="single" w:sz="8" w:color="69439A"/>
            </w:tcBorders>
          </w:tcPr>
          <w:p>
            <w:pPr>
              <w:spacing w:after="0"/>
              <w:rPr>
                <w:sz w:val="9"/>
                <w:szCs w:val="9"/>
                <w:color w:val="auto"/>
              </w:rPr>
            </w:pPr>
          </w:p>
        </w:tc>
        <w:tc>
          <w:tcPr>
            <w:tcW w:w="360" w:type="dxa"/>
            <w:vAlign w:val="bottom"/>
            <w:tcBorders>
              <w:bottom w:val="single" w:sz="8" w:color="69439A"/>
            </w:tcBorders>
          </w:tcPr>
          <w:p>
            <w:pPr>
              <w:spacing w:after="0"/>
              <w:rPr>
                <w:sz w:val="9"/>
                <w:szCs w:val="9"/>
                <w:color w:val="auto"/>
              </w:rPr>
            </w:pPr>
          </w:p>
        </w:tc>
        <w:tc>
          <w:tcPr>
            <w:tcW w:w="240" w:type="dxa"/>
            <w:vAlign w:val="bottom"/>
            <w:tcBorders>
              <w:bottom w:val="single" w:sz="8" w:color="69439A"/>
            </w:tcBorders>
          </w:tcPr>
          <w:p>
            <w:pPr>
              <w:spacing w:after="0"/>
              <w:rPr>
                <w:sz w:val="9"/>
                <w:szCs w:val="9"/>
                <w:color w:val="auto"/>
              </w:rPr>
            </w:pPr>
          </w:p>
        </w:tc>
        <w:tc>
          <w:tcPr>
            <w:tcW w:w="120" w:type="dxa"/>
            <w:vAlign w:val="bottom"/>
            <w:tcBorders>
              <w:bottom w:val="single" w:sz="8" w:color="69439A"/>
            </w:tcBorders>
          </w:tcPr>
          <w:p>
            <w:pPr>
              <w:spacing w:after="0"/>
              <w:rPr>
                <w:sz w:val="9"/>
                <w:szCs w:val="9"/>
                <w:color w:val="auto"/>
              </w:rPr>
            </w:pPr>
          </w:p>
        </w:tc>
        <w:tc>
          <w:tcPr>
            <w:tcW w:w="12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220" w:type="dxa"/>
            <w:vAlign w:val="bottom"/>
            <w:tcBorders>
              <w:top w:val="single" w:sz="8" w:color="0000EE"/>
              <w:bottom w:val="single" w:sz="8" w:color="69439A"/>
            </w:tcBorders>
          </w:tcPr>
          <w:p>
            <w:pPr>
              <w:spacing w:after="0"/>
              <w:rPr>
                <w:sz w:val="9"/>
                <w:szCs w:val="9"/>
                <w:color w:val="auto"/>
              </w:rPr>
            </w:pPr>
          </w:p>
        </w:tc>
        <w:tc>
          <w:tcPr>
            <w:tcW w:w="20" w:type="dxa"/>
            <w:vAlign w:val="bottom"/>
            <w:tcBorders>
              <w:top w:val="single" w:sz="8" w:color="0000EE"/>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60" w:type="dxa"/>
            <w:vAlign w:val="bottom"/>
            <w:gridSpan w:val="8"/>
          </w:tcPr>
          <w:p>
            <w:pPr>
              <w:spacing w:after="0"/>
              <w:rPr>
                <w:sz w:val="20"/>
                <w:szCs w:val="20"/>
                <w:color w:val="auto"/>
              </w:rPr>
            </w:pPr>
            <w:r>
              <w:rPr>
                <w:rFonts w:ascii="Arial" w:cs="Arial" w:eastAsia="Arial" w:hAnsi="Arial"/>
                <w:sz w:val="14"/>
                <w:szCs w:val="14"/>
                <w:b w:val="1"/>
                <w:bCs w:val="1"/>
                <w:color w:val="0000EE"/>
              </w:rPr>
              <w:t>Appendix A: 2022 Long-Term Incentive Compensation Plan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3"/>
            <w:vMerge w:val="restart"/>
          </w:tcPr>
          <w:p>
            <w:pPr>
              <w:spacing w:after="0"/>
              <w:rPr>
                <w:sz w:val="20"/>
                <w:szCs w:val="20"/>
                <w:color w:val="auto"/>
              </w:rPr>
            </w:pPr>
            <w:r>
              <w:rPr>
                <w:rFonts w:ascii="Arial" w:cs="Arial" w:eastAsia="Arial" w:hAnsi="Arial"/>
                <w:sz w:val="14"/>
                <w:szCs w:val="14"/>
                <w:b w:val="1"/>
                <w:bCs w:val="1"/>
                <w:color w:val="0000EE"/>
              </w:rPr>
              <w:t>A-1</w:t>
            </w:r>
          </w:p>
        </w:tc>
        <w:tc>
          <w:tcPr>
            <w:tcW w:w="0" w:type="dxa"/>
            <w:vAlign w:val="bottom"/>
          </w:tcPr>
          <w:p>
            <w:pPr>
              <w:spacing w:after="0"/>
              <w:rPr>
                <w:sz w:val="1"/>
                <w:szCs w:val="1"/>
                <w:color w:val="auto"/>
              </w:rPr>
            </w:pPr>
          </w:p>
        </w:tc>
      </w:tr>
      <w:tr>
        <w:trPr>
          <w:trHeight w:val="142"/>
        </w:trPr>
        <w:tc>
          <w:tcPr>
            <w:tcW w:w="4040" w:type="dxa"/>
            <w:vAlign w:val="bottom"/>
            <w:tcBorders>
              <w:top w:val="single" w:sz="8" w:color="0000EE"/>
            </w:tcBorders>
            <w:gridSpan w:val="7"/>
          </w:tcPr>
          <w:p>
            <w:pPr>
              <w:spacing w:after="0" w:line="142" w:lineRule="exact"/>
              <w:rPr>
                <w:sz w:val="20"/>
                <w:szCs w:val="20"/>
                <w:color w:val="auto"/>
              </w:rPr>
            </w:pPr>
            <w:r>
              <w:rPr>
                <w:rFonts w:ascii="Arial" w:cs="Arial" w:eastAsia="Arial" w:hAnsi="Arial"/>
                <w:sz w:val="14"/>
                <w:szCs w:val="14"/>
                <w:b w:val="1"/>
                <w:bCs w:val="1"/>
                <w:color w:val="0000EE"/>
              </w:rPr>
              <w:t>as Amended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60" w:type="dxa"/>
            <w:vAlign w:val="bottom"/>
            <w:tcBorders>
              <w:top w:val="single" w:sz="8" w:color="0000EE"/>
              <w:bottom w:val="single" w:sz="8" w:color="69439A"/>
            </w:tcBorders>
          </w:tcPr>
          <w:p>
            <w:pPr>
              <w:spacing w:after="0"/>
              <w:rPr>
                <w:sz w:val="9"/>
                <w:szCs w:val="9"/>
                <w:color w:val="auto"/>
              </w:rPr>
            </w:pPr>
          </w:p>
        </w:tc>
        <w:tc>
          <w:tcPr>
            <w:tcW w:w="460" w:type="dxa"/>
            <w:vAlign w:val="bottom"/>
            <w:tcBorders>
              <w:bottom w:val="single" w:sz="8" w:color="69439A"/>
            </w:tcBorders>
          </w:tcPr>
          <w:p>
            <w:pPr>
              <w:spacing w:after="0"/>
              <w:rPr>
                <w:sz w:val="9"/>
                <w:szCs w:val="9"/>
                <w:color w:val="auto"/>
              </w:rPr>
            </w:pPr>
          </w:p>
        </w:tc>
        <w:tc>
          <w:tcPr>
            <w:tcW w:w="620" w:type="dxa"/>
            <w:vAlign w:val="bottom"/>
            <w:tcBorders>
              <w:bottom w:val="single" w:sz="8" w:color="69439A"/>
            </w:tcBorders>
          </w:tcPr>
          <w:p>
            <w:pPr>
              <w:spacing w:after="0"/>
              <w:rPr>
                <w:sz w:val="9"/>
                <w:szCs w:val="9"/>
                <w:color w:val="auto"/>
              </w:rPr>
            </w:pPr>
          </w:p>
        </w:tc>
        <w:tc>
          <w:tcPr>
            <w:tcW w:w="1040" w:type="dxa"/>
            <w:vAlign w:val="bottom"/>
            <w:tcBorders>
              <w:bottom w:val="single" w:sz="8" w:color="69439A"/>
            </w:tcBorders>
          </w:tcPr>
          <w:p>
            <w:pPr>
              <w:spacing w:after="0"/>
              <w:rPr>
                <w:sz w:val="9"/>
                <w:szCs w:val="9"/>
                <w:color w:val="auto"/>
              </w:rPr>
            </w:pPr>
          </w:p>
        </w:tc>
        <w:tc>
          <w:tcPr>
            <w:tcW w:w="460" w:type="dxa"/>
            <w:vAlign w:val="bottom"/>
            <w:tcBorders>
              <w:bottom w:val="single" w:sz="8" w:color="69439A"/>
            </w:tcBorders>
          </w:tcPr>
          <w:p>
            <w:pPr>
              <w:spacing w:after="0"/>
              <w:rPr>
                <w:sz w:val="9"/>
                <w:szCs w:val="9"/>
                <w:color w:val="auto"/>
              </w:rPr>
            </w:pPr>
          </w:p>
        </w:tc>
        <w:tc>
          <w:tcPr>
            <w:tcW w:w="360" w:type="dxa"/>
            <w:vAlign w:val="bottom"/>
            <w:tcBorders>
              <w:bottom w:val="single" w:sz="8" w:color="69439A"/>
            </w:tcBorders>
          </w:tcPr>
          <w:p>
            <w:pPr>
              <w:spacing w:after="0"/>
              <w:rPr>
                <w:sz w:val="9"/>
                <w:szCs w:val="9"/>
                <w:color w:val="auto"/>
              </w:rPr>
            </w:pPr>
          </w:p>
        </w:tc>
        <w:tc>
          <w:tcPr>
            <w:tcW w:w="240" w:type="dxa"/>
            <w:vAlign w:val="bottom"/>
            <w:tcBorders>
              <w:bottom w:val="single" w:sz="8" w:color="69439A"/>
            </w:tcBorders>
          </w:tcPr>
          <w:p>
            <w:pPr>
              <w:spacing w:after="0"/>
              <w:rPr>
                <w:sz w:val="9"/>
                <w:szCs w:val="9"/>
                <w:color w:val="auto"/>
              </w:rPr>
            </w:pPr>
          </w:p>
        </w:tc>
        <w:tc>
          <w:tcPr>
            <w:tcW w:w="120" w:type="dxa"/>
            <w:vAlign w:val="bottom"/>
            <w:tcBorders>
              <w:bottom w:val="single" w:sz="8" w:color="69439A"/>
            </w:tcBorders>
          </w:tcPr>
          <w:p>
            <w:pPr>
              <w:spacing w:after="0"/>
              <w:rPr>
                <w:sz w:val="9"/>
                <w:szCs w:val="9"/>
                <w:color w:val="auto"/>
              </w:rPr>
            </w:pPr>
          </w:p>
        </w:tc>
        <w:tc>
          <w:tcPr>
            <w:tcW w:w="12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220" w:type="dxa"/>
            <w:vAlign w:val="bottom"/>
            <w:tcBorders>
              <w:top w:val="single" w:sz="8" w:color="0000EE"/>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20" w:type="dxa"/>
            <w:vAlign w:val="bottom"/>
            <w:tcBorders>
              <w:bottom w:val="single" w:sz="8" w:color="69439A"/>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60" w:type="dxa"/>
            <w:vAlign w:val="bottom"/>
            <w:gridSpan w:val="8"/>
          </w:tcPr>
          <w:p>
            <w:pPr>
              <w:spacing w:after="0"/>
              <w:rPr>
                <w:sz w:val="20"/>
                <w:szCs w:val="20"/>
                <w:color w:val="auto"/>
              </w:rPr>
            </w:pPr>
            <w:r>
              <w:rPr>
                <w:rFonts w:ascii="Arial" w:cs="Arial" w:eastAsia="Arial" w:hAnsi="Arial"/>
                <w:sz w:val="14"/>
                <w:szCs w:val="14"/>
                <w:b w:val="1"/>
                <w:bCs w:val="1"/>
                <w:color w:val="0000EE"/>
              </w:rPr>
              <w:t>Appendix B: Reconciliation of GAAP to non-GAAP</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3"/>
            <w:vMerge w:val="restart"/>
          </w:tcPr>
          <w:p>
            <w:pPr>
              <w:spacing w:after="0"/>
              <w:rPr>
                <w:sz w:val="20"/>
                <w:szCs w:val="20"/>
                <w:color w:val="auto"/>
              </w:rPr>
            </w:pPr>
            <w:r>
              <w:rPr>
                <w:rFonts w:ascii="Arial" w:cs="Arial" w:eastAsia="Arial" w:hAnsi="Arial"/>
                <w:sz w:val="14"/>
                <w:szCs w:val="14"/>
                <w:b w:val="1"/>
                <w:bCs w:val="1"/>
                <w:color w:val="0000EE"/>
              </w:rPr>
              <w:t>B-1</w:t>
            </w:r>
          </w:p>
        </w:tc>
        <w:tc>
          <w:tcPr>
            <w:tcW w:w="0" w:type="dxa"/>
            <w:vAlign w:val="bottom"/>
          </w:tcPr>
          <w:p>
            <w:pPr>
              <w:spacing w:after="0"/>
              <w:rPr>
                <w:sz w:val="1"/>
                <w:szCs w:val="1"/>
                <w:color w:val="auto"/>
              </w:rPr>
            </w:pPr>
          </w:p>
        </w:tc>
      </w:tr>
      <w:tr>
        <w:trPr>
          <w:trHeight w:val="142"/>
        </w:trPr>
        <w:tc>
          <w:tcPr>
            <w:tcW w:w="3440" w:type="dxa"/>
            <w:vAlign w:val="bottom"/>
            <w:tcBorders>
              <w:top w:val="single" w:sz="8" w:color="0000EE"/>
            </w:tcBorders>
            <w:gridSpan w:val="5"/>
          </w:tcPr>
          <w:p>
            <w:pPr>
              <w:spacing w:after="0" w:line="142" w:lineRule="exact"/>
              <w:rPr>
                <w:sz w:val="20"/>
                <w:szCs w:val="20"/>
                <w:color w:val="auto"/>
              </w:rPr>
            </w:pPr>
            <w:r>
              <w:rPr>
                <w:rFonts w:ascii="Arial" w:cs="Arial" w:eastAsia="Arial" w:hAnsi="Arial"/>
                <w:sz w:val="14"/>
                <w:szCs w:val="14"/>
                <w:b w:val="1"/>
                <w:bCs w:val="1"/>
                <w:color w:val="0000EE"/>
              </w:rPr>
              <w:t>Financial Measures</w:t>
            </w:r>
          </w:p>
        </w:tc>
        <w:tc>
          <w:tcPr>
            <w:tcW w:w="7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617220</wp:posOffset>
            </wp:positionV>
            <wp:extent cx="5888990" cy="1423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88990" cy="1423035"/>
                    </a:xfrm>
                    <a:prstGeom prst="rect">
                      <a:avLst/>
                    </a:prstGeom>
                    <a:noFill/>
                  </pic:spPr>
                </pic:pic>
              </a:graphicData>
            </a:graphic>
          </wp:anchor>
        </w:drawing>
      </w:r>
    </w:p>
    <w:p>
      <w:pPr>
        <w:spacing w:after="0" w:line="1109" w:lineRule="exact"/>
        <w:rPr>
          <w:sz w:val="20"/>
          <w:szCs w:val="20"/>
          <w:color w:val="auto"/>
        </w:rPr>
      </w:pPr>
    </w:p>
    <w:p>
      <w:pPr>
        <w:sectPr>
          <w:pgSz w:w="11900" w:h="16838" w:orient="portrait"/>
          <w:cols w:equalWidth="0" w:num="2">
            <w:col w:w="5400" w:space="240"/>
            <w:col w:w="5380"/>
          </w:cols>
          <w:pgMar w:left="440" w:top="114" w:right="439" w:bottom="1440" w:gutter="0" w:footer="0" w:header="0"/>
          <w:type w:val="continuous"/>
        </w:sectPr>
      </w:pPr>
    </w:p>
    <w:p>
      <w:pPr>
        <w:spacing w:after="0" w:line="111" w:lineRule="exact"/>
        <w:rPr>
          <w:sz w:val="20"/>
          <w:szCs w:val="20"/>
          <w:color w:val="auto"/>
        </w:rPr>
      </w:pPr>
    </w:p>
    <w:p>
      <w:pPr>
        <w:ind w:left="1120"/>
        <w:spacing w:after="0"/>
        <w:rPr>
          <w:sz w:val="20"/>
          <w:szCs w:val="20"/>
          <w:color w:val="auto"/>
        </w:rPr>
      </w:pPr>
      <w:r>
        <w:rPr>
          <w:rFonts w:ascii="Arial" w:cs="Arial" w:eastAsia="Arial" w:hAnsi="Arial"/>
          <w:sz w:val="29"/>
          <w:szCs w:val="29"/>
          <w:b w:val="1"/>
          <w:bCs w:val="1"/>
          <w:color w:val="69439A"/>
        </w:rPr>
        <w:t>FREQUENTLY REQUESTED INFORMATION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00" w:type="dxa"/>
            <w:vAlign w:val="bottom"/>
          </w:tcPr>
          <w:p>
            <w:pPr>
              <w:spacing w:after="0"/>
              <w:rPr>
                <w:sz w:val="21"/>
                <w:szCs w:val="21"/>
                <w:color w:val="auto"/>
              </w:rPr>
            </w:pPr>
          </w:p>
        </w:tc>
        <w:tc>
          <w:tcPr>
            <w:tcW w:w="4040" w:type="dxa"/>
            <w:vAlign w:val="bottom"/>
            <w:gridSpan w:val="7"/>
            <w:shd w:val="clear" w:color="auto" w:fill="DED8EC"/>
          </w:tcPr>
          <w:p>
            <w:pPr>
              <w:ind w:left="120"/>
              <w:spacing w:after="0"/>
              <w:rPr>
                <w:sz w:val="20"/>
                <w:szCs w:val="20"/>
                <w:color w:val="auto"/>
              </w:rPr>
            </w:pPr>
            <w:r>
              <w:rPr>
                <w:rFonts w:ascii="Arial" w:cs="Arial" w:eastAsia="Arial" w:hAnsi="Arial"/>
                <w:sz w:val="16"/>
                <w:szCs w:val="16"/>
                <w:color w:val="0000EE"/>
              </w:rPr>
              <w:t>Board and Committee Membership</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0000EE"/>
              </w:rPr>
              <w:t>7</w:t>
            </w:r>
          </w:p>
        </w:tc>
        <w:tc>
          <w:tcPr>
            <w:tcW w:w="4480" w:type="dxa"/>
            <w:vAlign w:val="bottom"/>
            <w:gridSpan w:val="6"/>
          </w:tcPr>
          <w:p>
            <w:pPr>
              <w:ind w:left="300"/>
              <w:spacing w:after="0"/>
              <w:rPr>
                <w:sz w:val="20"/>
                <w:szCs w:val="20"/>
                <w:color w:val="auto"/>
              </w:rPr>
            </w:pPr>
            <w:r>
              <w:rPr>
                <w:rFonts w:ascii="Arial" w:cs="Arial" w:eastAsia="Arial" w:hAnsi="Arial"/>
                <w:sz w:val="16"/>
                <w:szCs w:val="16"/>
                <w:color w:val="0000EE"/>
              </w:rPr>
              <w:t>Director Compensation</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0000EE"/>
                <w:w w:val="89"/>
              </w:rPr>
              <w:t>43</w:t>
            </w:r>
          </w:p>
        </w:tc>
        <w:tc>
          <w:tcPr>
            <w:tcW w:w="820" w:type="dxa"/>
            <w:vAlign w:val="bottom"/>
          </w:tcPr>
          <w:p>
            <w:pPr>
              <w:spacing w:after="0"/>
              <w:rPr>
                <w:sz w:val="21"/>
                <w:szCs w:val="21"/>
                <w:color w:val="auto"/>
              </w:rPr>
            </w:pPr>
          </w:p>
        </w:tc>
      </w:tr>
      <w:tr>
        <w:trPr>
          <w:trHeight w:val="48"/>
        </w:trPr>
        <w:tc>
          <w:tcPr>
            <w:tcW w:w="1000" w:type="dxa"/>
            <w:vAlign w:val="bottom"/>
          </w:tcPr>
          <w:p>
            <w:pPr>
              <w:spacing w:after="0"/>
              <w:rPr>
                <w:sz w:val="4"/>
                <w:szCs w:val="4"/>
                <w:color w:val="auto"/>
              </w:rPr>
            </w:pPr>
          </w:p>
        </w:tc>
        <w:tc>
          <w:tcPr>
            <w:tcW w:w="120" w:type="dxa"/>
            <w:vAlign w:val="bottom"/>
            <w:tcBorders>
              <w:top w:val="single" w:sz="8" w:color="DED8EC"/>
            </w:tcBorders>
            <w:shd w:val="clear" w:color="auto" w:fill="DED8EC"/>
          </w:tcPr>
          <w:p>
            <w:pPr>
              <w:spacing w:after="0"/>
              <w:rPr>
                <w:sz w:val="4"/>
                <w:szCs w:val="4"/>
                <w:color w:val="auto"/>
              </w:rPr>
            </w:pPr>
          </w:p>
        </w:tc>
        <w:tc>
          <w:tcPr>
            <w:tcW w:w="1860" w:type="dxa"/>
            <w:vAlign w:val="bottom"/>
            <w:tcBorders>
              <w:top w:val="single" w:sz="8" w:color="0000EE"/>
            </w:tcBorders>
            <w:shd w:val="clear" w:color="auto" w:fill="DED8EC"/>
          </w:tcPr>
          <w:p>
            <w:pPr>
              <w:spacing w:after="0"/>
              <w:rPr>
                <w:sz w:val="4"/>
                <w:szCs w:val="4"/>
                <w:color w:val="auto"/>
              </w:rPr>
            </w:pPr>
          </w:p>
        </w:tc>
        <w:tc>
          <w:tcPr>
            <w:tcW w:w="220" w:type="dxa"/>
            <w:vAlign w:val="bottom"/>
            <w:tcBorders>
              <w:top w:val="single" w:sz="8" w:color="0000EE"/>
            </w:tcBorders>
            <w:shd w:val="clear" w:color="auto" w:fill="DED8EC"/>
          </w:tcPr>
          <w:p>
            <w:pPr>
              <w:spacing w:after="0"/>
              <w:rPr>
                <w:sz w:val="4"/>
                <w:szCs w:val="4"/>
                <w:color w:val="auto"/>
              </w:rPr>
            </w:pPr>
          </w:p>
        </w:tc>
        <w:tc>
          <w:tcPr>
            <w:tcW w:w="420" w:type="dxa"/>
            <w:vAlign w:val="bottom"/>
            <w:tcBorders>
              <w:top w:val="single" w:sz="8" w:color="0000EE"/>
            </w:tcBorders>
            <w:shd w:val="clear" w:color="auto" w:fill="DED8EC"/>
          </w:tcPr>
          <w:p>
            <w:pPr>
              <w:spacing w:after="0"/>
              <w:rPr>
                <w:sz w:val="4"/>
                <w:szCs w:val="4"/>
                <w:color w:val="auto"/>
              </w:rPr>
            </w:pPr>
          </w:p>
        </w:tc>
        <w:tc>
          <w:tcPr>
            <w:tcW w:w="300" w:type="dxa"/>
            <w:vAlign w:val="bottom"/>
            <w:tcBorders>
              <w:top w:val="single" w:sz="8" w:color="DED8EC"/>
            </w:tcBorders>
            <w:shd w:val="clear" w:color="auto" w:fill="DED8EC"/>
          </w:tcPr>
          <w:p>
            <w:pPr>
              <w:spacing w:after="0"/>
              <w:rPr>
                <w:sz w:val="4"/>
                <w:szCs w:val="4"/>
                <w:color w:val="auto"/>
              </w:rPr>
            </w:pPr>
          </w:p>
        </w:tc>
        <w:tc>
          <w:tcPr>
            <w:tcW w:w="280" w:type="dxa"/>
            <w:vAlign w:val="bottom"/>
            <w:tcBorders>
              <w:top w:val="single" w:sz="8" w:color="DED8EC"/>
            </w:tcBorders>
            <w:shd w:val="clear" w:color="auto" w:fill="DED8EC"/>
          </w:tcPr>
          <w:p>
            <w:pPr>
              <w:spacing w:after="0"/>
              <w:rPr>
                <w:sz w:val="4"/>
                <w:szCs w:val="4"/>
                <w:color w:val="auto"/>
              </w:rPr>
            </w:pPr>
          </w:p>
        </w:tc>
        <w:tc>
          <w:tcPr>
            <w:tcW w:w="840" w:type="dxa"/>
            <w:vAlign w:val="bottom"/>
            <w:tcBorders>
              <w:top w:val="single" w:sz="8" w:color="DED8EC"/>
            </w:tcBorders>
            <w:shd w:val="clear" w:color="auto" w:fill="DED8EC"/>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189"/>
        </w:trPr>
        <w:tc>
          <w:tcPr>
            <w:tcW w:w="1000" w:type="dxa"/>
            <w:vAlign w:val="bottom"/>
          </w:tcPr>
          <w:p>
            <w:pPr>
              <w:spacing w:after="0"/>
              <w:rPr>
                <w:sz w:val="16"/>
                <w:szCs w:val="16"/>
                <w:color w:val="auto"/>
              </w:rPr>
            </w:pPr>
          </w:p>
        </w:tc>
        <w:tc>
          <w:tcPr>
            <w:tcW w:w="4040" w:type="dxa"/>
            <w:vAlign w:val="bottom"/>
            <w:gridSpan w:val="7"/>
            <w:shd w:val="clear" w:color="auto" w:fill="DED8EC"/>
          </w:tcPr>
          <w:p>
            <w:pPr>
              <w:ind w:left="120"/>
              <w:spacing w:after="0"/>
              <w:rPr>
                <w:sz w:val="20"/>
                <w:szCs w:val="20"/>
                <w:color w:val="auto"/>
              </w:rPr>
            </w:pPr>
            <w:r>
              <w:rPr>
                <w:rFonts w:ascii="Arial" w:cs="Arial" w:eastAsia="Arial" w:hAnsi="Arial"/>
                <w:sz w:val="16"/>
                <w:szCs w:val="16"/>
                <w:color w:val="0000EE"/>
              </w:rPr>
              <w:t>Board Qualifications, Skills and Experience</w:t>
            </w:r>
          </w:p>
        </w:tc>
        <w:tc>
          <w:tcPr>
            <w:tcW w:w="280" w:type="dxa"/>
            <w:vAlign w:val="bottom"/>
            <w:tcBorders>
              <w:right w:val="single" w:sz="8" w:color="DED8EC"/>
            </w:tcBorders>
            <w:gridSpan w:val="3"/>
            <w:shd w:val="clear" w:color="auto" w:fill="DED8EC"/>
          </w:tcPr>
          <w:p>
            <w:pPr>
              <w:jc w:val="right"/>
              <w:ind w:right="20"/>
              <w:spacing w:after="0"/>
              <w:rPr>
                <w:sz w:val="20"/>
                <w:szCs w:val="20"/>
                <w:color w:val="auto"/>
              </w:rPr>
            </w:pPr>
            <w:r>
              <w:rPr>
                <w:rFonts w:ascii="Arial" w:cs="Arial" w:eastAsia="Arial" w:hAnsi="Arial"/>
                <w:sz w:val="16"/>
                <w:szCs w:val="16"/>
                <w:color w:val="0000EE"/>
              </w:rPr>
              <w:t>8</w:t>
            </w:r>
          </w:p>
        </w:tc>
        <w:tc>
          <w:tcPr>
            <w:tcW w:w="4480" w:type="dxa"/>
            <w:vAlign w:val="bottom"/>
            <w:gridSpan w:val="6"/>
            <w:shd w:val="clear" w:color="auto" w:fill="DED8EC"/>
          </w:tcPr>
          <w:p>
            <w:pPr>
              <w:ind w:left="300"/>
              <w:spacing w:after="0"/>
              <w:rPr>
                <w:sz w:val="20"/>
                <w:szCs w:val="20"/>
                <w:color w:val="auto"/>
              </w:rPr>
            </w:pPr>
            <w:r>
              <w:rPr>
                <w:rFonts w:ascii="Arial" w:cs="Arial" w:eastAsia="Arial" w:hAnsi="Arial"/>
                <w:sz w:val="16"/>
                <w:szCs w:val="16"/>
                <w:color w:val="0000EE"/>
              </w:rPr>
              <w:t>Executive Compensation Peer Group</w:t>
            </w:r>
          </w:p>
        </w:tc>
        <w:tc>
          <w:tcPr>
            <w:tcW w:w="400" w:type="dxa"/>
            <w:vAlign w:val="bottom"/>
            <w:gridSpan w:val="2"/>
            <w:shd w:val="clear" w:color="auto" w:fill="DED8EC"/>
          </w:tcPr>
          <w:p>
            <w:pPr>
              <w:jc w:val="right"/>
              <w:ind w:right="220"/>
              <w:spacing w:after="0"/>
              <w:rPr>
                <w:sz w:val="20"/>
                <w:szCs w:val="20"/>
                <w:color w:val="auto"/>
              </w:rPr>
            </w:pPr>
            <w:r>
              <w:rPr>
                <w:rFonts w:ascii="Arial" w:cs="Arial" w:eastAsia="Arial" w:hAnsi="Arial"/>
                <w:sz w:val="16"/>
                <w:szCs w:val="16"/>
                <w:color w:val="0000EE"/>
                <w:w w:val="89"/>
              </w:rPr>
              <w:t>63</w:t>
            </w:r>
          </w:p>
        </w:tc>
        <w:tc>
          <w:tcPr>
            <w:tcW w:w="8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DED8EC"/>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DED8EC"/>
          </w:tcPr>
          <w:p>
            <w:pPr>
              <w:spacing w:after="0" w:line="20" w:lineRule="exact"/>
              <w:rPr>
                <w:sz w:val="1"/>
                <w:szCs w:val="1"/>
                <w:color w:val="auto"/>
              </w:rPr>
            </w:pPr>
          </w:p>
        </w:tc>
        <w:tc>
          <w:tcPr>
            <w:tcW w:w="80" w:type="dxa"/>
            <w:vAlign w:val="bottom"/>
            <w:shd w:val="clear" w:color="auto" w:fill="DED8EC"/>
          </w:tcPr>
          <w:p>
            <w:pPr>
              <w:spacing w:after="0" w:line="20" w:lineRule="exact"/>
              <w:rPr>
                <w:sz w:val="1"/>
                <w:szCs w:val="1"/>
                <w:color w:val="auto"/>
              </w:rPr>
            </w:pPr>
          </w:p>
        </w:tc>
        <w:tc>
          <w:tcPr>
            <w:tcW w:w="100" w:type="dxa"/>
            <w:vAlign w:val="bottom"/>
            <w:shd w:val="clear" w:color="auto" w:fill="DED8EC"/>
          </w:tcPr>
          <w:p>
            <w:pPr>
              <w:spacing w:after="0" w:line="20" w:lineRule="exact"/>
              <w:rPr>
                <w:sz w:val="1"/>
                <w:szCs w:val="1"/>
                <w:color w:val="auto"/>
              </w:rPr>
            </w:pPr>
          </w:p>
        </w:tc>
        <w:tc>
          <w:tcPr>
            <w:tcW w:w="100" w:type="dxa"/>
            <w:vAlign w:val="bottom"/>
            <w:tcBorders>
              <w:right w:val="single" w:sz="8" w:color="DED8EC"/>
            </w:tcBorders>
            <w:shd w:val="clear" w:color="auto" w:fill="0000EE"/>
          </w:tcPr>
          <w:p>
            <w:pPr>
              <w:spacing w:after="0" w:line="20" w:lineRule="exact"/>
              <w:rPr>
                <w:sz w:val="1"/>
                <w:szCs w:val="1"/>
                <w:color w:val="auto"/>
              </w:rPr>
            </w:pPr>
          </w:p>
        </w:tc>
        <w:tc>
          <w:tcPr>
            <w:tcW w:w="300" w:type="dxa"/>
            <w:vAlign w:val="bottom"/>
            <w:shd w:val="clear" w:color="auto" w:fill="DED8EC"/>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00" w:type="dxa"/>
            <w:vAlign w:val="bottom"/>
            <w:shd w:val="clear" w:color="auto" w:fill="DED8EC"/>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DED8EC"/>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6"/>
        </w:trPr>
        <w:tc>
          <w:tcPr>
            <w:tcW w:w="1000" w:type="dxa"/>
            <w:vAlign w:val="bottom"/>
          </w:tcPr>
          <w:p>
            <w:pPr>
              <w:spacing w:after="0"/>
              <w:rPr>
                <w:sz w:val="20"/>
                <w:szCs w:val="20"/>
                <w:color w:val="auto"/>
              </w:rPr>
            </w:pPr>
          </w:p>
        </w:tc>
        <w:tc>
          <w:tcPr>
            <w:tcW w:w="4040" w:type="dxa"/>
            <w:vAlign w:val="bottom"/>
            <w:gridSpan w:val="7"/>
            <w:shd w:val="clear" w:color="auto" w:fill="DED8EC"/>
          </w:tcPr>
          <w:p>
            <w:pPr>
              <w:ind w:left="120"/>
              <w:spacing w:after="0"/>
              <w:rPr>
                <w:sz w:val="20"/>
                <w:szCs w:val="20"/>
                <w:color w:val="auto"/>
              </w:rPr>
            </w:pPr>
            <w:r>
              <w:rPr>
                <w:rFonts w:ascii="Arial" w:cs="Arial" w:eastAsia="Arial" w:hAnsi="Arial"/>
                <w:sz w:val="16"/>
                <w:szCs w:val="16"/>
                <w:color w:val="0000EE"/>
              </w:rPr>
              <w:t>Cybersecurity Risk Oversight</w:t>
            </w:r>
          </w:p>
        </w:tc>
        <w:tc>
          <w:tcPr>
            <w:tcW w:w="280" w:type="dxa"/>
            <w:vAlign w:val="bottom"/>
            <w:tcBorders>
              <w:right w:val="single" w:sz="8" w:color="DED8EC"/>
            </w:tcBorders>
            <w:gridSpan w:val="3"/>
            <w:shd w:val="clear" w:color="auto" w:fill="DED8EC"/>
          </w:tcPr>
          <w:p>
            <w:pPr>
              <w:jc w:val="right"/>
              <w:ind w:right="20"/>
              <w:spacing w:after="0"/>
              <w:rPr>
                <w:sz w:val="20"/>
                <w:szCs w:val="20"/>
                <w:color w:val="auto"/>
              </w:rPr>
            </w:pPr>
            <w:r>
              <w:rPr>
                <w:rFonts w:ascii="Arial" w:cs="Arial" w:eastAsia="Arial" w:hAnsi="Arial"/>
                <w:sz w:val="16"/>
                <w:szCs w:val="16"/>
                <w:color w:val="0000EE"/>
              </w:rPr>
              <w:t>25</w:t>
            </w:r>
          </w:p>
        </w:tc>
        <w:tc>
          <w:tcPr>
            <w:tcW w:w="4480" w:type="dxa"/>
            <w:vAlign w:val="bottom"/>
            <w:gridSpan w:val="6"/>
            <w:shd w:val="clear" w:color="auto" w:fill="DED8EC"/>
          </w:tcPr>
          <w:p>
            <w:pPr>
              <w:ind w:left="300"/>
              <w:spacing w:after="0"/>
              <w:rPr>
                <w:sz w:val="20"/>
                <w:szCs w:val="20"/>
                <w:color w:val="auto"/>
              </w:rPr>
            </w:pPr>
            <w:r>
              <w:rPr>
                <w:rFonts w:ascii="Arial" w:cs="Arial" w:eastAsia="Arial" w:hAnsi="Arial"/>
                <w:sz w:val="16"/>
                <w:szCs w:val="16"/>
                <w:color w:val="0000EE"/>
              </w:rPr>
              <w:t>CEO Pay Ratio</w:t>
            </w:r>
          </w:p>
        </w:tc>
        <w:tc>
          <w:tcPr>
            <w:tcW w:w="400" w:type="dxa"/>
            <w:vAlign w:val="bottom"/>
            <w:gridSpan w:val="2"/>
            <w:shd w:val="clear" w:color="auto" w:fill="DED8EC"/>
          </w:tcPr>
          <w:p>
            <w:pPr>
              <w:jc w:val="right"/>
              <w:ind w:right="220"/>
              <w:spacing w:after="0"/>
              <w:rPr>
                <w:sz w:val="20"/>
                <w:szCs w:val="20"/>
                <w:color w:val="auto"/>
              </w:rPr>
            </w:pPr>
            <w:r>
              <w:rPr>
                <w:rFonts w:ascii="Arial" w:cs="Arial" w:eastAsia="Arial" w:hAnsi="Arial"/>
                <w:sz w:val="16"/>
                <w:szCs w:val="16"/>
                <w:color w:val="0000EE"/>
                <w:w w:val="89"/>
              </w:rPr>
              <w:t>85</w:t>
            </w:r>
          </w:p>
        </w:tc>
        <w:tc>
          <w:tcPr>
            <w:tcW w:w="82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DED8EC"/>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DED8EC"/>
          </w:tcPr>
          <w:p>
            <w:pPr>
              <w:spacing w:after="0" w:line="20" w:lineRule="exact"/>
              <w:rPr>
                <w:sz w:val="1"/>
                <w:szCs w:val="1"/>
                <w:color w:val="auto"/>
              </w:rPr>
            </w:pPr>
          </w:p>
        </w:tc>
        <w:tc>
          <w:tcPr>
            <w:tcW w:w="300" w:type="dxa"/>
            <w:vAlign w:val="bottom"/>
            <w:shd w:val="clear" w:color="auto" w:fill="DED8EC"/>
          </w:tcPr>
          <w:p>
            <w:pPr>
              <w:spacing w:after="0" w:line="20" w:lineRule="exact"/>
              <w:rPr>
                <w:sz w:val="1"/>
                <w:szCs w:val="1"/>
                <w:color w:val="auto"/>
              </w:rPr>
            </w:pPr>
          </w:p>
        </w:tc>
        <w:tc>
          <w:tcPr>
            <w:tcW w:w="280" w:type="dxa"/>
            <w:vAlign w:val="bottom"/>
            <w:shd w:val="clear" w:color="auto" w:fill="DED8EC"/>
          </w:tcPr>
          <w:p>
            <w:pPr>
              <w:spacing w:after="0" w:line="20" w:lineRule="exact"/>
              <w:rPr>
                <w:sz w:val="1"/>
                <w:szCs w:val="1"/>
                <w:color w:val="auto"/>
              </w:rPr>
            </w:pPr>
          </w:p>
        </w:tc>
        <w:tc>
          <w:tcPr>
            <w:tcW w:w="840" w:type="dxa"/>
            <w:vAlign w:val="bottom"/>
            <w:shd w:val="clear" w:color="auto" w:fill="DED8EC"/>
          </w:tcPr>
          <w:p>
            <w:pPr>
              <w:spacing w:after="0" w:line="20" w:lineRule="exact"/>
              <w:rPr>
                <w:sz w:val="1"/>
                <w:szCs w:val="1"/>
                <w:color w:val="auto"/>
              </w:rPr>
            </w:pPr>
          </w:p>
        </w:tc>
        <w:tc>
          <w:tcPr>
            <w:tcW w:w="80" w:type="dxa"/>
            <w:vAlign w:val="bottom"/>
            <w:shd w:val="clear" w:color="auto" w:fill="DED8EC"/>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DED8EC"/>
            </w:tcBorders>
            <w:shd w:val="clear" w:color="auto" w:fill="0000EE"/>
          </w:tcPr>
          <w:p>
            <w:pPr>
              <w:spacing w:after="0" w:line="20" w:lineRule="exact"/>
              <w:rPr>
                <w:sz w:val="1"/>
                <w:szCs w:val="1"/>
                <w:color w:val="auto"/>
              </w:rPr>
            </w:pPr>
          </w:p>
        </w:tc>
        <w:tc>
          <w:tcPr>
            <w:tcW w:w="300" w:type="dxa"/>
            <w:vAlign w:val="bottom"/>
            <w:shd w:val="clear" w:color="auto" w:fill="DED8EC"/>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DED8EC"/>
          </w:tcPr>
          <w:p>
            <w:pPr>
              <w:spacing w:after="0" w:line="20" w:lineRule="exact"/>
              <w:rPr>
                <w:sz w:val="1"/>
                <w:szCs w:val="1"/>
                <w:color w:val="auto"/>
              </w:rPr>
            </w:pPr>
          </w:p>
        </w:tc>
        <w:tc>
          <w:tcPr>
            <w:tcW w:w="120" w:type="dxa"/>
            <w:vAlign w:val="bottom"/>
            <w:shd w:val="clear" w:color="auto" w:fill="DED8EC"/>
          </w:tcPr>
          <w:p>
            <w:pPr>
              <w:spacing w:after="0" w:line="20" w:lineRule="exact"/>
              <w:rPr>
                <w:sz w:val="1"/>
                <w:szCs w:val="1"/>
                <w:color w:val="auto"/>
              </w:rPr>
            </w:pPr>
          </w:p>
        </w:tc>
        <w:tc>
          <w:tcPr>
            <w:tcW w:w="900" w:type="dxa"/>
            <w:vAlign w:val="bottom"/>
            <w:shd w:val="clear" w:color="auto" w:fill="DED8EC"/>
          </w:tcPr>
          <w:p>
            <w:pPr>
              <w:spacing w:after="0" w:line="20" w:lineRule="exact"/>
              <w:rPr>
                <w:sz w:val="1"/>
                <w:szCs w:val="1"/>
                <w:color w:val="auto"/>
              </w:rPr>
            </w:pPr>
          </w:p>
        </w:tc>
        <w:tc>
          <w:tcPr>
            <w:tcW w:w="1500" w:type="dxa"/>
            <w:vAlign w:val="bottom"/>
            <w:shd w:val="clear" w:color="auto" w:fill="DED8EC"/>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DED8EC"/>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4040" w:type="dxa"/>
            <w:vAlign w:val="bottom"/>
            <w:gridSpan w:val="7"/>
            <w:shd w:val="clear" w:color="auto" w:fill="DED8EC"/>
          </w:tcPr>
          <w:p>
            <w:pPr>
              <w:ind w:left="120"/>
              <w:spacing w:after="0"/>
              <w:rPr>
                <w:sz w:val="20"/>
                <w:szCs w:val="20"/>
                <w:color w:val="auto"/>
              </w:rPr>
            </w:pPr>
            <w:r>
              <w:rPr>
                <w:rFonts w:ascii="Arial" w:cs="Arial" w:eastAsia="Arial" w:hAnsi="Arial"/>
                <w:sz w:val="16"/>
                <w:szCs w:val="16"/>
                <w:color w:val="0000EE"/>
              </w:rPr>
              <w:t>Management Committees</w:t>
            </w:r>
          </w:p>
        </w:tc>
        <w:tc>
          <w:tcPr>
            <w:tcW w:w="280" w:type="dxa"/>
            <w:vAlign w:val="bottom"/>
            <w:tcBorders>
              <w:right w:val="single" w:sz="8" w:color="DED8EC"/>
            </w:tcBorders>
            <w:gridSpan w:val="3"/>
            <w:shd w:val="clear" w:color="auto" w:fill="DED8EC"/>
          </w:tcPr>
          <w:p>
            <w:pPr>
              <w:jc w:val="right"/>
              <w:ind w:right="20"/>
              <w:spacing w:after="0"/>
              <w:rPr>
                <w:sz w:val="20"/>
                <w:szCs w:val="20"/>
                <w:color w:val="auto"/>
              </w:rPr>
            </w:pPr>
            <w:r>
              <w:rPr>
                <w:rFonts w:ascii="Arial" w:cs="Arial" w:eastAsia="Arial" w:hAnsi="Arial"/>
                <w:sz w:val="16"/>
                <w:szCs w:val="16"/>
                <w:color w:val="0000EE"/>
              </w:rPr>
              <w:t>38</w:t>
            </w:r>
          </w:p>
        </w:tc>
        <w:tc>
          <w:tcPr>
            <w:tcW w:w="4480" w:type="dxa"/>
            <w:vAlign w:val="bottom"/>
            <w:gridSpan w:val="6"/>
            <w:shd w:val="clear" w:color="auto" w:fill="DED8EC"/>
          </w:tcPr>
          <w:p>
            <w:pPr>
              <w:ind w:left="300"/>
              <w:spacing w:after="0"/>
              <w:rPr>
                <w:sz w:val="20"/>
                <w:szCs w:val="20"/>
                <w:color w:val="auto"/>
              </w:rPr>
            </w:pPr>
            <w:r>
              <w:rPr>
                <w:rFonts w:ascii="Arial" w:cs="Arial" w:eastAsia="Arial" w:hAnsi="Arial"/>
                <w:sz w:val="16"/>
                <w:szCs w:val="16"/>
                <w:color w:val="0000EE"/>
              </w:rPr>
              <w:t>Pay Versus Performance</w:t>
            </w:r>
          </w:p>
        </w:tc>
        <w:tc>
          <w:tcPr>
            <w:tcW w:w="400" w:type="dxa"/>
            <w:vAlign w:val="bottom"/>
            <w:gridSpan w:val="2"/>
            <w:shd w:val="clear" w:color="auto" w:fill="DED8EC"/>
          </w:tcPr>
          <w:p>
            <w:pPr>
              <w:jc w:val="right"/>
              <w:ind w:right="220"/>
              <w:spacing w:after="0"/>
              <w:rPr>
                <w:sz w:val="20"/>
                <w:szCs w:val="20"/>
                <w:color w:val="auto"/>
              </w:rPr>
            </w:pPr>
            <w:r>
              <w:rPr>
                <w:rFonts w:ascii="Arial" w:cs="Arial" w:eastAsia="Arial" w:hAnsi="Arial"/>
                <w:sz w:val="16"/>
                <w:szCs w:val="16"/>
                <w:color w:val="0000EE"/>
                <w:w w:val="89"/>
              </w:rPr>
              <w:t>86</w:t>
            </w:r>
          </w:p>
        </w:tc>
        <w:tc>
          <w:tcPr>
            <w:tcW w:w="82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DED8EC"/>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20" w:type="dxa"/>
            <w:vAlign w:val="bottom"/>
            <w:shd w:val="clear" w:color="auto" w:fill="DED8EC"/>
          </w:tcPr>
          <w:p>
            <w:pPr>
              <w:spacing w:after="0" w:line="20" w:lineRule="exact"/>
              <w:rPr>
                <w:sz w:val="1"/>
                <w:szCs w:val="1"/>
                <w:color w:val="auto"/>
              </w:rPr>
            </w:pPr>
          </w:p>
        </w:tc>
        <w:tc>
          <w:tcPr>
            <w:tcW w:w="420" w:type="dxa"/>
            <w:vAlign w:val="bottom"/>
            <w:shd w:val="clear" w:color="auto" w:fill="DED8EC"/>
          </w:tcPr>
          <w:p>
            <w:pPr>
              <w:spacing w:after="0" w:line="20" w:lineRule="exact"/>
              <w:rPr>
                <w:sz w:val="1"/>
                <w:szCs w:val="1"/>
                <w:color w:val="auto"/>
              </w:rPr>
            </w:pPr>
          </w:p>
        </w:tc>
        <w:tc>
          <w:tcPr>
            <w:tcW w:w="300" w:type="dxa"/>
            <w:vAlign w:val="bottom"/>
            <w:shd w:val="clear" w:color="auto" w:fill="DED8EC"/>
          </w:tcPr>
          <w:p>
            <w:pPr>
              <w:spacing w:after="0" w:line="20" w:lineRule="exact"/>
              <w:rPr>
                <w:sz w:val="1"/>
                <w:szCs w:val="1"/>
                <w:color w:val="auto"/>
              </w:rPr>
            </w:pPr>
          </w:p>
        </w:tc>
        <w:tc>
          <w:tcPr>
            <w:tcW w:w="280" w:type="dxa"/>
            <w:vAlign w:val="bottom"/>
            <w:shd w:val="clear" w:color="auto" w:fill="DED8EC"/>
          </w:tcPr>
          <w:p>
            <w:pPr>
              <w:spacing w:after="0" w:line="20" w:lineRule="exact"/>
              <w:rPr>
                <w:sz w:val="1"/>
                <w:szCs w:val="1"/>
                <w:color w:val="auto"/>
              </w:rPr>
            </w:pPr>
          </w:p>
        </w:tc>
        <w:tc>
          <w:tcPr>
            <w:tcW w:w="840" w:type="dxa"/>
            <w:vAlign w:val="bottom"/>
            <w:shd w:val="clear" w:color="auto" w:fill="DED8EC"/>
          </w:tcPr>
          <w:p>
            <w:pPr>
              <w:spacing w:after="0" w:line="20" w:lineRule="exact"/>
              <w:rPr>
                <w:sz w:val="1"/>
                <w:szCs w:val="1"/>
                <w:color w:val="auto"/>
              </w:rPr>
            </w:pPr>
          </w:p>
        </w:tc>
        <w:tc>
          <w:tcPr>
            <w:tcW w:w="80" w:type="dxa"/>
            <w:vAlign w:val="bottom"/>
            <w:shd w:val="clear" w:color="auto" w:fill="DED8EC"/>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DED8EC"/>
            </w:tcBorders>
            <w:shd w:val="clear" w:color="auto" w:fill="0000EE"/>
          </w:tcPr>
          <w:p>
            <w:pPr>
              <w:spacing w:after="0" w:line="20" w:lineRule="exact"/>
              <w:rPr>
                <w:sz w:val="1"/>
                <w:szCs w:val="1"/>
                <w:color w:val="auto"/>
              </w:rPr>
            </w:pPr>
          </w:p>
        </w:tc>
        <w:tc>
          <w:tcPr>
            <w:tcW w:w="300" w:type="dxa"/>
            <w:vAlign w:val="bottom"/>
            <w:shd w:val="clear" w:color="auto" w:fill="DED8EC"/>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DED8EC"/>
          </w:tcPr>
          <w:p>
            <w:pPr>
              <w:spacing w:after="0" w:line="20" w:lineRule="exact"/>
              <w:rPr>
                <w:sz w:val="1"/>
                <w:szCs w:val="1"/>
                <w:color w:val="auto"/>
              </w:rPr>
            </w:pPr>
          </w:p>
        </w:tc>
        <w:tc>
          <w:tcPr>
            <w:tcW w:w="1500" w:type="dxa"/>
            <w:vAlign w:val="bottom"/>
            <w:shd w:val="clear" w:color="auto" w:fill="DED8EC"/>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DED8EC"/>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4040" w:type="dxa"/>
            <w:vAlign w:val="bottom"/>
            <w:gridSpan w:val="7"/>
            <w:shd w:val="clear" w:color="auto" w:fill="DED8EC"/>
          </w:tcPr>
          <w:p>
            <w:pPr>
              <w:ind w:left="120"/>
              <w:spacing w:after="0"/>
              <w:rPr>
                <w:sz w:val="20"/>
                <w:szCs w:val="20"/>
                <w:color w:val="auto"/>
              </w:rPr>
            </w:pPr>
            <w:r>
              <w:rPr>
                <w:rFonts w:ascii="Arial" w:cs="Arial" w:eastAsia="Arial" w:hAnsi="Arial"/>
                <w:sz w:val="16"/>
                <w:szCs w:val="16"/>
                <w:color w:val="0000EE"/>
              </w:rPr>
              <w:t>Response to Shareholder Engagement</w:t>
            </w:r>
          </w:p>
        </w:tc>
        <w:tc>
          <w:tcPr>
            <w:tcW w:w="280" w:type="dxa"/>
            <w:vAlign w:val="bottom"/>
            <w:tcBorders>
              <w:right w:val="single" w:sz="8" w:color="DED8EC"/>
            </w:tcBorders>
            <w:gridSpan w:val="3"/>
            <w:shd w:val="clear" w:color="auto" w:fill="DED8EC"/>
          </w:tcPr>
          <w:p>
            <w:pPr>
              <w:jc w:val="right"/>
              <w:ind w:right="20"/>
              <w:spacing w:after="0"/>
              <w:rPr>
                <w:sz w:val="20"/>
                <w:szCs w:val="20"/>
                <w:color w:val="auto"/>
              </w:rPr>
            </w:pPr>
            <w:r>
              <w:rPr>
                <w:rFonts w:ascii="Arial" w:cs="Arial" w:eastAsia="Arial" w:hAnsi="Arial"/>
                <w:sz w:val="16"/>
                <w:szCs w:val="16"/>
                <w:color w:val="0000EE"/>
              </w:rPr>
              <w:t>40</w:t>
            </w:r>
          </w:p>
        </w:tc>
        <w:tc>
          <w:tcPr>
            <w:tcW w:w="300" w:type="dxa"/>
            <w:vAlign w:val="bottom"/>
            <w:shd w:val="clear" w:color="auto" w:fill="DED8EC"/>
          </w:tcPr>
          <w:p>
            <w:pPr>
              <w:spacing w:after="0"/>
              <w:rPr>
                <w:sz w:val="20"/>
                <w:szCs w:val="20"/>
                <w:color w:val="auto"/>
              </w:rPr>
            </w:pPr>
          </w:p>
        </w:tc>
        <w:tc>
          <w:tcPr>
            <w:tcW w:w="1100" w:type="dxa"/>
            <w:vAlign w:val="bottom"/>
            <w:shd w:val="clear" w:color="auto" w:fill="DED8EC"/>
          </w:tcPr>
          <w:p>
            <w:pPr>
              <w:spacing w:after="0"/>
              <w:rPr>
                <w:sz w:val="20"/>
                <w:szCs w:val="20"/>
                <w:color w:val="auto"/>
              </w:rPr>
            </w:pPr>
          </w:p>
        </w:tc>
        <w:tc>
          <w:tcPr>
            <w:tcW w:w="560" w:type="dxa"/>
            <w:vAlign w:val="bottom"/>
            <w:shd w:val="clear" w:color="auto" w:fill="DED8EC"/>
          </w:tcPr>
          <w:p>
            <w:pPr>
              <w:spacing w:after="0"/>
              <w:rPr>
                <w:sz w:val="20"/>
                <w:szCs w:val="20"/>
                <w:color w:val="auto"/>
              </w:rPr>
            </w:pPr>
          </w:p>
        </w:tc>
        <w:tc>
          <w:tcPr>
            <w:tcW w:w="120" w:type="dxa"/>
            <w:vAlign w:val="bottom"/>
            <w:shd w:val="clear" w:color="auto" w:fill="DED8EC"/>
          </w:tcPr>
          <w:p>
            <w:pPr>
              <w:spacing w:after="0"/>
              <w:rPr>
                <w:sz w:val="20"/>
                <w:szCs w:val="20"/>
                <w:color w:val="auto"/>
              </w:rPr>
            </w:pPr>
          </w:p>
        </w:tc>
        <w:tc>
          <w:tcPr>
            <w:tcW w:w="900" w:type="dxa"/>
            <w:vAlign w:val="bottom"/>
            <w:shd w:val="clear" w:color="auto" w:fill="DED8EC"/>
          </w:tcPr>
          <w:p>
            <w:pPr>
              <w:spacing w:after="0"/>
              <w:rPr>
                <w:sz w:val="20"/>
                <w:szCs w:val="20"/>
                <w:color w:val="auto"/>
              </w:rPr>
            </w:pPr>
          </w:p>
        </w:tc>
        <w:tc>
          <w:tcPr>
            <w:tcW w:w="1500" w:type="dxa"/>
            <w:vAlign w:val="bottom"/>
            <w:shd w:val="clear" w:color="auto" w:fill="DED8EC"/>
          </w:tcPr>
          <w:p>
            <w:pPr>
              <w:spacing w:after="0"/>
              <w:rPr>
                <w:sz w:val="20"/>
                <w:szCs w:val="20"/>
                <w:color w:val="auto"/>
              </w:rPr>
            </w:pPr>
          </w:p>
        </w:tc>
        <w:tc>
          <w:tcPr>
            <w:tcW w:w="180" w:type="dxa"/>
            <w:vAlign w:val="bottom"/>
            <w:shd w:val="clear" w:color="auto" w:fill="DED8EC"/>
          </w:tcPr>
          <w:p>
            <w:pPr>
              <w:spacing w:after="0"/>
              <w:rPr>
                <w:sz w:val="20"/>
                <w:szCs w:val="20"/>
                <w:color w:val="auto"/>
              </w:rPr>
            </w:pPr>
          </w:p>
        </w:tc>
        <w:tc>
          <w:tcPr>
            <w:tcW w:w="220" w:type="dxa"/>
            <w:vAlign w:val="bottom"/>
            <w:shd w:val="clear" w:color="auto" w:fill="DED8EC"/>
          </w:tcPr>
          <w:p>
            <w:pPr>
              <w:spacing w:after="0"/>
              <w:rPr>
                <w:sz w:val="20"/>
                <w:szCs w:val="20"/>
                <w:color w:val="auto"/>
              </w:rPr>
            </w:pPr>
          </w:p>
        </w:tc>
        <w:tc>
          <w:tcPr>
            <w:tcW w:w="820" w:type="dxa"/>
            <w:vAlign w:val="bottom"/>
          </w:tcPr>
          <w:p>
            <w:pPr>
              <w:spacing w:after="0"/>
              <w:rPr>
                <w:sz w:val="20"/>
                <w:szCs w:val="20"/>
                <w:color w:val="auto"/>
              </w:rPr>
            </w:pPr>
          </w:p>
        </w:tc>
      </w:tr>
      <w:tr>
        <w:trPr>
          <w:trHeight w:val="277"/>
        </w:trPr>
        <w:tc>
          <w:tcPr>
            <w:tcW w:w="1000" w:type="dxa"/>
            <w:vAlign w:val="bottom"/>
          </w:tcPr>
          <w:p>
            <w:pPr>
              <w:spacing w:after="0"/>
              <w:rPr>
                <w:sz w:val="24"/>
                <w:szCs w:val="24"/>
                <w:color w:val="auto"/>
              </w:rPr>
            </w:pPr>
          </w:p>
        </w:tc>
        <w:tc>
          <w:tcPr>
            <w:tcW w:w="120" w:type="dxa"/>
            <w:vAlign w:val="bottom"/>
            <w:tcBorders>
              <w:top w:val="single" w:sz="8" w:color="DED8EC"/>
            </w:tcBorders>
            <w:shd w:val="clear" w:color="auto" w:fill="DED8EC"/>
          </w:tcPr>
          <w:p>
            <w:pPr>
              <w:spacing w:after="0"/>
              <w:rPr>
                <w:sz w:val="24"/>
                <w:szCs w:val="24"/>
                <w:color w:val="auto"/>
              </w:rPr>
            </w:pPr>
          </w:p>
        </w:tc>
        <w:tc>
          <w:tcPr>
            <w:tcW w:w="1860" w:type="dxa"/>
            <w:vAlign w:val="bottom"/>
            <w:tcBorders>
              <w:top w:val="single" w:sz="8" w:color="0000EE"/>
            </w:tcBorders>
            <w:shd w:val="clear" w:color="auto" w:fill="DED8EC"/>
          </w:tcPr>
          <w:p>
            <w:pPr>
              <w:spacing w:after="0"/>
              <w:rPr>
                <w:sz w:val="24"/>
                <w:szCs w:val="24"/>
                <w:color w:val="auto"/>
              </w:rPr>
            </w:pPr>
          </w:p>
        </w:tc>
        <w:tc>
          <w:tcPr>
            <w:tcW w:w="220" w:type="dxa"/>
            <w:vAlign w:val="bottom"/>
            <w:tcBorders>
              <w:top w:val="single" w:sz="8" w:color="0000EE"/>
            </w:tcBorders>
            <w:shd w:val="clear" w:color="auto" w:fill="DED8EC"/>
          </w:tcPr>
          <w:p>
            <w:pPr>
              <w:spacing w:after="0"/>
              <w:rPr>
                <w:sz w:val="24"/>
                <w:szCs w:val="24"/>
                <w:color w:val="auto"/>
              </w:rPr>
            </w:pPr>
          </w:p>
        </w:tc>
        <w:tc>
          <w:tcPr>
            <w:tcW w:w="420" w:type="dxa"/>
            <w:vAlign w:val="bottom"/>
            <w:tcBorders>
              <w:top w:val="single" w:sz="8" w:color="0000EE"/>
            </w:tcBorders>
            <w:shd w:val="clear" w:color="auto" w:fill="DED8EC"/>
          </w:tcPr>
          <w:p>
            <w:pPr>
              <w:spacing w:after="0"/>
              <w:rPr>
                <w:sz w:val="24"/>
                <w:szCs w:val="24"/>
                <w:color w:val="auto"/>
              </w:rPr>
            </w:pPr>
          </w:p>
        </w:tc>
        <w:tc>
          <w:tcPr>
            <w:tcW w:w="300" w:type="dxa"/>
            <w:vAlign w:val="bottom"/>
            <w:tcBorders>
              <w:top w:val="single" w:sz="8" w:color="0000EE"/>
            </w:tcBorders>
            <w:shd w:val="clear" w:color="auto" w:fill="DED8EC"/>
          </w:tcPr>
          <w:p>
            <w:pPr>
              <w:spacing w:after="0"/>
              <w:rPr>
                <w:sz w:val="24"/>
                <w:szCs w:val="24"/>
                <w:color w:val="auto"/>
              </w:rPr>
            </w:pPr>
          </w:p>
        </w:tc>
        <w:tc>
          <w:tcPr>
            <w:tcW w:w="280" w:type="dxa"/>
            <w:vAlign w:val="bottom"/>
            <w:tcBorders>
              <w:top w:val="single" w:sz="8" w:color="DED8EC"/>
            </w:tcBorders>
            <w:shd w:val="clear" w:color="auto" w:fill="DED8EC"/>
          </w:tcPr>
          <w:p>
            <w:pPr>
              <w:spacing w:after="0"/>
              <w:rPr>
                <w:sz w:val="24"/>
                <w:szCs w:val="24"/>
                <w:color w:val="auto"/>
              </w:rPr>
            </w:pPr>
          </w:p>
        </w:tc>
        <w:tc>
          <w:tcPr>
            <w:tcW w:w="840" w:type="dxa"/>
            <w:vAlign w:val="bottom"/>
            <w:tcBorders>
              <w:top w:val="single" w:sz="8" w:color="DED8EC"/>
            </w:tcBorders>
            <w:shd w:val="clear" w:color="auto" w:fill="DED8EC"/>
          </w:tcPr>
          <w:p>
            <w:pPr>
              <w:spacing w:after="0"/>
              <w:rPr>
                <w:sz w:val="24"/>
                <w:szCs w:val="24"/>
                <w:color w:val="auto"/>
              </w:rPr>
            </w:pPr>
          </w:p>
        </w:tc>
        <w:tc>
          <w:tcPr>
            <w:tcW w:w="80" w:type="dxa"/>
            <w:vAlign w:val="bottom"/>
            <w:tcBorders>
              <w:top w:val="single" w:sz="8" w:color="DED8EC"/>
            </w:tcBorders>
            <w:shd w:val="clear" w:color="auto" w:fill="DED8EC"/>
          </w:tcPr>
          <w:p>
            <w:pPr>
              <w:spacing w:after="0"/>
              <w:rPr>
                <w:sz w:val="24"/>
                <w:szCs w:val="24"/>
                <w:color w:val="auto"/>
              </w:rPr>
            </w:pPr>
          </w:p>
        </w:tc>
        <w:tc>
          <w:tcPr>
            <w:tcW w:w="100" w:type="dxa"/>
            <w:vAlign w:val="bottom"/>
            <w:tcBorders>
              <w:top w:val="single" w:sz="8" w:color="0000EE"/>
            </w:tcBorders>
            <w:shd w:val="clear" w:color="auto" w:fill="DED8EC"/>
          </w:tcPr>
          <w:p>
            <w:pPr>
              <w:spacing w:after="0"/>
              <w:rPr>
                <w:sz w:val="24"/>
                <w:szCs w:val="24"/>
                <w:color w:val="auto"/>
              </w:rPr>
            </w:pPr>
          </w:p>
        </w:tc>
        <w:tc>
          <w:tcPr>
            <w:tcW w:w="100" w:type="dxa"/>
            <w:vAlign w:val="bottom"/>
            <w:tcBorders>
              <w:top w:val="single" w:sz="8" w:color="0000EE"/>
              <w:right w:val="single" w:sz="8" w:color="DED8EC"/>
            </w:tcBorders>
            <w:shd w:val="clear" w:color="auto" w:fill="DED8EC"/>
          </w:tcPr>
          <w:p>
            <w:pPr>
              <w:spacing w:after="0"/>
              <w:rPr>
                <w:sz w:val="24"/>
                <w:szCs w:val="24"/>
                <w:color w:val="auto"/>
              </w:rPr>
            </w:pPr>
          </w:p>
        </w:tc>
        <w:tc>
          <w:tcPr>
            <w:tcW w:w="300" w:type="dxa"/>
            <w:vAlign w:val="bottom"/>
            <w:tcBorders>
              <w:top w:val="single" w:sz="8" w:color="DED8EC"/>
            </w:tcBorders>
            <w:shd w:val="clear" w:color="auto" w:fill="DED8EC"/>
          </w:tcPr>
          <w:p>
            <w:pPr>
              <w:spacing w:after="0"/>
              <w:rPr>
                <w:sz w:val="24"/>
                <w:szCs w:val="24"/>
                <w:color w:val="auto"/>
              </w:rPr>
            </w:pPr>
          </w:p>
        </w:tc>
        <w:tc>
          <w:tcPr>
            <w:tcW w:w="1100" w:type="dxa"/>
            <w:vAlign w:val="bottom"/>
            <w:tcBorders>
              <w:top w:val="single" w:sz="8" w:color="DED8EC"/>
            </w:tcBorders>
            <w:shd w:val="clear" w:color="auto" w:fill="DED8EC"/>
          </w:tcPr>
          <w:p>
            <w:pPr>
              <w:spacing w:after="0"/>
              <w:rPr>
                <w:sz w:val="24"/>
                <w:szCs w:val="24"/>
                <w:color w:val="auto"/>
              </w:rPr>
            </w:pPr>
          </w:p>
        </w:tc>
        <w:tc>
          <w:tcPr>
            <w:tcW w:w="560" w:type="dxa"/>
            <w:vAlign w:val="bottom"/>
            <w:tcBorders>
              <w:top w:val="single" w:sz="8" w:color="DED8EC"/>
            </w:tcBorders>
            <w:shd w:val="clear" w:color="auto" w:fill="DED8EC"/>
          </w:tcPr>
          <w:p>
            <w:pPr>
              <w:spacing w:after="0"/>
              <w:rPr>
                <w:sz w:val="24"/>
                <w:szCs w:val="24"/>
                <w:color w:val="auto"/>
              </w:rPr>
            </w:pPr>
          </w:p>
        </w:tc>
        <w:tc>
          <w:tcPr>
            <w:tcW w:w="120" w:type="dxa"/>
            <w:vAlign w:val="bottom"/>
            <w:tcBorders>
              <w:top w:val="single" w:sz="8" w:color="DED8EC"/>
            </w:tcBorders>
            <w:shd w:val="clear" w:color="auto" w:fill="DED8EC"/>
          </w:tcPr>
          <w:p>
            <w:pPr>
              <w:spacing w:after="0"/>
              <w:rPr>
                <w:sz w:val="24"/>
                <w:szCs w:val="24"/>
                <w:color w:val="auto"/>
              </w:rPr>
            </w:pPr>
          </w:p>
        </w:tc>
        <w:tc>
          <w:tcPr>
            <w:tcW w:w="900" w:type="dxa"/>
            <w:vAlign w:val="bottom"/>
            <w:tcBorders>
              <w:top w:val="single" w:sz="8" w:color="DED8EC"/>
            </w:tcBorders>
            <w:shd w:val="clear" w:color="auto" w:fill="DED8EC"/>
          </w:tcPr>
          <w:p>
            <w:pPr>
              <w:spacing w:after="0"/>
              <w:rPr>
                <w:sz w:val="24"/>
                <w:szCs w:val="24"/>
                <w:color w:val="auto"/>
              </w:rPr>
            </w:pPr>
          </w:p>
        </w:tc>
        <w:tc>
          <w:tcPr>
            <w:tcW w:w="1500" w:type="dxa"/>
            <w:vAlign w:val="bottom"/>
            <w:tcBorders>
              <w:top w:val="single" w:sz="8" w:color="DED8EC"/>
            </w:tcBorders>
            <w:shd w:val="clear" w:color="auto" w:fill="DED8EC"/>
          </w:tcPr>
          <w:p>
            <w:pPr>
              <w:spacing w:after="0"/>
              <w:rPr>
                <w:sz w:val="24"/>
                <w:szCs w:val="24"/>
                <w:color w:val="auto"/>
              </w:rPr>
            </w:pPr>
          </w:p>
        </w:tc>
        <w:tc>
          <w:tcPr>
            <w:tcW w:w="180" w:type="dxa"/>
            <w:vAlign w:val="bottom"/>
            <w:tcBorders>
              <w:top w:val="single" w:sz="8" w:color="DED8EC"/>
            </w:tcBorders>
            <w:shd w:val="clear" w:color="auto" w:fill="DED8EC"/>
          </w:tcPr>
          <w:p>
            <w:pPr>
              <w:spacing w:after="0"/>
              <w:rPr>
                <w:sz w:val="24"/>
                <w:szCs w:val="24"/>
                <w:color w:val="auto"/>
              </w:rPr>
            </w:pPr>
          </w:p>
        </w:tc>
        <w:tc>
          <w:tcPr>
            <w:tcW w:w="220" w:type="dxa"/>
            <w:vAlign w:val="bottom"/>
            <w:tcBorders>
              <w:top w:val="single" w:sz="8" w:color="DED8EC"/>
            </w:tcBorders>
            <w:shd w:val="clear" w:color="auto" w:fill="DED8EC"/>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vii</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Helpful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You Can Find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https://investors.pennentertainment.com/reports-filings/annual-reports</w:t>
      </w:r>
    </w:p>
    <w:p>
      <w:pPr>
        <w:spacing w:after="0" w:line="95"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b w:val="1"/>
          <w:bCs w:val="1"/>
          <w:color w:val="auto"/>
        </w:rPr>
        <w:t xml:space="preserve">Annual Report: </w:t>
      </w:r>
      <w:r>
        <w:rPr>
          <w:rFonts w:ascii="Arial" w:cs="Arial" w:eastAsia="Arial" w:hAnsi="Arial"/>
          <w:sz w:val="14"/>
          <w:szCs w:val="14"/>
          <w:color w:val="auto"/>
        </w:rPr>
        <w:t>https://investors.pennentertainment.com/reports-filings/annual-reports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 Your Proxy via the Internet Before the Annual Meeting: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www.proxyvote.com</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15" w:lineRule="exact"/>
        <w:rPr>
          <w:sz w:val="20"/>
          <w:szCs w:val="20"/>
          <w:color w:val="auto"/>
        </w:rPr>
      </w:pPr>
    </w:p>
    <w:p>
      <w:pPr>
        <w:ind w:right="520"/>
        <w:spacing w:after="0" w:line="264" w:lineRule="auto"/>
        <w:rPr>
          <w:sz w:val="20"/>
          <w:szCs w:val="20"/>
          <w:color w:val="auto"/>
        </w:rPr>
      </w:pPr>
      <w:r>
        <w:rPr>
          <w:rFonts w:ascii="Arial" w:cs="Arial" w:eastAsia="Arial" w:hAnsi="Arial"/>
          <w:sz w:val="14"/>
          <w:szCs w:val="14"/>
          <w:color w:val="auto"/>
        </w:rPr>
        <w:t>https://www.pennentertainment.com/corp/investors/corporate-governance</w:t>
      </w:r>
    </w:p>
    <w:p>
      <w:pPr>
        <w:spacing w:after="0" w:line="131"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b w:val="1"/>
          <w:bCs w:val="1"/>
          <w:color w:val="auto"/>
        </w:rPr>
        <w:t xml:space="preserve">Communications with the Board </w:t>
      </w:r>
      <w:r>
        <w:rPr>
          <w:rFonts w:ascii="Arial" w:cs="Arial" w:eastAsia="Arial" w:hAnsi="Arial"/>
          <w:sz w:val="14"/>
          <w:szCs w:val="14"/>
          <w:color w:val="auto"/>
        </w:rPr>
        <w:t>https://www.pennentertainment.com/corp/our-company/contact-us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Governance Documents</w:t>
      </w:r>
    </w:p>
    <w:p>
      <w:pPr>
        <w:spacing w:after="0" w:line="15" w:lineRule="exact"/>
        <w:rPr>
          <w:sz w:val="20"/>
          <w:szCs w:val="20"/>
          <w:color w:val="auto"/>
        </w:rPr>
      </w:pPr>
    </w:p>
    <w:p>
      <w:pPr>
        <w:ind w:right="520"/>
        <w:spacing w:after="0" w:line="264" w:lineRule="auto"/>
        <w:rPr>
          <w:sz w:val="20"/>
          <w:szCs w:val="20"/>
          <w:color w:val="auto"/>
        </w:rPr>
      </w:pPr>
      <w:r>
        <w:rPr>
          <w:rFonts w:ascii="Arial" w:cs="Arial" w:eastAsia="Arial" w:hAnsi="Arial"/>
          <w:sz w:val="14"/>
          <w:szCs w:val="14"/>
          <w:color w:val="auto"/>
        </w:rPr>
        <w:t>https://www.pennentertainment.com/corp/investors/corporate-governance</w:t>
      </w:r>
    </w:p>
    <w:p>
      <w:pPr>
        <w:spacing w:after="0" w:line="64" w:lineRule="exact"/>
        <w:rPr>
          <w:sz w:val="20"/>
          <w:szCs w:val="20"/>
          <w:color w:val="auto"/>
        </w:rPr>
      </w:pPr>
    </w:p>
    <w:p>
      <w:pPr>
        <w:ind w:left="80" w:hanging="74"/>
        <w:spacing w:after="0"/>
        <w:tabs>
          <w:tab w:leader="none" w:pos="8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Corporate Governance Guidelines</w:t>
      </w:r>
    </w:p>
    <w:p>
      <w:pPr>
        <w:spacing w:after="0" w:line="109" w:lineRule="exact"/>
        <w:rPr>
          <w:rFonts w:ascii="Arial" w:cs="Arial" w:eastAsia="Arial" w:hAnsi="Arial"/>
          <w:sz w:val="14"/>
          <w:szCs w:val="14"/>
          <w:color w:val="auto"/>
        </w:rPr>
      </w:pPr>
    </w:p>
    <w:p>
      <w:pPr>
        <w:ind w:left="80" w:hanging="74"/>
        <w:spacing w:after="0"/>
        <w:tabs>
          <w:tab w:leader="none" w:pos="8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Code of Business Conduct</w:t>
      </w:r>
    </w:p>
    <w:p>
      <w:pPr>
        <w:spacing w:after="0" w:line="109" w:lineRule="exact"/>
        <w:rPr>
          <w:rFonts w:ascii="Arial" w:cs="Arial" w:eastAsia="Arial" w:hAnsi="Arial"/>
          <w:sz w:val="14"/>
          <w:szCs w:val="14"/>
          <w:color w:val="auto"/>
        </w:rPr>
      </w:pPr>
    </w:p>
    <w:p>
      <w:pPr>
        <w:ind w:left="80" w:hanging="74"/>
        <w:spacing w:after="0"/>
        <w:tabs>
          <w:tab w:leader="none" w:pos="8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Nominating/Corporate Governance Charter</w:t>
      </w:r>
    </w:p>
    <w:p>
      <w:pPr>
        <w:spacing w:after="0" w:line="109" w:lineRule="exact"/>
        <w:rPr>
          <w:rFonts w:ascii="Arial" w:cs="Arial" w:eastAsia="Arial" w:hAnsi="Arial"/>
          <w:sz w:val="14"/>
          <w:szCs w:val="14"/>
          <w:color w:val="auto"/>
        </w:rPr>
      </w:pPr>
    </w:p>
    <w:p>
      <w:pPr>
        <w:ind w:left="80" w:hanging="74"/>
        <w:spacing w:after="0"/>
        <w:tabs>
          <w:tab w:leader="none" w:pos="8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Audit Committee Charter</w:t>
      </w:r>
    </w:p>
    <w:p>
      <w:pPr>
        <w:spacing w:after="0" w:line="109" w:lineRule="exact"/>
        <w:rPr>
          <w:rFonts w:ascii="Arial" w:cs="Arial" w:eastAsia="Arial" w:hAnsi="Arial"/>
          <w:sz w:val="14"/>
          <w:szCs w:val="14"/>
          <w:color w:val="auto"/>
        </w:rPr>
      </w:pPr>
    </w:p>
    <w:p>
      <w:pPr>
        <w:ind w:left="80" w:hanging="74"/>
        <w:spacing w:after="0"/>
        <w:tabs>
          <w:tab w:leader="none" w:pos="8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Compensation Committee Charter</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https://www.pennentertainment.com/corp/investors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Sustainability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https://www.pennentertainment.com/corp/corporate-responsibility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Definition of Certain Terms or Abbreviations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284607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46070" cy="342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0" w:type="dxa"/>
            <w:vAlign w:val="bottom"/>
          </w:tcPr>
          <w:p>
            <w:pPr>
              <w:ind w:left="160"/>
              <w:spacing w:after="0"/>
              <w:rPr>
                <w:sz w:val="20"/>
                <w:szCs w:val="20"/>
                <w:color w:val="auto"/>
              </w:rPr>
            </w:pPr>
            <w:r>
              <w:rPr>
                <w:rFonts w:ascii="Arial" w:cs="Arial" w:eastAsia="Arial" w:hAnsi="Arial"/>
                <w:sz w:val="14"/>
                <w:szCs w:val="14"/>
                <w:b w:val="1"/>
                <w:bCs w:val="1"/>
                <w:color w:val="010035"/>
              </w:rPr>
              <w:t>CD&amp;A</w:t>
            </w:r>
          </w:p>
        </w:tc>
        <w:tc>
          <w:tcPr>
            <w:tcW w:w="3280" w:type="dxa"/>
            <w:vAlign w:val="bottom"/>
          </w:tcPr>
          <w:p>
            <w:pPr>
              <w:ind w:left="200"/>
              <w:spacing w:after="0"/>
              <w:rPr>
                <w:sz w:val="20"/>
                <w:szCs w:val="20"/>
                <w:color w:val="auto"/>
              </w:rPr>
            </w:pPr>
            <w:r>
              <w:rPr>
                <w:rFonts w:ascii="Arial" w:cs="Arial" w:eastAsia="Arial" w:hAnsi="Arial"/>
                <w:sz w:val="14"/>
                <w:szCs w:val="14"/>
                <w:color w:val="010035"/>
              </w:rPr>
              <w:t>Compensation Discussion and Analysis</w:t>
            </w:r>
          </w:p>
        </w:tc>
      </w:tr>
      <w:tr>
        <w:trPr>
          <w:trHeight w:val="110"/>
        </w:trPr>
        <w:tc>
          <w:tcPr>
            <w:tcW w:w="1200" w:type="dxa"/>
            <w:vAlign w:val="bottom"/>
          </w:tcPr>
          <w:p>
            <w:pPr>
              <w:spacing w:after="0"/>
              <w:rPr>
                <w:sz w:val="9"/>
                <w:szCs w:val="9"/>
                <w:color w:val="auto"/>
              </w:rPr>
            </w:pPr>
          </w:p>
        </w:tc>
        <w:tc>
          <w:tcPr>
            <w:tcW w:w="3280" w:type="dxa"/>
            <w:vAlign w:val="bottom"/>
          </w:tcPr>
          <w:p>
            <w:pPr>
              <w:spacing w:after="0"/>
              <w:rPr>
                <w:sz w:val="9"/>
                <w:szCs w:val="9"/>
                <w:color w:val="auto"/>
              </w:rPr>
            </w:pPr>
          </w:p>
        </w:tc>
      </w:tr>
      <w:tr>
        <w:trPr>
          <w:trHeight w:val="308"/>
        </w:trPr>
        <w:tc>
          <w:tcPr>
            <w:tcW w:w="1200" w:type="dxa"/>
            <w:vAlign w:val="bottom"/>
            <w:shd w:val="clear" w:color="auto" w:fill="DED8EC"/>
          </w:tcPr>
          <w:p>
            <w:pPr>
              <w:ind w:left="160"/>
              <w:spacing w:after="0"/>
              <w:rPr>
                <w:sz w:val="20"/>
                <w:szCs w:val="20"/>
                <w:color w:val="auto"/>
              </w:rPr>
            </w:pPr>
            <w:r>
              <w:rPr>
                <w:rFonts w:ascii="Arial" w:cs="Arial" w:eastAsia="Arial" w:hAnsi="Arial"/>
                <w:sz w:val="14"/>
                <w:szCs w:val="14"/>
                <w:b w:val="1"/>
                <w:bCs w:val="1"/>
                <w:color w:val="010035"/>
              </w:rPr>
              <w:t>CEO</w:t>
            </w:r>
          </w:p>
        </w:tc>
        <w:tc>
          <w:tcPr>
            <w:tcW w:w="3280" w:type="dxa"/>
            <w:vAlign w:val="bottom"/>
            <w:shd w:val="clear" w:color="auto" w:fill="DED8EC"/>
          </w:tcPr>
          <w:p>
            <w:pPr>
              <w:ind w:left="200"/>
              <w:spacing w:after="0"/>
              <w:rPr>
                <w:sz w:val="20"/>
                <w:szCs w:val="20"/>
                <w:color w:val="auto"/>
              </w:rPr>
            </w:pPr>
            <w:r>
              <w:rPr>
                <w:rFonts w:ascii="Arial" w:cs="Arial" w:eastAsia="Arial" w:hAnsi="Arial"/>
                <w:sz w:val="14"/>
                <w:szCs w:val="14"/>
                <w:color w:val="010035"/>
              </w:rPr>
              <w:t>Chief Executive Officer</w:t>
            </w:r>
          </w:p>
        </w:tc>
      </w:tr>
      <w:tr>
        <w:trPr>
          <w:trHeight w:val="110"/>
        </w:trPr>
        <w:tc>
          <w:tcPr>
            <w:tcW w:w="1200" w:type="dxa"/>
            <w:vAlign w:val="bottom"/>
            <w:shd w:val="clear" w:color="auto" w:fill="DED8EC"/>
          </w:tcPr>
          <w:p>
            <w:pPr>
              <w:spacing w:after="0"/>
              <w:rPr>
                <w:sz w:val="9"/>
                <w:szCs w:val="9"/>
                <w:color w:val="auto"/>
              </w:rPr>
            </w:pPr>
          </w:p>
        </w:tc>
        <w:tc>
          <w:tcPr>
            <w:tcW w:w="3280" w:type="dxa"/>
            <w:vAlign w:val="bottom"/>
            <w:shd w:val="clear" w:color="auto" w:fill="DED8EC"/>
          </w:tcPr>
          <w:p>
            <w:pPr>
              <w:spacing w:after="0"/>
              <w:rPr>
                <w:sz w:val="9"/>
                <w:szCs w:val="9"/>
                <w:color w:val="auto"/>
              </w:rPr>
            </w:pPr>
          </w:p>
        </w:tc>
      </w:tr>
      <w:tr>
        <w:trPr>
          <w:trHeight w:val="308"/>
        </w:trPr>
        <w:tc>
          <w:tcPr>
            <w:tcW w:w="1200" w:type="dxa"/>
            <w:vAlign w:val="bottom"/>
          </w:tcPr>
          <w:p>
            <w:pPr>
              <w:ind w:left="160"/>
              <w:spacing w:after="0"/>
              <w:rPr>
                <w:sz w:val="20"/>
                <w:szCs w:val="20"/>
                <w:color w:val="auto"/>
              </w:rPr>
            </w:pPr>
            <w:r>
              <w:rPr>
                <w:rFonts w:ascii="Arial" w:cs="Arial" w:eastAsia="Arial" w:hAnsi="Arial"/>
                <w:sz w:val="14"/>
                <w:szCs w:val="14"/>
                <w:b w:val="1"/>
                <w:bCs w:val="1"/>
                <w:color w:val="010035"/>
              </w:rPr>
              <w:t>CFO</w:t>
            </w:r>
          </w:p>
        </w:tc>
        <w:tc>
          <w:tcPr>
            <w:tcW w:w="3280" w:type="dxa"/>
            <w:vAlign w:val="bottom"/>
          </w:tcPr>
          <w:p>
            <w:pPr>
              <w:ind w:left="200"/>
              <w:spacing w:after="0"/>
              <w:rPr>
                <w:sz w:val="20"/>
                <w:szCs w:val="20"/>
                <w:color w:val="auto"/>
              </w:rPr>
            </w:pPr>
            <w:r>
              <w:rPr>
                <w:rFonts w:ascii="Arial" w:cs="Arial" w:eastAsia="Arial" w:hAnsi="Arial"/>
                <w:sz w:val="14"/>
                <w:szCs w:val="14"/>
                <w:color w:val="010035"/>
              </w:rPr>
              <w:t>Chief Financial Officer</w:t>
            </w:r>
          </w:p>
        </w:tc>
      </w:tr>
      <w:tr>
        <w:trPr>
          <w:trHeight w:val="110"/>
        </w:trPr>
        <w:tc>
          <w:tcPr>
            <w:tcW w:w="1200" w:type="dxa"/>
            <w:vAlign w:val="bottom"/>
          </w:tcPr>
          <w:p>
            <w:pPr>
              <w:spacing w:after="0"/>
              <w:rPr>
                <w:sz w:val="9"/>
                <w:szCs w:val="9"/>
                <w:color w:val="auto"/>
              </w:rPr>
            </w:pPr>
          </w:p>
        </w:tc>
        <w:tc>
          <w:tcPr>
            <w:tcW w:w="3280" w:type="dxa"/>
            <w:vAlign w:val="bottom"/>
          </w:tcPr>
          <w:p>
            <w:pPr>
              <w:spacing w:after="0"/>
              <w:rPr>
                <w:sz w:val="9"/>
                <w:szCs w:val="9"/>
                <w:color w:val="auto"/>
              </w:rPr>
            </w:pPr>
          </w:p>
        </w:tc>
      </w:tr>
      <w:tr>
        <w:trPr>
          <w:trHeight w:val="274"/>
        </w:trPr>
        <w:tc>
          <w:tcPr>
            <w:tcW w:w="1200" w:type="dxa"/>
            <w:vAlign w:val="bottom"/>
            <w:shd w:val="clear" w:color="auto" w:fill="DED8EC"/>
          </w:tcPr>
          <w:p>
            <w:pPr>
              <w:ind w:left="160"/>
              <w:spacing w:after="0"/>
              <w:rPr>
                <w:sz w:val="20"/>
                <w:szCs w:val="20"/>
                <w:color w:val="auto"/>
              </w:rPr>
            </w:pPr>
            <w:r>
              <w:rPr>
                <w:rFonts w:ascii="Arial" w:cs="Arial" w:eastAsia="Arial" w:hAnsi="Arial"/>
                <w:sz w:val="14"/>
                <w:szCs w:val="14"/>
                <w:b w:val="1"/>
                <w:bCs w:val="1"/>
                <w:color w:val="010035"/>
              </w:rPr>
              <w:t>Committees</w:t>
            </w:r>
          </w:p>
        </w:tc>
        <w:tc>
          <w:tcPr>
            <w:tcW w:w="3280" w:type="dxa"/>
            <w:vAlign w:val="bottom"/>
            <w:shd w:val="clear" w:color="auto" w:fill="DED8EC"/>
          </w:tcPr>
          <w:p>
            <w:pPr>
              <w:ind w:left="200"/>
              <w:spacing w:after="0"/>
              <w:rPr>
                <w:sz w:val="20"/>
                <w:szCs w:val="20"/>
                <w:color w:val="auto"/>
              </w:rPr>
            </w:pPr>
            <w:r>
              <w:rPr>
                <w:rFonts w:ascii="Arial" w:cs="Arial" w:eastAsia="Arial" w:hAnsi="Arial"/>
                <w:sz w:val="14"/>
                <w:szCs w:val="14"/>
                <w:color w:val="010035"/>
              </w:rPr>
              <w:t>Audit; Compensation; Compliance; and</w:t>
            </w:r>
          </w:p>
        </w:tc>
      </w:tr>
      <w:tr>
        <w:trPr>
          <w:trHeight w:val="162"/>
        </w:trPr>
        <w:tc>
          <w:tcPr>
            <w:tcW w:w="1200" w:type="dxa"/>
            <w:vAlign w:val="bottom"/>
            <w:shd w:val="clear" w:color="auto" w:fill="DED8EC"/>
          </w:tcPr>
          <w:p>
            <w:pPr>
              <w:spacing w:after="0"/>
              <w:rPr>
                <w:sz w:val="14"/>
                <w:szCs w:val="14"/>
                <w:color w:val="auto"/>
              </w:rPr>
            </w:pPr>
          </w:p>
        </w:tc>
        <w:tc>
          <w:tcPr>
            <w:tcW w:w="3280" w:type="dxa"/>
            <w:vAlign w:val="bottom"/>
            <w:shd w:val="clear" w:color="auto" w:fill="DED8EC"/>
          </w:tcPr>
          <w:p>
            <w:pPr>
              <w:ind w:left="200"/>
              <w:spacing w:after="0"/>
              <w:rPr>
                <w:sz w:val="20"/>
                <w:szCs w:val="20"/>
                <w:color w:val="auto"/>
              </w:rPr>
            </w:pPr>
            <w:r>
              <w:rPr>
                <w:rFonts w:ascii="Arial" w:cs="Arial" w:eastAsia="Arial" w:hAnsi="Arial"/>
                <w:sz w:val="14"/>
                <w:szCs w:val="14"/>
                <w:color w:val="010035"/>
              </w:rPr>
              <w:t>Nominating and Corporate Governance</w:t>
            </w:r>
          </w:p>
        </w:tc>
      </w:tr>
      <w:tr>
        <w:trPr>
          <w:trHeight w:val="190"/>
        </w:trPr>
        <w:tc>
          <w:tcPr>
            <w:tcW w:w="1200" w:type="dxa"/>
            <w:vAlign w:val="bottom"/>
            <w:shd w:val="clear" w:color="auto" w:fill="DED8EC"/>
          </w:tcPr>
          <w:p>
            <w:pPr>
              <w:spacing w:after="0"/>
              <w:rPr>
                <w:sz w:val="16"/>
                <w:szCs w:val="16"/>
                <w:color w:val="auto"/>
              </w:rPr>
            </w:pPr>
          </w:p>
        </w:tc>
        <w:tc>
          <w:tcPr>
            <w:tcW w:w="3280" w:type="dxa"/>
            <w:vAlign w:val="bottom"/>
            <w:shd w:val="clear" w:color="auto" w:fill="DED8EC"/>
          </w:tcPr>
          <w:p>
            <w:pPr>
              <w:ind w:left="200"/>
              <w:spacing w:after="0"/>
              <w:rPr>
                <w:sz w:val="20"/>
                <w:szCs w:val="20"/>
                <w:color w:val="auto"/>
              </w:rPr>
            </w:pPr>
            <w:r>
              <w:rPr>
                <w:rFonts w:ascii="Arial" w:cs="Arial" w:eastAsia="Arial" w:hAnsi="Arial"/>
                <w:sz w:val="14"/>
                <w:szCs w:val="14"/>
                <w:color w:val="010035"/>
              </w:rPr>
              <w:t>Committees</w:t>
            </w:r>
          </w:p>
        </w:tc>
      </w:tr>
      <w:tr>
        <w:trPr>
          <w:trHeight w:val="116"/>
        </w:trPr>
        <w:tc>
          <w:tcPr>
            <w:tcW w:w="1200" w:type="dxa"/>
            <w:vAlign w:val="bottom"/>
            <w:shd w:val="clear" w:color="auto" w:fill="DED8EC"/>
          </w:tcPr>
          <w:p>
            <w:pPr>
              <w:spacing w:after="0"/>
              <w:rPr>
                <w:sz w:val="10"/>
                <w:szCs w:val="10"/>
                <w:color w:val="auto"/>
              </w:rPr>
            </w:pPr>
          </w:p>
        </w:tc>
        <w:tc>
          <w:tcPr>
            <w:tcW w:w="3280" w:type="dxa"/>
            <w:vAlign w:val="bottom"/>
            <w:shd w:val="clear" w:color="auto" w:fill="DED8EC"/>
          </w:tcPr>
          <w:p>
            <w:pPr>
              <w:spacing w:after="0"/>
              <w:rPr>
                <w:sz w:val="10"/>
                <w:szCs w:val="10"/>
                <w:color w:val="auto"/>
              </w:rPr>
            </w:pPr>
          </w:p>
        </w:tc>
      </w:tr>
      <w:tr>
        <w:trPr>
          <w:trHeight w:val="274"/>
        </w:trPr>
        <w:tc>
          <w:tcPr>
            <w:tcW w:w="1200" w:type="dxa"/>
            <w:vAlign w:val="bottom"/>
          </w:tcPr>
          <w:p>
            <w:pPr>
              <w:ind w:left="160"/>
              <w:spacing w:after="0"/>
              <w:rPr>
                <w:sz w:val="20"/>
                <w:szCs w:val="20"/>
                <w:color w:val="auto"/>
              </w:rPr>
            </w:pPr>
            <w:r>
              <w:rPr>
                <w:rFonts w:ascii="Arial" w:cs="Arial" w:eastAsia="Arial" w:hAnsi="Arial"/>
                <w:sz w:val="14"/>
                <w:szCs w:val="14"/>
                <w:b w:val="1"/>
                <w:bCs w:val="1"/>
                <w:color w:val="010035"/>
              </w:rPr>
              <w:t>GAAP</w:t>
            </w:r>
          </w:p>
        </w:tc>
        <w:tc>
          <w:tcPr>
            <w:tcW w:w="3280" w:type="dxa"/>
            <w:vAlign w:val="bottom"/>
          </w:tcPr>
          <w:p>
            <w:pPr>
              <w:ind w:left="200"/>
              <w:spacing w:after="0"/>
              <w:rPr>
                <w:sz w:val="20"/>
                <w:szCs w:val="20"/>
                <w:color w:val="auto"/>
              </w:rPr>
            </w:pPr>
            <w:r>
              <w:rPr>
                <w:rFonts w:ascii="Arial" w:cs="Arial" w:eastAsia="Arial" w:hAnsi="Arial"/>
                <w:sz w:val="14"/>
                <w:szCs w:val="14"/>
                <w:color w:val="010035"/>
              </w:rPr>
              <w:t>Generally Accepted Accounting Principles in</w:t>
            </w:r>
          </w:p>
        </w:tc>
      </w:tr>
      <w:tr>
        <w:trPr>
          <w:trHeight w:val="190"/>
        </w:trPr>
        <w:tc>
          <w:tcPr>
            <w:tcW w:w="1200" w:type="dxa"/>
            <w:vAlign w:val="bottom"/>
          </w:tcPr>
          <w:p>
            <w:pPr>
              <w:spacing w:after="0"/>
              <w:rPr>
                <w:sz w:val="16"/>
                <w:szCs w:val="16"/>
                <w:color w:val="auto"/>
              </w:rPr>
            </w:pPr>
          </w:p>
        </w:tc>
        <w:tc>
          <w:tcPr>
            <w:tcW w:w="3280" w:type="dxa"/>
            <w:vAlign w:val="bottom"/>
          </w:tcPr>
          <w:p>
            <w:pPr>
              <w:ind w:left="200"/>
              <w:spacing w:after="0"/>
              <w:rPr>
                <w:sz w:val="20"/>
                <w:szCs w:val="20"/>
                <w:color w:val="auto"/>
              </w:rPr>
            </w:pPr>
            <w:r>
              <w:rPr>
                <w:rFonts w:ascii="Arial" w:cs="Arial" w:eastAsia="Arial" w:hAnsi="Arial"/>
                <w:sz w:val="14"/>
                <w:szCs w:val="14"/>
                <w:color w:val="010035"/>
              </w:rPr>
              <w:t>the United States</w:t>
            </w:r>
          </w:p>
        </w:tc>
      </w:tr>
      <w:tr>
        <w:trPr>
          <w:trHeight w:val="116"/>
        </w:trPr>
        <w:tc>
          <w:tcPr>
            <w:tcW w:w="1200" w:type="dxa"/>
            <w:vAlign w:val="bottom"/>
          </w:tcPr>
          <w:p>
            <w:pPr>
              <w:spacing w:after="0"/>
              <w:rPr>
                <w:sz w:val="10"/>
                <w:szCs w:val="10"/>
                <w:color w:val="auto"/>
              </w:rPr>
            </w:pPr>
          </w:p>
        </w:tc>
        <w:tc>
          <w:tcPr>
            <w:tcW w:w="3280" w:type="dxa"/>
            <w:vAlign w:val="bottom"/>
          </w:tcPr>
          <w:p>
            <w:pPr>
              <w:spacing w:after="0"/>
              <w:rPr>
                <w:sz w:val="10"/>
                <w:szCs w:val="10"/>
                <w:color w:val="auto"/>
              </w:rPr>
            </w:pPr>
          </w:p>
        </w:tc>
      </w:tr>
      <w:tr>
        <w:trPr>
          <w:trHeight w:val="308"/>
        </w:trPr>
        <w:tc>
          <w:tcPr>
            <w:tcW w:w="1200" w:type="dxa"/>
            <w:vAlign w:val="bottom"/>
            <w:shd w:val="clear" w:color="auto" w:fill="DED8EC"/>
          </w:tcPr>
          <w:p>
            <w:pPr>
              <w:ind w:left="160"/>
              <w:spacing w:after="0"/>
              <w:rPr>
                <w:sz w:val="20"/>
                <w:szCs w:val="20"/>
                <w:color w:val="auto"/>
              </w:rPr>
            </w:pPr>
            <w:r>
              <w:rPr>
                <w:rFonts w:ascii="Arial" w:cs="Arial" w:eastAsia="Arial" w:hAnsi="Arial"/>
                <w:sz w:val="14"/>
                <w:szCs w:val="14"/>
                <w:b w:val="1"/>
                <w:bCs w:val="1"/>
                <w:color w:val="010035"/>
              </w:rPr>
              <w:t>LTIP</w:t>
            </w:r>
          </w:p>
        </w:tc>
        <w:tc>
          <w:tcPr>
            <w:tcW w:w="3280" w:type="dxa"/>
            <w:vAlign w:val="bottom"/>
            <w:shd w:val="clear" w:color="auto" w:fill="DED8EC"/>
          </w:tcPr>
          <w:p>
            <w:pPr>
              <w:ind w:left="200"/>
              <w:spacing w:after="0"/>
              <w:rPr>
                <w:sz w:val="20"/>
                <w:szCs w:val="20"/>
                <w:color w:val="auto"/>
              </w:rPr>
            </w:pPr>
            <w:r>
              <w:rPr>
                <w:rFonts w:ascii="Arial" w:cs="Arial" w:eastAsia="Arial" w:hAnsi="Arial"/>
                <w:sz w:val="14"/>
                <w:szCs w:val="14"/>
                <w:color w:val="010035"/>
              </w:rPr>
              <w:t>Long-Term Incentive Plan</w:t>
            </w:r>
          </w:p>
        </w:tc>
      </w:tr>
      <w:tr>
        <w:trPr>
          <w:trHeight w:val="110"/>
        </w:trPr>
        <w:tc>
          <w:tcPr>
            <w:tcW w:w="1200" w:type="dxa"/>
            <w:vAlign w:val="bottom"/>
            <w:shd w:val="clear" w:color="auto" w:fill="DED8EC"/>
          </w:tcPr>
          <w:p>
            <w:pPr>
              <w:spacing w:after="0"/>
              <w:rPr>
                <w:sz w:val="9"/>
                <w:szCs w:val="9"/>
                <w:color w:val="auto"/>
              </w:rPr>
            </w:pPr>
          </w:p>
        </w:tc>
        <w:tc>
          <w:tcPr>
            <w:tcW w:w="3280" w:type="dxa"/>
            <w:vAlign w:val="bottom"/>
            <w:shd w:val="clear" w:color="auto" w:fill="DED8EC"/>
          </w:tcPr>
          <w:p>
            <w:pPr>
              <w:spacing w:after="0"/>
              <w:rPr>
                <w:sz w:val="9"/>
                <w:szCs w:val="9"/>
                <w:color w:val="auto"/>
              </w:rPr>
            </w:pPr>
          </w:p>
        </w:tc>
      </w:tr>
      <w:tr>
        <w:trPr>
          <w:trHeight w:val="308"/>
        </w:trPr>
        <w:tc>
          <w:tcPr>
            <w:tcW w:w="1200" w:type="dxa"/>
            <w:vAlign w:val="bottom"/>
          </w:tcPr>
          <w:p>
            <w:pPr>
              <w:ind w:left="160"/>
              <w:spacing w:after="0"/>
              <w:rPr>
                <w:sz w:val="20"/>
                <w:szCs w:val="20"/>
                <w:color w:val="auto"/>
              </w:rPr>
            </w:pPr>
            <w:r>
              <w:rPr>
                <w:rFonts w:ascii="Arial" w:cs="Arial" w:eastAsia="Arial" w:hAnsi="Arial"/>
                <w:sz w:val="14"/>
                <w:szCs w:val="14"/>
                <w:b w:val="1"/>
                <w:bCs w:val="1"/>
                <w:color w:val="010035"/>
              </w:rPr>
              <w:t>NEO</w:t>
            </w:r>
          </w:p>
        </w:tc>
        <w:tc>
          <w:tcPr>
            <w:tcW w:w="3280" w:type="dxa"/>
            <w:vAlign w:val="bottom"/>
          </w:tcPr>
          <w:p>
            <w:pPr>
              <w:ind w:left="200"/>
              <w:spacing w:after="0"/>
              <w:rPr>
                <w:sz w:val="20"/>
                <w:szCs w:val="20"/>
                <w:color w:val="auto"/>
              </w:rPr>
            </w:pPr>
            <w:r>
              <w:rPr>
                <w:rFonts w:ascii="Arial" w:cs="Arial" w:eastAsia="Arial" w:hAnsi="Arial"/>
                <w:sz w:val="14"/>
                <w:szCs w:val="14"/>
                <w:color w:val="010035"/>
              </w:rPr>
              <w:t>Named Executive Officer</w:t>
            </w:r>
          </w:p>
        </w:tc>
      </w:tr>
      <w:tr>
        <w:trPr>
          <w:trHeight w:val="110"/>
        </w:trPr>
        <w:tc>
          <w:tcPr>
            <w:tcW w:w="1200" w:type="dxa"/>
            <w:vAlign w:val="bottom"/>
          </w:tcPr>
          <w:p>
            <w:pPr>
              <w:spacing w:after="0"/>
              <w:rPr>
                <w:sz w:val="9"/>
                <w:szCs w:val="9"/>
                <w:color w:val="auto"/>
              </w:rPr>
            </w:pPr>
          </w:p>
        </w:tc>
        <w:tc>
          <w:tcPr>
            <w:tcW w:w="3280" w:type="dxa"/>
            <w:vAlign w:val="bottom"/>
          </w:tcPr>
          <w:p>
            <w:pPr>
              <w:spacing w:after="0"/>
              <w:rPr>
                <w:sz w:val="9"/>
                <w:szCs w:val="9"/>
                <w:color w:val="auto"/>
              </w:rPr>
            </w:pPr>
          </w:p>
        </w:tc>
      </w:tr>
      <w:tr>
        <w:trPr>
          <w:trHeight w:val="308"/>
        </w:trPr>
        <w:tc>
          <w:tcPr>
            <w:tcW w:w="1200" w:type="dxa"/>
            <w:vAlign w:val="bottom"/>
            <w:shd w:val="clear" w:color="auto" w:fill="DED8EC"/>
          </w:tcPr>
          <w:p>
            <w:pPr>
              <w:ind w:left="160"/>
              <w:spacing w:after="0"/>
              <w:rPr>
                <w:sz w:val="20"/>
                <w:szCs w:val="20"/>
                <w:color w:val="auto"/>
              </w:rPr>
            </w:pPr>
            <w:r>
              <w:rPr>
                <w:rFonts w:ascii="Arial" w:cs="Arial" w:eastAsia="Arial" w:hAnsi="Arial"/>
                <w:sz w:val="14"/>
                <w:szCs w:val="14"/>
                <w:b w:val="1"/>
                <w:bCs w:val="1"/>
                <w:color w:val="010035"/>
              </w:rPr>
              <w:t>PSUs</w:t>
            </w:r>
          </w:p>
        </w:tc>
        <w:tc>
          <w:tcPr>
            <w:tcW w:w="3280" w:type="dxa"/>
            <w:vAlign w:val="bottom"/>
            <w:shd w:val="clear" w:color="auto" w:fill="DED8EC"/>
          </w:tcPr>
          <w:p>
            <w:pPr>
              <w:ind w:left="200"/>
              <w:spacing w:after="0"/>
              <w:rPr>
                <w:sz w:val="20"/>
                <w:szCs w:val="20"/>
                <w:color w:val="auto"/>
              </w:rPr>
            </w:pPr>
            <w:r>
              <w:rPr>
                <w:rFonts w:ascii="Arial" w:cs="Arial" w:eastAsia="Arial" w:hAnsi="Arial"/>
                <w:sz w:val="14"/>
                <w:szCs w:val="14"/>
                <w:color w:val="010035"/>
              </w:rPr>
              <w:t>Performance Stock Units</w:t>
            </w:r>
          </w:p>
        </w:tc>
      </w:tr>
      <w:tr>
        <w:trPr>
          <w:trHeight w:val="110"/>
        </w:trPr>
        <w:tc>
          <w:tcPr>
            <w:tcW w:w="1200" w:type="dxa"/>
            <w:vAlign w:val="bottom"/>
            <w:shd w:val="clear" w:color="auto" w:fill="DED8EC"/>
          </w:tcPr>
          <w:p>
            <w:pPr>
              <w:spacing w:after="0"/>
              <w:rPr>
                <w:sz w:val="9"/>
                <w:szCs w:val="9"/>
                <w:color w:val="auto"/>
              </w:rPr>
            </w:pPr>
          </w:p>
        </w:tc>
        <w:tc>
          <w:tcPr>
            <w:tcW w:w="3280" w:type="dxa"/>
            <w:vAlign w:val="bottom"/>
            <w:shd w:val="clear" w:color="auto" w:fill="DED8EC"/>
          </w:tcPr>
          <w:p>
            <w:pPr>
              <w:spacing w:after="0"/>
              <w:rPr>
                <w:sz w:val="9"/>
                <w:szCs w:val="9"/>
                <w:color w:val="auto"/>
              </w:rPr>
            </w:pPr>
          </w:p>
        </w:tc>
      </w:tr>
      <w:tr>
        <w:trPr>
          <w:trHeight w:val="308"/>
        </w:trPr>
        <w:tc>
          <w:tcPr>
            <w:tcW w:w="1200" w:type="dxa"/>
            <w:vAlign w:val="bottom"/>
          </w:tcPr>
          <w:p>
            <w:pPr>
              <w:ind w:left="160"/>
              <w:spacing w:after="0"/>
              <w:rPr>
                <w:sz w:val="20"/>
                <w:szCs w:val="20"/>
                <w:color w:val="auto"/>
              </w:rPr>
            </w:pPr>
            <w:r>
              <w:rPr>
                <w:rFonts w:ascii="Arial" w:cs="Arial" w:eastAsia="Arial" w:hAnsi="Arial"/>
                <w:sz w:val="14"/>
                <w:szCs w:val="14"/>
                <w:b w:val="1"/>
                <w:bCs w:val="1"/>
                <w:color w:val="010035"/>
              </w:rPr>
              <w:t>PwC</w:t>
            </w:r>
          </w:p>
        </w:tc>
        <w:tc>
          <w:tcPr>
            <w:tcW w:w="3280" w:type="dxa"/>
            <w:vAlign w:val="bottom"/>
          </w:tcPr>
          <w:p>
            <w:pPr>
              <w:ind w:left="200"/>
              <w:spacing w:after="0"/>
              <w:rPr>
                <w:sz w:val="20"/>
                <w:szCs w:val="20"/>
                <w:color w:val="auto"/>
              </w:rPr>
            </w:pPr>
            <w:r>
              <w:rPr>
                <w:rFonts w:ascii="Arial" w:cs="Arial" w:eastAsia="Arial" w:hAnsi="Arial"/>
                <w:sz w:val="14"/>
                <w:szCs w:val="14"/>
                <w:color w:val="010035"/>
              </w:rPr>
              <w:t>PricewaterhouseCoopers LLP</w:t>
            </w:r>
          </w:p>
        </w:tc>
      </w:tr>
      <w:tr>
        <w:trPr>
          <w:trHeight w:val="110"/>
        </w:trPr>
        <w:tc>
          <w:tcPr>
            <w:tcW w:w="1200" w:type="dxa"/>
            <w:vAlign w:val="bottom"/>
          </w:tcPr>
          <w:p>
            <w:pPr>
              <w:spacing w:after="0"/>
              <w:rPr>
                <w:sz w:val="9"/>
                <w:szCs w:val="9"/>
                <w:color w:val="auto"/>
              </w:rPr>
            </w:pPr>
          </w:p>
        </w:tc>
        <w:tc>
          <w:tcPr>
            <w:tcW w:w="3280" w:type="dxa"/>
            <w:vAlign w:val="bottom"/>
          </w:tcPr>
          <w:p>
            <w:pPr>
              <w:spacing w:after="0"/>
              <w:rPr>
                <w:sz w:val="9"/>
                <w:szCs w:val="9"/>
                <w:color w:val="auto"/>
              </w:rPr>
            </w:pPr>
          </w:p>
        </w:tc>
      </w:tr>
      <w:tr>
        <w:trPr>
          <w:trHeight w:val="308"/>
        </w:trPr>
        <w:tc>
          <w:tcPr>
            <w:tcW w:w="1200" w:type="dxa"/>
            <w:vAlign w:val="bottom"/>
            <w:shd w:val="clear" w:color="auto" w:fill="DED8EC"/>
          </w:tcPr>
          <w:p>
            <w:pPr>
              <w:ind w:left="160"/>
              <w:spacing w:after="0"/>
              <w:rPr>
                <w:sz w:val="20"/>
                <w:szCs w:val="20"/>
                <w:color w:val="auto"/>
              </w:rPr>
            </w:pPr>
            <w:r>
              <w:rPr>
                <w:rFonts w:ascii="Arial" w:cs="Arial" w:eastAsia="Arial" w:hAnsi="Arial"/>
                <w:sz w:val="14"/>
                <w:szCs w:val="14"/>
                <w:b w:val="1"/>
                <w:bCs w:val="1"/>
                <w:color w:val="010035"/>
              </w:rPr>
              <w:t>RSUs</w:t>
            </w:r>
          </w:p>
        </w:tc>
        <w:tc>
          <w:tcPr>
            <w:tcW w:w="3280" w:type="dxa"/>
            <w:vAlign w:val="bottom"/>
            <w:shd w:val="clear" w:color="auto" w:fill="DED8EC"/>
          </w:tcPr>
          <w:p>
            <w:pPr>
              <w:ind w:left="200"/>
              <w:spacing w:after="0"/>
              <w:rPr>
                <w:sz w:val="20"/>
                <w:szCs w:val="20"/>
                <w:color w:val="auto"/>
              </w:rPr>
            </w:pPr>
            <w:r>
              <w:rPr>
                <w:rFonts w:ascii="Arial" w:cs="Arial" w:eastAsia="Arial" w:hAnsi="Arial"/>
                <w:sz w:val="14"/>
                <w:szCs w:val="14"/>
                <w:color w:val="010035"/>
              </w:rPr>
              <w:t>Restricted Stock Units</w:t>
            </w:r>
          </w:p>
        </w:tc>
      </w:tr>
      <w:tr>
        <w:trPr>
          <w:trHeight w:val="110"/>
        </w:trPr>
        <w:tc>
          <w:tcPr>
            <w:tcW w:w="1200" w:type="dxa"/>
            <w:vAlign w:val="bottom"/>
            <w:shd w:val="clear" w:color="auto" w:fill="DED8EC"/>
          </w:tcPr>
          <w:p>
            <w:pPr>
              <w:spacing w:after="0"/>
              <w:rPr>
                <w:sz w:val="9"/>
                <w:szCs w:val="9"/>
                <w:color w:val="auto"/>
              </w:rPr>
            </w:pPr>
          </w:p>
        </w:tc>
        <w:tc>
          <w:tcPr>
            <w:tcW w:w="3280" w:type="dxa"/>
            <w:vAlign w:val="bottom"/>
            <w:shd w:val="clear" w:color="auto" w:fill="DED8EC"/>
          </w:tcPr>
          <w:p>
            <w:pPr>
              <w:spacing w:after="0"/>
              <w:rPr>
                <w:sz w:val="9"/>
                <w:szCs w:val="9"/>
                <w:color w:val="auto"/>
              </w:rPr>
            </w:pPr>
          </w:p>
        </w:tc>
      </w:tr>
      <w:tr>
        <w:trPr>
          <w:trHeight w:val="309"/>
        </w:trPr>
        <w:tc>
          <w:tcPr>
            <w:tcW w:w="1200" w:type="dxa"/>
            <w:vAlign w:val="bottom"/>
          </w:tcPr>
          <w:p>
            <w:pPr>
              <w:ind w:left="160"/>
              <w:spacing w:after="0"/>
              <w:rPr>
                <w:sz w:val="20"/>
                <w:szCs w:val="20"/>
                <w:color w:val="auto"/>
              </w:rPr>
            </w:pPr>
            <w:r>
              <w:rPr>
                <w:rFonts w:ascii="Arial" w:cs="Arial" w:eastAsia="Arial" w:hAnsi="Arial"/>
                <w:sz w:val="14"/>
                <w:szCs w:val="14"/>
                <w:b w:val="1"/>
                <w:bCs w:val="1"/>
                <w:color w:val="010035"/>
              </w:rPr>
              <w:t>SARS</w:t>
            </w:r>
          </w:p>
        </w:tc>
        <w:tc>
          <w:tcPr>
            <w:tcW w:w="3280" w:type="dxa"/>
            <w:vAlign w:val="bottom"/>
          </w:tcPr>
          <w:p>
            <w:pPr>
              <w:ind w:left="200"/>
              <w:spacing w:after="0"/>
              <w:rPr>
                <w:sz w:val="20"/>
                <w:szCs w:val="20"/>
                <w:color w:val="auto"/>
              </w:rPr>
            </w:pPr>
            <w:r>
              <w:rPr>
                <w:rFonts w:ascii="Arial" w:cs="Arial" w:eastAsia="Arial" w:hAnsi="Arial"/>
                <w:sz w:val="14"/>
                <w:szCs w:val="14"/>
                <w:color w:val="010035"/>
              </w:rPr>
              <w:t>Stock Appreciation Rights</w:t>
            </w:r>
          </w:p>
        </w:tc>
      </w:tr>
      <w:tr>
        <w:trPr>
          <w:trHeight w:val="110"/>
        </w:trPr>
        <w:tc>
          <w:tcPr>
            <w:tcW w:w="1200" w:type="dxa"/>
            <w:vAlign w:val="bottom"/>
          </w:tcPr>
          <w:p>
            <w:pPr>
              <w:spacing w:after="0"/>
              <w:rPr>
                <w:sz w:val="9"/>
                <w:szCs w:val="9"/>
                <w:color w:val="auto"/>
              </w:rPr>
            </w:pPr>
          </w:p>
        </w:tc>
        <w:tc>
          <w:tcPr>
            <w:tcW w:w="3280" w:type="dxa"/>
            <w:vAlign w:val="bottom"/>
          </w:tcPr>
          <w:p>
            <w:pPr>
              <w:spacing w:after="0"/>
              <w:rPr>
                <w:sz w:val="9"/>
                <w:szCs w:val="9"/>
                <w:color w:val="auto"/>
              </w:rPr>
            </w:pPr>
          </w:p>
        </w:tc>
      </w:tr>
      <w:tr>
        <w:trPr>
          <w:trHeight w:val="308"/>
        </w:trPr>
        <w:tc>
          <w:tcPr>
            <w:tcW w:w="1200" w:type="dxa"/>
            <w:vAlign w:val="bottom"/>
            <w:shd w:val="clear" w:color="auto" w:fill="DED8EC"/>
          </w:tcPr>
          <w:p>
            <w:pPr>
              <w:ind w:left="160"/>
              <w:spacing w:after="0"/>
              <w:rPr>
                <w:sz w:val="20"/>
                <w:szCs w:val="20"/>
                <w:color w:val="auto"/>
              </w:rPr>
            </w:pPr>
            <w:r>
              <w:rPr>
                <w:rFonts w:ascii="Arial" w:cs="Arial" w:eastAsia="Arial" w:hAnsi="Arial"/>
                <w:sz w:val="14"/>
                <w:szCs w:val="14"/>
                <w:b w:val="1"/>
                <w:bCs w:val="1"/>
                <w:color w:val="010035"/>
              </w:rPr>
              <w:t>SEC</w:t>
            </w:r>
          </w:p>
        </w:tc>
        <w:tc>
          <w:tcPr>
            <w:tcW w:w="3280" w:type="dxa"/>
            <w:vAlign w:val="bottom"/>
            <w:shd w:val="clear" w:color="auto" w:fill="DED8EC"/>
          </w:tcPr>
          <w:p>
            <w:pPr>
              <w:ind w:left="200"/>
              <w:spacing w:after="0"/>
              <w:rPr>
                <w:sz w:val="20"/>
                <w:szCs w:val="20"/>
                <w:color w:val="auto"/>
              </w:rPr>
            </w:pPr>
            <w:r>
              <w:rPr>
                <w:rFonts w:ascii="Arial" w:cs="Arial" w:eastAsia="Arial" w:hAnsi="Arial"/>
                <w:sz w:val="14"/>
                <w:szCs w:val="14"/>
                <w:color w:val="010035"/>
              </w:rPr>
              <w:t>Securities and Exchange Commission</w:t>
            </w:r>
          </w:p>
        </w:tc>
      </w:tr>
      <w:tr>
        <w:trPr>
          <w:trHeight w:val="110"/>
        </w:trPr>
        <w:tc>
          <w:tcPr>
            <w:tcW w:w="1200" w:type="dxa"/>
            <w:vAlign w:val="bottom"/>
            <w:shd w:val="clear" w:color="auto" w:fill="DED8EC"/>
          </w:tcPr>
          <w:p>
            <w:pPr>
              <w:spacing w:after="0"/>
              <w:rPr>
                <w:sz w:val="9"/>
                <w:szCs w:val="9"/>
                <w:color w:val="auto"/>
              </w:rPr>
            </w:pPr>
          </w:p>
        </w:tc>
        <w:tc>
          <w:tcPr>
            <w:tcW w:w="3280" w:type="dxa"/>
            <w:vAlign w:val="bottom"/>
            <w:shd w:val="clear" w:color="auto" w:fill="DED8EC"/>
          </w:tcPr>
          <w:p>
            <w:pPr>
              <w:spacing w:after="0"/>
              <w:rPr>
                <w:sz w:val="9"/>
                <w:szCs w:val="9"/>
                <w:color w:val="auto"/>
              </w:rPr>
            </w:pPr>
          </w:p>
        </w:tc>
      </w:tr>
      <w:tr>
        <w:trPr>
          <w:trHeight w:val="309"/>
        </w:trPr>
        <w:tc>
          <w:tcPr>
            <w:tcW w:w="1200" w:type="dxa"/>
            <w:vAlign w:val="bottom"/>
          </w:tcPr>
          <w:p>
            <w:pPr>
              <w:ind w:left="160"/>
              <w:spacing w:after="0"/>
              <w:rPr>
                <w:sz w:val="20"/>
                <w:szCs w:val="20"/>
                <w:color w:val="auto"/>
              </w:rPr>
            </w:pPr>
            <w:r>
              <w:rPr>
                <w:rFonts w:ascii="Arial" w:cs="Arial" w:eastAsia="Arial" w:hAnsi="Arial"/>
                <w:sz w:val="14"/>
                <w:szCs w:val="14"/>
                <w:b w:val="1"/>
                <w:bCs w:val="1"/>
                <w:color w:val="010035"/>
              </w:rPr>
              <w:t>STIP</w:t>
            </w:r>
          </w:p>
        </w:tc>
        <w:tc>
          <w:tcPr>
            <w:tcW w:w="3280" w:type="dxa"/>
            <w:vAlign w:val="bottom"/>
          </w:tcPr>
          <w:p>
            <w:pPr>
              <w:ind w:left="200"/>
              <w:spacing w:after="0"/>
              <w:rPr>
                <w:sz w:val="20"/>
                <w:szCs w:val="20"/>
                <w:color w:val="auto"/>
              </w:rPr>
            </w:pPr>
            <w:r>
              <w:rPr>
                <w:rFonts w:ascii="Arial" w:cs="Arial" w:eastAsia="Arial" w:hAnsi="Arial"/>
                <w:sz w:val="14"/>
                <w:szCs w:val="14"/>
                <w:color w:val="010035"/>
              </w:rPr>
              <w:t>Short-Term Incentive Plan</w:t>
            </w:r>
          </w:p>
        </w:tc>
      </w:tr>
      <w:tr>
        <w:trPr>
          <w:trHeight w:val="29"/>
        </w:trPr>
        <w:tc>
          <w:tcPr>
            <w:tcW w:w="1200" w:type="dxa"/>
            <w:vAlign w:val="bottom"/>
            <w:tcBorders>
              <w:bottom w:val="single" w:sz="8" w:color="010035"/>
            </w:tcBorders>
          </w:tcPr>
          <w:p>
            <w:pPr>
              <w:spacing w:after="0"/>
              <w:rPr>
                <w:sz w:val="2"/>
                <w:szCs w:val="2"/>
                <w:color w:val="auto"/>
              </w:rPr>
            </w:pPr>
          </w:p>
        </w:tc>
        <w:tc>
          <w:tcPr>
            <w:tcW w:w="3280" w:type="dxa"/>
            <w:vAlign w:val="bottom"/>
            <w:tcBorders>
              <w:bottom w:val="single" w:sz="8" w:color="010035"/>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111760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40" w:space="480"/>
            <w:col w:w="4480"/>
          </w:cols>
          <w:pgMar w:left="1240" w:top="114" w:right="1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viii</w:t>
      </w:r>
      <w:r>
        <w:rPr>
          <w:sz w:val="20"/>
          <w:szCs w:val="20"/>
          <w:color w:val="auto"/>
        </w:rPr>
        <w:tab/>
      </w:r>
      <w:r>
        <w:rPr>
          <w:rFonts w:ascii="Arial" w:cs="Arial" w:eastAsia="Arial" w:hAnsi="Arial"/>
          <w:sz w:val="14"/>
          <w:szCs w:val="14"/>
          <w:color w:val="auto"/>
        </w:rPr>
        <w:t>PROXY STATEMENT - 2026</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2"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This Proxy Statement contains “forward-looking statements” within the meaning of the Private Securities Litigation Reform Act of 1995.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including expectations regarding future revenue and segment-adjusted EBITDAR, segment-adjusted EBITDAR improvement, cash flow generation and leverage, including lease adjusted net leverage; the Company’s expectations regarding the future success of theScore Bet, Hollywood iCasino and its other digital offerings, including the anticipated benefits of the Company’s realigned digital strategy; the Company’s expectations regarding share repurchases; the scale and timing of the Company’s product and technology investments; the Company’s expectations regarding results, and the impact of competition, in retail/mobile/online sportsbooks, iCasino, social gaming, and retail operations; the Company’s overall growth strategy; the anticipated benefits associated with corporate reorganization and cost-optimization initiatives;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timing and benefits thereof; improvements, expansions, or relocations of our existing properties; entrance into new jurisdictions; expansion of gaming in existing jurisdictions; strategic investments and acquisitions; cross-sell opportunities between our retail gaming, online sports betting (“OSB”),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 Such statements are all subject to risks, uncertainties and changes in circumstances that could significantly affect the Company’s future financial results and business. Accordingly, the Company cautions that the forward-looking statements contained herein should not be unduly relied upon and are qualified by important factors that could cause actual results to differ materially from those reflected by such statements.</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including from prediction markets and grey market or illegal offerings;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rent payments under our lease agreements, make anticipated capital expenditures or pay off or refinance our indebtedness prior to maturity; the impact of indemnification obligations under the Barstool SPA; our ability to realize the anticipated benefits of our realigned digital strategy; our ability to attract and retain user adoption of theScore Bet and Hollywood iCasino apps in a rapidly evolving and highly competitive market; the outcome of any legal proceedings that may be instituted against the Company, or its respective directors, officers or employees; the ability of the Company to retain and hire key personnel; the impact of new laws or changes in current laws, regulations, rules or other industry standards; adverse outcomes of litigation involving the Company; our ability to maintain our gaming licenses and concessions and comply with applicable gaming law, changes in current laws, regulations, rules or other industry standards; and the other factors discussed in the Company’s Annual Report on Form 10-K for the year ended December 31, 2025,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Proxy Statement may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99060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5966460" cy="3340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33401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sz w:val="1"/>
          <w:szCs w:val="1"/>
          <w:color w:val="auto"/>
        </w:rPr>
        <w:drawing>
          <wp:inline distT="0" distB="0" distL="0" distR="0">
            <wp:extent cx="137160" cy="4972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-299720</wp:posOffset>
            </wp:positionV>
            <wp:extent cx="5829300" cy="300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About the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41148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92" w:lineRule="exact"/>
        <w:rPr>
          <w:sz w:val="20"/>
          <w:szCs w:val="20"/>
          <w:color w:val="auto"/>
        </w:rPr>
      </w:pPr>
    </w:p>
    <w:p>
      <w:pPr>
        <w:jc w:val="both"/>
        <w:ind w:right="300"/>
        <w:spacing w:after="0" w:line="263" w:lineRule="auto"/>
        <w:rPr>
          <w:sz w:val="20"/>
          <w:szCs w:val="20"/>
          <w:color w:val="auto"/>
        </w:rPr>
      </w:pPr>
      <w:r>
        <w:rPr>
          <w:rFonts w:ascii="Arial" w:cs="Arial" w:eastAsia="Arial" w:hAnsi="Arial"/>
          <w:sz w:val="14"/>
          <w:szCs w:val="14"/>
          <w:color w:val="auto"/>
        </w:rPr>
        <w:t>This summary highlights information contained elsewhere in this Proxy Statement. This summary does not contain all of the information you should consider, and you should read the entire Proxy Statement before voting.</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41148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498"/>
        </w:trPr>
        <w:tc>
          <w:tcPr>
            <w:tcW w:w="80" w:type="dxa"/>
            <w:vAlign w:val="bottom"/>
            <w:tcBorders>
              <w:top w:val="single" w:sz="8" w:color="69439A"/>
            </w:tcBorders>
            <w:shd w:val="clear" w:color="auto" w:fill="010035"/>
          </w:tcPr>
          <w:p>
            <w:pPr>
              <w:spacing w:after="0"/>
              <w:rPr>
                <w:sz w:val="24"/>
                <w:szCs w:val="24"/>
                <w:color w:val="auto"/>
              </w:rPr>
            </w:pPr>
          </w:p>
        </w:tc>
        <w:tc>
          <w:tcPr>
            <w:tcW w:w="2920" w:type="dxa"/>
            <w:vAlign w:val="bottom"/>
            <w:tcBorders>
              <w:top w:val="single" w:sz="8" w:color="69439A"/>
            </w:tcBorders>
            <w:shd w:val="clear" w:color="auto" w:fill="010035"/>
          </w:tcPr>
          <w:p>
            <w:pPr>
              <w:ind w:left="60"/>
              <w:spacing w:after="0"/>
              <w:rPr>
                <w:sz w:val="20"/>
                <w:szCs w:val="20"/>
                <w:color w:val="auto"/>
              </w:rPr>
            </w:pPr>
            <w:r>
              <w:rPr>
                <w:rFonts w:ascii="Arial" w:cs="Arial" w:eastAsia="Arial" w:hAnsi="Arial"/>
                <w:sz w:val="18"/>
                <w:szCs w:val="18"/>
                <w:b w:val="1"/>
                <w:bCs w:val="1"/>
                <w:color w:val="FFFFFF"/>
              </w:rPr>
              <w:t>PROPOSAL</w:t>
            </w:r>
          </w:p>
        </w:tc>
        <w:tc>
          <w:tcPr>
            <w:tcW w:w="2860" w:type="dxa"/>
            <w:vAlign w:val="bottom"/>
            <w:tcBorders>
              <w:top w:val="single" w:sz="8" w:color="69439A"/>
            </w:tcBorders>
            <w:gridSpan w:val="2"/>
            <w:shd w:val="clear" w:color="auto" w:fill="010035"/>
          </w:tcPr>
          <w:p>
            <w:pPr>
              <w:ind w:left="120"/>
              <w:spacing w:after="0"/>
              <w:rPr>
                <w:sz w:val="20"/>
                <w:szCs w:val="20"/>
                <w:color w:val="auto"/>
              </w:rPr>
            </w:pPr>
            <w:r>
              <w:rPr>
                <w:rFonts w:ascii="Arial" w:cs="Arial" w:eastAsia="Arial" w:hAnsi="Arial"/>
                <w:sz w:val="18"/>
                <w:szCs w:val="18"/>
                <w:b w:val="1"/>
                <w:bCs w:val="1"/>
                <w:color w:val="FFFFFF"/>
                <w:w w:val="90"/>
              </w:rPr>
              <w:t>BOARD VOTE RECOMMENDATION</w:t>
            </w:r>
          </w:p>
        </w:tc>
        <w:tc>
          <w:tcPr>
            <w:tcW w:w="620" w:type="dxa"/>
            <w:vAlign w:val="bottom"/>
            <w:tcBorders>
              <w:top w:val="single" w:sz="8" w:color="69439A"/>
            </w:tcBorders>
            <w:gridSpan w:val="5"/>
            <w:shd w:val="clear" w:color="auto" w:fill="010035"/>
          </w:tcPr>
          <w:p>
            <w:pPr>
              <w:jc w:val="center"/>
              <w:spacing w:after="0"/>
              <w:rPr>
                <w:sz w:val="20"/>
                <w:szCs w:val="20"/>
                <w:color w:val="auto"/>
              </w:rPr>
            </w:pPr>
            <w:r>
              <w:rPr>
                <w:rFonts w:ascii="Arial" w:cs="Arial" w:eastAsia="Arial" w:hAnsi="Arial"/>
                <w:sz w:val="18"/>
                <w:szCs w:val="18"/>
                <w:b w:val="1"/>
                <w:bCs w:val="1"/>
                <w:color w:val="FFFFFF"/>
                <w:w w:val="90"/>
              </w:rPr>
              <w:t>PAGE</w:t>
            </w:r>
          </w:p>
        </w:tc>
        <w:tc>
          <w:tcPr>
            <w:tcW w:w="0" w:type="dxa"/>
            <w:vAlign w:val="bottom"/>
          </w:tcPr>
          <w:p>
            <w:pPr>
              <w:spacing w:after="0"/>
              <w:rPr>
                <w:sz w:val="1"/>
                <w:szCs w:val="1"/>
                <w:color w:val="auto"/>
              </w:rPr>
            </w:pPr>
          </w:p>
        </w:tc>
      </w:tr>
      <w:tr>
        <w:trPr>
          <w:trHeight w:val="83"/>
        </w:trPr>
        <w:tc>
          <w:tcPr>
            <w:tcW w:w="80" w:type="dxa"/>
            <w:vAlign w:val="bottom"/>
            <w:shd w:val="clear" w:color="auto" w:fill="010035"/>
          </w:tcPr>
          <w:p>
            <w:pPr>
              <w:spacing w:after="0"/>
              <w:rPr>
                <w:sz w:val="7"/>
                <w:szCs w:val="7"/>
                <w:color w:val="auto"/>
              </w:rPr>
            </w:pPr>
          </w:p>
        </w:tc>
        <w:tc>
          <w:tcPr>
            <w:tcW w:w="2920" w:type="dxa"/>
            <w:vAlign w:val="bottom"/>
            <w:shd w:val="clear" w:color="auto" w:fill="010035"/>
          </w:tcPr>
          <w:p>
            <w:pPr>
              <w:spacing w:after="0"/>
              <w:rPr>
                <w:sz w:val="7"/>
                <w:szCs w:val="7"/>
                <w:color w:val="auto"/>
              </w:rPr>
            </w:pPr>
          </w:p>
        </w:tc>
        <w:tc>
          <w:tcPr>
            <w:tcW w:w="440" w:type="dxa"/>
            <w:vAlign w:val="bottom"/>
            <w:shd w:val="clear" w:color="auto" w:fill="010035"/>
          </w:tcPr>
          <w:p>
            <w:pPr>
              <w:spacing w:after="0"/>
              <w:rPr>
                <w:sz w:val="7"/>
                <w:szCs w:val="7"/>
                <w:color w:val="auto"/>
              </w:rPr>
            </w:pPr>
          </w:p>
        </w:tc>
        <w:tc>
          <w:tcPr>
            <w:tcW w:w="2420" w:type="dxa"/>
            <w:vAlign w:val="bottom"/>
            <w:shd w:val="clear" w:color="auto" w:fill="010035"/>
          </w:tcPr>
          <w:p>
            <w:pPr>
              <w:spacing w:after="0"/>
              <w:rPr>
                <w:sz w:val="7"/>
                <w:szCs w:val="7"/>
                <w:color w:val="auto"/>
              </w:rPr>
            </w:pPr>
          </w:p>
        </w:tc>
        <w:tc>
          <w:tcPr>
            <w:tcW w:w="180" w:type="dxa"/>
            <w:vAlign w:val="bottom"/>
            <w:shd w:val="clear" w:color="auto" w:fill="010035"/>
          </w:tcPr>
          <w:p>
            <w:pPr>
              <w:spacing w:after="0"/>
              <w:rPr>
                <w:sz w:val="7"/>
                <w:szCs w:val="7"/>
                <w:color w:val="auto"/>
              </w:rPr>
            </w:pPr>
          </w:p>
        </w:tc>
        <w:tc>
          <w:tcPr>
            <w:tcW w:w="40" w:type="dxa"/>
            <w:vAlign w:val="bottom"/>
            <w:shd w:val="clear" w:color="auto" w:fill="010035"/>
          </w:tcPr>
          <w:p>
            <w:pPr>
              <w:spacing w:after="0"/>
              <w:rPr>
                <w:sz w:val="7"/>
                <w:szCs w:val="7"/>
                <w:color w:val="auto"/>
              </w:rPr>
            </w:pPr>
          </w:p>
        </w:tc>
        <w:tc>
          <w:tcPr>
            <w:tcW w:w="160" w:type="dxa"/>
            <w:vAlign w:val="bottom"/>
            <w:shd w:val="clear" w:color="auto" w:fill="010035"/>
          </w:tcPr>
          <w:p>
            <w:pPr>
              <w:spacing w:after="0"/>
              <w:rPr>
                <w:sz w:val="7"/>
                <w:szCs w:val="7"/>
                <w:color w:val="auto"/>
              </w:rPr>
            </w:pPr>
          </w:p>
        </w:tc>
        <w:tc>
          <w:tcPr>
            <w:tcW w:w="40" w:type="dxa"/>
            <w:vAlign w:val="bottom"/>
            <w:shd w:val="clear" w:color="auto" w:fill="010035"/>
          </w:tcPr>
          <w:p>
            <w:pPr>
              <w:spacing w:after="0"/>
              <w:rPr>
                <w:sz w:val="7"/>
                <w:szCs w:val="7"/>
                <w:color w:val="auto"/>
              </w:rPr>
            </w:pPr>
          </w:p>
        </w:tc>
        <w:tc>
          <w:tcPr>
            <w:tcW w:w="200" w:type="dxa"/>
            <w:vAlign w:val="bottom"/>
            <w:shd w:val="clear" w:color="auto" w:fill="010035"/>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2920" w:type="dxa"/>
            <w:vAlign w:val="bottom"/>
            <w:vMerge w:val="restart"/>
          </w:tcPr>
          <w:p>
            <w:pPr>
              <w:ind w:left="60"/>
              <w:spacing w:after="0"/>
              <w:rPr>
                <w:sz w:val="20"/>
                <w:szCs w:val="20"/>
                <w:color w:val="auto"/>
              </w:rPr>
            </w:pPr>
            <w:r>
              <w:rPr>
                <w:rFonts w:ascii="Arial" w:cs="Arial" w:eastAsia="Arial" w:hAnsi="Arial"/>
                <w:sz w:val="47"/>
                <w:szCs w:val="47"/>
                <w:b w:val="1"/>
                <w:bCs w:val="1"/>
                <w:color w:val="69439A"/>
              </w:rPr>
              <w:t xml:space="preserve">1 </w:t>
            </w:r>
            <w:r>
              <w:rPr>
                <w:rFonts w:ascii="Arial" w:cs="Arial" w:eastAsia="Arial" w:hAnsi="Arial"/>
                <w:sz w:val="14"/>
                <w:szCs w:val="14"/>
                <w:color w:val="000000"/>
              </w:rPr>
              <w:t>Election of Class III Directors</w:t>
            </w:r>
          </w:p>
        </w:tc>
        <w:tc>
          <w:tcPr>
            <w:tcW w:w="440" w:type="dxa"/>
            <w:vAlign w:val="bottom"/>
          </w:tcPr>
          <w:p>
            <w:pPr>
              <w:spacing w:after="0"/>
              <w:rPr>
                <w:sz w:val="24"/>
                <w:szCs w:val="24"/>
                <w:color w:val="auto"/>
              </w:rPr>
            </w:pPr>
          </w:p>
        </w:tc>
        <w:tc>
          <w:tcPr>
            <w:tcW w:w="2420" w:type="dxa"/>
            <w:vAlign w:val="bottom"/>
            <w:vMerge w:val="restart"/>
          </w:tcPr>
          <w:p>
            <w:pPr>
              <w:ind w:left="260"/>
              <w:spacing w:after="0"/>
              <w:rPr>
                <w:sz w:val="20"/>
                <w:szCs w:val="20"/>
                <w:color w:val="auto"/>
              </w:rPr>
            </w:pPr>
            <w:r>
              <w:rPr>
                <w:rFonts w:ascii="Arial" w:cs="Arial" w:eastAsia="Arial" w:hAnsi="Arial"/>
                <w:sz w:val="14"/>
                <w:szCs w:val="14"/>
                <w:color w:val="auto"/>
              </w:rPr>
              <w:t>FOR each nominee</w:t>
            </w:r>
          </w:p>
        </w:tc>
        <w:tc>
          <w:tcPr>
            <w:tcW w:w="1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89"/>
              </w:rPr>
              <w:t>12</w:t>
            </w:r>
          </w:p>
        </w:tc>
        <w:tc>
          <w:tcPr>
            <w:tcW w:w="4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920" w:type="dxa"/>
            <w:vAlign w:val="bottom"/>
            <w:vMerge w:val="continue"/>
          </w:tcPr>
          <w:p>
            <w:pPr>
              <w:spacing w:after="0"/>
              <w:rPr>
                <w:sz w:val="21"/>
                <w:szCs w:val="21"/>
                <w:color w:val="auto"/>
              </w:rPr>
            </w:pPr>
          </w:p>
        </w:tc>
        <w:tc>
          <w:tcPr>
            <w:tcW w:w="440" w:type="dxa"/>
            <w:vAlign w:val="bottom"/>
          </w:tcPr>
          <w:p>
            <w:pPr>
              <w:ind w:left="120"/>
              <w:spacing w:after="0"/>
              <w:rPr>
                <w:sz w:val="20"/>
                <w:szCs w:val="20"/>
                <w:color w:val="auto"/>
              </w:rPr>
            </w:pPr>
            <w:r>
              <w:rPr>
                <w:rFonts w:ascii="Arial" w:cs="Arial" w:eastAsia="Arial" w:hAnsi="Arial"/>
                <w:sz w:val="14"/>
                <w:szCs w:val="14"/>
                <w:color w:val="auto"/>
              </w:rPr>
              <w:t xml:space="preserve">  </w:t>
            </w:r>
          </w:p>
        </w:tc>
        <w:tc>
          <w:tcPr>
            <w:tcW w:w="242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2920" w:type="dxa"/>
            <w:vAlign w:val="bottom"/>
          </w:tcPr>
          <w:p>
            <w:pPr>
              <w:ind w:left="440"/>
              <w:spacing w:after="0"/>
              <w:rPr>
                <w:sz w:val="20"/>
                <w:szCs w:val="20"/>
                <w:color w:val="auto"/>
              </w:rPr>
            </w:pPr>
            <w:r>
              <w:rPr>
                <w:rFonts w:ascii="Arial" w:cs="Arial" w:eastAsia="Arial" w:hAnsi="Arial"/>
                <w:sz w:val="14"/>
                <w:szCs w:val="14"/>
                <w:color w:val="auto"/>
              </w:rPr>
              <w:t>Ratification of Appointment of</w:t>
            </w:r>
          </w:p>
        </w:tc>
        <w:tc>
          <w:tcPr>
            <w:tcW w:w="4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920" w:type="dxa"/>
            <w:vAlign w:val="bottom"/>
          </w:tcPr>
          <w:p>
            <w:pPr>
              <w:ind w:left="440"/>
              <w:spacing w:after="0" w:line="145" w:lineRule="exact"/>
              <w:rPr>
                <w:sz w:val="20"/>
                <w:szCs w:val="20"/>
                <w:color w:val="auto"/>
              </w:rPr>
            </w:pPr>
            <w:r>
              <w:rPr>
                <w:rFonts w:ascii="Arial" w:cs="Arial" w:eastAsia="Arial" w:hAnsi="Arial"/>
                <w:sz w:val="14"/>
                <w:szCs w:val="14"/>
                <w:color w:val="auto"/>
              </w:rPr>
              <w:t>Independent Registered Public</w:t>
            </w:r>
          </w:p>
        </w:tc>
        <w:tc>
          <w:tcPr>
            <w:tcW w:w="440" w:type="dxa"/>
            <w:vAlign w:val="bottom"/>
          </w:tcPr>
          <w:p>
            <w:pPr>
              <w:spacing w:after="0"/>
              <w:rPr>
                <w:sz w:val="13"/>
                <w:szCs w:val="13"/>
                <w:color w:val="auto"/>
              </w:rPr>
            </w:pPr>
          </w:p>
        </w:tc>
        <w:tc>
          <w:tcPr>
            <w:tcW w:w="2420" w:type="dxa"/>
            <w:vAlign w:val="bottom"/>
          </w:tcPr>
          <w:p>
            <w:pPr>
              <w:ind w:left="260"/>
              <w:spacing w:after="0" w:line="145" w:lineRule="exact"/>
              <w:rPr>
                <w:sz w:val="20"/>
                <w:szCs w:val="20"/>
                <w:color w:val="auto"/>
              </w:rPr>
            </w:pPr>
            <w:r>
              <w:rPr>
                <w:rFonts w:ascii="Arial" w:cs="Arial" w:eastAsia="Arial" w:hAnsi="Arial"/>
                <w:sz w:val="14"/>
                <w:szCs w:val="14"/>
                <w:color w:val="auto"/>
              </w:rPr>
              <w:t>FOR</w:t>
            </w:r>
          </w:p>
        </w:tc>
        <w:tc>
          <w:tcPr>
            <w:tcW w:w="420" w:type="dxa"/>
            <w:vAlign w:val="bottom"/>
            <w:gridSpan w:val="4"/>
          </w:tcPr>
          <w:p>
            <w:pPr>
              <w:ind w:left="220"/>
              <w:spacing w:after="0" w:line="145" w:lineRule="exact"/>
              <w:rPr>
                <w:sz w:val="20"/>
                <w:szCs w:val="20"/>
                <w:color w:val="auto"/>
              </w:rPr>
            </w:pPr>
            <w:r>
              <w:rPr>
                <w:rFonts w:ascii="Arial" w:cs="Arial" w:eastAsia="Arial" w:hAnsi="Arial"/>
                <w:sz w:val="14"/>
                <w:szCs w:val="14"/>
                <w:color w:val="0000EE"/>
              </w:rPr>
              <w:t>47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8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tcPr>
          <w:p>
            <w:pPr>
              <w:ind w:left="60"/>
              <w:spacing w:after="0" w:line="269" w:lineRule="exact"/>
              <w:rPr>
                <w:sz w:val="20"/>
                <w:szCs w:val="20"/>
                <w:color w:val="auto"/>
              </w:rPr>
            </w:pPr>
            <w:r>
              <w:rPr>
                <w:rFonts w:ascii="Arial" w:cs="Arial" w:eastAsia="Arial" w:hAnsi="Arial"/>
                <w:sz w:val="31"/>
                <w:szCs w:val="31"/>
                <w:b w:val="1"/>
                <w:bCs w:val="1"/>
                <w:color w:val="69439A"/>
              </w:rPr>
              <w:t xml:space="preserve">2 </w:t>
            </w:r>
            <w:r>
              <w:rPr>
                <w:rFonts w:ascii="Arial" w:cs="Arial" w:eastAsia="Arial" w:hAnsi="Arial"/>
                <w:sz w:val="12"/>
                <w:szCs w:val="12"/>
                <w:color w:val="000000"/>
              </w:rPr>
              <w:t>Accounting Firm</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xml:space="preserve">  </w:t>
            </w:r>
          </w:p>
        </w:tc>
        <w:tc>
          <w:tcPr>
            <w:tcW w:w="2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top w:val="single" w:sz="8" w:color="0000EE"/>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2920" w:type="dxa"/>
            <w:vAlign w:val="bottom"/>
          </w:tcPr>
          <w:p>
            <w:pPr>
              <w:ind w:left="440"/>
              <w:spacing w:after="0"/>
              <w:rPr>
                <w:sz w:val="20"/>
                <w:szCs w:val="20"/>
                <w:color w:val="auto"/>
              </w:rPr>
            </w:pPr>
            <w:r>
              <w:rPr>
                <w:rFonts w:ascii="Arial" w:cs="Arial" w:eastAsia="Arial" w:hAnsi="Arial"/>
                <w:sz w:val="14"/>
                <w:szCs w:val="14"/>
                <w:color w:val="auto"/>
              </w:rPr>
              <w:t>Advisory Vote to Approve the</w:t>
            </w:r>
          </w:p>
        </w:tc>
        <w:tc>
          <w:tcPr>
            <w:tcW w:w="4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920" w:type="dxa"/>
            <w:vAlign w:val="bottom"/>
          </w:tcPr>
          <w:p>
            <w:pPr>
              <w:ind w:left="440"/>
              <w:spacing w:after="0" w:line="145" w:lineRule="exact"/>
              <w:rPr>
                <w:sz w:val="20"/>
                <w:szCs w:val="20"/>
                <w:color w:val="auto"/>
              </w:rPr>
            </w:pPr>
            <w:r>
              <w:rPr>
                <w:rFonts w:ascii="Arial" w:cs="Arial" w:eastAsia="Arial" w:hAnsi="Arial"/>
                <w:sz w:val="14"/>
                <w:szCs w:val="14"/>
                <w:color w:val="auto"/>
              </w:rPr>
              <w:t>Compensation of Named</w:t>
            </w:r>
          </w:p>
        </w:tc>
        <w:tc>
          <w:tcPr>
            <w:tcW w:w="440" w:type="dxa"/>
            <w:vAlign w:val="bottom"/>
          </w:tcPr>
          <w:p>
            <w:pPr>
              <w:spacing w:after="0"/>
              <w:rPr>
                <w:sz w:val="13"/>
                <w:szCs w:val="13"/>
                <w:color w:val="auto"/>
              </w:rPr>
            </w:pPr>
          </w:p>
        </w:tc>
        <w:tc>
          <w:tcPr>
            <w:tcW w:w="2420" w:type="dxa"/>
            <w:vAlign w:val="bottom"/>
          </w:tcPr>
          <w:p>
            <w:pPr>
              <w:ind w:left="260"/>
              <w:spacing w:after="0" w:line="145" w:lineRule="exact"/>
              <w:rPr>
                <w:sz w:val="20"/>
                <w:szCs w:val="20"/>
                <w:color w:val="auto"/>
              </w:rPr>
            </w:pPr>
            <w:r>
              <w:rPr>
                <w:rFonts w:ascii="Arial" w:cs="Arial" w:eastAsia="Arial" w:hAnsi="Arial"/>
                <w:sz w:val="14"/>
                <w:szCs w:val="14"/>
                <w:color w:val="auto"/>
              </w:rPr>
              <w:t>FOR</w:t>
            </w:r>
          </w:p>
        </w:tc>
        <w:tc>
          <w:tcPr>
            <w:tcW w:w="420" w:type="dxa"/>
            <w:vAlign w:val="bottom"/>
            <w:gridSpan w:val="4"/>
          </w:tcPr>
          <w:p>
            <w:pPr>
              <w:ind w:left="220"/>
              <w:spacing w:after="0" w:line="145" w:lineRule="exact"/>
              <w:rPr>
                <w:sz w:val="20"/>
                <w:szCs w:val="20"/>
                <w:color w:val="auto"/>
              </w:rPr>
            </w:pPr>
            <w:r>
              <w:rPr>
                <w:rFonts w:ascii="Arial" w:cs="Arial" w:eastAsia="Arial" w:hAnsi="Arial"/>
                <w:sz w:val="14"/>
                <w:szCs w:val="14"/>
                <w:color w:val="0000EE"/>
              </w:rPr>
              <w:t>50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8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tcPr>
          <w:p>
            <w:pPr>
              <w:ind w:left="60"/>
              <w:spacing w:after="0" w:line="269" w:lineRule="exact"/>
              <w:rPr>
                <w:sz w:val="20"/>
                <w:szCs w:val="20"/>
                <w:color w:val="auto"/>
              </w:rPr>
            </w:pPr>
            <w:r>
              <w:rPr>
                <w:rFonts w:ascii="Arial" w:cs="Arial" w:eastAsia="Arial" w:hAnsi="Arial"/>
                <w:sz w:val="31"/>
                <w:szCs w:val="31"/>
                <w:b w:val="1"/>
                <w:bCs w:val="1"/>
                <w:color w:val="69439A"/>
              </w:rPr>
              <w:t xml:space="preserve">3 </w:t>
            </w:r>
            <w:r>
              <w:rPr>
                <w:rFonts w:ascii="Arial" w:cs="Arial" w:eastAsia="Arial" w:hAnsi="Arial"/>
                <w:sz w:val="12"/>
                <w:szCs w:val="12"/>
                <w:color w:val="000000"/>
              </w:rPr>
              <w:t>Executive Officers</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xml:space="preserve">  </w:t>
            </w:r>
          </w:p>
        </w:tc>
        <w:tc>
          <w:tcPr>
            <w:tcW w:w="2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top w:val="single" w:sz="8" w:color="0000EE"/>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2920" w:type="dxa"/>
            <w:vAlign w:val="bottom"/>
          </w:tcPr>
          <w:p>
            <w:pPr>
              <w:ind w:left="440"/>
              <w:spacing w:after="0"/>
              <w:rPr>
                <w:sz w:val="20"/>
                <w:szCs w:val="20"/>
                <w:color w:val="auto"/>
              </w:rPr>
            </w:pPr>
            <w:r>
              <w:rPr>
                <w:rFonts w:ascii="Arial" w:cs="Arial" w:eastAsia="Arial" w:hAnsi="Arial"/>
                <w:sz w:val="14"/>
                <w:szCs w:val="14"/>
                <w:color w:val="auto"/>
              </w:rPr>
              <w:t>Approval of the Third Amendment to</w:t>
            </w:r>
          </w:p>
        </w:tc>
        <w:tc>
          <w:tcPr>
            <w:tcW w:w="4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920" w:type="dxa"/>
            <w:vAlign w:val="bottom"/>
          </w:tcPr>
          <w:p>
            <w:pPr>
              <w:ind w:left="440"/>
              <w:spacing w:after="0" w:line="145" w:lineRule="exact"/>
              <w:rPr>
                <w:sz w:val="20"/>
                <w:szCs w:val="20"/>
                <w:color w:val="auto"/>
              </w:rPr>
            </w:pPr>
            <w:r>
              <w:rPr>
                <w:rFonts w:ascii="Arial" w:cs="Arial" w:eastAsia="Arial" w:hAnsi="Arial"/>
                <w:sz w:val="14"/>
                <w:szCs w:val="14"/>
                <w:color w:val="auto"/>
              </w:rPr>
              <w:t>our 2022 Long-Term Incentive</w:t>
            </w:r>
          </w:p>
        </w:tc>
        <w:tc>
          <w:tcPr>
            <w:tcW w:w="440" w:type="dxa"/>
            <w:vAlign w:val="bottom"/>
          </w:tcPr>
          <w:p>
            <w:pPr>
              <w:spacing w:after="0"/>
              <w:rPr>
                <w:sz w:val="13"/>
                <w:szCs w:val="13"/>
                <w:color w:val="auto"/>
              </w:rPr>
            </w:pPr>
          </w:p>
        </w:tc>
        <w:tc>
          <w:tcPr>
            <w:tcW w:w="2420" w:type="dxa"/>
            <w:vAlign w:val="bottom"/>
          </w:tcPr>
          <w:p>
            <w:pPr>
              <w:ind w:left="260"/>
              <w:spacing w:after="0" w:line="145" w:lineRule="exact"/>
              <w:rPr>
                <w:sz w:val="20"/>
                <w:szCs w:val="20"/>
                <w:color w:val="auto"/>
              </w:rPr>
            </w:pPr>
            <w:r>
              <w:rPr>
                <w:rFonts w:ascii="Arial" w:cs="Arial" w:eastAsia="Arial" w:hAnsi="Arial"/>
                <w:sz w:val="14"/>
                <w:szCs w:val="14"/>
                <w:color w:val="auto"/>
              </w:rPr>
              <w:t>FOR</w:t>
            </w:r>
          </w:p>
        </w:tc>
        <w:tc>
          <w:tcPr>
            <w:tcW w:w="420" w:type="dxa"/>
            <w:vAlign w:val="bottom"/>
            <w:gridSpan w:val="4"/>
          </w:tcPr>
          <w:p>
            <w:pPr>
              <w:ind w:left="220"/>
              <w:spacing w:after="0" w:line="145" w:lineRule="exact"/>
              <w:rPr>
                <w:sz w:val="20"/>
                <w:szCs w:val="20"/>
                <w:color w:val="auto"/>
              </w:rPr>
            </w:pPr>
            <w:r>
              <w:rPr>
                <w:rFonts w:ascii="Arial" w:cs="Arial" w:eastAsia="Arial" w:hAnsi="Arial"/>
                <w:sz w:val="14"/>
                <w:szCs w:val="14"/>
                <w:color w:val="0000EE"/>
              </w:rPr>
              <w:t>93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8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tcPr>
          <w:p>
            <w:pPr>
              <w:ind w:left="60"/>
              <w:spacing w:after="0" w:line="269" w:lineRule="exact"/>
              <w:rPr>
                <w:sz w:val="20"/>
                <w:szCs w:val="20"/>
                <w:color w:val="auto"/>
              </w:rPr>
            </w:pPr>
            <w:r>
              <w:rPr>
                <w:rFonts w:ascii="Arial" w:cs="Arial" w:eastAsia="Arial" w:hAnsi="Arial"/>
                <w:sz w:val="31"/>
                <w:szCs w:val="31"/>
                <w:b w:val="1"/>
                <w:bCs w:val="1"/>
                <w:color w:val="69439A"/>
              </w:rPr>
              <w:t xml:space="preserve">4 </w:t>
            </w:r>
            <w:r>
              <w:rPr>
                <w:rFonts w:ascii="Arial" w:cs="Arial" w:eastAsia="Arial" w:hAnsi="Arial"/>
                <w:sz w:val="12"/>
                <w:szCs w:val="12"/>
                <w:color w:val="000000"/>
              </w:rPr>
              <w:t>Compensation Plan</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xml:space="preserve">  </w:t>
            </w:r>
          </w:p>
        </w:tc>
        <w:tc>
          <w:tcPr>
            <w:tcW w:w="2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top w:val="single" w:sz="8" w:color="0000EE"/>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80" w:type="dxa"/>
            <w:vAlign w:val="bottom"/>
          </w:tcPr>
          <w:p>
            <w:pPr>
              <w:spacing w:after="0"/>
              <w:rPr>
                <w:sz w:val="24"/>
                <w:szCs w:val="24"/>
                <w:color w:val="auto"/>
              </w:rPr>
            </w:pPr>
          </w:p>
        </w:tc>
        <w:tc>
          <w:tcPr>
            <w:tcW w:w="2920" w:type="dxa"/>
            <w:vAlign w:val="bottom"/>
          </w:tcPr>
          <w:p>
            <w:pPr>
              <w:ind w:left="440"/>
              <w:spacing w:after="0"/>
              <w:rPr>
                <w:sz w:val="20"/>
                <w:szCs w:val="20"/>
                <w:color w:val="auto"/>
              </w:rPr>
            </w:pPr>
            <w:r>
              <w:rPr>
                <w:rFonts w:ascii="Arial" w:cs="Arial" w:eastAsia="Arial" w:hAnsi="Arial"/>
                <w:sz w:val="14"/>
                <w:szCs w:val="14"/>
                <w:color w:val="auto"/>
              </w:rPr>
              <w:t>Advisory Vote on a Shareholder</w:t>
            </w: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920" w:type="dxa"/>
            <w:vAlign w:val="bottom"/>
          </w:tcPr>
          <w:p>
            <w:pPr>
              <w:ind w:left="440"/>
              <w:spacing w:after="0" w:line="145" w:lineRule="exact"/>
              <w:rPr>
                <w:sz w:val="20"/>
                <w:szCs w:val="20"/>
                <w:color w:val="auto"/>
              </w:rPr>
            </w:pPr>
            <w:r>
              <w:rPr>
                <w:rFonts w:ascii="Arial" w:cs="Arial" w:eastAsia="Arial" w:hAnsi="Arial"/>
                <w:sz w:val="14"/>
                <w:szCs w:val="14"/>
                <w:color w:val="auto"/>
              </w:rPr>
              <w:t>Proposal Requesting Annual Election</w:t>
            </w:r>
          </w:p>
        </w:tc>
        <w:tc>
          <w:tcPr>
            <w:tcW w:w="440" w:type="dxa"/>
            <w:vAlign w:val="bottom"/>
          </w:tcPr>
          <w:p>
            <w:pPr>
              <w:spacing w:after="0"/>
              <w:rPr>
                <w:sz w:val="13"/>
                <w:szCs w:val="13"/>
                <w:color w:val="auto"/>
              </w:rPr>
            </w:pPr>
          </w:p>
        </w:tc>
        <w:tc>
          <w:tcPr>
            <w:tcW w:w="2420" w:type="dxa"/>
            <w:vAlign w:val="bottom"/>
          </w:tcPr>
          <w:p>
            <w:pPr>
              <w:ind w:left="260"/>
              <w:spacing w:after="0" w:line="145" w:lineRule="exact"/>
              <w:rPr>
                <w:sz w:val="20"/>
                <w:szCs w:val="20"/>
                <w:color w:val="auto"/>
              </w:rPr>
            </w:pPr>
            <w:r>
              <w:rPr>
                <w:rFonts w:ascii="Arial" w:cs="Arial" w:eastAsia="Arial" w:hAnsi="Arial"/>
                <w:sz w:val="14"/>
                <w:szCs w:val="14"/>
                <w:color w:val="auto"/>
              </w:rPr>
              <w:t>AGAINST</w:t>
            </w:r>
          </w:p>
        </w:tc>
        <w:tc>
          <w:tcPr>
            <w:tcW w:w="620" w:type="dxa"/>
            <w:vAlign w:val="bottom"/>
            <w:gridSpan w:val="5"/>
          </w:tcPr>
          <w:p>
            <w:pPr>
              <w:jc w:val="right"/>
              <w:ind w:right="200"/>
              <w:spacing w:after="0" w:line="145" w:lineRule="exact"/>
              <w:rPr>
                <w:sz w:val="20"/>
                <w:szCs w:val="20"/>
                <w:color w:val="auto"/>
              </w:rPr>
            </w:pPr>
            <w:r>
              <w:rPr>
                <w:rFonts w:ascii="Arial" w:cs="Arial" w:eastAsia="Arial" w:hAnsi="Arial"/>
                <w:sz w:val="14"/>
                <w:szCs w:val="14"/>
                <w:color w:val="0000EE"/>
              </w:rPr>
              <w:t>107</w:t>
            </w:r>
          </w:p>
        </w:tc>
        <w:tc>
          <w:tcPr>
            <w:tcW w:w="0" w:type="dxa"/>
            <w:vAlign w:val="bottom"/>
          </w:tcPr>
          <w:p>
            <w:pPr>
              <w:spacing w:after="0"/>
              <w:rPr>
                <w:sz w:val="1"/>
                <w:szCs w:val="1"/>
                <w:color w:val="auto"/>
              </w:rPr>
            </w:pPr>
          </w:p>
        </w:tc>
      </w:tr>
      <w:tr>
        <w:trPr>
          <w:trHeight w:val="264"/>
        </w:trPr>
        <w:tc>
          <w:tcPr>
            <w:tcW w:w="80" w:type="dxa"/>
            <w:vAlign w:val="bottom"/>
            <w:tcBorders>
              <w:bottom w:val="single" w:sz="8" w:color="69439A"/>
            </w:tcBorders>
          </w:tcPr>
          <w:p>
            <w:pPr>
              <w:spacing w:after="0"/>
              <w:rPr>
                <w:sz w:val="22"/>
                <w:szCs w:val="22"/>
                <w:color w:val="auto"/>
              </w:rPr>
            </w:pPr>
          </w:p>
        </w:tc>
        <w:tc>
          <w:tcPr>
            <w:tcW w:w="2920" w:type="dxa"/>
            <w:vAlign w:val="bottom"/>
            <w:tcBorders>
              <w:bottom w:val="single" w:sz="8" w:color="69439A"/>
            </w:tcBorders>
          </w:tcPr>
          <w:p>
            <w:pPr>
              <w:ind w:left="60"/>
              <w:spacing w:after="0" w:line="230" w:lineRule="exact"/>
              <w:rPr>
                <w:sz w:val="20"/>
                <w:szCs w:val="20"/>
                <w:color w:val="auto"/>
              </w:rPr>
            </w:pPr>
            <w:r>
              <w:rPr>
                <w:rFonts w:ascii="Arial" w:cs="Arial" w:eastAsia="Arial" w:hAnsi="Arial"/>
                <w:sz w:val="26"/>
                <w:szCs w:val="26"/>
                <w:b w:val="1"/>
                <w:bCs w:val="1"/>
                <w:color w:val="69439A"/>
              </w:rPr>
              <w:t xml:space="preserve">5 </w:t>
            </w:r>
            <w:r>
              <w:rPr>
                <w:rFonts w:ascii="Arial" w:cs="Arial" w:eastAsia="Arial" w:hAnsi="Arial"/>
                <w:sz w:val="11"/>
                <w:szCs w:val="11"/>
                <w:color w:val="000000"/>
              </w:rPr>
              <w:t>of Directors, if properly presented</w:t>
            </w:r>
          </w:p>
        </w:tc>
        <w:tc>
          <w:tcPr>
            <w:tcW w:w="440" w:type="dxa"/>
            <w:vAlign w:val="bottom"/>
            <w:tcBorders>
              <w:bottom w:val="single" w:sz="8" w:color="69439A"/>
            </w:tcBorders>
          </w:tcPr>
          <w:p>
            <w:pPr>
              <w:ind w:left="120"/>
              <w:spacing w:after="0"/>
              <w:rPr>
                <w:sz w:val="20"/>
                <w:szCs w:val="20"/>
                <w:color w:val="auto"/>
              </w:rPr>
            </w:pPr>
            <w:r>
              <w:rPr>
                <w:rFonts w:ascii="Arial" w:cs="Arial" w:eastAsia="Arial" w:hAnsi="Arial"/>
                <w:sz w:val="14"/>
                <w:szCs w:val="14"/>
                <w:color w:val="auto"/>
              </w:rPr>
              <w:t xml:space="preserve">  </w:t>
            </w:r>
          </w:p>
        </w:tc>
        <w:tc>
          <w:tcPr>
            <w:tcW w:w="2420" w:type="dxa"/>
            <w:vAlign w:val="bottom"/>
            <w:tcBorders>
              <w:bottom w:val="single" w:sz="8" w:color="69439A"/>
            </w:tcBorders>
          </w:tcPr>
          <w:p>
            <w:pPr>
              <w:spacing w:after="0"/>
              <w:rPr>
                <w:sz w:val="22"/>
                <w:szCs w:val="22"/>
                <w:color w:val="auto"/>
              </w:rPr>
            </w:pPr>
          </w:p>
        </w:tc>
        <w:tc>
          <w:tcPr>
            <w:tcW w:w="180" w:type="dxa"/>
            <w:vAlign w:val="bottom"/>
            <w:tcBorders>
              <w:bottom w:val="single" w:sz="8" w:color="69439A"/>
            </w:tcBorders>
          </w:tcPr>
          <w:p>
            <w:pPr>
              <w:spacing w:after="0"/>
              <w:rPr>
                <w:sz w:val="22"/>
                <w:szCs w:val="22"/>
                <w:color w:val="auto"/>
              </w:rPr>
            </w:pPr>
          </w:p>
        </w:tc>
        <w:tc>
          <w:tcPr>
            <w:tcW w:w="40" w:type="dxa"/>
            <w:vAlign w:val="bottom"/>
            <w:tcBorders>
              <w:top w:val="single" w:sz="8" w:color="0000EE"/>
              <w:bottom w:val="single" w:sz="8" w:color="69439A"/>
            </w:tcBorders>
          </w:tcPr>
          <w:p>
            <w:pPr>
              <w:spacing w:after="0"/>
              <w:rPr>
                <w:sz w:val="22"/>
                <w:szCs w:val="22"/>
                <w:color w:val="auto"/>
              </w:rPr>
            </w:pPr>
          </w:p>
        </w:tc>
        <w:tc>
          <w:tcPr>
            <w:tcW w:w="160" w:type="dxa"/>
            <w:vAlign w:val="bottom"/>
            <w:tcBorders>
              <w:top w:val="single" w:sz="8" w:color="0000EE"/>
              <w:bottom w:val="single" w:sz="8" w:color="69439A"/>
            </w:tcBorders>
          </w:tcPr>
          <w:p>
            <w:pPr>
              <w:spacing w:after="0"/>
              <w:rPr>
                <w:sz w:val="22"/>
                <w:szCs w:val="22"/>
                <w:color w:val="auto"/>
              </w:rPr>
            </w:pPr>
          </w:p>
        </w:tc>
        <w:tc>
          <w:tcPr>
            <w:tcW w:w="40" w:type="dxa"/>
            <w:vAlign w:val="bottom"/>
            <w:tcBorders>
              <w:top w:val="single" w:sz="8" w:color="0000EE"/>
              <w:bottom w:val="single" w:sz="8" w:color="69439A"/>
            </w:tcBorders>
          </w:tcPr>
          <w:p>
            <w:pPr>
              <w:spacing w:after="0"/>
              <w:rPr>
                <w:sz w:val="22"/>
                <w:szCs w:val="22"/>
                <w:color w:val="auto"/>
              </w:rPr>
            </w:pPr>
          </w:p>
        </w:tc>
        <w:tc>
          <w:tcPr>
            <w:tcW w:w="200" w:type="dxa"/>
            <w:vAlign w:val="bottom"/>
            <w:tcBorders>
              <w:bottom w:val="single" w:sz="8" w:color="6943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-2219960</wp:posOffset>
            </wp:positionV>
            <wp:extent cx="231140"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1140" cy="23177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-1765300</wp:posOffset>
            </wp:positionV>
            <wp:extent cx="231140" cy="2311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-1311275</wp:posOffset>
            </wp:positionV>
            <wp:extent cx="231140" cy="2311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-856615</wp:posOffset>
            </wp:positionV>
            <wp:extent cx="231140"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1140" cy="23177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-368300</wp:posOffset>
            </wp:positionV>
            <wp:extent cx="231140" cy="231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160"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Shareholders will also transact such other business as may properly come before the Annual Meeting and any postponement or adjournment thereof.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0100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1774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1774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ind w:left="420"/>
              <w:spacing w:after="0"/>
              <w:rPr>
                <w:sz w:val="20"/>
                <w:szCs w:val="20"/>
                <w:color w:val="auto"/>
              </w:rPr>
            </w:pPr>
            <w:r>
              <w:rPr>
                <w:rFonts w:ascii="Arial" w:cs="Arial" w:eastAsia="Arial" w:hAnsi="Arial"/>
                <w:sz w:val="14"/>
                <w:szCs w:val="14"/>
                <w:color w:val="auto"/>
              </w:rPr>
              <w:t>PROXY STATEMENT - 2026</w:t>
            </w: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710"/>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94"/>
        </w:trPr>
        <w:tc>
          <w:tcPr>
            <w:tcW w:w="2480" w:type="dxa"/>
            <w:vAlign w:val="bottom"/>
          </w:tcPr>
          <w:p>
            <w:pPr>
              <w:spacing w:after="0"/>
              <w:rPr>
                <w:sz w:val="8"/>
                <w:szCs w:val="8"/>
                <w:color w:val="auto"/>
              </w:rPr>
            </w:pPr>
          </w:p>
        </w:tc>
        <w:tc>
          <w:tcPr>
            <w:tcW w:w="220" w:type="dxa"/>
            <w:vAlign w:val="bottom"/>
            <w:shd w:val="clear" w:color="auto" w:fill="010035"/>
          </w:tcPr>
          <w:p>
            <w:pPr>
              <w:spacing w:after="0"/>
              <w:rPr>
                <w:sz w:val="8"/>
                <w:szCs w:val="8"/>
                <w:color w:val="auto"/>
              </w:rPr>
            </w:pPr>
          </w:p>
        </w:tc>
      </w:tr>
      <w:tr>
        <w:trPr>
          <w:trHeight w:val="554"/>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5"/>
        </w:trPr>
        <w:tc>
          <w:tcPr>
            <w:tcW w:w="2480" w:type="dxa"/>
            <w:vAlign w:val="bottom"/>
            <w:shd w:val="clear" w:color="auto" w:fill="DED8EC"/>
          </w:tcPr>
          <w:p>
            <w:pPr>
              <w:spacing w:after="0"/>
              <w:rPr>
                <w:sz w:val="15"/>
                <w:szCs w:val="15"/>
                <w:color w:val="auto"/>
              </w:rPr>
            </w:pPr>
          </w:p>
        </w:tc>
        <w:tc>
          <w:tcPr>
            <w:tcW w:w="220" w:type="dxa"/>
            <w:vAlign w:val="bottom"/>
            <w:shd w:val="clear" w:color="auto" w:fill="DED8E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714500" cy="41319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0" cy="41319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10035"/>
        </w:rPr>
        <w:t>DATE AND TIME:</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010035"/>
        </w:rPr>
        <w:t>June 16, 2026 at 10 a.m. 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10035"/>
        </w:rPr>
        <w:t>VIRTUAL MEETING:</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010035"/>
        </w:rPr>
        <w:t>The Annual Meeting is a virtual</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010035"/>
        </w:rPr>
        <w:t>meeting at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010035"/>
        </w:rPr>
        <w:t>www.virtualshareholder</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010035"/>
        </w:rPr>
        <w:t>meeting.com/PENN2026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40" w:right="320"/>
        <w:spacing w:after="0" w:line="250" w:lineRule="auto"/>
        <w:rPr>
          <w:sz w:val="20"/>
          <w:szCs w:val="20"/>
          <w:color w:val="auto"/>
        </w:rPr>
      </w:pPr>
      <w:r>
        <w:rPr>
          <w:rFonts w:ascii="Arial" w:cs="Arial" w:eastAsia="Arial" w:hAnsi="Arial"/>
          <w:sz w:val="14"/>
          <w:szCs w:val="14"/>
          <w:b w:val="1"/>
          <w:bCs w:val="1"/>
          <w:color w:val="010035"/>
        </w:rPr>
        <w:t xml:space="preserve">RECORD DATE: </w:t>
      </w:r>
      <w:r>
        <w:rPr>
          <w:rFonts w:ascii="Arial" w:cs="Arial" w:eastAsia="Arial" w:hAnsi="Arial"/>
          <w:sz w:val="14"/>
          <w:szCs w:val="14"/>
          <w:color w:val="010035"/>
        </w:rPr>
        <w:t>March 27, 2026</w:t>
      </w:r>
      <w:r>
        <w:rPr>
          <w:rFonts w:ascii="Arial" w:cs="Arial" w:eastAsia="Arial" w:hAnsi="Arial"/>
          <w:sz w:val="14"/>
          <w:szCs w:val="14"/>
          <w:b w:val="1"/>
          <w:bCs w:val="1"/>
          <w:color w:val="010035"/>
        </w:rPr>
        <w:t xml:space="preserve"> </w:t>
      </w:r>
      <w:r>
        <w:rPr>
          <w:rFonts w:ascii="Arial" w:cs="Arial" w:eastAsia="Arial" w:hAnsi="Arial"/>
          <w:sz w:val="14"/>
          <w:szCs w:val="14"/>
          <w:color w:val="010035"/>
        </w:rPr>
        <w:t>Only shareholders of record as of the close of business on the Record Date will be entitled to notice of and to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10035"/>
        </w:rPr>
        <w:t>ATTENDANCE:</w:t>
      </w:r>
    </w:p>
    <w:p>
      <w:pPr>
        <w:spacing w:after="0" w:line="42" w:lineRule="exact"/>
        <w:rPr>
          <w:sz w:val="20"/>
          <w:szCs w:val="20"/>
          <w:color w:val="auto"/>
        </w:rPr>
      </w:pPr>
    </w:p>
    <w:p>
      <w:pPr>
        <w:ind w:left="240" w:right="480"/>
        <w:spacing w:after="0" w:line="256" w:lineRule="auto"/>
        <w:rPr>
          <w:sz w:val="20"/>
          <w:szCs w:val="20"/>
          <w:color w:val="auto"/>
        </w:rPr>
      </w:pPr>
      <w:r>
        <w:rPr>
          <w:rFonts w:ascii="Arial" w:cs="Arial" w:eastAsia="Arial" w:hAnsi="Arial"/>
          <w:sz w:val="14"/>
          <w:szCs w:val="14"/>
          <w:color w:val="010035"/>
        </w:rPr>
        <w:t>Only shareholders of record or their legal proxies may participate in the virtual Annual Meeting.</w:t>
      </w:r>
    </w:p>
    <w:p>
      <w:pPr>
        <w:spacing w:after="0" w:line="538" w:lineRule="exact"/>
        <w:rPr>
          <w:sz w:val="20"/>
          <w:szCs w:val="20"/>
          <w:color w:val="auto"/>
        </w:rPr>
      </w:pPr>
    </w:p>
    <w:p>
      <w:pPr>
        <w:sectPr>
          <w:pgSz w:w="11900" w:h="16838" w:orient="portrait"/>
          <w:cols w:equalWidth="0" w:num="2">
            <w:col w:w="6480" w:space="220"/>
            <w:col w:w="27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Arial" w:cs="Arial" w:eastAsia="Arial" w:hAnsi="Arial"/>
          <w:sz w:val="18"/>
          <w:szCs w:val="18"/>
          <w:color w:val="010035"/>
        </w:rPr>
        <w:t xml:space="preserve">  </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69439A"/>
        </w:rPr>
        <w:t>VIA THE INTERNET</w:t>
      </w:r>
    </w:p>
    <w:p>
      <w:pPr>
        <w:spacing w:after="0" w:line="58" w:lineRule="exact"/>
        <w:rPr>
          <w:sz w:val="20"/>
          <w:szCs w:val="20"/>
          <w:color w:val="auto"/>
        </w:rPr>
      </w:pPr>
    </w:p>
    <w:p>
      <w:pPr>
        <w:ind w:left="140"/>
        <w:spacing w:after="0" w:line="249" w:lineRule="auto"/>
        <w:rPr>
          <w:sz w:val="20"/>
          <w:szCs w:val="20"/>
          <w:color w:val="auto"/>
        </w:rPr>
      </w:pPr>
      <w:r>
        <w:rPr>
          <w:rFonts w:ascii="Arial" w:cs="Arial" w:eastAsia="Arial" w:hAnsi="Arial"/>
          <w:sz w:val="14"/>
          <w:szCs w:val="14"/>
          <w:color w:val="010035"/>
        </w:rPr>
        <w:t>Locate the control number on your proxy card or voting instruction form in order to access the website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010035"/>
        </w:rPr>
        <w:t xml:space="preserve">  </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SCAN</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4"/>
          <w:szCs w:val="14"/>
          <w:color w:val="010035"/>
        </w:rPr>
        <w:t>Your proxy card or voting instruction form may also include a QR code for voting via your mobile 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010035"/>
        </w:rPr>
        <w:t> </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BY MAIL</w:t>
      </w:r>
    </w:p>
    <w:p>
      <w:pPr>
        <w:spacing w:after="0" w:line="23" w:lineRule="exact"/>
        <w:rPr>
          <w:sz w:val="20"/>
          <w:szCs w:val="20"/>
          <w:color w:val="auto"/>
        </w:rPr>
      </w:pPr>
    </w:p>
    <w:p>
      <w:pPr>
        <w:spacing w:after="0" w:line="247" w:lineRule="auto"/>
        <w:rPr>
          <w:sz w:val="20"/>
          <w:szCs w:val="20"/>
          <w:color w:val="auto"/>
        </w:rPr>
      </w:pPr>
      <w:r>
        <w:rPr>
          <w:rFonts w:ascii="Arial" w:cs="Arial" w:eastAsia="Arial" w:hAnsi="Arial"/>
          <w:sz w:val="14"/>
          <w:szCs w:val="14"/>
          <w:color w:val="010035"/>
        </w:rPr>
        <w:t>Mark, sign, date and then return the proxy card or voting instruction form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362585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147955</wp:posOffset>
            </wp:positionV>
            <wp:extent cx="596646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010035"/>
        </w:rPr>
        <w:t xml:space="preserve">  </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BY TELEPHONE</w:t>
      </w:r>
    </w:p>
    <w:p>
      <w:pPr>
        <w:spacing w:after="0" w:line="23"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010035"/>
        </w:rPr>
        <w:t>Use the toll-free number shown on your proxy card or voting instruction form and follow the recorded instructions.</w:t>
      </w:r>
    </w:p>
    <w:p>
      <w:pPr>
        <w:sectPr>
          <w:pgSz w:w="11900" w:h="16838" w:orient="portrait"/>
          <w:cols w:equalWidth="0" w:num="4">
            <w:col w:w="2020" w:space="540"/>
            <w:col w:w="1820" w:space="600"/>
            <w:col w:w="1800" w:space="640"/>
            <w:col w:w="1980"/>
          </w:cols>
          <w:pgMar w:left="1240" w:top="114" w:right="12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ind w:left="440" w:hanging="434"/>
        <w:spacing w:after="0"/>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5991860" cy="46805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91860" cy="468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567"/>
        </w:trPr>
        <w:tc>
          <w:tcPr>
            <w:tcW w:w="3080" w:type="dxa"/>
            <w:vAlign w:val="bottom"/>
            <w:tcBorders>
              <w:top w:val="single" w:sz="8" w:color="69439A"/>
            </w:tcBorders>
            <w:shd w:val="clear" w:color="auto" w:fill="DED8EC"/>
          </w:tcPr>
          <w:p>
            <w:pPr>
              <w:ind w:left="240"/>
              <w:spacing w:after="0"/>
              <w:rPr>
                <w:sz w:val="20"/>
                <w:szCs w:val="20"/>
                <w:color w:val="auto"/>
              </w:rPr>
            </w:pPr>
            <w:r>
              <w:rPr>
                <w:rFonts w:ascii="Arial" w:cs="Arial" w:eastAsia="Arial" w:hAnsi="Arial"/>
                <w:sz w:val="18"/>
                <w:szCs w:val="18"/>
                <w:b w:val="1"/>
                <w:bCs w:val="1"/>
                <w:color w:val="010035"/>
                <w:w w:val="90"/>
              </w:rPr>
              <w:t>HOLLYWOOD CASINO &amp; theScore™</w:t>
            </w:r>
          </w:p>
        </w:tc>
        <w:tc>
          <w:tcPr>
            <w:tcW w:w="3040" w:type="dxa"/>
            <w:vAlign w:val="bottom"/>
            <w:tcBorders>
              <w:top w:val="single" w:sz="8" w:color="69439A"/>
            </w:tcBorders>
            <w:shd w:val="clear" w:color="auto" w:fill="DED8EC"/>
          </w:tcPr>
          <w:p>
            <w:pPr>
              <w:ind w:left="120"/>
              <w:spacing w:after="0"/>
              <w:rPr>
                <w:sz w:val="20"/>
                <w:szCs w:val="20"/>
                <w:color w:val="auto"/>
              </w:rPr>
            </w:pPr>
            <w:r>
              <w:rPr>
                <w:rFonts w:ascii="Arial" w:cs="Arial" w:eastAsia="Arial" w:hAnsi="Arial"/>
                <w:sz w:val="22"/>
                <w:szCs w:val="22"/>
                <w:b w:val="1"/>
                <w:bCs w:val="1"/>
                <w:color w:val="010035"/>
                <w:w w:val="99"/>
              </w:rPr>
              <w:t>BEST-IN-CLASS REGIONAL</w:t>
            </w:r>
          </w:p>
        </w:tc>
        <w:tc>
          <w:tcPr>
            <w:tcW w:w="3280" w:type="dxa"/>
            <w:vAlign w:val="bottom"/>
            <w:tcBorders>
              <w:top w:val="single" w:sz="8" w:color="69439A"/>
            </w:tcBorders>
            <w:shd w:val="clear" w:color="auto" w:fill="DED8EC"/>
          </w:tcPr>
          <w:p>
            <w:pPr>
              <w:ind w:left="360"/>
              <w:spacing w:after="0"/>
              <w:rPr>
                <w:sz w:val="20"/>
                <w:szCs w:val="20"/>
                <w:color w:val="auto"/>
              </w:rPr>
            </w:pPr>
            <w:r>
              <w:rPr>
                <w:rFonts w:ascii="Arial" w:cs="Arial" w:eastAsia="Arial" w:hAnsi="Arial"/>
                <w:sz w:val="22"/>
                <w:szCs w:val="22"/>
                <w:b w:val="1"/>
                <w:bCs w:val="1"/>
                <w:color w:val="010035"/>
              </w:rPr>
              <w:t>CUTTING-EDGE</w:t>
            </w:r>
          </w:p>
        </w:tc>
      </w:tr>
      <w:tr>
        <w:trPr>
          <w:trHeight w:val="297"/>
        </w:trPr>
        <w:tc>
          <w:tcPr>
            <w:tcW w:w="3080" w:type="dxa"/>
            <w:vAlign w:val="bottom"/>
            <w:shd w:val="clear" w:color="auto" w:fill="DED8EC"/>
          </w:tcPr>
          <w:p>
            <w:pPr>
              <w:spacing w:after="0"/>
              <w:rPr>
                <w:sz w:val="24"/>
                <w:szCs w:val="24"/>
                <w:color w:val="auto"/>
              </w:rPr>
            </w:pPr>
          </w:p>
        </w:tc>
        <w:tc>
          <w:tcPr>
            <w:tcW w:w="3040" w:type="dxa"/>
            <w:vAlign w:val="bottom"/>
            <w:shd w:val="clear" w:color="auto" w:fill="DED8EC"/>
          </w:tcPr>
          <w:p>
            <w:pPr>
              <w:ind w:left="120"/>
              <w:spacing w:after="0"/>
              <w:rPr>
                <w:sz w:val="20"/>
                <w:szCs w:val="20"/>
                <w:color w:val="auto"/>
              </w:rPr>
            </w:pPr>
            <w:r>
              <w:rPr>
                <w:rFonts w:ascii="Arial" w:cs="Arial" w:eastAsia="Arial" w:hAnsi="Arial"/>
                <w:sz w:val="22"/>
                <w:szCs w:val="22"/>
                <w:b w:val="1"/>
                <w:bCs w:val="1"/>
                <w:color w:val="010035"/>
              </w:rPr>
              <w:t>CASINOS</w:t>
            </w:r>
          </w:p>
        </w:tc>
        <w:tc>
          <w:tcPr>
            <w:tcW w:w="3280" w:type="dxa"/>
            <w:vAlign w:val="bottom"/>
            <w:shd w:val="clear" w:color="auto" w:fill="DED8EC"/>
          </w:tcPr>
          <w:p>
            <w:pPr>
              <w:ind w:left="360"/>
              <w:spacing w:after="0"/>
              <w:rPr>
                <w:sz w:val="20"/>
                <w:szCs w:val="20"/>
                <w:color w:val="auto"/>
              </w:rPr>
            </w:pPr>
            <w:r>
              <w:rPr>
                <w:rFonts w:ascii="Arial" w:cs="Arial" w:eastAsia="Arial" w:hAnsi="Arial"/>
                <w:sz w:val="22"/>
                <w:szCs w:val="22"/>
                <w:b w:val="1"/>
                <w:bCs w:val="1"/>
                <w:color w:val="010035"/>
              </w:rPr>
              <w:t>TECHNOLOGY</w:t>
            </w:r>
          </w:p>
        </w:tc>
      </w:tr>
    </w:tbl>
    <w:p>
      <w:pPr>
        <w:spacing w:after="0" w:line="200" w:lineRule="exact"/>
        <w:rPr>
          <w:sz w:val="20"/>
          <w:szCs w:val="20"/>
          <w:color w:val="auto"/>
        </w:rPr>
      </w:pPr>
    </w:p>
    <w:p>
      <w:pPr>
        <w:sectPr>
          <w:pgSz w:w="11900" w:h="16838" w:orient="portrait"/>
          <w:cols w:equalWidth="0" w:num="1">
            <w:col w:w="9400"/>
          </w:cols>
          <w:pgMar w:left="1240" w:top="114" w:right="1259" w:bottom="1440" w:gutter="0" w:footer="0" w:header="0"/>
        </w:sectPr>
      </w:pPr>
    </w:p>
    <w:p>
      <w:pPr>
        <w:spacing w:after="0" w:line="47" w:lineRule="exact"/>
        <w:rPr>
          <w:sz w:val="20"/>
          <w:szCs w:val="20"/>
          <w:color w:val="auto"/>
        </w:rPr>
      </w:pPr>
    </w:p>
    <w:p>
      <w:pPr>
        <w:ind w:left="240"/>
        <w:spacing w:after="0" w:line="256" w:lineRule="auto"/>
        <w:rPr>
          <w:sz w:val="20"/>
          <w:szCs w:val="20"/>
          <w:color w:val="auto"/>
        </w:rPr>
      </w:pPr>
      <w:r>
        <w:rPr>
          <w:rFonts w:ascii="Arial" w:cs="Arial" w:eastAsia="Arial" w:hAnsi="Arial"/>
          <w:sz w:val="14"/>
          <w:szCs w:val="14"/>
          <w:color w:val="010035"/>
        </w:rPr>
        <w:t>Leveraging our leading casino and sports media brands to expand our digital footprint through organic cross-sell opportunities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263" w:lineRule="auto"/>
        <w:rPr>
          <w:sz w:val="20"/>
          <w:szCs w:val="20"/>
          <w:color w:val="auto"/>
        </w:rPr>
      </w:pPr>
      <w:r>
        <w:rPr>
          <w:rFonts w:ascii="Arial" w:cs="Arial" w:eastAsia="Arial" w:hAnsi="Arial"/>
          <w:sz w:val="14"/>
          <w:szCs w:val="14"/>
          <w:color w:val="010035"/>
        </w:rPr>
        <w:t>Leading properties in a geographically diversified portfolio create sustained customer engagement and loyalty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355600</wp:posOffset>
            </wp:positionV>
            <wp:extent cx="59664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475615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640"/>
        <w:spacing w:after="0" w:line="252" w:lineRule="auto"/>
        <w:rPr>
          <w:sz w:val="20"/>
          <w:szCs w:val="20"/>
          <w:color w:val="auto"/>
        </w:rPr>
      </w:pPr>
      <w:r>
        <w:rPr>
          <w:rFonts w:ascii="Arial" w:cs="Arial" w:eastAsia="Arial" w:hAnsi="Arial"/>
          <w:sz w:val="14"/>
          <w:szCs w:val="14"/>
          <w:color w:val="010035"/>
        </w:rPr>
        <w:t>Fully integrated digital sports and iCasino betting platforms and in-house iCasino content studio (PENN Game Studios) drive growth and customer retention</w:t>
      </w:r>
    </w:p>
    <w:p>
      <w:pPr>
        <w:sectPr>
          <w:pgSz w:w="11900" w:h="16838" w:orient="portrait"/>
          <w:cols w:equalWidth="0" w:num="3">
            <w:col w:w="2880" w:space="320"/>
            <w:col w:w="2920" w:space="360"/>
            <w:col w:w="2920"/>
          </w:cols>
          <w:pgMar w:left="1240" w:top="114" w:right="1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tbl>
      <w:tblPr>
        <w:tblLayout w:type="fixed"/>
        <w:tblInd w:w="7120" w:type="dxa"/>
        <w:tblCellMar>
          <w:top w:w="0" w:type="dxa"/>
          <w:left w:w="0" w:type="dxa"/>
          <w:bottom w:w="0" w:type="dxa"/>
          <w:right w:w="0" w:type="dxa"/>
        </w:tblCellMar>
      </w:tblPr>
      <w:tr>
        <w:trPr>
          <w:trHeight w:val="190"/>
        </w:trPr>
        <w:tc>
          <w:tcPr>
            <w:tcW w:w="2020" w:type="dxa"/>
            <w:vAlign w:val="bottom"/>
          </w:tcPr>
          <w:p>
            <w:pPr>
              <w:spacing w:after="0"/>
              <w:rPr>
                <w:sz w:val="20"/>
                <w:szCs w:val="20"/>
                <w:color w:val="auto"/>
              </w:rPr>
            </w:pPr>
            <w:r>
              <w:rPr>
                <w:rFonts w:ascii="Arial" w:cs="Arial" w:eastAsia="Arial" w:hAnsi="Arial"/>
                <w:sz w:val="14"/>
                <w:szCs w:val="14"/>
                <w:color w:val="auto"/>
              </w:rPr>
              <w:t>PROXY STATEMENT - 2026</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966460" cy="1974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667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466725"/>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-298450</wp:posOffset>
            </wp:positionV>
            <wp:extent cx="5829300"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2025 was an important year of transition for PENN Entertainment as we strengthened our position as a differentiated provider of integrated entertainment, sports content and casino gaming experiences. Our actions and strategic decisions during the year were focused on driving growth in both our Interactive and Retail segments, increasing free cash flow and improving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Continued Strength in Retail</w:t>
      </w:r>
    </w:p>
    <w:p>
      <w:pPr>
        <w:spacing w:after="0" w:line="109"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In our retail portfolio, we continued to invest in high-return growth projects designed to enhance customer experience, expand our addressable market and improve property-level economics. The land-based relocation of Hollywood Casino Joliet, which opened in August 2025, is delivering strong initial results reflective of the benefits of a modernized facility, improved accessibility and upgraded amenities that attract both new and reactivated customers. Since opening at the new location, the property has delivered an approximately 1.3x increase in year-over-year active players, a 1.4x and 2.0x increase in slot and table volumes, respectively, and a 2.0x increase in non-gaming revenues compared to the prior water-based facility. Similarly, the opening of the second tower at M Resort Hotel in December 2025 is capturing previously unmet demand in the Las Vegas market. The expanded property generated record gaming volumes in its opening month and achieved record net revenue in January 2026. We also secured two of the largest group bookings in the property’s history following the opening, underscoring the strength of the asset. In 2026, we plan to build on our recent momentum with the new hotel tower at Hollywood Casino Columbus and the relocation of Hollywood Casino Aurora, which are scheduled to open on June 12 and June 24 this year, respectively, pending customary regulatory approvals.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Progress in Interactive</w:t>
      </w:r>
    </w:p>
    <w:p>
      <w:pPr>
        <w:spacing w:after="0" w:line="10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2025 also marked a key milestone in Interactive. Following the mutual termination of our partnership with ESPN, effective December 1, 2025, we successfully rebranded our U.S. online sportsbook to theScore Bet and refocused our digital strategy on a more efficient model emphasizing our growing iCasino and Canadian operations. We are encouraged by the early results of this strategic shift, which has enabled us to unify our sports betting offerings across both the U.S. and Canada while continuing to build on the momentum of our Hollywood branded iCasino product in the U.S. By aligning our digital strategy with theScore’s established media ecosystem, we have enhanced our ability to deliver integrated, personalized customer experiences as we continue to improve cross-sell opportunities and marketing efficiency. In the first full month of operations following the rebrand, our Interactive segment generated positive adjusted EBITDA, an important step in our path toward profitable growth. Similarly, in the two months following the rebrand, U.S. Gaming adjusted gross profit increased over 200% year-over-year while total Interactive marketing spend decreased by over 60%. We also delivered record gaming revenue in the fourth quarter of 2025, reflecting strengthened operating momentum driven by the growth of our standalone Hollywood iCasino product and improvements to our online sportsbook offering.</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Positioned for Long-Term Value Creation</w:t>
      </w:r>
    </w:p>
    <w:p>
      <w:pPr>
        <w:spacing w:after="0" w:line="109"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As we look to 2026 and beyond, we are well positioned to capitalize on growth opportunities in both Retail and Interactive, as well as benefit from the strategic investments we have made in our business over the last several years. We remain focused on improving free cash flow, deleveraging and opportunistically returning capital to shareholders. Most importantly, we believe we have a strong foundation in place to support our priorities, including a high-quality retail portfolio, continued progress toward break-even adjusted EBITDA in Interactive (not including costs associated with the anticipated Alberta launch) and a more efficient cost structure following our recent corporate restructuring and cost-optimization initiatives. Such actions are expected to drive $10 million or more in annualized run-rate corporate overhead savings in 2026 and reduce maintenance capital by approximately $20 million year-over-year. As a result, we expect to generate over $260 million in year-over-year segment-adjusted EBITDA improvement and are well positioned to reduce lease adjusted net leverage by more than one turn in 2026 as we translate our strategic investments into improved returns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208280</wp:posOffset>
            </wp:positionV>
            <wp:extent cx="5786755" cy="12687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86755" cy="126873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32"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15"/>
          <w:szCs w:val="15"/>
          <w:color w:val="010035"/>
          <w:vertAlign w:val="superscript"/>
        </w:rPr>
      </w:pPr>
      <w:r>
        <w:rPr>
          <w:rFonts w:ascii="Times New Roman" w:cs="Times New Roman" w:eastAsia="Times New Roman" w:hAnsi="Times New Roman"/>
          <w:sz w:val="10"/>
          <w:szCs w:val="10"/>
          <w:color w:val="010035"/>
        </w:rPr>
        <w:t>Reflects sum of total revenues for our retail operating segments (Northeast, Midwest, South, West).</w:t>
      </w:r>
    </w:p>
    <w:p>
      <w:pPr>
        <w:spacing w:after="0" w:line="6" w:lineRule="exact"/>
        <w:rPr>
          <w:rFonts w:ascii="Times New Roman" w:cs="Times New Roman" w:eastAsia="Times New Roman" w:hAnsi="Times New Roman"/>
          <w:sz w:val="15"/>
          <w:szCs w:val="15"/>
          <w:color w:val="010035"/>
          <w:vertAlign w:val="superscript"/>
        </w:rPr>
      </w:pPr>
    </w:p>
    <w:p>
      <w:pPr>
        <w:ind w:left="180" w:right="20" w:hanging="174"/>
        <w:spacing w:after="0" w:line="193" w:lineRule="auto"/>
        <w:tabs>
          <w:tab w:leader="none" w:pos="180" w:val="left"/>
        </w:tabs>
        <w:numPr>
          <w:ilvl w:val="0"/>
          <w:numId w:val="10"/>
        </w:numPr>
        <w:rPr>
          <w:rFonts w:ascii="Times New Roman" w:cs="Times New Roman" w:eastAsia="Times New Roman" w:hAnsi="Times New Roman"/>
          <w:sz w:val="16"/>
          <w:szCs w:val="16"/>
          <w:color w:val="010035"/>
          <w:vertAlign w:val="superscript"/>
        </w:rPr>
      </w:pPr>
      <w:r>
        <w:rPr>
          <w:rFonts w:ascii="Times New Roman" w:cs="Times New Roman" w:eastAsia="Times New Roman" w:hAnsi="Times New Roman"/>
          <w:sz w:val="11"/>
          <w:szCs w:val="11"/>
          <w:color w:val="010035"/>
        </w:rPr>
        <w:t>Reflects sum of Adjusted EBITDAR for our retail operating segments (Northeast, Midwest, South, West).</w:t>
      </w:r>
    </w:p>
    <w:p>
      <w:pPr>
        <w:ind w:left="180" w:hanging="174"/>
        <w:spacing w:after="0" w:line="193" w:lineRule="auto"/>
        <w:tabs>
          <w:tab w:leader="none" w:pos="180" w:val="left"/>
        </w:tabs>
        <w:numPr>
          <w:ilvl w:val="0"/>
          <w:numId w:val="10"/>
        </w:numPr>
        <w:rPr>
          <w:rFonts w:ascii="Times New Roman" w:cs="Times New Roman" w:eastAsia="Times New Roman" w:hAnsi="Times New Roman"/>
          <w:sz w:val="16"/>
          <w:szCs w:val="16"/>
          <w:color w:val="010035"/>
          <w:vertAlign w:val="superscript"/>
        </w:rPr>
      </w:pPr>
      <w:r>
        <w:rPr>
          <w:rFonts w:ascii="Times New Roman" w:cs="Times New Roman" w:eastAsia="Times New Roman" w:hAnsi="Times New Roman"/>
          <w:sz w:val="11"/>
          <w:szCs w:val="11"/>
          <w:color w:val="010035"/>
        </w:rPr>
        <w:t>Retail-segment margin is retail-segment Adjusted EBITDAR divided by total retail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8" w:hanging="168"/>
        <w:spacing w:after="0"/>
        <w:tabs>
          <w:tab w:leader="none" w:pos="168" w:val="left"/>
        </w:tabs>
        <w:numPr>
          <w:ilvl w:val="0"/>
          <w:numId w:val="11"/>
        </w:numPr>
        <w:rPr>
          <w:rFonts w:ascii="Times New Roman" w:cs="Times New Roman" w:eastAsia="Times New Roman" w:hAnsi="Times New Roman"/>
          <w:sz w:val="15"/>
          <w:szCs w:val="15"/>
          <w:color w:val="010035"/>
          <w:vertAlign w:val="superscript"/>
        </w:rPr>
      </w:pPr>
      <w:r>
        <w:rPr>
          <w:rFonts w:ascii="Times New Roman" w:cs="Times New Roman" w:eastAsia="Times New Roman" w:hAnsi="Times New Roman"/>
          <w:sz w:val="10"/>
          <w:szCs w:val="10"/>
          <w:color w:val="010035"/>
        </w:rPr>
        <w:t>Period of measurement: September 2019 through September 2025.</w:t>
      </w:r>
    </w:p>
    <w:p>
      <w:pPr>
        <w:spacing w:after="0" w:line="6" w:lineRule="exact"/>
        <w:rPr>
          <w:rFonts w:ascii="Times New Roman" w:cs="Times New Roman" w:eastAsia="Times New Roman" w:hAnsi="Times New Roman"/>
          <w:sz w:val="15"/>
          <w:szCs w:val="15"/>
          <w:color w:val="010035"/>
          <w:vertAlign w:val="superscript"/>
        </w:rPr>
      </w:pPr>
    </w:p>
    <w:p>
      <w:pPr>
        <w:ind w:left="168" w:hanging="168"/>
        <w:spacing w:after="0" w:line="191" w:lineRule="auto"/>
        <w:tabs>
          <w:tab w:leader="none" w:pos="168" w:val="left"/>
        </w:tabs>
        <w:numPr>
          <w:ilvl w:val="0"/>
          <w:numId w:val="11"/>
        </w:numPr>
        <w:rPr>
          <w:rFonts w:ascii="Times New Roman" w:cs="Times New Roman" w:eastAsia="Times New Roman" w:hAnsi="Times New Roman"/>
          <w:sz w:val="14"/>
          <w:szCs w:val="14"/>
          <w:color w:val="010035"/>
          <w:vertAlign w:val="superscript"/>
        </w:rPr>
      </w:pPr>
      <w:r>
        <w:rPr>
          <w:rFonts w:ascii="Times New Roman" w:cs="Times New Roman" w:eastAsia="Times New Roman" w:hAnsi="Times New Roman"/>
          <w:sz w:val="10"/>
          <w:szCs w:val="10"/>
          <w:color w:val="010035"/>
        </w:rPr>
        <w:t>Reflects database of 5M+ digitally acquired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280035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80" w:space="332"/>
            <w:col w:w="4588"/>
          </w:cols>
          <w:pgMar w:left="1240" w:top="114"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ind w:left="440" w:hanging="434"/>
        <w:spacing w:after="0"/>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Development Projects Driving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010035"/>
        </w:rPr>
        <w:t>Hollywood Casino Joliet Relocation</w:t>
      </w:r>
      <w:r>
        <w:rPr>
          <w:rFonts w:ascii="Arial" w:cs="Arial" w:eastAsia="Arial" w:hAnsi="Arial"/>
          <w:sz w:val="26"/>
          <w:szCs w:val="26"/>
          <w:b w:val="1"/>
          <w:bCs w:val="1"/>
          <w:color w:val="010035"/>
          <w:vertAlign w:val="superscript"/>
        </w:rPr>
        <w:t>(1)</w:t>
      </w:r>
    </w:p>
    <w:p>
      <w:pPr>
        <w:spacing w:after="0" w:line="84"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Opened August 1, 2025. Located adjacent to I-80 &amp; I-55 southwest of downtown Chicago. Delivering strong results from both new and reactivated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5991860" cy="29146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9186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010035"/>
        </w:rPr>
        <w:t>M Resort Hotel Tower</w:t>
      </w:r>
      <w:r>
        <w:rPr>
          <w:rFonts w:ascii="Arial" w:cs="Arial" w:eastAsia="Arial" w:hAnsi="Arial"/>
          <w:sz w:val="26"/>
          <w:szCs w:val="26"/>
          <w:b w:val="1"/>
          <w:bCs w:val="1"/>
          <w:color w:val="010035"/>
          <w:vertAlign w:val="superscript"/>
        </w:rPr>
        <w:t>(1)</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Opened December 1, 2025. Capturing previously unmet demand and seeing continued momentum.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5991860" cy="2837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9186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tbl>
      <w:tblPr>
        <w:tblLayout w:type="fixed"/>
        <w:tblInd w:w="7120" w:type="dxa"/>
        <w:tblCellMar>
          <w:top w:w="0" w:type="dxa"/>
          <w:left w:w="0" w:type="dxa"/>
          <w:bottom w:w="0" w:type="dxa"/>
          <w:right w:w="0" w:type="dxa"/>
        </w:tblCellMar>
      </w:tblPr>
      <w:tr>
        <w:trPr>
          <w:trHeight w:val="190"/>
        </w:trPr>
        <w:tc>
          <w:tcPr>
            <w:tcW w:w="2020" w:type="dxa"/>
            <w:vAlign w:val="bottom"/>
          </w:tcPr>
          <w:p>
            <w:pPr>
              <w:spacing w:after="0"/>
              <w:rPr>
                <w:sz w:val="20"/>
                <w:szCs w:val="20"/>
                <w:color w:val="auto"/>
              </w:rPr>
            </w:pPr>
            <w:r>
              <w:rPr>
                <w:rFonts w:ascii="Arial" w:cs="Arial" w:eastAsia="Arial" w:hAnsi="Arial"/>
                <w:sz w:val="14"/>
                <w:szCs w:val="14"/>
                <w:color w:val="auto"/>
              </w:rPr>
              <w:t>PROXY STATEMENT - 2026</w:t>
            </w:r>
          </w:p>
        </w:tc>
        <w:tc>
          <w:tcPr>
            <w:tcW w:w="26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966460" cy="1974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667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466725"/>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-298450</wp:posOffset>
            </wp:positionV>
            <wp:extent cx="5829300" cy="300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Upcoming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069330" cy="6858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69330" cy="685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ind w:left="440" w:hanging="434"/>
        <w:spacing w:after="0"/>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9"/>
        <w:spacing w:after="0" w:line="248" w:lineRule="auto"/>
        <w:rPr>
          <w:sz w:val="20"/>
          <w:szCs w:val="20"/>
          <w:color w:val="auto"/>
        </w:rPr>
      </w:pPr>
      <w:r>
        <w:rPr>
          <w:rFonts w:ascii="Arial" w:cs="Arial" w:eastAsia="Arial" w:hAnsi="Arial"/>
          <w:sz w:val="14"/>
          <w:szCs w:val="14"/>
          <w:color w:val="auto"/>
        </w:rPr>
        <w:t>We believe our Board brings the right combination of fresh perspectives and deep experience, both of which are critical to governing a Company operating in a highly regulated and complex industry. Five of our ten independent directors have been appointed since our 2025 Annual Meeting, contributing extensive finance, human capital and talent management, gaming, strategy, corporate governance and technology experience to effectively oversee our next phase of growth and execution of our refocused digital strategy. At the same time, we have preserved the essential long-term knowledge and sound judgment that seasoned directors provide — experience that deepens the Board’s understanding of the Company’s history, regulatory landscape, and strategic evolution, and strengthens its ability to oversee management effectively and drive sustainable, long-term success.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Board Profile</w:t>
      </w:r>
      <w:r>
        <w:rPr>
          <w:rFonts w:ascii="Arial" w:cs="Arial" w:eastAsia="Arial" w:hAnsi="Arial"/>
          <w:sz w:val="35"/>
          <w:szCs w:val="35"/>
          <w:b w:val="1"/>
          <w:bCs w:val="1"/>
          <w:color w:val="69439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5966460" cy="5048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646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010035"/>
        </w:rPr>
        <w:t>(1) Board profile statistics as of the 2026 Annual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125730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tbl>
      <w:tblPr>
        <w:tblLayout w:type="fixed"/>
        <w:tblInd w:w="7120" w:type="dxa"/>
        <w:tblCellMar>
          <w:top w:w="0" w:type="dxa"/>
          <w:left w:w="0" w:type="dxa"/>
          <w:bottom w:w="0" w:type="dxa"/>
          <w:right w:w="0" w:type="dxa"/>
        </w:tblCellMar>
      </w:tblPr>
      <w:tr>
        <w:trPr>
          <w:trHeight w:val="190"/>
        </w:trPr>
        <w:tc>
          <w:tcPr>
            <w:tcW w:w="2020" w:type="dxa"/>
            <w:vAlign w:val="bottom"/>
          </w:tcPr>
          <w:p>
            <w:pPr>
              <w:spacing w:after="0"/>
              <w:rPr>
                <w:sz w:val="20"/>
                <w:szCs w:val="20"/>
                <w:color w:val="auto"/>
              </w:rPr>
            </w:pPr>
            <w:r>
              <w:rPr>
                <w:rFonts w:ascii="Arial" w:cs="Arial" w:eastAsia="Arial" w:hAnsi="Arial"/>
                <w:sz w:val="14"/>
                <w:szCs w:val="14"/>
                <w:color w:val="auto"/>
              </w:rPr>
              <w:t>PROXY STATEMENT - 2026</w:t>
            </w:r>
          </w:p>
        </w:tc>
        <w:tc>
          <w:tcPr>
            <w:tcW w:w="26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966460" cy="197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667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466725"/>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-298450</wp:posOffset>
            </wp:positionV>
            <wp:extent cx="5829300" cy="300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Board and Committee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200" w:type="dxa"/>
            <w:vAlign w:val="bottom"/>
            <w:tcBorders>
              <w:top w:val="single" w:sz="8" w:color="69439A"/>
            </w:tcBorders>
            <w:vMerge w:val="restart"/>
            <w:shd w:val="clear" w:color="auto" w:fill="010035"/>
          </w:tcPr>
          <w:p>
            <w:pPr>
              <w:ind w:left="120"/>
              <w:spacing w:after="0"/>
              <w:rPr>
                <w:sz w:val="20"/>
                <w:szCs w:val="20"/>
                <w:color w:val="auto"/>
              </w:rPr>
            </w:pPr>
            <w:r>
              <w:rPr>
                <w:rFonts w:ascii="Arial" w:cs="Arial" w:eastAsia="Arial" w:hAnsi="Arial"/>
                <w:sz w:val="18"/>
                <w:szCs w:val="18"/>
                <w:b w:val="1"/>
                <w:bCs w:val="1"/>
                <w:color w:val="FFFFFF"/>
                <w:w w:val="99"/>
              </w:rPr>
              <w:t>BOARD OF DIRECTORS</w:t>
            </w:r>
          </w:p>
        </w:tc>
        <w:tc>
          <w:tcPr>
            <w:tcW w:w="520" w:type="dxa"/>
            <w:vAlign w:val="bottom"/>
            <w:tcBorders>
              <w:top w:val="single" w:sz="8" w:color="69439A"/>
            </w:tcBorders>
            <w:gridSpan w:val="2"/>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89"/>
              </w:rPr>
              <w:t>AGE</w:t>
            </w:r>
            <w:r>
              <w:rPr>
                <w:rFonts w:ascii="Arial" w:cs="Arial" w:eastAsia="Arial" w:hAnsi="Arial"/>
                <w:sz w:val="23"/>
                <w:szCs w:val="23"/>
                <w:b w:val="1"/>
                <w:bCs w:val="1"/>
                <w:color w:val="FFFFFF"/>
                <w:w w:val="89"/>
                <w:vertAlign w:val="superscript"/>
              </w:rPr>
              <w:t>(1)</w:t>
            </w:r>
          </w:p>
        </w:tc>
        <w:tc>
          <w:tcPr>
            <w:tcW w:w="80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DIRECTOR</w:t>
            </w:r>
          </w:p>
        </w:tc>
        <w:tc>
          <w:tcPr>
            <w:tcW w:w="580" w:type="dxa"/>
            <w:vAlign w:val="bottom"/>
            <w:tcBorders>
              <w:top w:val="single" w:sz="8" w:color="69439A"/>
            </w:tcBorders>
            <w:shd w:val="clear" w:color="auto" w:fill="010035"/>
          </w:tcPr>
          <w:p>
            <w:pPr>
              <w:spacing w:after="0"/>
              <w:rPr>
                <w:sz w:val="24"/>
                <w:szCs w:val="24"/>
                <w:color w:val="auto"/>
              </w:rPr>
            </w:pPr>
          </w:p>
        </w:tc>
        <w:tc>
          <w:tcPr>
            <w:tcW w:w="500" w:type="dxa"/>
            <w:vAlign w:val="bottom"/>
            <w:tcBorders>
              <w:top w:val="single" w:sz="8" w:color="69439A"/>
            </w:tcBorders>
            <w:shd w:val="clear" w:color="auto" w:fill="010035"/>
          </w:tcPr>
          <w:p>
            <w:pPr>
              <w:spacing w:after="0"/>
              <w:rPr>
                <w:sz w:val="24"/>
                <w:szCs w:val="24"/>
                <w:color w:val="auto"/>
              </w:rPr>
            </w:pPr>
          </w:p>
        </w:tc>
        <w:tc>
          <w:tcPr>
            <w:tcW w:w="520" w:type="dxa"/>
            <w:vAlign w:val="bottom"/>
            <w:tcBorders>
              <w:top w:val="single" w:sz="8" w:color="69439A"/>
            </w:tcBorders>
            <w:shd w:val="clear" w:color="auto" w:fill="010035"/>
          </w:tcPr>
          <w:p>
            <w:pPr>
              <w:spacing w:after="0"/>
              <w:rPr>
                <w:sz w:val="24"/>
                <w:szCs w:val="24"/>
                <w:color w:val="auto"/>
              </w:rPr>
            </w:pPr>
          </w:p>
        </w:tc>
        <w:tc>
          <w:tcPr>
            <w:tcW w:w="1140" w:type="dxa"/>
            <w:vAlign w:val="bottom"/>
            <w:tcBorders>
              <w:top w:val="single" w:sz="8" w:color="69439A"/>
            </w:tcBorders>
            <w:shd w:val="clear" w:color="auto" w:fill="010035"/>
          </w:tcPr>
          <w:p>
            <w:pPr>
              <w:spacing w:after="0"/>
              <w:rPr>
                <w:sz w:val="24"/>
                <w:szCs w:val="24"/>
                <w:color w:val="auto"/>
              </w:rPr>
            </w:pPr>
          </w:p>
        </w:tc>
        <w:tc>
          <w:tcPr>
            <w:tcW w:w="106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NOMINATING</w:t>
            </w:r>
          </w:p>
        </w:tc>
        <w:tc>
          <w:tcPr>
            <w:tcW w:w="1140" w:type="dxa"/>
            <w:vAlign w:val="bottom"/>
            <w:tcBorders>
              <w:top w:val="single" w:sz="8" w:color="69439A"/>
            </w:tcBorders>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w w:val="95"/>
              </w:rPr>
              <w:t>COMPLIANCE</w:t>
            </w:r>
            <w:r>
              <w:rPr>
                <w:rFonts w:ascii="Arial" w:cs="Arial" w:eastAsia="Arial" w:hAnsi="Arial"/>
                <w:sz w:val="23"/>
                <w:szCs w:val="23"/>
                <w:b w:val="1"/>
                <w:bCs w:val="1"/>
                <w:color w:val="FFFFFF"/>
                <w:w w:val="95"/>
                <w:vertAlign w:val="superscript"/>
              </w:rPr>
              <w:t>(2)</w:t>
            </w:r>
          </w:p>
        </w:tc>
        <w:tc>
          <w:tcPr>
            <w:tcW w:w="134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 OF OTHER</w:t>
            </w:r>
          </w:p>
        </w:tc>
        <w:tc>
          <w:tcPr>
            <w:tcW w:w="0" w:type="dxa"/>
            <w:vAlign w:val="bottom"/>
          </w:tcPr>
          <w:p>
            <w:pPr>
              <w:spacing w:after="0"/>
              <w:rPr>
                <w:sz w:val="1"/>
                <w:szCs w:val="1"/>
                <w:color w:val="auto"/>
              </w:rPr>
            </w:pPr>
          </w:p>
        </w:tc>
      </w:tr>
      <w:tr>
        <w:trPr>
          <w:trHeight w:val="158"/>
        </w:trPr>
        <w:tc>
          <w:tcPr>
            <w:tcW w:w="2200" w:type="dxa"/>
            <w:vAlign w:val="bottom"/>
            <w:vMerge w:val="continue"/>
            <w:shd w:val="clear" w:color="auto" w:fill="010035"/>
          </w:tcPr>
          <w:p>
            <w:pPr>
              <w:spacing w:after="0"/>
              <w:rPr>
                <w:sz w:val="13"/>
                <w:szCs w:val="13"/>
                <w:color w:val="auto"/>
              </w:rPr>
            </w:pPr>
          </w:p>
        </w:tc>
        <w:tc>
          <w:tcPr>
            <w:tcW w:w="520" w:type="dxa"/>
            <w:vAlign w:val="bottom"/>
            <w:gridSpan w:val="2"/>
            <w:vMerge w:val="continue"/>
            <w:shd w:val="clear" w:color="auto" w:fill="010035"/>
          </w:tcPr>
          <w:p>
            <w:pPr>
              <w:spacing w:after="0"/>
              <w:rPr>
                <w:sz w:val="13"/>
                <w:szCs w:val="13"/>
                <w:color w:val="auto"/>
              </w:rPr>
            </w:pPr>
          </w:p>
        </w:tc>
        <w:tc>
          <w:tcPr>
            <w:tcW w:w="800" w:type="dxa"/>
            <w:vAlign w:val="bottom"/>
            <w:vMerge w:val="continue"/>
            <w:shd w:val="clear" w:color="auto" w:fill="010035"/>
          </w:tcPr>
          <w:p>
            <w:pPr>
              <w:spacing w:after="0"/>
              <w:rPr>
                <w:sz w:val="13"/>
                <w:szCs w:val="13"/>
                <w:color w:val="auto"/>
              </w:rPr>
            </w:pPr>
          </w:p>
        </w:tc>
        <w:tc>
          <w:tcPr>
            <w:tcW w:w="2740" w:type="dxa"/>
            <w:vAlign w:val="bottom"/>
            <w:gridSpan w:val="4"/>
            <w:shd w:val="clear" w:color="auto" w:fill="010035"/>
          </w:tcPr>
          <w:p>
            <w:pPr>
              <w:ind w:left="20"/>
              <w:spacing w:after="0" w:line="158" w:lineRule="exact"/>
              <w:rPr>
                <w:sz w:val="20"/>
                <w:szCs w:val="20"/>
                <w:color w:val="auto"/>
              </w:rPr>
            </w:pPr>
            <w:r>
              <w:rPr>
                <w:rFonts w:ascii="Arial" w:cs="Arial" w:eastAsia="Arial" w:hAnsi="Arial"/>
                <w:sz w:val="14"/>
                <w:szCs w:val="14"/>
                <w:b w:val="1"/>
                <w:bCs w:val="1"/>
                <w:color w:val="FFFFFF"/>
              </w:rPr>
              <w:t>INDEPENDENT AUDIT COMPENSATION</w:t>
            </w:r>
          </w:p>
        </w:tc>
        <w:tc>
          <w:tcPr>
            <w:tcW w:w="1060" w:type="dxa"/>
            <w:vAlign w:val="bottom"/>
            <w:shd w:val="clear" w:color="auto" w:fill="010035"/>
          </w:tcPr>
          <w:p>
            <w:pPr>
              <w:jc w:val="center"/>
              <w:spacing w:after="0" w:line="158" w:lineRule="exact"/>
              <w:rPr>
                <w:sz w:val="20"/>
                <w:szCs w:val="20"/>
                <w:color w:val="auto"/>
              </w:rPr>
            </w:pPr>
            <w:r>
              <w:rPr>
                <w:rFonts w:ascii="Arial" w:cs="Arial" w:eastAsia="Arial" w:hAnsi="Arial"/>
                <w:sz w:val="14"/>
                <w:szCs w:val="14"/>
                <w:b w:val="1"/>
                <w:bCs w:val="1"/>
                <w:color w:val="FFFFFF"/>
                <w:w w:val="98"/>
              </w:rPr>
              <w:t>AND</w:t>
            </w:r>
          </w:p>
        </w:tc>
        <w:tc>
          <w:tcPr>
            <w:tcW w:w="1140" w:type="dxa"/>
            <w:vAlign w:val="bottom"/>
            <w:vMerge w:val="continue"/>
            <w:shd w:val="clear" w:color="auto" w:fill="010035"/>
          </w:tcPr>
          <w:p>
            <w:pPr>
              <w:spacing w:after="0"/>
              <w:rPr>
                <w:sz w:val="13"/>
                <w:szCs w:val="13"/>
                <w:color w:val="auto"/>
              </w:rPr>
            </w:pPr>
          </w:p>
        </w:tc>
        <w:tc>
          <w:tcPr>
            <w:tcW w:w="1340" w:type="dxa"/>
            <w:vAlign w:val="bottom"/>
            <w:shd w:val="clear" w:color="auto" w:fill="010035"/>
          </w:tcPr>
          <w:p>
            <w:pPr>
              <w:jc w:val="center"/>
              <w:spacing w:after="0" w:line="158" w:lineRule="exact"/>
              <w:rPr>
                <w:sz w:val="20"/>
                <w:szCs w:val="20"/>
                <w:color w:val="auto"/>
              </w:rPr>
            </w:pPr>
            <w:r>
              <w:rPr>
                <w:rFonts w:ascii="Arial" w:cs="Arial" w:eastAsia="Arial" w:hAnsi="Arial"/>
                <w:sz w:val="14"/>
                <w:szCs w:val="14"/>
                <w:b w:val="1"/>
                <w:bCs w:val="1"/>
                <w:color w:val="FFFFFF"/>
                <w:w w:val="98"/>
              </w:rPr>
              <w:t>PUBLIC COMPANY</w:t>
            </w:r>
          </w:p>
        </w:tc>
        <w:tc>
          <w:tcPr>
            <w:tcW w:w="0" w:type="dxa"/>
            <w:vAlign w:val="bottom"/>
          </w:tcPr>
          <w:p>
            <w:pPr>
              <w:spacing w:after="0"/>
              <w:rPr>
                <w:sz w:val="1"/>
                <w:szCs w:val="1"/>
                <w:color w:val="auto"/>
              </w:rPr>
            </w:pPr>
          </w:p>
        </w:tc>
      </w:tr>
      <w:tr>
        <w:trPr>
          <w:trHeight w:val="156"/>
        </w:trPr>
        <w:tc>
          <w:tcPr>
            <w:tcW w:w="2200" w:type="dxa"/>
            <w:vAlign w:val="bottom"/>
            <w:tcBorders>
              <w:bottom w:val="single" w:sz="8" w:color="010035"/>
            </w:tcBorders>
            <w:shd w:val="clear" w:color="auto" w:fill="010035"/>
          </w:tcPr>
          <w:p>
            <w:pPr>
              <w:spacing w:after="0"/>
              <w:rPr>
                <w:sz w:val="13"/>
                <w:szCs w:val="13"/>
                <w:color w:val="auto"/>
              </w:rPr>
            </w:pPr>
          </w:p>
        </w:tc>
        <w:tc>
          <w:tcPr>
            <w:tcW w:w="380" w:type="dxa"/>
            <w:vAlign w:val="bottom"/>
            <w:tcBorders>
              <w:bottom w:val="single" w:sz="8" w:color="010035"/>
            </w:tcBorders>
            <w:shd w:val="clear" w:color="auto" w:fill="010035"/>
          </w:tcPr>
          <w:p>
            <w:pPr>
              <w:spacing w:after="0"/>
              <w:rPr>
                <w:sz w:val="13"/>
                <w:szCs w:val="13"/>
                <w:color w:val="auto"/>
              </w:rPr>
            </w:pPr>
          </w:p>
        </w:tc>
        <w:tc>
          <w:tcPr>
            <w:tcW w:w="140" w:type="dxa"/>
            <w:vAlign w:val="bottom"/>
            <w:tcBorders>
              <w:bottom w:val="single" w:sz="8" w:color="010035"/>
            </w:tcBorders>
            <w:shd w:val="clear" w:color="auto" w:fill="010035"/>
          </w:tcPr>
          <w:p>
            <w:pPr>
              <w:spacing w:after="0"/>
              <w:rPr>
                <w:sz w:val="13"/>
                <w:szCs w:val="13"/>
                <w:color w:val="auto"/>
              </w:rPr>
            </w:pPr>
          </w:p>
        </w:tc>
        <w:tc>
          <w:tcPr>
            <w:tcW w:w="800" w:type="dxa"/>
            <w:vAlign w:val="bottom"/>
            <w:tcBorders>
              <w:bottom w:val="single" w:sz="8" w:color="010035"/>
            </w:tcBorders>
            <w:shd w:val="clear" w:color="auto" w:fill="010035"/>
          </w:tcPr>
          <w:p>
            <w:pPr>
              <w:jc w:val="center"/>
              <w:spacing w:after="0" w:line="149" w:lineRule="exact"/>
              <w:rPr>
                <w:sz w:val="20"/>
                <w:szCs w:val="20"/>
                <w:color w:val="auto"/>
              </w:rPr>
            </w:pPr>
            <w:r>
              <w:rPr>
                <w:rFonts w:ascii="Arial" w:cs="Arial" w:eastAsia="Arial" w:hAnsi="Arial"/>
                <w:sz w:val="14"/>
                <w:szCs w:val="14"/>
                <w:b w:val="1"/>
                <w:bCs w:val="1"/>
                <w:color w:val="FFFFFF"/>
                <w:w w:val="98"/>
              </w:rPr>
              <w:t>SINCE</w:t>
            </w:r>
          </w:p>
        </w:tc>
        <w:tc>
          <w:tcPr>
            <w:tcW w:w="580" w:type="dxa"/>
            <w:vAlign w:val="bottom"/>
            <w:tcBorders>
              <w:bottom w:val="single" w:sz="8" w:color="010035"/>
            </w:tcBorders>
            <w:shd w:val="clear" w:color="auto" w:fill="010035"/>
          </w:tcPr>
          <w:p>
            <w:pPr>
              <w:spacing w:after="0"/>
              <w:rPr>
                <w:sz w:val="13"/>
                <w:szCs w:val="13"/>
                <w:color w:val="auto"/>
              </w:rPr>
            </w:pPr>
          </w:p>
        </w:tc>
        <w:tc>
          <w:tcPr>
            <w:tcW w:w="500" w:type="dxa"/>
            <w:vAlign w:val="bottom"/>
            <w:tcBorders>
              <w:bottom w:val="single" w:sz="8" w:color="010035"/>
            </w:tcBorders>
            <w:shd w:val="clear" w:color="auto" w:fill="010035"/>
          </w:tcPr>
          <w:p>
            <w:pPr>
              <w:spacing w:after="0"/>
              <w:rPr>
                <w:sz w:val="13"/>
                <w:szCs w:val="13"/>
                <w:color w:val="auto"/>
              </w:rPr>
            </w:pPr>
          </w:p>
        </w:tc>
        <w:tc>
          <w:tcPr>
            <w:tcW w:w="520" w:type="dxa"/>
            <w:vAlign w:val="bottom"/>
            <w:tcBorders>
              <w:bottom w:val="single" w:sz="8" w:color="010035"/>
            </w:tcBorders>
            <w:shd w:val="clear" w:color="auto" w:fill="010035"/>
          </w:tcPr>
          <w:p>
            <w:pPr>
              <w:spacing w:after="0"/>
              <w:rPr>
                <w:sz w:val="13"/>
                <w:szCs w:val="13"/>
                <w:color w:val="auto"/>
              </w:rPr>
            </w:pPr>
          </w:p>
        </w:tc>
        <w:tc>
          <w:tcPr>
            <w:tcW w:w="1140" w:type="dxa"/>
            <w:vAlign w:val="bottom"/>
            <w:tcBorders>
              <w:bottom w:val="single" w:sz="8" w:color="010035"/>
            </w:tcBorders>
            <w:shd w:val="clear" w:color="auto" w:fill="010035"/>
          </w:tcPr>
          <w:p>
            <w:pPr>
              <w:spacing w:after="0"/>
              <w:rPr>
                <w:sz w:val="13"/>
                <w:szCs w:val="13"/>
                <w:color w:val="auto"/>
              </w:rPr>
            </w:pPr>
          </w:p>
        </w:tc>
        <w:tc>
          <w:tcPr>
            <w:tcW w:w="1060" w:type="dxa"/>
            <w:vAlign w:val="bottom"/>
            <w:tcBorders>
              <w:bottom w:val="single" w:sz="8" w:color="010035"/>
            </w:tcBorders>
            <w:shd w:val="clear" w:color="auto" w:fill="010035"/>
          </w:tcPr>
          <w:p>
            <w:pPr>
              <w:jc w:val="center"/>
              <w:spacing w:after="0" w:line="155" w:lineRule="exact"/>
              <w:rPr>
                <w:sz w:val="20"/>
                <w:szCs w:val="20"/>
                <w:color w:val="auto"/>
              </w:rPr>
            </w:pPr>
            <w:r>
              <w:rPr>
                <w:rFonts w:ascii="Arial" w:cs="Arial" w:eastAsia="Arial" w:hAnsi="Arial"/>
                <w:sz w:val="14"/>
                <w:szCs w:val="14"/>
                <w:b w:val="1"/>
                <w:bCs w:val="1"/>
                <w:color w:val="FFFFFF"/>
                <w:w w:val="99"/>
              </w:rPr>
              <w:t>GOVERNANCE</w:t>
            </w:r>
          </w:p>
        </w:tc>
        <w:tc>
          <w:tcPr>
            <w:tcW w:w="1140" w:type="dxa"/>
            <w:vAlign w:val="bottom"/>
            <w:tcBorders>
              <w:bottom w:val="single" w:sz="8" w:color="010035"/>
            </w:tcBorders>
            <w:shd w:val="clear" w:color="auto" w:fill="010035"/>
          </w:tcPr>
          <w:p>
            <w:pPr>
              <w:spacing w:after="0"/>
              <w:rPr>
                <w:sz w:val="13"/>
                <w:szCs w:val="13"/>
                <w:color w:val="auto"/>
              </w:rPr>
            </w:pPr>
          </w:p>
        </w:tc>
        <w:tc>
          <w:tcPr>
            <w:tcW w:w="1340" w:type="dxa"/>
            <w:vAlign w:val="bottom"/>
            <w:tcBorders>
              <w:bottom w:val="single" w:sz="8" w:color="010035"/>
            </w:tcBorders>
            <w:shd w:val="clear" w:color="auto" w:fill="010035"/>
          </w:tcPr>
          <w:p>
            <w:pPr>
              <w:jc w:val="center"/>
              <w:spacing w:after="0" w:line="155" w:lineRule="exact"/>
              <w:rPr>
                <w:sz w:val="20"/>
                <w:szCs w:val="20"/>
                <w:color w:val="auto"/>
              </w:rPr>
            </w:pPr>
            <w:r>
              <w:rPr>
                <w:rFonts w:ascii="Arial" w:cs="Arial" w:eastAsia="Arial" w:hAnsi="Arial"/>
                <w:sz w:val="14"/>
                <w:szCs w:val="14"/>
                <w:b w:val="1"/>
                <w:bCs w:val="1"/>
                <w:color w:val="FFFFFF"/>
                <w:w w:val="98"/>
              </w:rPr>
              <w:t>BOARDS</w:t>
            </w:r>
          </w:p>
        </w:tc>
        <w:tc>
          <w:tcPr>
            <w:tcW w:w="0" w:type="dxa"/>
            <w:vAlign w:val="bottom"/>
          </w:tcPr>
          <w:p>
            <w:pPr>
              <w:spacing w:after="0"/>
              <w:rPr>
                <w:sz w:val="1"/>
                <w:szCs w:val="1"/>
                <w:color w:val="auto"/>
              </w:rPr>
            </w:pPr>
          </w:p>
        </w:tc>
      </w:tr>
      <w:tr>
        <w:trPr>
          <w:trHeight w:val="396"/>
        </w:trPr>
        <w:tc>
          <w:tcPr>
            <w:tcW w:w="2200" w:type="dxa"/>
            <w:vAlign w:val="bottom"/>
          </w:tcPr>
          <w:p>
            <w:pPr>
              <w:ind w:left="1380"/>
              <w:spacing w:after="0"/>
              <w:rPr>
                <w:sz w:val="20"/>
                <w:szCs w:val="20"/>
                <w:color w:val="auto"/>
              </w:rPr>
            </w:pPr>
            <w:r>
              <w:rPr>
                <w:rFonts w:ascii="Arial" w:cs="Arial" w:eastAsia="Arial" w:hAnsi="Arial"/>
                <w:sz w:val="14"/>
                <w:szCs w:val="14"/>
                <w:color w:val="010035"/>
              </w:rPr>
              <w:t>Heather</w:t>
            </w:r>
          </w:p>
        </w:tc>
        <w:tc>
          <w:tcPr>
            <w:tcW w:w="380" w:type="dxa"/>
            <w:vAlign w:val="bottom"/>
            <w:vMerge w:val="restart"/>
          </w:tcPr>
          <w:p>
            <w:pPr>
              <w:jc w:val="center"/>
              <w:ind w:left="109"/>
              <w:spacing w:after="0"/>
              <w:rPr>
                <w:sz w:val="20"/>
                <w:szCs w:val="20"/>
                <w:color w:val="auto"/>
              </w:rPr>
            </w:pPr>
            <w:r>
              <w:rPr>
                <w:rFonts w:ascii="Arial" w:cs="Arial" w:eastAsia="Arial" w:hAnsi="Arial"/>
                <w:sz w:val="14"/>
                <w:szCs w:val="14"/>
                <w:color w:val="010035"/>
              </w:rPr>
              <w:t>56</w:t>
            </w:r>
          </w:p>
        </w:tc>
        <w:tc>
          <w:tcPr>
            <w:tcW w:w="14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010035"/>
              </w:rPr>
              <w:t>2026</w:t>
            </w:r>
          </w:p>
        </w:tc>
        <w:tc>
          <w:tcPr>
            <w:tcW w:w="1080" w:type="dxa"/>
            <w:vAlign w:val="bottom"/>
            <w:gridSpan w:val="2"/>
            <w:vMerge w:val="restart"/>
          </w:tcPr>
          <w:p>
            <w:pPr>
              <w:ind w:left="500"/>
              <w:spacing w:after="0"/>
              <w:rPr>
                <w:sz w:val="20"/>
                <w:szCs w:val="20"/>
                <w:color w:val="auto"/>
              </w:rPr>
            </w:pPr>
            <w:r>
              <w:rPr>
                <w:rFonts w:ascii="Arial" w:cs="Arial" w:eastAsia="Arial" w:hAnsi="Arial"/>
                <w:sz w:val="14"/>
                <w:szCs w:val="14"/>
                <w:color w:val="010035"/>
              </w:rPr>
              <w:t>Y</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010035"/>
              </w:rPr>
              <w:t>0</w:t>
            </w:r>
          </w:p>
        </w:tc>
        <w:tc>
          <w:tcPr>
            <w:tcW w:w="0" w:type="dxa"/>
            <w:vAlign w:val="bottom"/>
          </w:tcPr>
          <w:p>
            <w:pPr>
              <w:spacing w:after="0"/>
              <w:rPr>
                <w:sz w:val="1"/>
                <w:szCs w:val="1"/>
                <w:color w:val="auto"/>
              </w:rPr>
            </w:pPr>
          </w:p>
        </w:tc>
      </w:tr>
      <w:tr>
        <w:trPr>
          <w:trHeight w:val="109"/>
        </w:trPr>
        <w:tc>
          <w:tcPr>
            <w:tcW w:w="2200" w:type="dxa"/>
            <w:vAlign w:val="bottom"/>
            <w:vMerge w:val="restart"/>
          </w:tcPr>
          <w:p>
            <w:pPr>
              <w:ind w:left="1380"/>
              <w:spacing w:after="0"/>
              <w:rPr>
                <w:sz w:val="20"/>
                <w:szCs w:val="20"/>
                <w:color w:val="auto"/>
              </w:rPr>
            </w:pPr>
            <w:r>
              <w:rPr>
                <w:rFonts w:ascii="Arial" w:cs="Arial" w:eastAsia="Arial" w:hAnsi="Arial"/>
                <w:sz w:val="14"/>
                <w:szCs w:val="14"/>
                <w:color w:val="010035"/>
              </w:rPr>
              <w:t>Ace</w:t>
            </w:r>
          </w:p>
        </w:tc>
        <w:tc>
          <w:tcPr>
            <w:tcW w:w="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200" w:type="dxa"/>
            <w:vAlign w:val="bottom"/>
            <w:shd w:val="clear" w:color="auto" w:fill="DED8EC"/>
          </w:tcPr>
          <w:p>
            <w:pPr>
              <w:ind w:left="1380"/>
              <w:spacing w:after="0"/>
              <w:rPr>
                <w:sz w:val="20"/>
                <w:szCs w:val="20"/>
                <w:color w:val="auto"/>
              </w:rPr>
            </w:pPr>
            <w:r>
              <w:rPr>
                <w:rFonts w:ascii="Arial" w:cs="Arial" w:eastAsia="Arial" w:hAnsi="Arial"/>
                <w:sz w:val="14"/>
                <w:szCs w:val="14"/>
                <w:color w:val="010035"/>
              </w:rPr>
              <w:t>Vimla</w:t>
            </w:r>
          </w:p>
        </w:tc>
        <w:tc>
          <w:tcPr>
            <w:tcW w:w="380" w:type="dxa"/>
            <w:vAlign w:val="bottom"/>
            <w:vMerge w:val="restart"/>
            <w:shd w:val="clear" w:color="auto" w:fill="DED8EC"/>
          </w:tcPr>
          <w:p>
            <w:pPr>
              <w:jc w:val="center"/>
              <w:ind w:left="109"/>
              <w:spacing w:after="0"/>
              <w:rPr>
                <w:sz w:val="20"/>
                <w:szCs w:val="20"/>
                <w:color w:val="auto"/>
              </w:rPr>
            </w:pPr>
            <w:r>
              <w:rPr>
                <w:rFonts w:ascii="Arial" w:cs="Arial" w:eastAsia="Arial" w:hAnsi="Arial"/>
                <w:sz w:val="14"/>
                <w:szCs w:val="14"/>
                <w:color w:val="010035"/>
              </w:rPr>
              <w:t>56</w:t>
            </w:r>
          </w:p>
        </w:tc>
        <w:tc>
          <w:tcPr>
            <w:tcW w:w="140" w:type="dxa"/>
            <w:vAlign w:val="bottom"/>
            <w:shd w:val="clear" w:color="auto" w:fill="DED8EC"/>
          </w:tcPr>
          <w:p>
            <w:pPr>
              <w:spacing w:after="0"/>
              <w:rPr>
                <w:sz w:val="24"/>
                <w:szCs w:val="24"/>
                <w:color w:val="auto"/>
              </w:rPr>
            </w:pPr>
          </w:p>
        </w:tc>
        <w:tc>
          <w:tcPr>
            <w:tcW w:w="80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2021</w:t>
            </w:r>
          </w:p>
        </w:tc>
        <w:tc>
          <w:tcPr>
            <w:tcW w:w="1080" w:type="dxa"/>
            <w:vAlign w:val="bottom"/>
            <w:gridSpan w:val="2"/>
            <w:vMerge w:val="restart"/>
            <w:shd w:val="clear" w:color="auto" w:fill="DED8EC"/>
          </w:tcPr>
          <w:p>
            <w:pPr>
              <w:ind w:left="500"/>
              <w:spacing w:after="0"/>
              <w:rPr>
                <w:sz w:val="20"/>
                <w:szCs w:val="20"/>
                <w:color w:val="auto"/>
              </w:rPr>
            </w:pPr>
            <w:r>
              <w:rPr>
                <w:rFonts w:ascii="Arial" w:cs="Arial" w:eastAsia="Arial" w:hAnsi="Arial"/>
                <w:sz w:val="14"/>
                <w:szCs w:val="14"/>
                <w:color w:val="010035"/>
              </w:rPr>
              <w:t>Y</w:t>
            </w:r>
          </w:p>
        </w:tc>
        <w:tc>
          <w:tcPr>
            <w:tcW w:w="520" w:type="dxa"/>
            <w:vAlign w:val="bottom"/>
            <w:vMerge w:val="restart"/>
            <w:shd w:val="clear" w:color="auto" w:fill="DED8EC"/>
          </w:tcPr>
          <w:p>
            <w:pPr>
              <w:ind w:left="140"/>
              <w:spacing w:after="0"/>
              <w:rPr>
                <w:sz w:val="20"/>
                <w:szCs w:val="20"/>
                <w:color w:val="auto"/>
              </w:rPr>
            </w:pPr>
            <w:r>
              <w:rPr>
                <w:rFonts w:ascii="Arial" w:cs="Arial" w:eastAsia="Arial" w:hAnsi="Arial"/>
                <w:sz w:val="14"/>
                <w:szCs w:val="14"/>
                <w:color w:val="010035"/>
              </w:rPr>
              <w:t>​</w:t>
            </w:r>
          </w:p>
        </w:tc>
        <w:tc>
          <w:tcPr>
            <w:tcW w:w="1140" w:type="dxa"/>
            <w:vAlign w:val="bottom"/>
            <w:vMerge w:val="restart"/>
            <w:shd w:val="clear" w:color="auto" w:fill="DED8EC"/>
          </w:tcPr>
          <w:p>
            <w:pPr>
              <w:ind w:left="460"/>
              <w:spacing w:after="0"/>
              <w:rPr>
                <w:sz w:val="20"/>
                <w:szCs w:val="20"/>
                <w:color w:val="auto"/>
              </w:rPr>
            </w:pPr>
            <w:r>
              <w:rPr>
                <w:rFonts w:ascii="Arial" w:cs="Arial" w:eastAsia="Arial" w:hAnsi="Arial"/>
                <w:sz w:val="14"/>
                <w:szCs w:val="14"/>
                <w:color w:val="010035"/>
              </w:rPr>
              <w:t>​</w:t>
            </w:r>
          </w:p>
        </w:tc>
        <w:tc>
          <w:tcPr>
            <w:tcW w:w="1060" w:type="dxa"/>
            <w:vAlign w:val="bottom"/>
            <w:shd w:val="clear" w:color="auto" w:fill="DED8EC"/>
          </w:tcPr>
          <w:p>
            <w:pPr>
              <w:spacing w:after="0"/>
              <w:rPr>
                <w:sz w:val="24"/>
                <w:szCs w:val="24"/>
                <w:color w:val="auto"/>
              </w:rPr>
            </w:pPr>
          </w:p>
        </w:tc>
        <w:tc>
          <w:tcPr>
            <w:tcW w:w="1140" w:type="dxa"/>
            <w:vAlign w:val="bottom"/>
            <w:shd w:val="clear" w:color="auto" w:fill="DED8EC"/>
          </w:tcPr>
          <w:p>
            <w:pPr>
              <w:spacing w:after="0"/>
              <w:rPr>
                <w:sz w:val="24"/>
                <w:szCs w:val="24"/>
                <w:color w:val="auto"/>
              </w:rPr>
            </w:pPr>
          </w:p>
        </w:tc>
        <w:tc>
          <w:tcPr>
            <w:tcW w:w="134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0</w:t>
            </w:r>
          </w:p>
        </w:tc>
        <w:tc>
          <w:tcPr>
            <w:tcW w:w="0" w:type="dxa"/>
            <w:vAlign w:val="bottom"/>
          </w:tcPr>
          <w:p>
            <w:pPr>
              <w:spacing w:after="0"/>
              <w:rPr>
                <w:sz w:val="1"/>
                <w:szCs w:val="1"/>
                <w:color w:val="auto"/>
              </w:rPr>
            </w:pPr>
          </w:p>
        </w:tc>
      </w:tr>
      <w:tr>
        <w:trPr>
          <w:trHeight w:val="136"/>
        </w:trPr>
        <w:tc>
          <w:tcPr>
            <w:tcW w:w="2200" w:type="dxa"/>
            <w:vAlign w:val="bottom"/>
            <w:vMerge w:val="restart"/>
            <w:shd w:val="clear" w:color="auto" w:fill="DED8EC"/>
          </w:tcPr>
          <w:p>
            <w:pPr>
              <w:ind w:left="1380"/>
              <w:spacing w:after="0"/>
              <w:rPr>
                <w:sz w:val="20"/>
                <w:szCs w:val="20"/>
                <w:color w:val="auto"/>
              </w:rPr>
            </w:pPr>
            <w:r>
              <w:rPr>
                <w:rFonts w:ascii="Arial" w:cs="Arial" w:eastAsia="Arial" w:hAnsi="Arial"/>
                <w:sz w:val="14"/>
                <w:szCs w:val="14"/>
                <w:color w:val="010035"/>
              </w:rPr>
              <w:t>Black-Gupta</w:t>
            </w:r>
          </w:p>
        </w:tc>
        <w:tc>
          <w:tcPr>
            <w:tcW w:w="380" w:type="dxa"/>
            <w:vAlign w:val="bottom"/>
            <w:vMerge w:val="continue"/>
            <w:shd w:val="clear" w:color="auto" w:fill="DED8EC"/>
          </w:tcPr>
          <w:p>
            <w:pPr>
              <w:spacing w:after="0"/>
              <w:rPr>
                <w:sz w:val="11"/>
                <w:szCs w:val="11"/>
                <w:color w:val="auto"/>
              </w:rPr>
            </w:pPr>
          </w:p>
        </w:tc>
        <w:tc>
          <w:tcPr>
            <w:tcW w:w="140" w:type="dxa"/>
            <w:vAlign w:val="bottom"/>
            <w:shd w:val="clear" w:color="auto" w:fill="DED8EC"/>
          </w:tcPr>
          <w:p>
            <w:pPr>
              <w:spacing w:after="0"/>
              <w:rPr>
                <w:sz w:val="11"/>
                <w:szCs w:val="11"/>
                <w:color w:val="auto"/>
              </w:rPr>
            </w:pPr>
          </w:p>
        </w:tc>
        <w:tc>
          <w:tcPr>
            <w:tcW w:w="800" w:type="dxa"/>
            <w:vAlign w:val="bottom"/>
            <w:vMerge w:val="continue"/>
            <w:shd w:val="clear" w:color="auto" w:fill="DED8EC"/>
          </w:tcPr>
          <w:p>
            <w:pPr>
              <w:spacing w:after="0"/>
              <w:rPr>
                <w:sz w:val="11"/>
                <w:szCs w:val="11"/>
                <w:color w:val="auto"/>
              </w:rPr>
            </w:pPr>
          </w:p>
        </w:tc>
        <w:tc>
          <w:tcPr>
            <w:tcW w:w="1080" w:type="dxa"/>
            <w:vAlign w:val="bottom"/>
            <w:gridSpan w:val="2"/>
            <w:vMerge w:val="continue"/>
            <w:shd w:val="clear" w:color="auto" w:fill="DED8EC"/>
          </w:tcPr>
          <w:p>
            <w:pPr>
              <w:spacing w:after="0"/>
              <w:rPr>
                <w:sz w:val="11"/>
                <w:szCs w:val="11"/>
                <w:color w:val="auto"/>
              </w:rPr>
            </w:pPr>
          </w:p>
        </w:tc>
        <w:tc>
          <w:tcPr>
            <w:tcW w:w="520" w:type="dxa"/>
            <w:vAlign w:val="bottom"/>
            <w:vMerge w:val="continue"/>
            <w:shd w:val="clear" w:color="auto" w:fill="DED8EC"/>
          </w:tcPr>
          <w:p>
            <w:pPr>
              <w:spacing w:after="0"/>
              <w:rPr>
                <w:sz w:val="11"/>
                <w:szCs w:val="11"/>
                <w:color w:val="auto"/>
              </w:rPr>
            </w:pPr>
          </w:p>
        </w:tc>
        <w:tc>
          <w:tcPr>
            <w:tcW w:w="1140" w:type="dxa"/>
            <w:vAlign w:val="bottom"/>
            <w:vMerge w:val="continue"/>
            <w:shd w:val="clear" w:color="auto" w:fill="DED8EC"/>
          </w:tcPr>
          <w:p>
            <w:pPr>
              <w:spacing w:after="0"/>
              <w:rPr>
                <w:sz w:val="11"/>
                <w:szCs w:val="11"/>
                <w:color w:val="auto"/>
              </w:rPr>
            </w:pPr>
          </w:p>
        </w:tc>
        <w:tc>
          <w:tcPr>
            <w:tcW w:w="1060" w:type="dxa"/>
            <w:vAlign w:val="bottom"/>
            <w:shd w:val="clear" w:color="auto" w:fill="DED8EC"/>
          </w:tcPr>
          <w:p>
            <w:pPr>
              <w:spacing w:after="0"/>
              <w:rPr>
                <w:sz w:val="11"/>
                <w:szCs w:val="11"/>
                <w:color w:val="auto"/>
              </w:rPr>
            </w:pPr>
          </w:p>
        </w:tc>
        <w:tc>
          <w:tcPr>
            <w:tcW w:w="1140" w:type="dxa"/>
            <w:vAlign w:val="bottom"/>
            <w:shd w:val="clear" w:color="auto" w:fill="DED8EC"/>
          </w:tcPr>
          <w:p>
            <w:pPr>
              <w:spacing w:after="0"/>
              <w:rPr>
                <w:sz w:val="11"/>
                <w:szCs w:val="11"/>
                <w:color w:val="auto"/>
              </w:rPr>
            </w:pPr>
          </w:p>
        </w:tc>
        <w:tc>
          <w:tcPr>
            <w:tcW w:w="1340" w:type="dxa"/>
            <w:vAlign w:val="bottom"/>
            <w:vMerge w:val="continue"/>
            <w:shd w:val="clear" w:color="auto" w:fill="DED8EC"/>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200" w:type="dxa"/>
            <w:vAlign w:val="bottom"/>
            <w:vMerge w:val="continue"/>
            <w:shd w:val="clear" w:color="auto" w:fill="DED8EC"/>
          </w:tcPr>
          <w:p>
            <w:pPr>
              <w:spacing w:after="0"/>
              <w:rPr>
                <w:sz w:val="4"/>
                <w:szCs w:val="4"/>
                <w:color w:val="auto"/>
              </w:rPr>
            </w:pPr>
          </w:p>
        </w:tc>
        <w:tc>
          <w:tcPr>
            <w:tcW w:w="380" w:type="dxa"/>
            <w:vAlign w:val="bottom"/>
            <w:shd w:val="clear" w:color="auto" w:fill="DED8EC"/>
          </w:tcPr>
          <w:p>
            <w:pPr>
              <w:spacing w:after="0"/>
              <w:rPr>
                <w:sz w:val="4"/>
                <w:szCs w:val="4"/>
                <w:color w:val="auto"/>
              </w:rPr>
            </w:pPr>
          </w:p>
        </w:tc>
        <w:tc>
          <w:tcPr>
            <w:tcW w:w="140" w:type="dxa"/>
            <w:vAlign w:val="bottom"/>
            <w:shd w:val="clear" w:color="auto" w:fill="DED8EC"/>
          </w:tcPr>
          <w:p>
            <w:pPr>
              <w:spacing w:after="0"/>
              <w:rPr>
                <w:sz w:val="4"/>
                <w:szCs w:val="4"/>
                <w:color w:val="auto"/>
              </w:rPr>
            </w:pPr>
          </w:p>
        </w:tc>
        <w:tc>
          <w:tcPr>
            <w:tcW w:w="800" w:type="dxa"/>
            <w:vAlign w:val="bottom"/>
            <w:shd w:val="clear" w:color="auto" w:fill="DED8EC"/>
          </w:tcPr>
          <w:p>
            <w:pPr>
              <w:spacing w:after="0"/>
              <w:rPr>
                <w:sz w:val="4"/>
                <w:szCs w:val="4"/>
                <w:color w:val="auto"/>
              </w:rPr>
            </w:pPr>
          </w:p>
        </w:tc>
        <w:tc>
          <w:tcPr>
            <w:tcW w:w="580" w:type="dxa"/>
            <w:vAlign w:val="bottom"/>
            <w:shd w:val="clear" w:color="auto" w:fill="DED8EC"/>
          </w:tcPr>
          <w:p>
            <w:pPr>
              <w:spacing w:after="0"/>
              <w:rPr>
                <w:sz w:val="4"/>
                <w:szCs w:val="4"/>
                <w:color w:val="auto"/>
              </w:rPr>
            </w:pPr>
          </w:p>
        </w:tc>
        <w:tc>
          <w:tcPr>
            <w:tcW w:w="500" w:type="dxa"/>
            <w:vAlign w:val="bottom"/>
            <w:shd w:val="clear" w:color="auto" w:fill="DED8EC"/>
          </w:tcPr>
          <w:p>
            <w:pPr>
              <w:spacing w:after="0"/>
              <w:rPr>
                <w:sz w:val="4"/>
                <w:szCs w:val="4"/>
                <w:color w:val="auto"/>
              </w:rPr>
            </w:pPr>
          </w:p>
        </w:tc>
        <w:tc>
          <w:tcPr>
            <w:tcW w:w="520" w:type="dxa"/>
            <w:vAlign w:val="bottom"/>
            <w:shd w:val="clear" w:color="auto" w:fill="DED8EC"/>
          </w:tcPr>
          <w:p>
            <w:pPr>
              <w:spacing w:after="0"/>
              <w:rPr>
                <w:sz w:val="4"/>
                <w:szCs w:val="4"/>
                <w:color w:val="auto"/>
              </w:rPr>
            </w:pPr>
          </w:p>
        </w:tc>
        <w:tc>
          <w:tcPr>
            <w:tcW w:w="1140" w:type="dxa"/>
            <w:vAlign w:val="bottom"/>
            <w:shd w:val="clear" w:color="auto" w:fill="DED8EC"/>
          </w:tcPr>
          <w:p>
            <w:pPr>
              <w:spacing w:after="0"/>
              <w:rPr>
                <w:sz w:val="4"/>
                <w:szCs w:val="4"/>
                <w:color w:val="auto"/>
              </w:rPr>
            </w:pPr>
          </w:p>
        </w:tc>
        <w:tc>
          <w:tcPr>
            <w:tcW w:w="1060" w:type="dxa"/>
            <w:vAlign w:val="bottom"/>
            <w:shd w:val="clear" w:color="auto" w:fill="DED8EC"/>
          </w:tcPr>
          <w:p>
            <w:pPr>
              <w:spacing w:after="0"/>
              <w:rPr>
                <w:sz w:val="4"/>
                <w:szCs w:val="4"/>
                <w:color w:val="auto"/>
              </w:rPr>
            </w:pPr>
          </w:p>
        </w:tc>
        <w:tc>
          <w:tcPr>
            <w:tcW w:w="1140" w:type="dxa"/>
            <w:vAlign w:val="bottom"/>
            <w:shd w:val="clear" w:color="auto" w:fill="DED8EC"/>
          </w:tcPr>
          <w:p>
            <w:pPr>
              <w:spacing w:after="0"/>
              <w:rPr>
                <w:sz w:val="4"/>
                <w:szCs w:val="4"/>
                <w:color w:val="auto"/>
              </w:rPr>
            </w:pPr>
          </w:p>
        </w:tc>
        <w:tc>
          <w:tcPr>
            <w:tcW w:w="1340" w:type="dxa"/>
            <w:vAlign w:val="bottom"/>
            <w:shd w:val="clear" w:color="auto" w:fill="DED8EC"/>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200" w:type="dxa"/>
            <w:vAlign w:val="bottom"/>
            <w:shd w:val="clear" w:color="auto" w:fill="DED8EC"/>
          </w:tcPr>
          <w:p>
            <w:pPr>
              <w:spacing w:after="0"/>
              <w:rPr>
                <w:sz w:val="21"/>
                <w:szCs w:val="21"/>
                <w:color w:val="auto"/>
              </w:rPr>
            </w:pPr>
          </w:p>
        </w:tc>
        <w:tc>
          <w:tcPr>
            <w:tcW w:w="380" w:type="dxa"/>
            <w:vAlign w:val="bottom"/>
            <w:shd w:val="clear" w:color="auto" w:fill="DED8EC"/>
          </w:tcPr>
          <w:p>
            <w:pPr>
              <w:spacing w:after="0"/>
              <w:rPr>
                <w:sz w:val="21"/>
                <w:szCs w:val="21"/>
                <w:color w:val="auto"/>
              </w:rPr>
            </w:pPr>
          </w:p>
        </w:tc>
        <w:tc>
          <w:tcPr>
            <w:tcW w:w="140" w:type="dxa"/>
            <w:vAlign w:val="bottom"/>
            <w:shd w:val="clear" w:color="auto" w:fill="DED8EC"/>
          </w:tcPr>
          <w:p>
            <w:pPr>
              <w:spacing w:after="0"/>
              <w:rPr>
                <w:sz w:val="21"/>
                <w:szCs w:val="21"/>
                <w:color w:val="auto"/>
              </w:rPr>
            </w:pPr>
          </w:p>
        </w:tc>
        <w:tc>
          <w:tcPr>
            <w:tcW w:w="800" w:type="dxa"/>
            <w:vAlign w:val="bottom"/>
            <w:shd w:val="clear" w:color="auto" w:fill="DED8EC"/>
          </w:tcPr>
          <w:p>
            <w:pPr>
              <w:spacing w:after="0"/>
              <w:rPr>
                <w:sz w:val="21"/>
                <w:szCs w:val="21"/>
                <w:color w:val="auto"/>
              </w:rPr>
            </w:pPr>
          </w:p>
        </w:tc>
        <w:tc>
          <w:tcPr>
            <w:tcW w:w="1080" w:type="dxa"/>
            <w:vAlign w:val="bottom"/>
            <w:gridSpan w:val="2"/>
            <w:shd w:val="clear" w:color="auto" w:fill="DED8EC"/>
          </w:tcPr>
          <w:p>
            <w:pPr>
              <w:spacing w:after="0"/>
              <w:rPr>
                <w:sz w:val="21"/>
                <w:szCs w:val="21"/>
                <w:color w:val="auto"/>
              </w:rPr>
            </w:pPr>
          </w:p>
        </w:tc>
        <w:tc>
          <w:tcPr>
            <w:tcW w:w="520" w:type="dxa"/>
            <w:vAlign w:val="bottom"/>
            <w:shd w:val="clear" w:color="auto" w:fill="DED8EC"/>
          </w:tcPr>
          <w:p>
            <w:pPr>
              <w:spacing w:after="0"/>
              <w:rPr>
                <w:sz w:val="21"/>
                <w:szCs w:val="21"/>
                <w:color w:val="auto"/>
              </w:rPr>
            </w:pPr>
          </w:p>
        </w:tc>
        <w:tc>
          <w:tcPr>
            <w:tcW w:w="1140" w:type="dxa"/>
            <w:vAlign w:val="bottom"/>
            <w:shd w:val="clear" w:color="auto" w:fill="DED8EC"/>
          </w:tcPr>
          <w:p>
            <w:pPr>
              <w:spacing w:after="0"/>
              <w:rPr>
                <w:sz w:val="21"/>
                <w:szCs w:val="21"/>
                <w:color w:val="auto"/>
              </w:rPr>
            </w:pPr>
          </w:p>
        </w:tc>
        <w:tc>
          <w:tcPr>
            <w:tcW w:w="1060" w:type="dxa"/>
            <w:vAlign w:val="bottom"/>
            <w:shd w:val="clear" w:color="auto" w:fill="DED8EC"/>
          </w:tcPr>
          <w:p>
            <w:pPr>
              <w:spacing w:after="0"/>
              <w:rPr>
                <w:sz w:val="21"/>
                <w:szCs w:val="21"/>
                <w:color w:val="auto"/>
              </w:rPr>
            </w:pPr>
          </w:p>
        </w:tc>
        <w:tc>
          <w:tcPr>
            <w:tcW w:w="1140" w:type="dxa"/>
            <w:vAlign w:val="bottom"/>
            <w:shd w:val="clear" w:color="auto" w:fill="DED8EC"/>
          </w:tcPr>
          <w:p>
            <w:pPr>
              <w:spacing w:after="0"/>
              <w:rPr>
                <w:sz w:val="21"/>
                <w:szCs w:val="21"/>
                <w:color w:val="auto"/>
              </w:rPr>
            </w:pPr>
          </w:p>
        </w:tc>
        <w:tc>
          <w:tcPr>
            <w:tcW w:w="1340" w:type="dxa"/>
            <w:vAlign w:val="bottom"/>
            <w:shd w:val="clear" w:color="auto" w:fill="DED8EC"/>
          </w:tcPr>
          <w:p>
            <w:pPr>
              <w:spacing w:after="0"/>
              <w:rPr>
                <w:sz w:val="21"/>
                <w:szCs w:val="21"/>
                <w:color w:val="auto"/>
              </w:rPr>
            </w:pPr>
          </w:p>
        </w:tc>
        <w:tc>
          <w:tcPr>
            <w:tcW w:w="0" w:type="dxa"/>
            <w:vAlign w:val="bottom"/>
          </w:tcPr>
          <w:p>
            <w:pPr>
              <w:spacing w:after="0"/>
              <w:rPr>
                <w:sz w:val="1"/>
                <w:szCs w:val="1"/>
                <w:color w:val="auto"/>
              </w:rPr>
            </w:pPr>
          </w:p>
        </w:tc>
      </w:tr>
      <w:tr>
        <w:trPr>
          <w:trHeight w:val="490"/>
        </w:trPr>
        <w:tc>
          <w:tcPr>
            <w:tcW w:w="2200" w:type="dxa"/>
            <w:vAlign w:val="bottom"/>
          </w:tcPr>
          <w:p>
            <w:pPr>
              <w:ind w:left="1380"/>
              <w:spacing w:after="0"/>
              <w:rPr>
                <w:sz w:val="20"/>
                <w:szCs w:val="20"/>
                <w:color w:val="auto"/>
              </w:rPr>
            </w:pPr>
            <w:r>
              <w:rPr>
                <w:rFonts w:ascii="Arial" w:cs="Arial" w:eastAsia="Arial" w:hAnsi="Arial"/>
                <w:sz w:val="14"/>
                <w:szCs w:val="14"/>
                <w:color w:val="010035"/>
              </w:rPr>
              <w:t xml:space="preserve">  Anuj           </w:t>
            </w:r>
          </w:p>
        </w:tc>
        <w:tc>
          <w:tcPr>
            <w:tcW w:w="380" w:type="dxa"/>
            <w:vAlign w:val="bottom"/>
          </w:tcPr>
          <w:p>
            <w:pPr>
              <w:jc w:val="center"/>
              <w:ind w:left="109"/>
              <w:spacing w:after="0"/>
              <w:rPr>
                <w:sz w:val="20"/>
                <w:szCs w:val="20"/>
                <w:color w:val="auto"/>
              </w:rPr>
            </w:pPr>
            <w:r>
              <w:rPr>
                <w:rFonts w:ascii="Arial" w:cs="Arial" w:eastAsia="Arial" w:hAnsi="Arial"/>
                <w:sz w:val="14"/>
                <w:szCs w:val="14"/>
                <w:color w:val="010035"/>
              </w:rPr>
              <w:t>63</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010035"/>
              </w:rPr>
              <w:t>2024</w:t>
            </w:r>
          </w:p>
        </w:tc>
        <w:tc>
          <w:tcPr>
            <w:tcW w:w="1080" w:type="dxa"/>
            <w:vAlign w:val="bottom"/>
            <w:gridSpan w:val="2"/>
          </w:tcPr>
          <w:p>
            <w:pPr>
              <w:ind w:left="500"/>
              <w:spacing w:after="0"/>
              <w:rPr>
                <w:sz w:val="20"/>
                <w:szCs w:val="20"/>
                <w:color w:val="auto"/>
              </w:rPr>
            </w:pPr>
            <w:r>
              <w:rPr>
                <w:rFonts w:ascii="Arial" w:cs="Arial" w:eastAsia="Arial" w:hAnsi="Arial"/>
                <w:sz w:val="14"/>
                <w:szCs w:val="14"/>
                <w:color w:val="010035"/>
              </w:rPr>
              <w:t>Y</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010035"/>
              </w:rPr>
              <w:t>1</w:t>
            </w:r>
          </w:p>
        </w:tc>
        <w:tc>
          <w:tcPr>
            <w:tcW w:w="0" w:type="dxa"/>
            <w:vAlign w:val="bottom"/>
          </w:tcPr>
          <w:p>
            <w:pPr>
              <w:spacing w:after="0"/>
              <w:rPr>
                <w:sz w:val="1"/>
                <w:szCs w:val="1"/>
                <w:color w:val="auto"/>
              </w:rPr>
            </w:pPr>
          </w:p>
        </w:tc>
      </w:tr>
      <w:tr>
        <w:trPr>
          <w:trHeight w:val="190"/>
        </w:trPr>
        <w:tc>
          <w:tcPr>
            <w:tcW w:w="2200" w:type="dxa"/>
            <w:vAlign w:val="bottom"/>
          </w:tcPr>
          <w:p>
            <w:pPr>
              <w:ind w:left="1380"/>
              <w:spacing w:after="0"/>
              <w:rPr>
                <w:sz w:val="20"/>
                <w:szCs w:val="20"/>
                <w:color w:val="auto"/>
              </w:rPr>
            </w:pPr>
            <w:r>
              <w:rPr>
                <w:rFonts w:ascii="Arial" w:cs="Arial" w:eastAsia="Arial" w:hAnsi="Arial"/>
                <w:sz w:val="14"/>
                <w:szCs w:val="14"/>
                <w:color w:val="010035"/>
              </w:rPr>
              <w:t>Dhanda</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9"/>
        </w:trPr>
        <w:tc>
          <w:tcPr>
            <w:tcW w:w="2200" w:type="dxa"/>
            <w:vAlign w:val="bottom"/>
            <w:shd w:val="clear" w:color="auto" w:fill="DED8EC"/>
          </w:tcPr>
          <w:p>
            <w:pPr>
              <w:ind w:left="1380"/>
              <w:spacing w:after="0"/>
              <w:rPr>
                <w:sz w:val="20"/>
                <w:szCs w:val="20"/>
                <w:color w:val="auto"/>
              </w:rPr>
            </w:pPr>
            <w:r>
              <w:rPr>
                <w:rFonts w:ascii="Arial" w:cs="Arial" w:eastAsia="Arial" w:hAnsi="Arial"/>
                <w:sz w:val="14"/>
                <w:szCs w:val="14"/>
                <w:color w:val="010035"/>
              </w:rPr>
              <w:t>Jeffrey</w:t>
            </w:r>
          </w:p>
        </w:tc>
        <w:tc>
          <w:tcPr>
            <w:tcW w:w="380" w:type="dxa"/>
            <w:vAlign w:val="bottom"/>
            <w:vMerge w:val="restart"/>
            <w:shd w:val="clear" w:color="auto" w:fill="DED8EC"/>
          </w:tcPr>
          <w:p>
            <w:pPr>
              <w:jc w:val="center"/>
              <w:ind w:left="109"/>
              <w:spacing w:after="0"/>
              <w:rPr>
                <w:sz w:val="20"/>
                <w:szCs w:val="20"/>
                <w:color w:val="auto"/>
              </w:rPr>
            </w:pPr>
            <w:r>
              <w:rPr>
                <w:rFonts w:ascii="Arial" w:cs="Arial" w:eastAsia="Arial" w:hAnsi="Arial"/>
                <w:sz w:val="14"/>
                <w:szCs w:val="14"/>
                <w:color w:val="010035"/>
              </w:rPr>
              <w:t>64</w:t>
            </w:r>
          </w:p>
        </w:tc>
        <w:tc>
          <w:tcPr>
            <w:tcW w:w="140" w:type="dxa"/>
            <w:vAlign w:val="bottom"/>
            <w:shd w:val="clear" w:color="auto" w:fill="DED8EC"/>
          </w:tcPr>
          <w:p>
            <w:pPr>
              <w:spacing w:after="0"/>
              <w:rPr>
                <w:sz w:val="24"/>
                <w:szCs w:val="24"/>
                <w:color w:val="auto"/>
              </w:rPr>
            </w:pPr>
          </w:p>
        </w:tc>
        <w:tc>
          <w:tcPr>
            <w:tcW w:w="80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2026</w:t>
            </w:r>
          </w:p>
        </w:tc>
        <w:tc>
          <w:tcPr>
            <w:tcW w:w="1080" w:type="dxa"/>
            <w:vAlign w:val="bottom"/>
            <w:gridSpan w:val="2"/>
            <w:vMerge w:val="restart"/>
            <w:shd w:val="clear" w:color="auto" w:fill="DED8EC"/>
          </w:tcPr>
          <w:p>
            <w:pPr>
              <w:ind w:left="500"/>
              <w:spacing w:after="0"/>
              <w:rPr>
                <w:sz w:val="20"/>
                <w:szCs w:val="20"/>
                <w:color w:val="auto"/>
              </w:rPr>
            </w:pPr>
            <w:r>
              <w:rPr>
                <w:rFonts w:ascii="Arial" w:cs="Arial" w:eastAsia="Arial" w:hAnsi="Arial"/>
                <w:sz w:val="14"/>
                <w:szCs w:val="14"/>
                <w:color w:val="010035"/>
              </w:rPr>
              <w:t>Y</w:t>
            </w:r>
          </w:p>
        </w:tc>
        <w:tc>
          <w:tcPr>
            <w:tcW w:w="520" w:type="dxa"/>
            <w:vAlign w:val="bottom"/>
            <w:shd w:val="clear" w:color="auto" w:fill="DED8EC"/>
          </w:tcPr>
          <w:p>
            <w:pPr>
              <w:spacing w:after="0"/>
              <w:rPr>
                <w:sz w:val="24"/>
                <w:szCs w:val="24"/>
                <w:color w:val="auto"/>
              </w:rPr>
            </w:pPr>
          </w:p>
        </w:tc>
        <w:tc>
          <w:tcPr>
            <w:tcW w:w="1140" w:type="dxa"/>
            <w:vAlign w:val="bottom"/>
            <w:shd w:val="clear" w:color="auto" w:fill="DED8EC"/>
          </w:tcPr>
          <w:p>
            <w:pPr>
              <w:spacing w:after="0"/>
              <w:rPr>
                <w:sz w:val="24"/>
                <w:szCs w:val="24"/>
                <w:color w:val="auto"/>
              </w:rPr>
            </w:pPr>
          </w:p>
        </w:tc>
        <w:tc>
          <w:tcPr>
            <w:tcW w:w="1060" w:type="dxa"/>
            <w:vAlign w:val="bottom"/>
            <w:vMerge w:val="restart"/>
            <w:shd w:val="clear" w:color="auto" w:fill="DED8EC"/>
          </w:tcPr>
          <w:p>
            <w:pPr>
              <w:ind w:left="540"/>
              <w:spacing w:after="0"/>
              <w:rPr>
                <w:sz w:val="20"/>
                <w:szCs w:val="20"/>
                <w:color w:val="auto"/>
              </w:rPr>
            </w:pPr>
            <w:r>
              <w:rPr>
                <w:rFonts w:ascii="Arial" w:cs="Arial" w:eastAsia="Arial" w:hAnsi="Arial"/>
                <w:sz w:val="14"/>
                <w:szCs w:val="14"/>
                <w:color w:val="010035"/>
              </w:rPr>
              <w:t>​</w:t>
            </w:r>
          </w:p>
        </w:tc>
        <w:tc>
          <w:tcPr>
            <w:tcW w:w="1140" w:type="dxa"/>
            <w:vAlign w:val="bottom"/>
            <w:shd w:val="clear" w:color="auto" w:fill="DED8EC"/>
          </w:tcPr>
          <w:p>
            <w:pPr>
              <w:spacing w:after="0"/>
              <w:rPr>
                <w:sz w:val="24"/>
                <w:szCs w:val="24"/>
                <w:color w:val="auto"/>
              </w:rPr>
            </w:pPr>
          </w:p>
        </w:tc>
        <w:tc>
          <w:tcPr>
            <w:tcW w:w="134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2</w:t>
            </w:r>
          </w:p>
        </w:tc>
        <w:tc>
          <w:tcPr>
            <w:tcW w:w="0" w:type="dxa"/>
            <w:vAlign w:val="bottom"/>
          </w:tcPr>
          <w:p>
            <w:pPr>
              <w:spacing w:after="0"/>
              <w:rPr>
                <w:sz w:val="1"/>
                <w:szCs w:val="1"/>
                <w:color w:val="auto"/>
              </w:rPr>
            </w:pPr>
          </w:p>
        </w:tc>
      </w:tr>
      <w:tr>
        <w:trPr>
          <w:trHeight w:val="109"/>
        </w:trPr>
        <w:tc>
          <w:tcPr>
            <w:tcW w:w="2200" w:type="dxa"/>
            <w:vAlign w:val="bottom"/>
            <w:vMerge w:val="restart"/>
            <w:shd w:val="clear" w:color="auto" w:fill="DED8EC"/>
          </w:tcPr>
          <w:p>
            <w:pPr>
              <w:ind w:left="1380"/>
              <w:spacing w:after="0"/>
              <w:rPr>
                <w:sz w:val="20"/>
                <w:szCs w:val="20"/>
                <w:color w:val="auto"/>
              </w:rPr>
            </w:pPr>
            <w:r>
              <w:rPr>
                <w:rFonts w:ascii="Arial" w:cs="Arial" w:eastAsia="Arial" w:hAnsi="Arial"/>
                <w:sz w:val="14"/>
                <w:szCs w:val="14"/>
                <w:color w:val="010035"/>
              </w:rPr>
              <w:t>Fox</w:t>
            </w:r>
          </w:p>
        </w:tc>
        <w:tc>
          <w:tcPr>
            <w:tcW w:w="380" w:type="dxa"/>
            <w:vAlign w:val="bottom"/>
            <w:vMerge w:val="continue"/>
            <w:shd w:val="clear" w:color="auto" w:fill="DED8EC"/>
          </w:tcPr>
          <w:p>
            <w:pPr>
              <w:spacing w:after="0"/>
              <w:rPr>
                <w:sz w:val="9"/>
                <w:szCs w:val="9"/>
                <w:color w:val="auto"/>
              </w:rPr>
            </w:pPr>
          </w:p>
        </w:tc>
        <w:tc>
          <w:tcPr>
            <w:tcW w:w="140" w:type="dxa"/>
            <w:vAlign w:val="bottom"/>
            <w:shd w:val="clear" w:color="auto" w:fill="DED8EC"/>
          </w:tcPr>
          <w:p>
            <w:pPr>
              <w:spacing w:after="0"/>
              <w:rPr>
                <w:sz w:val="9"/>
                <w:szCs w:val="9"/>
                <w:color w:val="auto"/>
              </w:rPr>
            </w:pPr>
          </w:p>
        </w:tc>
        <w:tc>
          <w:tcPr>
            <w:tcW w:w="800" w:type="dxa"/>
            <w:vAlign w:val="bottom"/>
            <w:vMerge w:val="continue"/>
            <w:shd w:val="clear" w:color="auto" w:fill="DED8EC"/>
          </w:tcPr>
          <w:p>
            <w:pPr>
              <w:spacing w:after="0"/>
              <w:rPr>
                <w:sz w:val="9"/>
                <w:szCs w:val="9"/>
                <w:color w:val="auto"/>
              </w:rPr>
            </w:pPr>
          </w:p>
        </w:tc>
        <w:tc>
          <w:tcPr>
            <w:tcW w:w="1080" w:type="dxa"/>
            <w:vAlign w:val="bottom"/>
            <w:gridSpan w:val="2"/>
            <w:vMerge w:val="continue"/>
            <w:shd w:val="clear" w:color="auto" w:fill="DED8EC"/>
          </w:tcPr>
          <w:p>
            <w:pPr>
              <w:spacing w:after="0"/>
              <w:rPr>
                <w:sz w:val="9"/>
                <w:szCs w:val="9"/>
                <w:color w:val="auto"/>
              </w:rPr>
            </w:pPr>
          </w:p>
        </w:tc>
        <w:tc>
          <w:tcPr>
            <w:tcW w:w="520" w:type="dxa"/>
            <w:vAlign w:val="bottom"/>
            <w:shd w:val="clear" w:color="auto" w:fill="DED8EC"/>
          </w:tcPr>
          <w:p>
            <w:pPr>
              <w:spacing w:after="0"/>
              <w:rPr>
                <w:sz w:val="9"/>
                <w:szCs w:val="9"/>
                <w:color w:val="auto"/>
              </w:rPr>
            </w:pPr>
          </w:p>
        </w:tc>
        <w:tc>
          <w:tcPr>
            <w:tcW w:w="1140" w:type="dxa"/>
            <w:vAlign w:val="bottom"/>
            <w:shd w:val="clear" w:color="auto" w:fill="DED8EC"/>
          </w:tcPr>
          <w:p>
            <w:pPr>
              <w:spacing w:after="0"/>
              <w:rPr>
                <w:sz w:val="9"/>
                <w:szCs w:val="9"/>
                <w:color w:val="auto"/>
              </w:rPr>
            </w:pPr>
          </w:p>
        </w:tc>
        <w:tc>
          <w:tcPr>
            <w:tcW w:w="1060" w:type="dxa"/>
            <w:vAlign w:val="bottom"/>
            <w:vMerge w:val="continue"/>
            <w:shd w:val="clear" w:color="auto" w:fill="DED8EC"/>
          </w:tcPr>
          <w:p>
            <w:pPr>
              <w:spacing w:after="0"/>
              <w:rPr>
                <w:sz w:val="9"/>
                <w:szCs w:val="9"/>
                <w:color w:val="auto"/>
              </w:rPr>
            </w:pPr>
          </w:p>
        </w:tc>
        <w:tc>
          <w:tcPr>
            <w:tcW w:w="1140" w:type="dxa"/>
            <w:vAlign w:val="bottom"/>
            <w:shd w:val="clear" w:color="auto" w:fill="DED8EC"/>
          </w:tcPr>
          <w:p>
            <w:pPr>
              <w:spacing w:after="0"/>
              <w:rPr>
                <w:sz w:val="9"/>
                <w:szCs w:val="9"/>
                <w:color w:val="auto"/>
              </w:rPr>
            </w:pPr>
          </w:p>
        </w:tc>
        <w:tc>
          <w:tcPr>
            <w:tcW w:w="1340" w:type="dxa"/>
            <w:vAlign w:val="bottom"/>
            <w:vMerge w:val="continue"/>
            <w:shd w:val="clear" w:color="auto" w:fill="DED8E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00" w:type="dxa"/>
            <w:vAlign w:val="bottom"/>
            <w:vMerge w:val="continue"/>
            <w:shd w:val="clear" w:color="auto" w:fill="DED8EC"/>
          </w:tcPr>
          <w:p>
            <w:pPr>
              <w:spacing w:after="0"/>
              <w:rPr>
                <w:sz w:val="7"/>
                <w:szCs w:val="7"/>
                <w:color w:val="auto"/>
              </w:rPr>
            </w:pPr>
          </w:p>
        </w:tc>
        <w:tc>
          <w:tcPr>
            <w:tcW w:w="380" w:type="dxa"/>
            <w:vAlign w:val="bottom"/>
            <w:shd w:val="clear" w:color="auto" w:fill="DED8EC"/>
          </w:tcPr>
          <w:p>
            <w:pPr>
              <w:spacing w:after="0"/>
              <w:rPr>
                <w:sz w:val="7"/>
                <w:szCs w:val="7"/>
                <w:color w:val="auto"/>
              </w:rPr>
            </w:pPr>
          </w:p>
        </w:tc>
        <w:tc>
          <w:tcPr>
            <w:tcW w:w="140" w:type="dxa"/>
            <w:vAlign w:val="bottom"/>
            <w:shd w:val="clear" w:color="auto" w:fill="DED8EC"/>
          </w:tcPr>
          <w:p>
            <w:pPr>
              <w:spacing w:after="0"/>
              <w:rPr>
                <w:sz w:val="7"/>
                <w:szCs w:val="7"/>
                <w:color w:val="auto"/>
              </w:rPr>
            </w:pPr>
          </w:p>
        </w:tc>
        <w:tc>
          <w:tcPr>
            <w:tcW w:w="800" w:type="dxa"/>
            <w:vAlign w:val="bottom"/>
            <w:shd w:val="clear" w:color="auto" w:fill="DED8EC"/>
          </w:tcPr>
          <w:p>
            <w:pPr>
              <w:spacing w:after="0"/>
              <w:rPr>
                <w:sz w:val="7"/>
                <w:szCs w:val="7"/>
                <w:color w:val="auto"/>
              </w:rPr>
            </w:pPr>
          </w:p>
        </w:tc>
        <w:tc>
          <w:tcPr>
            <w:tcW w:w="580" w:type="dxa"/>
            <w:vAlign w:val="bottom"/>
            <w:shd w:val="clear" w:color="auto" w:fill="DED8EC"/>
          </w:tcPr>
          <w:p>
            <w:pPr>
              <w:spacing w:after="0"/>
              <w:rPr>
                <w:sz w:val="7"/>
                <w:szCs w:val="7"/>
                <w:color w:val="auto"/>
              </w:rPr>
            </w:pPr>
          </w:p>
        </w:tc>
        <w:tc>
          <w:tcPr>
            <w:tcW w:w="500" w:type="dxa"/>
            <w:vAlign w:val="bottom"/>
            <w:shd w:val="clear" w:color="auto" w:fill="DED8EC"/>
          </w:tcPr>
          <w:p>
            <w:pPr>
              <w:spacing w:after="0"/>
              <w:rPr>
                <w:sz w:val="7"/>
                <w:szCs w:val="7"/>
                <w:color w:val="auto"/>
              </w:rPr>
            </w:pPr>
          </w:p>
        </w:tc>
        <w:tc>
          <w:tcPr>
            <w:tcW w:w="520" w:type="dxa"/>
            <w:vAlign w:val="bottom"/>
            <w:shd w:val="clear" w:color="auto" w:fill="DED8EC"/>
          </w:tcPr>
          <w:p>
            <w:pPr>
              <w:spacing w:after="0"/>
              <w:rPr>
                <w:sz w:val="7"/>
                <w:szCs w:val="7"/>
                <w:color w:val="auto"/>
              </w:rPr>
            </w:pPr>
          </w:p>
        </w:tc>
        <w:tc>
          <w:tcPr>
            <w:tcW w:w="1140" w:type="dxa"/>
            <w:vAlign w:val="bottom"/>
            <w:shd w:val="clear" w:color="auto" w:fill="DED8EC"/>
          </w:tcPr>
          <w:p>
            <w:pPr>
              <w:spacing w:after="0"/>
              <w:rPr>
                <w:sz w:val="7"/>
                <w:szCs w:val="7"/>
                <w:color w:val="auto"/>
              </w:rPr>
            </w:pPr>
          </w:p>
        </w:tc>
        <w:tc>
          <w:tcPr>
            <w:tcW w:w="1060" w:type="dxa"/>
            <w:vAlign w:val="bottom"/>
            <w:shd w:val="clear" w:color="auto" w:fill="DED8EC"/>
          </w:tcPr>
          <w:p>
            <w:pPr>
              <w:spacing w:after="0"/>
              <w:rPr>
                <w:sz w:val="7"/>
                <w:szCs w:val="7"/>
                <w:color w:val="auto"/>
              </w:rPr>
            </w:pPr>
          </w:p>
        </w:tc>
        <w:tc>
          <w:tcPr>
            <w:tcW w:w="1140" w:type="dxa"/>
            <w:vAlign w:val="bottom"/>
            <w:shd w:val="clear" w:color="auto" w:fill="DED8EC"/>
          </w:tcPr>
          <w:p>
            <w:pPr>
              <w:spacing w:after="0"/>
              <w:rPr>
                <w:sz w:val="7"/>
                <w:szCs w:val="7"/>
                <w:color w:val="auto"/>
              </w:rPr>
            </w:pPr>
          </w:p>
        </w:tc>
        <w:tc>
          <w:tcPr>
            <w:tcW w:w="1340" w:type="dxa"/>
            <w:vAlign w:val="bottom"/>
            <w:shd w:val="clear" w:color="auto" w:fill="DED8EC"/>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200" w:type="dxa"/>
            <w:vAlign w:val="bottom"/>
            <w:shd w:val="clear" w:color="auto" w:fill="DED8EC"/>
          </w:tcPr>
          <w:p>
            <w:pPr>
              <w:spacing w:after="0"/>
              <w:rPr>
                <w:sz w:val="21"/>
                <w:szCs w:val="21"/>
                <w:color w:val="auto"/>
              </w:rPr>
            </w:pPr>
          </w:p>
        </w:tc>
        <w:tc>
          <w:tcPr>
            <w:tcW w:w="380" w:type="dxa"/>
            <w:vAlign w:val="bottom"/>
            <w:shd w:val="clear" w:color="auto" w:fill="DED8EC"/>
          </w:tcPr>
          <w:p>
            <w:pPr>
              <w:spacing w:after="0"/>
              <w:rPr>
                <w:sz w:val="21"/>
                <w:szCs w:val="21"/>
                <w:color w:val="auto"/>
              </w:rPr>
            </w:pPr>
          </w:p>
        </w:tc>
        <w:tc>
          <w:tcPr>
            <w:tcW w:w="140" w:type="dxa"/>
            <w:vAlign w:val="bottom"/>
            <w:shd w:val="clear" w:color="auto" w:fill="DED8EC"/>
          </w:tcPr>
          <w:p>
            <w:pPr>
              <w:spacing w:after="0"/>
              <w:rPr>
                <w:sz w:val="21"/>
                <w:szCs w:val="21"/>
                <w:color w:val="auto"/>
              </w:rPr>
            </w:pPr>
          </w:p>
        </w:tc>
        <w:tc>
          <w:tcPr>
            <w:tcW w:w="800" w:type="dxa"/>
            <w:vAlign w:val="bottom"/>
            <w:shd w:val="clear" w:color="auto" w:fill="DED8EC"/>
          </w:tcPr>
          <w:p>
            <w:pPr>
              <w:spacing w:after="0"/>
              <w:rPr>
                <w:sz w:val="21"/>
                <w:szCs w:val="21"/>
                <w:color w:val="auto"/>
              </w:rPr>
            </w:pPr>
          </w:p>
        </w:tc>
        <w:tc>
          <w:tcPr>
            <w:tcW w:w="580" w:type="dxa"/>
            <w:vAlign w:val="bottom"/>
            <w:shd w:val="clear" w:color="auto" w:fill="DED8EC"/>
          </w:tcPr>
          <w:p>
            <w:pPr>
              <w:spacing w:after="0"/>
              <w:rPr>
                <w:sz w:val="21"/>
                <w:szCs w:val="21"/>
                <w:color w:val="auto"/>
              </w:rPr>
            </w:pPr>
          </w:p>
        </w:tc>
        <w:tc>
          <w:tcPr>
            <w:tcW w:w="500" w:type="dxa"/>
            <w:vAlign w:val="bottom"/>
            <w:shd w:val="clear" w:color="auto" w:fill="DED8EC"/>
          </w:tcPr>
          <w:p>
            <w:pPr>
              <w:spacing w:after="0"/>
              <w:rPr>
                <w:sz w:val="21"/>
                <w:szCs w:val="21"/>
                <w:color w:val="auto"/>
              </w:rPr>
            </w:pPr>
          </w:p>
        </w:tc>
        <w:tc>
          <w:tcPr>
            <w:tcW w:w="520" w:type="dxa"/>
            <w:vAlign w:val="bottom"/>
            <w:shd w:val="clear" w:color="auto" w:fill="DED8EC"/>
          </w:tcPr>
          <w:p>
            <w:pPr>
              <w:spacing w:after="0"/>
              <w:rPr>
                <w:sz w:val="21"/>
                <w:szCs w:val="21"/>
                <w:color w:val="auto"/>
              </w:rPr>
            </w:pPr>
          </w:p>
        </w:tc>
        <w:tc>
          <w:tcPr>
            <w:tcW w:w="1140" w:type="dxa"/>
            <w:vAlign w:val="bottom"/>
            <w:shd w:val="clear" w:color="auto" w:fill="DED8EC"/>
          </w:tcPr>
          <w:p>
            <w:pPr>
              <w:spacing w:after="0"/>
              <w:rPr>
                <w:sz w:val="21"/>
                <w:szCs w:val="21"/>
                <w:color w:val="auto"/>
              </w:rPr>
            </w:pPr>
          </w:p>
        </w:tc>
        <w:tc>
          <w:tcPr>
            <w:tcW w:w="1060" w:type="dxa"/>
            <w:vAlign w:val="bottom"/>
            <w:shd w:val="clear" w:color="auto" w:fill="DED8EC"/>
          </w:tcPr>
          <w:p>
            <w:pPr>
              <w:spacing w:after="0"/>
              <w:rPr>
                <w:sz w:val="21"/>
                <w:szCs w:val="21"/>
                <w:color w:val="auto"/>
              </w:rPr>
            </w:pPr>
          </w:p>
        </w:tc>
        <w:tc>
          <w:tcPr>
            <w:tcW w:w="1140" w:type="dxa"/>
            <w:vAlign w:val="bottom"/>
            <w:shd w:val="clear" w:color="auto" w:fill="DED8EC"/>
          </w:tcPr>
          <w:p>
            <w:pPr>
              <w:spacing w:after="0"/>
              <w:rPr>
                <w:sz w:val="21"/>
                <w:szCs w:val="21"/>
                <w:color w:val="auto"/>
              </w:rPr>
            </w:pPr>
          </w:p>
        </w:tc>
        <w:tc>
          <w:tcPr>
            <w:tcW w:w="1340" w:type="dxa"/>
            <w:vAlign w:val="bottom"/>
            <w:shd w:val="clear" w:color="auto" w:fill="DED8EC"/>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2200" w:type="dxa"/>
            <w:vAlign w:val="bottom"/>
          </w:tcPr>
          <w:p>
            <w:pPr>
              <w:ind w:left="1380"/>
              <w:spacing w:after="0"/>
              <w:rPr>
                <w:sz w:val="20"/>
                <w:szCs w:val="20"/>
                <w:color w:val="auto"/>
              </w:rPr>
            </w:pPr>
            <w:r>
              <w:rPr>
                <w:rFonts w:ascii="Arial" w:cs="Arial" w:eastAsia="Arial" w:hAnsi="Arial"/>
                <w:sz w:val="14"/>
                <w:szCs w:val="14"/>
                <w:color w:val="010035"/>
              </w:rPr>
              <w:t>David</w:t>
            </w:r>
          </w:p>
        </w:tc>
        <w:tc>
          <w:tcPr>
            <w:tcW w:w="380" w:type="dxa"/>
            <w:vAlign w:val="bottom"/>
            <w:vMerge w:val="restart"/>
          </w:tcPr>
          <w:p>
            <w:pPr>
              <w:jc w:val="center"/>
              <w:ind w:left="109"/>
              <w:spacing w:after="0"/>
              <w:rPr>
                <w:sz w:val="20"/>
                <w:szCs w:val="20"/>
                <w:color w:val="auto"/>
              </w:rPr>
            </w:pPr>
            <w:r>
              <w:rPr>
                <w:rFonts w:ascii="Arial" w:cs="Arial" w:eastAsia="Arial" w:hAnsi="Arial"/>
                <w:sz w:val="14"/>
                <w:szCs w:val="14"/>
                <w:color w:val="010035"/>
              </w:rPr>
              <w:t>61</w:t>
            </w:r>
          </w:p>
        </w:tc>
        <w:tc>
          <w:tcPr>
            <w:tcW w:w="14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010035"/>
              </w:rPr>
              <w:t>1994</w:t>
            </w:r>
          </w:p>
        </w:tc>
        <w:tc>
          <w:tcPr>
            <w:tcW w:w="1080" w:type="dxa"/>
            <w:vAlign w:val="bottom"/>
            <w:gridSpan w:val="2"/>
            <w:vMerge w:val="restart"/>
          </w:tcPr>
          <w:p>
            <w:pPr>
              <w:ind w:left="500"/>
              <w:spacing w:after="0"/>
              <w:rPr>
                <w:sz w:val="20"/>
                <w:szCs w:val="20"/>
                <w:color w:val="auto"/>
              </w:rPr>
            </w:pPr>
            <w:r>
              <w:rPr>
                <w:rFonts w:ascii="Arial" w:cs="Arial" w:eastAsia="Arial" w:hAnsi="Arial"/>
                <w:sz w:val="14"/>
                <w:szCs w:val="14"/>
                <w:color w:val="010035"/>
              </w:rPr>
              <w:t>Y</w:t>
            </w:r>
          </w:p>
        </w:tc>
        <w:tc>
          <w:tcPr>
            <w:tcW w:w="520" w:type="dxa"/>
            <w:vAlign w:val="bottom"/>
          </w:tcPr>
          <w:p>
            <w:pPr>
              <w:spacing w:after="0"/>
              <w:rPr>
                <w:sz w:val="24"/>
                <w:szCs w:val="24"/>
                <w:color w:val="auto"/>
              </w:rPr>
            </w:pPr>
          </w:p>
        </w:tc>
        <w:tc>
          <w:tcPr>
            <w:tcW w:w="1140" w:type="dxa"/>
            <w:vAlign w:val="bottom"/>
          </w:tcPr>
          <w:p>
            <w:pPr>
              <w:ind w:left="660"/>
              <w:spacing w:after="0"/>
              <w:rPr>
                <w:sz w:val="20"/>
                <w:szCs w:val="20"/>
                <w:color w:val="auto"/>
              </w:rPr>
            </w:pPr>
            <w:r>
              <w:rPr>
                <w:rFonts w:ascii="Arial" w:cs="Arial" w:eastAsia="Arial" w:hAnsi="Arial"/>
                <w:sz w:val="14"/>
                <w:szCs w:val="14"/>
                <w:color w:val="010035"/>
              </w:rPr>
              <w:t>​</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010035"/>
              </w:rPr>
              <w:t>0</w:t>
            </w:r>
          </w:p>
        </w:tc>
        <w:tc>
          <w:tcPr>
            <w:tcW w:w="0" w:type="dxa"/>
            <w:vAlign w:val="bottom"/>
          </w:tcPr>
          <w:p>
            <w:pPr>
              <w:spacing w:after="0"/>
              <w:rPr>
                <w:sz w:val="1"/>
                <w:szCs w:val="1"/>
                <w:color w:val="auto"/>
              </w:rPr>
            </w:pPr>
          </w:p>
        </w:tc>
      </w:tr>
      <w:tr>
        <w:trPr>
          <w:trHeight w:val="126"/>
        </w:trPr>
        <w:tc>
          <w:tcPr>
            <w:tcW w:w="2200" w:type="dxa"/>
            <w:vAlign w:val="bottom"/>
            <w:vMerge w:val="restart"/>
          </w:tcPr>
          <w:p>
            <w:pPr>
              <w:ind w:left="1380"/>
              <w:spacing w:after="0"/>
              <w:rPr>
                <w:sz w:val="20"/>
                <w:szCs w:val="20"/>
                <w:color w:val="auto"/>
              </w:rPr>
            </w:pPr>
            <w:r>
              <w:rPr>
                <w:rFonts w:ascii="Arial" w:cs="Arial" w:eastAsia="Arial" w:hAnsi="Arial"/>
                <w:sz w:val="14"/>
                <w:szCs w:val="14"/>
                <w:color w:val="010035"/>
              </w:rPr>
              <w:t>Handler</w:t>
            </w:r>
            <w:r>
              <w:rPr>
                <w:rFonts w:ascii="Arial" w:cs="Arial" w:eastAsia="Arial" w:hAnsi="Arial"/>
                <w:sz w:val="23"/>
                <w:szCs w:val="23"/>
                <w:color w:val="010035"/>
                <w:vertAlign w:val="superscript"/>
              </w:rPr>
              <w:t>(3)</w:t>
            </w:r>
          </w:p>
        </w:tc>
        <w:tc>
          <w:tcPr>
            <w:tcW w:w="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9"/>
        </w:trPr>
        <w:tc>
          <w:tcPr>
            <w:tcW w:w="2200" w:type="dxa"/>
            <w:vAlign w:val="bottom"/>
            <w:shd w:val="clear" w:color="auto" w:fill="DED8EC"/>
          </w:tcPr>
          <w:p>
            <w:pPr>
              <w:ind w:left="1380"/>
              <w:spacing w:after="0"/>
              <w:rPr>
                <w:sz w:val="20"/>
                <w:szCs w:val="20"/>
                <w:color w:val="auto"/>
              </w:rPr>
            </w:pPr>
            <w:r>
              <w:rPr>
                <w:rFonts w:ascii="Arial" w:cs="Arial" w:eastAsia="Arial" w:hAnsi="Arial"/>
                <w:sz w:val="14"/>
                <w:szCs w:val="14"/>
                <w:color w:val="010035"/>
              </w:rPr>
              <w:t>Johnny</w:t>
            </w:r>
          </w:p>
        </w:tc>
        <w:tc>
          <w:tcPr>
            <w:tcW w:w="380" w:type="dxa"/>
            <w:vAlign w:val="bottom"/>
            <w:vMerge w:val="restart"/>
            <w:shd w:val="clear" w:color="auto" w:fill="DED8EC"/>
          </w:tcPr>
          <w:p>
            <w:pPr>
              <w:jc w:val="center"/>
              <w:ind w:left="109"/>
              <w:spacing w:after="0"/>
              <w:rPr>
                <w:sz w:val="20"/>
                <w:szCs w:val="20"/>
                <w:color w:val="auto"/>
              </w:rPr>
            </w:pPr>
            <w:r>
              <w:rPr>
                <w:rFonts w:ascii="Arial" w:cs="Arial" w:eastAsia="Arial" w:hAnsi="Arial"/>
                <w:sz w:val="14"/>
                <w:szCs w:val="14"/>
                <w:color w:val="010035"/>
              </w:rPr>
              <w:t>50</w:t>
            </w:r>
          </w:p>
        </w:tc>
        <w:tc>
          <w:tcPr>
            <w:tcW w:w="140" w:type="dxa"/>
            <w:vAlign w:val="bottom"/>
            <w:shd w:val="clear" w:color="auto" w:fill="DED8EC"/>
          </w:tcPr>
          <w:p>
            <w:pPr>
              <w:spacing w:after="0"/>
              <w:rPr>
                <w:sz w:val="24"/>
                <w:szCs w:val="24"/>
                <w:color w:val="auto"/>
              </w:rPr>
            </w:pPr>
          </w:p>
        </w:tc>
        <w:tc>
          <w:tcPr>
            <w:tcW w:w="80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2025</w:t>
            </w:r>
          </w:p>
        </w:tc>
        <w:tc>
          <w:tcPr>
            <w:tcW w:w="1080" w:type="dxa"/>
            <w:vAlign w:val="bottom"/>
            <w:gridSpan w:val="2"/>
            <w:vMerge w:val="restart"/>
            <w:shd w:val="clear" w:color="auto" w:fill="DED8EC"/>
          </w:tcPr>
          <w:p>
            <w:pPr>
              <w:ind w:left="500"/>
              <w:spacing w:after="0"/>
              <w:rPr>
                <w:sz w:val="20"/>
                <w:szCs w:val="20"/>
                <w:color w:val="auto"/>
              </w:rPr>
            </w:pPr>
            <w:r>
              <w:rPr>
                <w:rFonts w:ascii="Arial" w:cs="Arial" w:eastAsia="Arial" w:hAnsi="Arial"/>
                <w:sz w:val="14"/>
                <w:szCs w:val="14"/>
                <w:color w:val="010035"/>
              </w:rPr>
              <w:t>Y</w:t>
            </w:r>
          </w:p>
        </w:tc>
        <w:tc>
          <w:tcPr>
            <w:tcW w:w="520" w:type="dxa"/>
            <w:vAlign w:val="bottom"/>
            <w:shd w:val="clear" w:color="auto" w:fill="DED8EC"/>
          </w:tcPr>
          <w:p>
            <w:pPr>
              <w:spacing w:after="0"/>
              <w:rPr>
                <w:sz w:val="24"/>
                <w:szCs w:val="24"/>
                <w:color w:val="auto"/>
              </w:rPr>
            </w:pPr>
          </w:p>
        </w:tc>
        <w:tc>
          <w:tcPr>
            <w:tcW w:w="1140" w:type="dxa"/>
            <w:vAlign w:val="bottom"/>
            <w:shd w:val="clear" w:color="auto" w:fill="DED8EC"/>
          </w:tcPr>
          <w:p>
            <w:pPr>
              <w:spacing w:after="0"/>
              <w:rPr>
                <w:sz w:val="24"/>
                <w:szCs w:val="24"/>
                <w:color w:val="auto"/>
              </w:rPr>
            </w:pPr>
          </w:p>
        </w:tc>
        <w:tc>
          <w:tcPr>
            <w:tcW w:w="1060" w:type="dxa"/>
            <w:vAlign w:val="bottom"/>
            <w:vMerge w:val="restart"/>
            <w:shd w:val="clear" w:color="auto" w:fill="DED8EC"/>
          </w:tcPr>
          <w:p>
            <w:pPr>
              <w:ind w:left="540"/>
              <w:spacing w:after="0"/>
              <w:rPr>
                <w:sz w:val="20"/>
                <w:szCs w:val="20"/>
                <w:color w:val="auto"/>
              </w:rPr>
            </w:pPr>
            <w:r>
              <w:rPr>
                <w:rFonts w:ascii="Arial" w:cs="Arial" w:eastAsia="Arial" w:hAnsi="Arial"/>
                <w:sz w:val="14"/>
                <w:szCs w:val="14"/>
                <w:color w:val="010035"/>
              </w:rPr>
              <w:t>​</w:t>
            </w:r>
          </w:p>
        </w:tc>
        <w:tc>
          <w:tcPr>
            <w:tcW w:w="1140" w:type="dxa"/>
            <w:vAlign w:val="bottom"/>
            <w:shd w:val="clear" w:color="auto" w:fill="DED8EC"/>
          </w:tcPr>
          <w:p>
            <w:pPr>
              <w:spacing w:after="0"/>
              <w:rPr>
                <w:sz w:val="24"/>
                <w:szCs w:val="24"/>
                <w:color w:val="auto"/>
              </w:rPr>
            </w:pPr>
          </w:p>
        </w:tc>
        <w:tc>
          <w:tcPr>
            <w:tcW w:w="134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0</w:t>
            </w:r>
          </w:p>
        </w:tc>
        <w:tc>
          <w:tcPr>
            <w:tcW w:w="0" w:type="dxa"/>
            <w:vAlign w:val="bottom"/>
          </w:tcPr>
          <w:p>
            <w:pPr>
              <w:spacing w:after="0"/>
              <w:rPr>
                <w:sz w:val="1"/>
                <w:szCs w:val="1"/>
                <w:color w:val="auto"/>
              </w:rPr>
            </w:pPr>
          </w:p>
        </w:tc>
      </w:tr>
      <w:tr>
        <w:trPr>
          <w:trHeight w:val="109"/>
        </w:trPr>
        <w:tc>
          <w:tcPr>
            <w:tcW w:w="2200" w:type="dxa"/>
            <w:vAlign w:val="bottom"/>
            <w:vMerge w:val="restart"/>
            <w:shd w:val="clear" w:color="auto" w:fill="DED8EC"/>
          </w:tcPr>
          <w:p>
            <w:pPr>
              <w:ind w:left="1380"/>
              <w:spacing w:after="0"/>
              <w:rPr>
                <w:sz w:val="20"/>
                <w:szCs w:val="20"/>
                <w:color w:val="auto"/>
              </w:rPr>
            </w:pPr>
            <w:r>
              <w:rPr>
                <w:rFonts w:ascii="Arial" w:cs="Arial" w:eastAsia="Arial" w:hAnsi="Arial"/>
                <w:sz w:val="14"/>
                <w:szCs w:val="14"/>
                <w:color w:val="010035"/>
              </w:rPr>
              <w:t>Hartnett</w:t>
            </w:r>
          </w:p>
        </w:tc>
        <w:tc>
          <w:tcPr>
            <w:tcW w:w="380" w:type="dxa"/>
            <w:vAlign w:val="bottom"/>
            <w:vMerge w:val="continue"/>
            <w:shd w:val="clear" w:color="auto" w:fill="DED8EC"/>
          </w:tcPr>
          <w:p>
            <w:pPr>
              <w:spacing w:after="0"/>
              <w:rPr>
                <w:sz w:val="9"/>
                <w:szCs w:val="9"/>
                <w:color w:val="auto"/>
              </w:rPr>
            </w:pPr>
          </w:p>
        </w:tc>
        <w:tc>
          <w:tcPr>
            <w:tcW w:w="140" w:type="dxa"/>
            <w:vAlign w:val="bottom"/>
            <w:shd w:val="clear" w:color="auto" w:fill="DED8EC"/>
          </w:tcPr>
          <w:p>
            <w:pPr>
              <w:spacing w:after="0"/>
              <w:rPr>
                <w:sz w:val="9"/>
                <w:szCs w:val="9"/>
                <w:color w:val="auto"/>
              </w:rPr>
            </w:pPr>
          </w:p>
        </w:tc>
        <w:tc>
          <w:tcPr>
            <w:tcW w:w="800" w:type="dxa"/>
            <w:vAlign w:val="bottom"/>
            <w:vMerge w:val="continue"/>
            <w:shd w:val="clear" w:color="auto" w:fill="DED8EC"/>
          </w:tcPr>
          <w:p>
            <w:pPr>
              <w:spacing w:after="0"/>
              <w:rPr>
                <w:sz w:val="9"/>
                <w:szCs w:val="9"/>
                <w:color w:val="auto"/>
              </w:rPr>
            </w:pPr>
          </w:p>
        </w:tc>
        <w:tc>
          <w:tcPr>
            <w:tcW w:w="1080" w:type="dxa"/>
            <w:vAlign w:val="bottom"/>
            <w:gridSpan w:val="2"/>
            <w:vMerge w:val="continue"/>
            <w:shd w:val="clear" w:color="auto" w:fill="DED8EC"/>
          </w:tcPr>
          <w:p>
            <w:pPr>
              <w:spacing w:after="0"/>
              <w:rPr>
                <w:sz w:val="9"/>
                <w:szCs w:val="9"/>
                <w:color w:val="auto"/>
              </w:rPr>
            </w:pPr>
          </w:p>
        </w:tc>
        <w:tc>
          <w:tcPr>
            <w:tcW w:w="520" w:type="dxa"/>
            <w:vAlign w:val="bottom"/>
            <w:shd w:val="clear" w:color="auto" w:fill="DED8EC"/>
          </w:tcPr>
          <w:p>
            <w:pPr>
              <w:spacing w:after="0"/>
              <w:rPr>
                <w:sz w:val="9"/>
                <w:szCs w:val="9"/>
                <w:color w:val="auto"/>
              </w:rPr>
            </w:pPr>
          </w:p>
        </w:tc>
        <w:tc>
          <w:tcPr>
            <w:tcW w:w="1140" w:type="dxa"/>
            <w:vAlign w:val="bottom"/>
            <w:shd w:val="clear" w:color="auto" w:fill="DED8EC"/>
          </w:tcPr>
          <w:p>
            <w:pPr>
              <w:spacing w:after="0"/>
              <w:rPr>
                <w:sz w:val="9"/>
                <w:szCs w:val="9"/>
                <w:color w:val="auto"/>
              </w:rPr>
            </w:pPr>
          </w:p>
        </w:tc>
        <w:tc>
          <w:tcPr>
            <w:tcW w:w="1060" w:type="dxa"/>
            <w:vAlign w:val="bottom"/>
            <w:vMerge w:val="continue"/>
            <w:shd w:val="clear" w:color="auto" w:fill="DED8EC"/>
          </w:tcPr>
          <w:p>
            <w:pPr>
              <w:spacing w:after="0"/>
              <w:rPr>
                <w:sz w:val="9"/>
                <w:szCs w:val="9"/>
                <w:color w:val="auto"/>
              </w:rPr>
            </w:pPr>
          </w:p>
        </w:tc>
        <w:tc>
          <w:tcPr>
            <w:tcW w:w="1140" w:type="dxa"/>
            <w:vAlign w:val="bottom"/>
            <w:shd w:val="clear" w:color="auto" w:fill="DED8EC"/>
          </w:tcPr>
          <w:p>
            <w:pPr>
              <w:spacing w:after="0"/>
              <w:rPr>
                <w:sz w:val="9"/>
                <w:szCs w:val="9"/>
                <w:color w:val="auto"/>
              </w:rPr>
            </w:pPr>
          </w:p>
        </w:tc>
        <w:tc>
          <w:tcPr>
            <w:tcW w:w="1340" w:type="dxa"/>
            <w:vAlign w:val="bottom"/>
            <w:vMerge w:val="continue"/>
            <w:shd w:val="clear" w:color="auto" w:fill="DED8E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00" w:type="dxa"/>
            <w:vAlign w:val="bottom"/>
            <w:vMerge w:val="continue"/>
            <w:shd w:val="clear" w:color="auto" w:fill="DED8EC"/>
          </w:tcPr>
          <w:p>
            <w:pPr>
              <w:spacing w:after="0"/>
              <w:rPr>
                <w:sz w:val="7"/>
                <w:szCs w:val="7"/>
                <w:color w:val="auto"/>
              </w:rPr>
            </w:pPr>
          </w:p>
        </w:tc>
        <w:tc>
          <w:tcPr>
            <w:tcW w:w="380" w:type="dxa"/>
            <w:vAlign w:val="bottom"/>
            <w:shd w:val="clear" w:color="auto" w:fill="DED8EC"/>
          </w:tcPr>
          <w:p>
            <w:pPr>
              <w:spacing w:after="0"/>
              <w:rPr>
                <w:sz w:val="7"/>
                <w:szCs w:val="7"/>
                <w:color w:val="auto"/>
              </w:rPr>
            </w:pPr>
          </w:p>
        </w:tc>
        <w:tc>
          <w:tcPr>
            <w:tcW w:w="140" w:type="dxa"/>
            <w:vAlign w:val="bottom"/>
            <w:shd w:val="clear" w:color="auto" w:fill="DED8EC"/>
          </w:tcPr>
          <w:p>
            <w:pPr>
              <w:spacing w:after="0"/>
              <w:rPr>
                <w:sz w:val="7"/>
                <w:szCs w:val="7"/>
                <w:color w:val="auto"/>
              </w:rPr>
            </w:pPr>
          </w:p>
        </w:tc>
        <w:tc>
          <w:tcPr>
            <w:tcW w:w="800" w:type="dxa"/>
            <w:vAlign w:val="bottom"/>
            <w:shd w:val="clear" w:color="auto" w:fill="DED8EC"/>
          </w:tcPr>
          <w:p>
            <w:pPr>
              <w:spacing w:after="0"/>
              <w:rPr>
                <w:sz w:val="7"/>
                <w:szCs w:val="7"/>
                <w:color w:val="auto"/>
              </w:rPr>
            </w:pPr>
          </w:p>
        </w:tc>
        <w:tc>
          <w:tcPr>
            <w:tcW w:w="580" w:type="dxa"/>
            <w:vAlign w:val="bottom"/>
            <w:shd w:val="clear" w:color="auto" w:fill="DED8EC"/>
          </w:tcPr>
          <w:p>
            <w:pPr>
              <w:spacing w:after="0"/>
              <w:rPr>
                <w:sz w:val="7"/>
                <w:szCs w:val="7"/>
                <w:color w:val="auto"/>
              </w:rPr>
            </w:pPr>
          </w:p>
        </w:tc>
        <w:tc>
          <w:tcPr>
            <w:tcW w:w="500" w:type="dxa"/>
            <w:vAlign w:val="bottom"/>
            <w:shd w:val="clear" w:color="auto" w:fill="DED8EC"/>
          </w:tcPr>
          <w:p>
            <w:pPr>
              <w:spacing w:after="0"/>
              <w:rPr>
                <w:sz w:val="7"/>
                <w:szCs w:val="7"/>
                <w:color w:val="auto"/>
              </w:rPr>
            </w:pPr>
          </w:p>
        </w:tc>
        <w:tc>
          <w:tcPr>
            <w:tcW w:w="520" w:type="dxa"/>
            <w:vAlign w:val="bottom"/>
            <w:shd w:val="clear" w:color="auto" w:fill="DED8EC"/>
          </w:tcPr>
          <w:p>
            <w:pPr>
              <w:spacing w:after="0"/>
              <w:rPr>
                <w:sz w:val="7"/>
                <w:szCs w:val="7"/>
                <w:color w:val="auto"/>
              </w:rPr>
            </w:pPr>
          </w:p>
        </w:tc>
        <w:tc>
          <w:tcPr>
            <w:tcW w:w="1140" w:type="dxa"/>
            <w:vAlign w:val="bottom"/>
            <w:shd w:val="clear" w:color="auto" w:fill="DED8EC"/>
          </w:tcPr>
          <w:p>
            <w:pPr>
              <w:spacing w:after="0"/>
              <w:rPr>
                <w:sz w:val="7"/>
                <w:szCs w:val="7"/>
                <w:color w:val="auto"/>
              </w:rPr>
            </w:pPr>
          </w:p>
        </w:tc>
        <w:tc>
          <w:tcPr>
            <w:tcW w:w="1060" w:type="dxa"/>
            <w:vAlign w:val="bottom"/>
            <w:shd w:val="clear" w:color="auto" w:fill="DED8EC"/>
          </w:tcPr>
          <w:p>
            <w:pPr>
              <w:spacing w:after="0"/>
              <w:rPr>
                <w:sz w:val="7"/>
                <w:szCs w:val="7"/>
                <w:color w:val="auto"/>
              </w:rPr>
            </w:pPr>
          </w:p>
        </w:tc>
        <w:tc>
          <w:tcPr>
            <w:tcW w:w="1140" w:type="dxa"/>
            <w:vAlign w:val="bottom"/>
            <w:shd w:val="clear" w:color="auto" w:fill="DED8EC"/>
          </w:tcPr>
          <w:p>
            <w:pPr>
              <w:spacing w:after="0"/>
              <w:rPr>
                <w:sz w:val="7"/>
                <w:szCs w:val="7"/>
                <w:color w:val="auto"/>
              </w:rPr>
            </w:pPr>
          </w:p>
        </w:tc>
        <w:tc>
          <w:tcPr>
            <w:tcW w:w="1340" w:type="dxa"/>
            <w:vAlign w:val="bottom"/>
            <w:shd w:val="clear" w:color="auto" w:fill="DED8EC"/>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200" w:type="dxa"/>
            <w:vAlign w:val="bottom"/>
            <w:shd w:val="clear" w:color="auto" w:fill="DED8EC"/>
          </w:tcPr>
          <w:p>
            <w:pPr>
              <w:spacing w:after="0"/>
              <w:rPr>
                <w:sz w:val="21"/>
                <w:szCs w:val="21"/>
                <w:color w:val="auto"/>
              </w:rPr>
            </w:pPr>
          </w:p>
        </w:tc>
        <w:tc>
          <w:tcPr>
            <w:tcW w:w="380" w:type="dxa"/>
            <w:vAlign w:val="bottom"/>
            <w:shd w:val="clear" w:color="auto" w:fill="DED8EC"/>
          </w:tcPr>
          <w:p>
            <w:pPr>
              <w:spacing w:after="0"/>
              <w:rPr>
                <w:sz w:val="21"/>
                <w:szCs w:val="21"/>
                <w:color w:val="auto"/>
              </w:rPr>
            </w:pPr>
          </w:p>
        </w:tc>
        <w:tc>
          <w:tcPr>
            <w:tcW w:w="140" w:type="dxa"/>
            <w:vAlign w:val="bottom"/>
            <w:shd w:val="clear" w:color="auto" w:fill="DED8EC"/>
          </w:tcPr>
          <w:p>
            <w:pPr>
              <w:spacing w:after="0"/>
              <w:rPr>
                <w:sz w:val="21"/>
                <w:szCs w:val="21"/>
                <w:color w:val="auto"/>
              </w:rPr>
            </w:pPr>
          </w:p>
        </w:tc>
        <w:tc>
          <w:tcPr>
            <w:tcW w:w="800" w:type="dxa"/>
            <w:vAlign w:val="bottom"/>
            <w:shd w:val="clear" w:color="auto" w:fill="DED8EC"/>
          </w:tcPr>
          <w:p>
            <w:pPr>
              <w:spacing w:after="0"/>
              <w:rPr>
                <w:sz w:val="21"/>
                <w:szCs w:val="21"/>
                <w:color w:val="auto"/>
              </w:rPr>
            </w:pPr>
          </w:p>
        </w:tc>
        <w:tc>
          <w:tcPr>
            <w:tcW w:w="580" w:type="dxa"/>
            <w:vAlign w:val="bottom"/>
            <w:shd w:val="clear" w:color="auto" w:fill="DED8EC"/>
          </w:tcPr>
          <w:p>
            <w:pPr>
              <w:spacing w:after="0"/>
              <w:rPr>
                <w:sz w:val="21"/>
                <w:szCs w:val="21"/>
                <w:color w:val="auto"/>
              </w:rPr>
            </w:pPr>
          </w:p>
        </w:tc>
        <w:tc>
          <w:tcPr>
            <w:tcW w:w="500" w:type="dxa"/>
            <w:vAlign w:val="bottom"/>
            <w:shd w:val="clear" w:color="auto" w:fill="DED8EC"/>
          </w:tcPr>
          <w:p>
            <w:pPr>
              <w:spacing w:after="0"/>
              <w:rPr>
                <w:sz w:val="21"/>
                <w:szCs w:val="21"/>
                <w:color w:val="auto"/>
              </w:rPr>
            </w:pPr>
          </w:p>
        </w:tc>
        <w:tc>
          <w:tcPr>
            <w:tcW w:w="520" w:type="dxa"/>
            <w:vAlign w:val="bottom"/>
            <w:shd w:val="clear" w:color="auto" w:fill="DED8EC"/>
          </w:tcPr>
          <w:p>
            <w:pPr>
              <w:spacing w:after="0"/>
              <w:rPr>
                <w:sz w:val="21"/>
                <w:szCs w:val="21"/>
                <w:color w:val="auto"/>
              </w:rPr>
            </w:pPr>
          </w:p>
        </w:tc>
        <w:tc>
          <w:tcPr>
            <w:tcW w:w="1140" w:type="dxa"/>
            <w:vAlign w:val="bottom"/>
            <w:shd w:val="clear" w:color="auto" w:fill="DED8EC"/>
          </w:tcPr>
          <w:p>
            <w:pPr>
              <w:spacing w:after="0"/>
              <w:rPr>
                <w:sz w:val="21"/>
                <w:szCs w:val="21"/>
                <w:color w:val="auto"/>
              </w:rPr>
            </w:pPr>
          </w:p>
        </w:tc>
        <w:tc>
          <w:tcPr>
            <w:tcW w:w="1060" w:type="dxa"/>
            <w:vAlign w:val="bottom"/>
            <w:shd w:val="clear" w:color="auto" w:fill="DED8EC"/>
          </w:tcPr>
          <w:p>
            <w:pPr>
              <w:spacing w:after="0"/>
              <w:rPr>
                <w:sz w:val="21"/>
                <w:szCs w:val="21"/>
                <w:color w:val="auto"/>
              </w:rPr>
            </w:pPr>
          </w:p>
        </w:tc>
        <w:tc>
          <w:tcPr>
            <w:tcW w:w="1140" w:type="dxa"/>
            <w:vAlign w:val="bottom"/>
            <w:shd w:val="clear" w:color="auto" w:fill="DED8EC"/>
          </w:tcPr>
          <w:p>
            <w:pPr>
              <w:spacing w:after="0"/>
              <w:rPr>
                <w:sz w:val="21"/>
                <w:szCs w:val="21"/>
                <w:color w:val="auto"/>
              </w:rPr>
            </w:pPr>
          </w:p>
        </w:tc>
        <w:tc>
          <w:tcPr>
            <w:tcW w:w="1340" w:type="dxa"/>
            <w:vAlign w:val="bottom"/>
            <w:shd w:val="clear" w:color="auto" w:fill="DED8EC"/>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2200" w:type="dxa"/>
            <w:vAlign w:val="bottom"/>
          </w:tcPr>
          <w:p>
            <w:pPr>
              <w:ind w:left="1380"/>
              <w:spacing w:after="0"/>
              <w:rPr>
                <w:sz w:val="20"/>
                <w:szCs w:val="20"/>
                <w:color w:val="auto"/>
              </w:rPr>
            </w:pPr>
            <w:r>
              <w:rPr>
                <w:rFonts w:ascii="Arial" w:cs="Arial" w:eastAsia="Arial" w:hAnsi="Arial"/>
                <w:sz w:val="14"/>
                <w:szCs w:val="14"/>
                <w:color w:val="010035"/>
              </w:rPr>
              <w:t>Marla</w:t>
            </w:r>
          </w:p>
        </w:tc>
        <w:tc>
          <w:tcPr>
            <w:tcW w:w="380" w:type="dxa"/>
            <w:vAlign w:val="bottom"/>
            <w:vMerge w:val="restart"/>
          </w:tcPr>
          <w:p>
            <w:pPr>
              <w:jc w:val="center"/>
              <w:ind w:left="109"/>
              <w:spacing w:after="0"/>
              <w:rPr>
                <w:sz w:val="20"/>
                <w:szCs w:val="20"/>
                <w:color w:val="auto"/>
              </w:rPr>
            </w:pPr>
            <w:r>
              <w:rPr>
                <w:rFonts w:ascii="Arial" w:cs="Arial" w:eastAsia="Arial" w:hAnsi="Arial"/>
                <w:sz w:val="14"/>
                <w:szCs w:val="14"/>
                <w:color w:val="010035"/>
              </w:rPr>
              <w:t>60</w:t>
            </w:r>
          </w:p>
        </w:tc>
        <w:tc>
          <w:tcPr>
            <w:tcW w:w="14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010035"/>
              </w:rPr>
              <w:t>2020</w:t>
            </w:r>
          </w:p>
        </w:tc>
        <w:tc>
          <w:tcPr>
            <w:tcW w:w="1080" w:type="dxa"/>
            <w:vAlign w:val="bottom"/>
            <w:gridSpan w:val="2"/>
            <w:vMerge w:val="restart"/>
          </w:tcPr>
          <w:p>
            <w:pPr>
              <w:ind w:left="500"/>
              <w:spacing w:after="0"/>
              <w:rPr>
                <w:sz w:val="20"/>
                <w:szCs w:val="20"/>
                <w:color w:val="auto"/>
              </w:rPr>
            </w:pPr>
            <w:r>
              <w:rPr>
                <w:rFonts w:ascii="Arial" w:cs="Arial" w:eastAsia="Arial" w:hAnsi="Arial"/>
                <w:sz w:val="14"/>
                <w:szCs w:val="14"/>
                <w:color w:val="010035"/>
              </w:rPr>
              <w:t>Y</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010035"/>
              </w:rPr>
              <w:t>​</w:t>
            </w:r>
          </w:p>
        </w:tc>
        <w:tc>
          <w:tcPr>
            <w:tcW w:w="114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010035"/>
              </w:rPr>
              <w:t>0</w:t>
            </w:r>
          </w:p>
        </w:tc>
        <w:tc>
          <w:tcPr>
            <w:tcW w:w="0" w:type="dxa"/>
            <w:vAlign w:val="bottom"/>
          </w:tcPr>
          <w:p>
            <w:pPr>
              <w:spacing w:after="0"/>
              <w:rPr>
                <w:sz w:val="1"/>
                <w:szCs w:val="1"/>
                <w:color w:val="auto"/>
              </w:rPr>
            </w:pPr>
          </w:p>
        </w:tc>
      </w:tr>
      <w:tr>
        <w:trPr>
          <w:trHeight w:val="123"/>
        </w:trPr>
        <w:tc>
          <w:tcPr>
            <w:tcW w:w="2200" w:type="dxa"/>
            <w:vAlign w:val="bottom"/>
            <w:vMerge w:val="restart"/>
          </w:tcPr>
          <w:p>
            <w:pPr>
              <w:ind w:left="1380"/>
              <w:spacing w:after="0"/>
              <w:rPr>
                <w:sz w:val="20"/>
                <w:szCs w:val="20"/>
                <w:color w:val="auto"/>
              </w:rPr>
            </w:pPr>
            <w:r>
              <w:rPr>
                <w:rFonts w:ascii="Arial" w:cs="Arial" w:eastAsia="Arial" w:hAnsi="Arial"/>
                <w:sz w:val="14"/>
                <w:szCs w:val="14"/>
                <w:color w:val="010035"/>
              </w:rPr>
              <w:t>Kaplowitz</w:t>
            </w:r>
          </w:p>
        </w:tc>
        <w:tc>
          <w:tcPr>
            <w:tcW w:w="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2200" w:type="dxa"/>
            <w:vAlign w:val="bottom"/>
            <w:shd w:val="clear" w:color="auto" w:fill="DED8EC"/>
          </w:tcPr>
          <w:p>
            <w:pPr>
              <w:ind w:left="1380"/>
              <w:spacing w:after="0"/>
              <w:rPr>
                <w:sz w:val="20"/>
                <w:szCs w:val="20"/>
                <w:color w:val="auto"/>
              </w:rPr>
            </w:pPr>
            <w:r>
              <w:rPr>
                <w:rFonts w:ascii="Arial" w:cs="Arial" w:eastAsia="Arial" w:hAnsi="Arial"/>
                <w:sz w:val="14"/>
                <w:szCs w:val="14"/>
                <w:color w:val="010035"/>
              </w:rPr>
              <w:t> Carlos</w:t>
            </w:r>
          </w:p>
        </w:tc>
        <w:tc>
          <w:tcPr>
            <w:tcW w:w="380" w:type="dxa"/>
            <w:vAlign w:val="bottom"/>
            <w:vMerge w:val="restart"/>
            <w:shd w:val="clear" w:color="auto" w:fill="DED8EC"/>
          </w:tcPr>
          <w:p>
            <w:pPr>
              <w:jc w:val="center"/>
              <w:ind w:left="109"/>
              <w:spacing w:after="0"/>
              <w:rPr>
                <w:sz w:val="20"/>
                <w:szCs w:val="20"/>
                <w:color w:val="auto"/>
              </w:rPr>
            </w:pPr>
            <w:r>
              <w:rPr>
                <w:rFonts w:ascii="Arial" w:cs="Arial" w:eastAsia="Arial" w:hAnsi="Arial"/>
                <w:sz w:val="14"/>
                <w:szCs w:val="14"/>
                <w:color w:val="010035"/>
              </w:rPr>
              <w:t>55</w:t>
            </w:r>
          </w:p>
        </w:tc>
        <w:tc>
          <w:tcPr>
            <w:tcW w:w="140" w:type="dxa"/>
            <w:vAlign w:val="bottom"/>
            <w:shd w:val="clear" w:color="auto" w:fill="DED8EC"/>
          </w:tcPr>
          <w:p>
            <w:pPr>
              <w:spacing w:after="0"/>
              <w:rPr>
                <w:sz w:val="24"/>
                <w:szCs w:val="24"/>
                <w:color w:val="auto"/>
              </w:rPr>
            </w:pPr>
          </w:p>
        </w:tc>
        <w:tc>
          <w:tcPr>
            <w:tcW w:w="80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2025</w:t>
            </w:r>
          </w:p>
        </w:tc>
        <w:tc>
          <w:tcPr>
            <w:tcW w:w="1080" w:type="dxa"/>
            <w:vAlign w:val="bottom"/>
            <w:gridSpan w:val="2"/>
            <w:vMerge w:val="restart"/>
            <w:shd w:val="clear" w:color="auto" w:fill="DED8EC"/>
          </w:tcPr>
          <w:p>
            <w:pPr>
              <w:ind w:left="500"/>
              <w:spacing w:after="0"/>
              <w:rPr>
                <w:sz w:val="20"/>
                <w:szCs w:val="20"/>
                <w:color w:val="auto"/>
              </w:rPr>
            </w:pPr>
            <w:r>
              <w:rPr>
                <w:rFonts w:ascii="Arial" w:cs="Arial" w:eastAsia="Arial" w:hAnsi="Arial"/>
                <w:sz w:val="14"/>
                <w:szCs w:val="14"/>
                <w:color w:val="010035"/>
              </w:rPr>
              <w:t>Y</w:t>
            </w:r>
          </w:p>
        </w:tc>
        <w:tc>
          <w:tcPr>
            <w:tcW w:w="520" w:type="dxa"/>
            <w:vAlign w:val="bottom"/>
            <w:shd w:val="clear" w:color="auto" w:fill="DED8EC"/>
          </w:tcPr>
          <w:p>
            <w:pPr>
              <w:spacing w:after="0"/>
              <w:rPr>
                <w:sz w:val="24"/>
                <w:szCs w:val="24"/>
                <w:color w:val="auto"/>
              </w:rPr>
            </w:pPr>
          </w:p>
        </w:tc>
        <w:tc>
          <w:tcPr>
            <w:tcW w:w="1140" w:type="dxa"/>
            <w:vAlign w:val="bottom"/>
            <w:shd w:val="clear" w:color="auto" w:fill="DED8EC"/>
          </w:tcPr>
          <w:p>
            <w:pPr>
              <w:spacing w:after="0"/>
              <w:rPr>
                <w:sz w:val="24"/>
                <w:szCs w:val="24"/>
                <w:color w:val="auto"/>
              </w:rPr>
            </w:pPr>
          </w:p>
        </w:tc>
        <w:tc>
          <w:tcPr>
            <w:tcW w:w="1060" w:type="dxa"/>
            <w:vAlign w:val="bottom"/>
            <w:vMerge w:val="restart"/>
            <w:shd w:val="clear" w:color="auto" w:fill="DED8EC"/>
          </w:tcPr>
          <w:p>
            <w:pPr>
              <w:ind w:left="540"/>
              <w:spacing w:after="0"/>
              <w:rPr>
                <w:sz w:val="20"/>
                <w:szCs w:val="20"/>
                <w:color w:val="auto"/>
              </w:rPr>
            </w:pPr>
            <w:r>
              <w:rPr>
                <w:rFonts w:ascii="Arial" w:cs="Arial" w:eastAsia="Arial" w:hAnsi="Arial"/>
                <w:sz w:val="14"/>
                <w:szCs w:val="14"/>
                <w:color w:val="010035"/>
              </w:rPr>
              <w:t>​</w:t>
            </w:r>
          </w:p>
        </w:tc>
        <w:tc>
          <w:tcPr>
            <w:tcW w:w="1140" w:type="dxa"/>
            <w:vAlign w:val="bottom"/>
            <w:shd w:val="clear" w:color="auto" w:fill="DED8EC"/>
          </w:tcPr>
          <w:p>
            <w:pPr>
              <w:ind w:left="680"/>
              <w:spacing w:after="0"/>
              <w:rPr>
                <w:sz w:val="20"/>
                <w:szCs w:val="20"/>
                <w:color w:val="auto"/>
              </w:rPr>
            </w:pPr>
            <w:r>
              <w:rPr>
                <w:rFonts w:ascii="Arial" w:cs="Arial" w:eastAsia="Arial" w:hAnsi="Arial"/>
                <w:sz w:val="14"/>
                <w:szCs w:val="14"/>
                <w:color w:val="010035"/>
              </w:rPr>
              <w:t>​</w:t>
            </w:r>
          </w:p>
        </w:tc>
        <w:tc>
          <w:tcPr>
            <w:tcW w:w="134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1</w:t>
            </w:r>
          </w:p>
        </w:tc>
        <w:tc>
          <w:tcPr>
            <w:tcW w:w="0" w:type="dxa"/>
            <w:vAlign w:val="bottom"/>
          </w:tcPr>
          <w:p>
            <w:pPr>
              <w:spacing w:after="0"/>
              <w:rPr>
                <w:sz w:val="1"/>
                <w:szCs w:val="1"/>
                <w:color w:val="auto"/>
              </w:rPr>
            </w:pPr>
          </w:p>
        </w:tc>
      </w:tr>
      <w:tr>
        <w:trPr>
          <w:trHeight w:val="109"/>
        </w:trPr>
        <w:tc>
          <w:tcPr>
            <w:tcW w:w="2200" w:type="dxa"/>
            <w:vAlign w:val="bottom"/>
            <w:vMerge w:val="restart"/>
            <w:shd w:val="clear" w:color="auto" w:fill="DED8EC"/>
          </w:tcPr>
          <w:p>
            <w:pPr>
              <w:ind w:left="1380"/>
              <w:spacing w:after="0"/>
              <w:rPr>
                <w:sz w:val="20"/>
                <w:szCs w:val="20"/>
                <w:color w:val="auto"/>
              </w:rPr>
            </w:pPr>
            <w:r>
              <w:rPr>
                <w:rFonts w:ascii="Arial" w:cs="Arial" w:eastAsia="Arial" w:hAnsi="Arial"/>
                <w:sz w:val="10"/>
                <w:szCs w:val="10"/>
                <w:color w:val="010035"/>
                <w:w w:val="74"/>
              </w:rPr>
              <w:t> Ruisanchez     </w:t>
            </w:r>
          </w:p>
        </w:tc>
        <w:tc>
          <w:tcPr>
            <w:tcW w:w="380" w:type="dxa"/>
            <w:vAlign w:val="bottom"/>
            <w:vMerge w:val="continue"/>
            <w:shd w:val="clear" w:color="auto" w:fill="DED8EC"/>
          </w:tcPr>
          <w:p>
            <w:pPr>
              <w:spacing w:after="0"/>
              <w:rPr>
                <w:sz w:val="9"/>
                <w:szCs w:val="9"/>
                <w:color w:val="auto"/>
              </w:rPr>
            </w:pPr>
          </w:p>
        </w:tc>
        <w:tc>
          <w:tcPr>
            <w:tcW w:w="140" w:type="dxa"/>
            <w:vAlign w:val="bottom"/>
            <w:shd w:val="clear" w:color="auto" w:fill="DED8EC"/>
          </w:tcPr>
          <w:p>
            <w:pPr>
              <w:spacing w:after="0"/>
              <w:rPr>
                <w:sz w:val="9"/>
                <w:szCs w:val="9"/>
                <w:color w:val="auto"/>
              </w:rPr>
            </w:pPr>
          </w:p>
        </w:tc>
        <w:tc>
          <w:tcPr>
            <w:tcW w:w="800" w:type="dxa"/>
            <w:vAlign w:val="bottom"/>
            <w:vMerge w:val="continue"/>
            <w:shd w:val="clear" w:color="auto" w:fill="DED8EC"/>
          </w:tcPr>
          <w:p>
            <w:pPr>
              <w:spacing w:after="0"/>
              <w:rPr>
                <w:sz w:val="9"/>
                <w:szCs w:val="9"/>
                <w:color w:val="auto"/>
              </w:rPr>
            </w:pPr>
          </w:p>
        </w:tc>
        <w:tc>
          <w:tcPr>
            <w:tcW w:w="1080" w:type="dxa"/>
            <w:vAlign w:val="bottom"/>
            <w:gridSpan w:val="2"/>
            <w:vMerge w:val="continue"/>
            <w:shd w:val="clear" w:color="auto" w:fill="DED8EC"/>
          </w:tcPr>
          <w:p>
            <w:pPr>
              <w:spacing w:after="0"/>
              <w:rPr>
                <w:sz w:val="9"/>
                <w:szCs w:val="9"/>
                <w:color w:val="auto"/>
              </w:rPr>
            </w:pPr>
          </w:p>
        </w:tc>
        <w:tc>
          <w:tcPr>
            <w:tcW w:w="520" w:type="dxa"/>
            <w:vAlign w:val="bottom"/>
            <w:shd w:val="clear" w:color="auto" w:fill="DED8EC"/>
          </w:tcPr>
          <w:p>
            <w:pPr>
              <w:spacing w:after="0"/>
              <w:rPr>
                <w:sz w:val="9"/>
                <w:szCs w:val="9"/>
                <w:color w:val="auto"/>
              </w:rPr>
            </w:pPr>
          </w:p>
        </w:tc>
        <w:tc>
          <w:tcPr>
            <w:tcW w:w="1140" w:type="dxa"/>
            <w:vAlign w:val="bottom"/>
            <w:shd w:val="clear" w:color="auto" w:fill="DED8EC"/>
          </w:tcPr>
          <w:p>
            <w:pPr>
              <w:spacing w:after="0"/>
              <w:rPr>
                <w:sz w:val="9"/>
                <w:szCs w:val="9"/>
                <w:color w:val="auto"/>
              </w:rPr>
            </w:pPr>
          </w:p>
        </w:tc>
        <w:tc>
          <w:tcPr>
            <w:tcW w:w="1060" w:type="dxa"/>
            <w:vAlign w:val="bottom"/>
            <w:vMerge w:val="continue"/>
            <w:shd w:val="clear" w:color="auto" w:fill="DED8EC"/>
          </w:tcPr>
          <w:p>
            <w:pPr>
              <w:spacing w:after="0"/>
              <w:rPr>
                <w:sz w:val="9"/>
                <w:szCs w:val="9"/>
                <w:color w:val="auto"/>
              </w:rPr>
            </w:pPr>
          </w:p>
        </w:tc>
        <w:tc>
          <w:tcPr>
            <w:tcW w:w="1140" w:type="dxa"/>
            <w:vAlign w:val="bottom"/>
            <w:shd w:val="clear" w:color="auto" w:fill="DED8EC"/>
          </w:tcPr>
          <w:p>
            <w:pPr>
              <w:spacing w:after="0"/>
              <w:rPr>
                <w:sz w:val="9"/>
                <w:szCs w:val="9"/>
                <w:color w:val="auto"/>
              </w:rPr>
            </w:pPr>
          </w:p>
        </w:tc>
        <w:tc>
          <w:tcPr>
            <w:tcW w:w="1340" w:type="dxa"/>
            <w:vAlign w:val="bottom"/>
            <w:vMerge w:val="continue"/>
            <w:shd w:val="clear" w:color="auto" w:fill="DED8E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00" w:type="dxa"/>
            <w:vAlign w:val="bottom"/>
            <w:vMerge w:val="continue"/>
            <w:shd w:val="clear" w:color="auto" w:fill="DED8EC"/>
          </w:tcPr>
          <w:p>
            <w:pPr>
              <w:spacing w:after="0"/>
              <w:rPr>
                <w:sz w:val="7"/>
                <w:szCs w:val="7"/>
                <w:color w:val="auto"/>
              </w:rPr>
            </w:pPr>
          </w:p>
        </w:tc>
        <w:tc>
          <w:tcPr>
            <w:tcW w:w="380" w:type="dxa"/>
            <w:vAlign w:val="bottom"/>
            <w:shd w:val="clear" w:color="auto" w:fill="DED8EC"/>
          </w:tcPr>
          <w:p>
            <w:pPr>
              <w:spacing w:after="0"/>
              <w:rPr>
                <w:sz w:val="7"/>
                <w:szCs w:val="7"/>
                <w:color w:val="auto"/>
              </w:rPr>
            </w:pPr>
          </w:p>
        </w:tc>
        <w:tc>
          <w:tcPr>
            <w:tcW w:w="140" w:type="dxa"/>
            <w:vAlign w:val="bottom"/>
            <w:shd w:val="clear" w:color="auto" w:fill="DED8EC"/>
          </w:tcPr>
          <w:p>
            <w:pPr>
              <w:spacing w:after="0"/>
              <w:rPr>
                <w:sz w:val="7"/>
                <w:szCs w:val="7"/>
                <w:color w:val="auto"/>
              </w:rPr>
            </w:pPr>
          </w:p>
        </w:tc>
        <w:tc>
          <w:tcPr>
            <w:tcW w:w="800" w:type="dxa"/>
            <w:vAlign w:val="bottom"/>
            <w:shd w:val="clear" w:color="auto" w:fill="DED8EC"/>
          </w:tcPr>
          <w:p>
            <w:pPr>
              <w:spacing w:after="0"/>
              <w:rPr>
                <w:sz w:val="7"/>
                <w:szCs w:val="7"/>
                <w:color w:val="auto"/>
              </w:rPr>
            </w:pPr>
          </w:p>
        </w:tc>
        <w:tc>
          <w:tcPr>
            <w:tcW w:w="580" w:type="dxa"/>
            <w:vAlign w:val="bottom"/>
            <w:shd w:val="clear" w:color="auto" w:fill="DED8EC"/>
          </w:tcPr>
          <w:p>
            <w:pPr>
              <w:spacing w:after="0"/>
              <w:rPr>
                <w:sz w:val="7"/>
                <w:szCs w:val="7"/>
                <w:color w:val="auto"/>
              </w:rPr>
            </w:pPr>
          </w:p>
        </w:tc>
        <w:tc>
          <w:tcPr>
            <w:tcW w:w="500" w:type="dxa"/>
            <w:vAlign w:val="bottom"/>
            <w:shd w:val="clear" w:color="auto" w:fill="DED8EC"/>
          </w:tcPr>
          <w:p>
            <w:pPr>
              <w:spacing w:after="0"/>
              <w:rPr>
                <w:sz w:val="7"/>
                <w:szCs w:val="7"/>
                <w:color w:val="auto"/>
              </w:rPr>
            </w:pPr>
          </w:p>
        </w:tc>
        <w:tc>
          <w:tcPr>
            <w:tcW w:w="520" w:type="dxa"/>
            <w:vAlign w:val="bottom"/>
            <w:shd w:val="clear" w:color="auto" w:fill="DED8EC"/>
          </w:tcPr>
          <w:p>
            <w:pPr>
              <w:spacing w:after="0"/>
              <w:rPr>
                <w:sz w:val="7"/>
                <w:szCs w:val="7"/>
                <w:color w:val="auto"/>
              </w:rPr>
            </w:pPr>
          </w:p>
        </w:tc>
        <w:tc>
          <w:tcPr>
            <w:tcW w:w="1140" w:type="dxa"/>
            <w:vAlign w:val="bottom"/>
            <w:shd w:val="clear" w:color="auto" w:fill="DED8EC"/>
          </w:tcPr>
          <w:p>
            <w:pPr>
              <w:spacing w:after="0"/>
              <w:rPr>
                <w:sz w:val="7"/>
                <w:szCs w:val="7"/>
                <w:color w:val="auto"/>
              </w:rPr>
            </w:pPr>
          </w:p>
        </w:tc>
        <w:tc>
          <w:tcPr>
            <w:tcW w:w="1060" w:type="dxa"/>
            <w:vAlign w:val="bottom"/>
            <w:shd w:val="clear" w:color="auto" w:fill="DED8EC"/>
          </w:tcPr>
          <w:p>
            <w:pPr>
              <w:spacing w:after="0"/>
              <w:rPr>
                <w:sz w:val="7"/>
                <w:szCs w:val="7"/>
                <w:color w:val="auto"/>
              </w:rPr>
            </w:pPr>
          </w:p>
        </w:tc>
        <w:tc>
          <w:tcPr>
            <w:tcW w:w="1140" w:type="dxa"/>
            <w:vAlign w:val="bottom"/>
            <w:shd w:val="clear" w:color="auto" w:fill="DED8EC"/>
          </w:tcPr>
          <w:p>
            <w:pPr>
              <w:spacing w:after="0"/>
              <w:rPr>
                <w:sz w:val="7"/>
                <w:szCs w:val="7"/>
                <w:color w:val="auto"/>
              </w:rPr>
            </w:pPr>
          </w:p>
        </w:tc>
        <w:tc>
          <w:tcPr>
            <w:tcW w:w="1340" w:type="dxa"/>
            <w:vAlign w:val="bottom"/>
            <w:shd w:val="clear" w:color="auto" w:fill="DED8EC"/>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200" w:type="dxa"/>
            <w:vAlign w:val="bottom"/>
            <w:shd w:val="clear" w:color="auto" w:fill="DED8EC"/>
          </w:tcPr>
          <w:p>
            <w:pPr>
              <w:spacing w:after="0"/>
              <w:rPr>
                <w:sz w:val="21"/>
                <w:szCs w:val="21"/>
                <w:color w:val="auto"/>
              </w:rPr>
            </w:pPr>
          </w:p>
        </w:tc>
        <w:tc>
          <w:tcPr>
            <w:tcW w:w="380" w:type="dxa"/>
            <w:vAlign w:val="bottom"/>
            <w:shd w:val="clear" w:color="auto" w:fill="DED8EC"/>
          </w:tcPr>
          <w:p>
            <w:pPr>
              <w:spacing w:after="0"/>
              <w:rPr>
                <w:sz w:val="21"/>
                <w:szCs w:val="21"/>
                <w:color w:val="auto"/>
              </w:rPr>
            </w:pPr>
          </w:p>
        </w:tc>
        <w:tc>
          <w:tcPr>
            <w:tcW w:w="140" w:type="dxa"/>
            <w:vAlign w:val="bottom"/>
            <w:shd w:val="clear" w:color="auto" w:fill="DED8EC"/>
          </w:tcPr>
          <w:p>
            <w:pPr>
              <w:spacing w:after="0"/>
              <w:rPr>
                <w:sz w:val="21"/>
                <w:szCs w:val="21"/>
                <w:color w:val="auto"/>
              </w:rPr>
            </w:pPr>
          </w:p>
        </w:tc>
        <w:tc>
          <w:tcPr>
            <w:tcW w:w="800" w:type="dxa"/>
            <w:vAlign w:val="bottom"/>
            <w:shd w:val="clear" w:color="auto" w:fill="DED8EC"/>
          </w:tcPr>
          <w:p>
            <w:pPr>
              <w:spacing w:after="0"/>
              <w:rPr>
                <w:sz w:val="21"/>
                <w:szCs w:val="21"/>
                <w:color w:val="auto"/>
              </w:rPr>
            </w:pPr>
          </w:p>
        </w:tc>
        <w:tc>
          <w:tcPr>
            <w:tcW w:w="1080" w:type="dxa"/>
            <w:vAlign w:val="bottom"/>
            <w:gridSpan w:val="2"/>
            <w:shd w:val="clear" w:color="auto" w:fill="DED8EC"/>
          </w:tcPr>
          <w:p>
            <w:pPr>
              <w:spacing w:after="0"/>
              <w:rPr>
                <w:sz w:val="21"/>
                <w:szCs w:val="21"/>
                <w:color w:val="auto"/>
              </w:rPr>
            </w:pPr>
          </w:p>
        </w:tc>
        <w:tc>
          <w:tcPr>
            <w:tcW w:w="520" w:type="dxa"/>
            <w:vAlign w:val="bottom"/>
            <w:shd w:val="clear" w:color="auto" w:fill="DED8EC"/>
          </w:tcPr>
          <w:p>
            <w:pPr>
              <w:spacing w:after="0"/>
              <w:rPr>
                <w:sz w:val="21"/>
                <w:szCs w:val="21"/>
                <w:color w:val="auto"/>
              </w:rPr>
            </w:pPr>
          </w:p>
        </w:tc>
        <w:tc>
          <w:tcPr>
            <w:tcW w:w="1140" w:type="dxa"/>
            <w:vAlign w:val="bottom"/>
            <w:shd w:val="clear" w:color="auto" w:fill="DED8EC"/>
          </w:tcPr>
          <w:p>
            <w:pPr>
              <w:spacing w:after="0"/>
              <w:rPr>
                <w:sz w:val="21"/>
                <w:szCs w:val="21"/>
                <w:color w:val="auto"/>
              </w:rPr>
            </w:pPr>
          </w:p>
        </w:tc>
        <w:tc>
          <w:tcPr>
            <w:tcW w:w="1060" w:type="dxa"/>
            <w:vAlign w:val="bottom"/>
            <w:shd w:val="clear" w:color="auto" w:fill="DED8EC"/>
          </w:tcPr>
          <w:p>
            <w:pPr>
              <w:spacing w:after="0"/>
              <w:rPr>
                <w:sz w:val="21"/>
                <w:szCs w:val="21"/>
                <w:color w:val="auto"/>
              </w:rPr>
            </w:pPr>
          </w:p>
        </w:tc>
        <w:tc>
          <w:tcPr>
            <w:tcW w:w="1140" w:type="dxa"/>
            <w:vAlign w:val="bottom"/>
            <w:shd w:val="clear" w:color="auto" w:fill="DED8EC"/>
          </w:tcPr>
          <w:p>
            <w:pPr>
              <w:spacing w:after="0"/>
              <w:rPr>
                <w:sz w:val="21"/>
                <w:szCs w:val="21"/>
                <w:color w:val="auto"/>
              </w:rPr>
            </w:pPr>
          </w:p>
        </w:tc>
        <w:tc>
          <w:tcPr>
            <w:tcW w:w="1340" w:type="dxa"/>
            <w:vAlign w:val="bottom"/>
            <w:shd w:val="clear" w:color="auto" w:fill="DED8EC"/>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200" w:type="dxa"/>
            <w:vAlign w:val="bottom"/>
          </w:tcPr>
          <w:p>
            <w:pPr>
              <w:ind w:left="1380"/>
              <w:spacing w:after="0"/>
              <w:rPr>
                <w:sz w:val="20"/>
                <w:szCs w:val="20"/>
                <w:color w:val="auto"/>
              </w:rPr>
            </w:pPr>
            <w:r>
              <w:rPr>
                <w:rFonts w:ascii="Arial" w:cs="Arial" w:eastAsia="Arial" w:hAnsi="Arial"/>
                <w:sz w:val="14"/>
                <w:szCs w:val="14"/>
                <w:color w:val="010035"/>
              </w:rPr>
              <w:t xml:space="preserve">  Jane          </w:t>
            </w:r>
          </w:p>
        </w:tc>
        <w:tc>
          <w:tcPr>
            <w:tcW w:w="380" w:type="dxa"/>
            <w:vAlign w:val="bottom"/>
          </w:tcPr>
          <w:p>
            <w:pPr>
              <w:jc w:val="center"/>
              <w:ind w:left="109"/>
              <w:spacing w:after="0"/>
              <w:rPr>
                <w:sz w:val="20"/>
                <w:szCs w:val="20"/>
                <w:color w:val="auto"/>
              </w:rPr>
            </w:pPr>
            <w:r>
              <w:rPr>
                <w:rFonts w:ascii="Arial" w:cs="Arial" w:eastAsia="Arial" w:hAnsi="Arial"/>
                <w:sz w:val="14"/>
                <w:szCs w:val="14"/>
                <w:color w:val="010035"/>
              </w:rPr>
              <w:t>72</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010035"/>
              </w:rPr>
              <w:t>2015</w:t>
            </w:r>
          </w:p>
        </w:tc>
        <w:tc>
          <w:tcPr>
            <w:tcW w:w="1080" w:type="dxa"/>
            <w:vAlign w:val="bottom"/>
            <w:gridSpan w:val="2"/>
          </w:tcPr>
          <w:p>
            <w:pPr>
              <w:ind w:left="500"/>
              <w:spacing w:after="0"/>
              <w:rPr>
                <w:sz w:val="20"/>
                <w:szCs w:val="20"/>
                <w:color w:val="auto"/>
              </w:rPr>
            </w:pPr>
            <w:r>
              <w:rPr>
                <w:rFonts w:ascii="Arial" w:cs="Arial" w:eastAsia="Arial" w:hAnsi="Arial"/>
                <w:sz w:val="14"/>
                <w:szCs w:val="14"/>
                <w:color w:val="010035"/>
              </w:rPr>
              <w:t>Y</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010035"/>
              </w:rPr>
              <w:t>0</w:t>
            </w:r>
          </w:p>
        </w:tc>
        <w:tc>
          <w:tcPr>
            <w:tcW w:w="0" w:type="dxa"/>
            <w:vAlign w:val="bottom"/>
          </w:tcPr>
          <w:p>
            <w:pPr>
              <w:spacing w:after="0"/>
              <w:rPr>
                <w:sz w:val="1"/>
                <w:szCs w:val="1"/>
                <w:color w:val="auto"/>
              </w:rPr>
            </w:pPr>
          </w:p>
        </w:tc>
      </w:tr>
      <w:tr>
        <w:trPr>
          <w:trHeight w:val="190"/>
        </w:trPr>
        <w:tc>
          <w:tcPr>
            <w:tcW w:w="2200" w:type="dxa"/>
            <w:vAlign w:val="bottom"/>
          </w:tcPr>
          <w:p>
            <w:pPr>
              <w:ind w:left="1380"/>
              <w:spacing w:after="0"/>
              <w:rPr>
                <w:sz w:val="20"/>
                <w:szCs w:val="20"/>
                <w:color w:val="auto"/>
              </w:rPr>
            </w:pPr>
            <w:r>
              <w:rPr>
                <w:rFonts w:ascii="Arial" w:cs="Arial" w:eastAsia="Arial" w:hAnsi="Arial"/>
                <w:sz w:val="14"/>
                <w:szCs w:val="14"/>
                <w:color w:val="010035"/>
              </w:rPr>
              <w:t>Scaccetti</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2200" w:type="dxa"/>
            <w:vAlign w:val="bottom"/>
            <w:shd w:val="clear" w:color="auto" w:fill="DED8EC"/>
          </w:tcPr>
          <w:p>
            <w:pPr>
              <w:ind w:left="1380"/>
              <w:spacing w:after="0"/>
              <w:rPr>
                <w:sz w:val="20"/>
                <w:szCs w:val="20"/>
                <w:color w:val="auto"/>
              </w:rPr>
            </w:pPr>
            <w:r>
              <w:rPr>
                <w:rFonts w:ascii="Arial" w:cs="Arial" w:eastAsia="Arial" w:hAnsi="Arial"/>
                <w:sz w:val="14"/>
                <w:szCs w:val="14"/>
                <w:color w:val="010035"/>
              </w:rPr>
              <w:t>Fabio</w:t>
            </w:r>
          </w:p>
        </w:tc>
        <w:tc>
          <w:tcPr>
            <w:tcW w:w="380" w:type="dxa"/>
            <w:vAlign w:val="bottom"/>
            <w:vMerge w:val="restart"/>
            <w:shd w:val="clear" w:color="auto" w:fill="DED8EC"/>
          </w:tcPr>
          <w:p>
            <w:pPr>
              <w:jc w:val="center"/>
              <w:ind w:left="109"/>
              <w:spacing w:after="0"/>
              <w:rPr>
                <w:sz w:val="20"/>
                <w:szCs w:val="20"/>
                <w:color w:val="auto"/>
              </w:rPr>
            </w:pPr>
            <w:r>
              <w:rPr>
                <w:rFonts w:ascii="Arial" w:cs="Arial" w:eastAsia="Arial" w:hAnsi="Arial"/>
                <w:sz w:val="14"/>
                <w:szCs w:val="14"/>
                <w:color w:val="010035"/>
              </w:rPr>
              <w:t>56</w:t>
            </w:r>
          </w:p>
        </w:tc>
        <w:tc>
          <w:tcPr>
            <w:tcW w:w="140" w:type="dxa"/>
            <w:vAlign w:val="bottom"/>
            <w:shd w:val="clear" w:color="auto" w:fill="DED8EC"/>
          </w:tcPr>
          <w:p>
            <w:pPr>
              <w:spacing w:after="0"/>
              <w:rPr>
                <w:sz w:val="24"/>
                <w:szCs w:val="24"/>
                <w:color w:val="auto"/>
              </w:rPr>
            </w:pPr>
          </w:p>
        </w:tc>
        <w:tc>
          <w:tcPr>
            <w:tcW w:w="80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2026</w:t>
            </w:r>
          </w:p>
        </w:tc>
        <w:tc>
          <w:tcPr>
            <w:tcW w:w="1080" w:type="dxa"/>
            <w:vAlign w:val="bottom"/>
            <w:gridSpan w:val="2"/>
            <w:vMerge w:val="restart"/>
            <w:shd w:val="clear" w:color="auto" w:fill="DED8EC"/>
          </w:tcPr>
          <w:p>
            <w:pPr>
              <w:ind w:left="500"/>
              <w:spacing w:after="0"/>
              <w:rPr>
                <w:sz w:val="20"/>
                <w:szCs w:val="20"/>
                <w:color w:val="auto"/>
              </w:rPr>
            </w:pPr>
            <w:r>
              <w:rPr>
                <w:rFonts w:ascii="Arial" w:cs="Arial" w:eastAsia="Arial" w:hAnsi="Arial"/>
                <w:sz w:val="14"/>
                <w:szCs w:val="14"/>
                <w:color w:val="010035"/>
              </w:rPr>
              <w:t>Y​</w:t>
            </w:r>
          </w:p>
        </w:tc>
        <w:tc>
          <w:tcPr>
            <w:tcW w:w="520" w:type="dxa"/>
            <w:vAlign w:val="bottom"/>
            <w:shd w:val="clear" w:color="auto" w:fill="DED8EC"/>
          </w:tcPr>
          <w:p>
            <w:pPr>
              <w:spacing w:after="0"/>
              <w:rPr>
                <w:sz w:val="24"/>
                <w:szCs w:val="24"/>
                <w:color w:val="auto"/>
              </w:rPr>
            </w:pPr>
          </w:p>
        </w:tc>
        <w:tc>
          <w:tcPr>
            <w:tcW w:w="1140" w:type="dxa"/>
            <w:vAlign w:val="bottom"/>
            <w:shd w:val="clear" w:color="auto" w:fill="DED8EC"/>
          </w:tcPr>
          <w:p>
            <w:pPr>
              <w:spacing w:after="0"/>
              <w:rPr>
                <w:sz w:val="24"/>
                <w:szCs w:val="24"/>
                <w:color w:val="auto"/>
              </w:rPr>
            </w:pPr>
          </w:p>
        </w:tc>
        <w:tc>
          <w:tcPr>
            <w:tcW w:w="1060" w:type="dxa"/>
            <w:vAlign w:val="bottom"/>
            <w:vMerge w:val="restart"/>
            <w:shd w:val="clear" w:color="auto" w:fill="DED8EC"/>
          </w:tcPr>
          <w:p>
            <w:pPr>
              <w:ind w:left="540"/>
              <w:spacing w:after="0"/>
              <w:rPr>
                <w:sz w:val="20"/>
                <w:szCs w:val="20"/>
                <w:color w:val="auto"/>
              </w:rPr>
            </w:pPr>
            <w:r>
              <w:rPr>
                <w:rFonts w:ascii="Arial" w:cs="Arial" w:eastAsia="Arial" w:hAnsi="Arial"/>
                <w:sz w:val="14"/>
                <w:szCs w:val="14"/>
                <w:color w:val="010035"/>
              </w:rPr>
              <w:t>​</w:t>
            </w:r>
          </w:p>
        </w:tc>
        <w:tc>
          <w:tcPr>
            <w:tcW w:w="1140" w:type="dxa"/>
            <w:vAlign w:val="bottom"/>
            <w:shd w:val="clear" w:color="auto" w:fill="DED8EC"/>
          </w:tcPr>
          <w:p>
            <w:pPr>
              <w:spacing w:after="0"/>
              <w:rPr>
                <w:sz w:val="24"/>
                <w:szCs w:val="24"/>
                <w:color w:val="auto"/>
              </w:rPr>
            </w:pPr>
          </w:p>
        </w:tc>
        <w:tc>
          <w:tcPr>
            <w:tcW w:w="134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0</w:t>
            </w:r>
          </w:p>
        </w:tc>
        <w:tc>
          <w:tcPr>
            <w:tcW w:w="0" w:type="dxa"/>
            <w:vAlign w:val="bottom"/>
          </w:tcPr>
          <w:p>
            <w:pPr>
              <w:spacing w:after="0"/>
              <w:rPr>
                <w:sz w:val="1"/>
                <w:szCs w:val="1"/>
                <w:color w:val="auto"/>
              </w:rPr>
            </w:pPr>
          </w:p>
        </w:tc>
      </w:tr>
      <w:tr>
        <w:trPr>
          <w:trHeight w:val="109"/>
        </w:trPr>
        <w:tc>
          <w:tcPr>
            <w:tcW w:w="2200" w:type="dxa"/>
            <w:vAlign w:val="bottom"/>
            <w:vMerge w:val="restart"/>
            <w:shd w:val="clear" w:color="auto" w:fill="DED8EC"/>
          </w:tcPr>
          <w:p>
            <w:pPr>
              <w:ind w:left="1380"/>
              <w:spacing w:after="0"/>
              <w:rPr>
                <w:sz w:val="20"/>
                <w:szCs w:val="20"/>
                <w:color w:val="auto"/>
              </w:rPr>
            </w:pPr>
            <w:r>
              <w:rPr>
                <w:rFonts w:ascii="Arial" w:cs="Arial" w:eastAsia="Arial" w:hAnsi="Arial"/>
                <w:sz w:val="14"/>
                <w:szCs w:val="14"/>
                <w:color w:val="010035"/>
              </w:rPr>
              <w:t>Schiavolin</w:t>
            </w:r>
          </w:p>
        </w:tc>
        <w:tc>
          <w:tcPr>
            <w:tcW w:w="380" w:type="dxa"/>
            <w:vAlign w:val="bottom"/>
            <w:vMerge w:val="continue"/>
            <w:shd w:val="clear" w:color="auto" w:fill="DED8EC"/>
          </w:tcPr>
          <w:p>
            <w:pPr>
              <w:spacing w:after="0"/>
              <w:rPr>
                <w:sz w:val="9"/>
                <w:szCs w:val="9"/>
                <w:color w:val="auto"/>
              </w:rPr>
            </w:pPr>
          </w:p>
        </w:tc>
        <w:tc>
          <w:tcPr>
            <w:tcW w:w="140" w:type="dxa"/>
            <w:vAlign w:val="bottom"/>
            <w:shd w:val="clear" w:color="auto" w:fill="DED8EC"/>
          </w:tcPr>
          <w:p>
            <w:pPr>
              <w:spacing w:after="0"/>
              <w:rPr>
                <w:sz w:val="9"/>
                <w:szCs w:val="9"/>
                <w:color w:val="auto"/>
              </w:rPr>
            </w:pPr>
          </w:p>
        </w:tc>
        <w:tc>
          <w:tcPr>
            <w:tcW w:w="800" w:type="dxa"/>
            <w:vAlign w:val="bottom"/>
            <w:vMerge w:val="continue"/>
            <w:shd w:val="clear" w:color="auto" w:fill="DED8EC"/>
          </w:tcPr>
          <w:p>
            <w:pPr>
              <w:spacing w:after="0"/>
              <w:rPr>
                <w:sz w:val="9"/>
                <w:szCs w:val="9"/>
                <w:color w:val="auto"/>
              </w:rPr>
            </w:pPr>
          </w:p>
        </w:tc>
        <w:tc>
          <w:tcPr>
            <w:tcW w:w="1080" w:type="dxa"/>
            <w:vAlign w:val="bottom"/>
            <w:gridSpan w:val="2"/>
            <w:vMerge w:val="continue"/>
            <w:shd w:val="clear" w:color="auto" w:fill="DED8EC"/>
          </w:tcPr>
          <w:p>
            <w:pPr>
              <w:spacing w:after="0"/>
              <w:rPr>
                <w:sz w:val="9"/>
                <w:szCs w:val="9"/>
                <w:color w:val="auto"/>
              </w:rPr>
            </w:pPr>
          </w:p>
        </w:tc>
        <w:tc>
          <w:tcPr>
            <w:tcW w:w="520" w:type="dxa"/>
            <w:vAlign w:val="bottom"/>
            <w:shd w:val="clear" w:color="auto" w:fill="DED8EC"/>
          </w:tcPr>
          <w:p>
            <w:pPr>
              <w:spacing w:after="0"/>
              <w:rPr>
                <w:sz w:val="9"/>
                <w:szCs w:val="9"/>
                <w:color w:val="auto"/>
              </w:rPr>
            </w:pPr>
          </w:p>
        </w:tc>
        <w:tc>
          <w:tcPr>
            <w:tcW w:w="1140" w:type="dxa"/>
            <w:vAlign w:val="bottom"/>
            <w:shd w:val="clear" w:color="auto" w:fill="DED8EC"/>
          </w:tcPr>
          <w:p>
            <w:pPr>
              <w:spacing w:after="0"/>
              <w:rPr>
                <w:sz w:val="9"/>
                <w:szCs w:val="9"/>
                <w:color w:val="auto"/>
              </w:rPr>
            </w:pPr>
          </w:p>
        </w:tc>
        <w:tc>
          <w:tcPr>
            <w:tcW w:w="1060" w:type="dxa"/>
            <w:vAlign w:val="bottom"/>
            <w:vMerge w:val="continue"/>
            <w:shd w:val="clear" w:color="auto" w:fill="DED8EC"/>
          </w:tcPr>
          <w:p>
            <w:pPr>
              <w:spacing w:after="0"/>
              <w:rPr>
                <w:sz w:val="9"/>
                <w:szCs w:val="9"/>
                <w:color w:val="auto"/>
              </w:rPr>
            </w:pPr>
          </w:p>
        </w:tc>
        <w:tc>
          <w:tcPr>
            <w:tcW w:w="1140" w:type="dxa"/>
            <w:vAlign w:val="bottom"/>
            <w:shd w:val="clear" w:color="auto" w:fill="DED8EC"/>
          </w:tcPr>
          <w:p>
            <w:pPr>
              <w:spacing w:after="0"/>
              <w:rPr>
                <w:sz w:val="9"/>
                <w:szCs w:val="9"/>
                <w:color w:val="auto"/>
              </w:rPr>
            </w:pPr>
          </w:p>
        </w:tc>
        <w:tc>
          <w:tcPr>
            <w:tcW w:w="1340" w:type="dxa"/>
            <w:vAlign w:val="bottom"/>
            <w:vMerge w:val="continue"/>
            <w:shd w:val="clear" w:color="auto" w:fill="DED8E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00" w:type="dxa"/>
            <w:vAlign w:val="bottom"/>
            <w:vMerge w:val="continue"/>
            <w:shd w:val="clear" w:color="auto" w:fill="DED8EC"/>
          </w:tcPr>
          <w:p>
            <w:pPr>
              <w:spacing w:after="0"/>
              <w:rPr>
                <w:sz w:val="7"/>
                <w:szCs w:val="7"/>
                <w:color w:val="auto"/>
              </w:rPr>
            </w:pPr>
          </w:p>
        </w:tc>
        <w:tc>
          <w:tcPr>
            <w:tcW w:w="380" w:type="dxa"/>
            <w:vAlign w:val="bottom"/>
            <w:shd w:val="clear" w:color="auto" w:fill="DED8EC"/>
          </w:tcPr>
          <w:p>
            <w:pPr>
              <w:spacing w:after="0"/>
              <w:rPr>
                <w:sz w:val="7"/>
                <w:szCs w:val="7"/>
                <w:color w:val="auto"/>
              </w:rPr>
            </w:pPr>
          </w:p>
        </w:tc>
        <w:tc>
          <w:tcPr>
            <w:tcW w:w="140" w:type="dxa"/>
            <w:vAlign w:val="bottom"/>
            <w:shd w:val="clear" w:color="auto" w:fill="DED8EC"/>
          </w:tcPr>
          <w:p>
            <w:pPr>
              <w:spacing w:after="0"/>
              <w:rPr>
                <w:sz w:val="7"/>
                <w:szCs w:val="7"/>
                <w:color w:val="auto"/>
              </w:rPr>
            </w:pPr>
          </w:p>
        </w:tc>
        <w:tc>
          <w:tcPr>
            <w:tcW w:w="800" w:type="dxa"/>
            <w:vAlign w:val="bottom"/>
            <w:shd w:val="clear" w:color="auto" w:fill="DED8EC"/>
          </w:tcPr>
          <w:p>
            <w:pPr>
              <w:spacing w:after="0"/>
              <w:rPr>
                <w:sz w:val="7"/>
                <w:szCs w:val="7"/>
                <w:color w:val="auto"/>
              </w:rPr>
            </w:pPr>
          </w:p>
        </w:tc>
        <w:tc>
          <w:tcPr>
            <w:tcW w:w="580" w:type="dxa"/>
            <w:vAlign w:val="bottom"/>
            <w:shd w:val="clear" w:color="auto" w:fill="DED8EC"/>
          </w:tcPr>
          <w:p>
            <w:pPr>
              <w:spacing w:after="0"/>
              <w:rPr>
                <w:sz w:val="7"/>
                <w:szCs w:val="7"/>
                <w:color w:val="auto"/>
              </w:rPr>
            </w:pPr>
          </w:p>
        </w:tc>
        <w:tc>
          <w:tcPr>
            <w:tcW w:w="500" w:type="dxa"/>
            <w:vAlign w:val="bottom"/>
            <w:shd w:val="clear" w:color="auto" w:fill="DED8EC"/>
          </w:tcPr>
          <w:p>
            <w:pPr>
              <w:spacing w:after="0"/>
              <w:rPr>
                <w:sz w:val="7"/>
                <w:szCs w:val="7"/>
                <w:color w:val="auto"/>
              </w:rPr>
            </w:pPr>
          </w:p>
        </w:tc>
        <w:tc>
          <w:tcPr>
            <w:tcW w:w="520" w:type="dxa"/>
            <w:vAlign w:val="bottom"/>
            <w:shd w:val="clear" w:color="auto" w:fill="DED8EC"/>
          </w:tcPr>
          <w:p>
            <w:pPr>
              <w:spacing w:after="0"/>
              <w:rPr>
                <w:sz w:val="7"/>
                <w:szCs w:val="7"/>
                <w:color w:val="auto"/>
              </w:rPr>
            </w:pPr>
          </w:p>
        </w:tc>
        <w:tc>
          <w:tcPr>
            <w:tcW w:w="1140" w:type="dxa"/>
            <w:vAlign w:val="bottom"/>
            <w:shd w:val="clear" w:color="auto" w:fill="DED8EC"/>
          </w:tcPr>
          <w:p>
            <w:pPr>
              <w:spacing w:after="0"/>
              <w:rPr>
                <w:sz w:val="7"/>
                <w:szCs w:val="7"/>
                <w:color w:val="auto"/>
              </w:rPr>
            </w:pPr>
          </w:p>
        </w:tc>
        <w:tc>
          <w:tcPr>
            <w:tcW w:w="1060" w:type="dxa"/>
            <w:vAlign w:val="bottom"/>
            <w:shd w:val="clear" w:color="auto" w:fill="DED8EC"/>
          </w:tcPr>
          <w:p>
            <w:pPr>
              <w:spacing w:after="0"/>
              <w:rPr>
                <w:sz w:val="7"/>
                <w:szCs w:val="7"/>
                <w:color w:val="auto"/>
              </w:rPr>
            </w:pPr>
          </w:p>
        </w:tc>
        <w:tc>
          <w:tcPr>
            <w:tcW w:w="1140" w:type="dxa"/>
            <w:vAlign w:val="bottom"/>
            <w:shd w:val="clear" w:color="auto" w:fill="DED8EC"/>
          </w:tcPr>
          <w:p>
            <w:pPr>
              <w:spacing w:after="0"/>
              <w:rPr>
                <w:sz w:val="7"/>
                <w:szCs w:val="7"/>
                <w:color w:val="auto"/>
              </w:rPr>
            </w:pPr>
          </w:p>
        </w:tc>
        <w:tc>
          <w:tcPr>
            <w:tcW w:w="1340" w:type="dxa"/>
            <w:vAlign w:val="bottom"/>
            <w:shd w:val="clear" w:color="auto" w:fill="DED8EC"/>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shd w:val="clear" w:color="auto" w:fill="DED8EC"/>
          </w:tcPr>
          <w:p>
            <w:pPr>
              <w:spacing w:after="0"/>
              <w:rPr>
                <w:sz w:val="19"/>
                <w:szCs w:val="19"/>
                <w:color w:val="auto"/>
              </w:rPr>
            </w:pPr>
          </w:p>
        </w:tc>
        <w:tc>
          <w:tcPr>
            <w:tcW w:w="380" w:type="dxa"/>
            <w:vAlign w:val="bottom"/>
            <w:shd w:val="clear" w:color="auto" w:fill="DED8EC"/>
          </w:tcPr>
          <w:p>
            <w:pPr>
              <w:spacing w:after="0"/>
              <w:rPr>
                <w:sz w:val="19"/>
                <w:szCs w:val="19"/>
                <w:color w:val="auto"/>
              </w:rPr>
            </w:pPr>
          </w:p>
        </w:tc>
        <w:tc>
          <w:tcPr>
            <w:tcW w:w="140" w:type="dxa"/>
            <w:vAlign w:val="bottom"/>
            <w:shd w:val="clear" w:color="auto" w:fill="DED8EC"/>
          </w:tcPr>
          <w:p>
            <w:pPr>
              <w:spacing w:after="0"/>
              <w:rPr>
                <w:sz w:val="19"/>
                <w:szCs w:val="19"/>
                <w:color w:val="auto"/>
              </w:rPr>
            </w:pPr>
          </w:p>
        </w:tc>
        <w:tc>
          <w:tcPr>
            <w:tcW w:w="800" w:type="dxa"/>
            <w:vAlign w:val="bottom"/>
            <w:shd w:val="clear" w:color="auto" w:fill="DED8EC"/>
          </w:tcPr>
          <w:p>
            <w:pPr>
              <w:spacing w:after="0"/>
              <w:rPr>
                <w:sz w:val="19"/>
                <w:szCs w:val="19"/>
                <w:color w:val="auto"/>
              </w:rPr>
            </w:pPr>
          </w:p>
        </w:tc>
        <w:tc>
          <w:tcPr>
            <w:tcW w:w="580" w:type="dxa"/>
            <w:vAlign w:val="bottom"/>
            <w:shd w:val="clear" w:color="auto" w:fill="DED8EC"/>
          </w:tcPr>
          <w:p>
            <w:pPr>
              <w:spacing w:after="0"/>
              <w:rPr>
                <w:sz w:val="19"/>
                <w:szCs w:val="19"/>
                <w:color w:val="auto"/>
              </w:rPr>
            </w:pPr>
          </w:p>
        </w:tc>
        <w:tc>
          <w:tcPr>
            <w:tcW w:w="500" w:type="dxa"/>
            <w:vAlign w:val="bottom"/>
            <w:shd w:val="clear" w:color="auto" w:fill="DED8EC"/>
          </w:tcPr>
          <w:p>
            <w:pPr>
              <w:spacing w:after="0"/>
              <w:rPr>
                <w:sz w:val="19"/>
                <w:szCs w:val="19"/>
                <w:color w:val="auto"/>
              </w:rPr>
            </w:pPr>
          </w:p>
        </w:tc>
        <w:tc>
          <w:tcPr>
            <w:tcW w:w="520" w:type="dxa"/>
            <w:vAlign w:val="bottom"/>
            <w:shd w:val="clear" w:color="auto" w:fill="DED8EC"/>
          </w:tcPr>
          <w:p>
            <w:pPr>
              <w:spacing w:after="0"/>
              <w:rPr>
                <w:sz w:val="19"/>
                <w:szCs w:val="19"/>
                <w:color w:val="auto"/>
              </w:rPr>
            </w:pPr>
          </w:p>
        </w:tc>
        <w:tc>
          <w:tcPr>
            <w:tcW w:w="1140" w:type="dxa"/>
            <w:vAlign w:val="bottom"/>
            <w:shd w:val="clear" w:color="auto" w:fill="DED8EC"/>
          </w:tcPr>
          <w:p>
            <w:pPr>
              <w:spacing w:after="0"/>
              <w:rPr>
                <w:sz w:val="19"/>
                <w:szCs w:val="19"/>
                <w:color w:val="auto"/>
              </w:rPr>
            </w:pPr>
          </w:p>
        </w:tc>
        <w:tc>
          <w:tcPr>
            <w:tcW w:w="1060" w:type="dxa"/>
            <w:vAlign w:val="bottom"/>
            <w:shd w:val="clear" w:color="auto" w:fill="DED8EC"/>
          </w:tcPr>
          <w:p>
            <w:pPr>
              <w:spacing w:after="0"/>
              <w:rPr>
                <w:sz w:val="19"/>
                <w:szCs w:val="19"/>
                <w:color w:val="auto"/>
              </w:rPr>
            </w:pPr>
          </w:p>
        </w:tc>
        <w:tc>
          <w:tcPr>
            <w:tcW w:w="1140" w:type="dxa"/>
            <w:vAlign w:val="bottom"/>
            <w:shd w:val="clear" w:color="auto" w:fill="DED8EC"/>
          </w:tcPr>
          <w:p>
            <w:pPr>
              <w:spacing w:after="0"/>
              <w:rPr>
                <w:sz w:val="19"/>
                <w:szCs w:val="19"/>
                <w:color w:val="auto"/>
              </w:rPr>
            </w:pPr>
          </w:p>
        </w:tc>
        <w:tc>
          <w:tcPr>
            <w:tcW w:w="1340" w:type="dxa"/>
            <w:vAlign w:val="bottom"/>
            <w:shd w:val="clear" w:color="auto" w:fill="DED8EC"/>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2200" w:type="dxa"/>
            <w:vAlign w:val="bottom"/>
          </w:tcPr>
          <w:p>
            <w:pPr>
              <w:ind w:left="1380"/>
              <w:spacing w:after="0"/>
              <w:rPr>
                <w:sz w:val="20"/>
                <w:szCs w:val="20"/>
                <w:color w:val="auto"/>
              </w:rPr>
            </w:pPr>
            <w:r>
              <w:rPr>
                <w:rFonts w:ascii="Arial" w:cs="Arial" w:eastAsia="Arial" w:hAnsi="Arial"/>
                <w:sz w:val="14"/>
                <w:szCs w:val="14"/>
                <w:color w:val="010035"/>
              </w:rPr>
              <w:t>Jay</w:t>
            </w:r>
          </w:p>
        </w:tc>
        <w:tc>
          <w:tcPr>
            <w:tcW w:w="380" w:type="dxa"/>
            <w:vAlign w:val="bottom"/>
            <w:vMerge w:val="restart"/>
          </w:tcPr>
          <w:p>
            <w:pPr>
              <w:jc w:val="center"/>
              <w:ind w:left="109"/>
              <w:spacing w:after="0"/>
              <w:rPr>
                <w:sz w:val="20"/>
                <w:szCs w:val="20"/>
                <w:color w:val="auto"/>
              </w:rPr>
            </w:pPr>
            <w:r>
              <w:rPr>
                <w:rFonts w:ascii="Arial" w:cs="Arial" w:eastAsia="Arial" w:hAnsi="Arial"/>
                <w:sz w:val="14"/>
                <w:szCs w:val="14"/>
                <w:color w:val="010035"/>
              </w:rPr>
              <w:t>50</w:t>
            </w:r>
          </w:p>
        </w:tc>
        <w:tc>
          <w:tcPr>
            <w:tcW w:w="14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010035"/>
              </w:rPr>
              <w:t>2019</w:t>
            </w:r>
          </w:p>
        </w:tc>
        <w:tc>
          <w:tcPr>
            <w:tcW w:w="1080" w:type="dxa"/>
            <w:vAlign w:val="bottom"/>
            <w:gridSpan w:val="2"/>
            <w:vMerge w:val="restart"/>
          </w:tcPr>
          <w:p>
            <w:pPr>
              <w:ind w:left="500"/>
              <w:spacing w:after="0"/>
              <w:rPr>
                <w:sz w:val="20"/>
                <w:szCs w:val="20"/>
                <w:color w:val="auto"/>
              </w:rPr>
            </w:pPr>
            <w:r>
              <w:rPr>
                <w:rFonts w:ascii="Arial" w:cs="Arial" w:eastAsia="Arial" w:hAnsi="Arial"/>
                <w:sz w:val="14"/>
                <w:szCs w:val="14"/>
                <w:color w:val="010035"/>
              </w:rPr>
              <w:t>N​</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vMerge w:val="restart"/>
          </w:tcPr>
          <w:p>
            <w:pPr>
              <w:ind w:left="540"/>
              <w:spacing w:after="0"/>
              <w:rPr>
                <w:sz w:val="20"/>
                <w:szCs w:val="20"/>
                <w:color w:val="auto"/>
              </w:rPr>
            </w:pPr>
            <w:r>
              <w:rPr>
                <w:rFonts w:ascii="Arial" w:cs="Arial" w:eastAsia="Arial" w:hAnsi="Arial"/>
                <w:sz w:val="14"/>
                <w:szCs w:val="14"/>
                <w:color w:val="010035"/>
              </w:rPr>
              <w:t>​</w:t>
            </w:r>
          </w:p>
        </w:tc>
        <w:tc>
          <w:tcPr>
            <w:tcW w:w="114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010035"/>
              </w:rPr>
              <w:t>0</w:t>
            </w:r>
          </w:p>
        </w:tc>
        <w:tc>
          <w:tcPr>
            <w:tcW w:w="0" w:type="dxa"/>
            <w:vAlign w:val="bottom"/>
          </w:tcPr>
          <w:p>
            <w:pPr>
              <w:spacing w:after="0"/>
              <w:rPr>
                <w:sz w:val="1"/>
                <w:szCs w:val="1"/>
                <w:color w:val="auto"/>
              </w:rPr>
            </w:pPr>
          </w:p>
        </w:tc>
      </w:tr>
      <w:tr>
        <w:trPr>
          <w:trHeight w:val="126"/>
        </w:trPr>
        <w:tc>
          <w:tcPr>
            <w:tcW w:w="2200" w:type="dxa"/>
            <w:vAlign w:val="bottom"/>
            <w:vMerge w:val="restart"/>
          </w:tcPr>
          <w:p>
            <w:pPr>
              <w:ind w:left="1380"/>
              <w:spacing w:after="0"/>
              <w:rPr>
                <w:sz w:val="20"/>
                <w:szCs w:val="20"/>
                <w:color w:val="auto"/>
              </w:rPr>
            </w:pPr>
            <w:r>
              <w:rPr>
                <w:rFonts w:ascii="Arial" w:cs="Arial" w:eastAsia="Arial" w:hAnsi="Arial"/>
                <w:sz w:val="14"/>
                <w:szCs w:val="14"/>
                <w:color w:val="010035"/>
              </w:rPr>
              <w:t>Snowden</w:t>
            </w:r>
            <w:r>
              <w:rPr>
                <w:rFonts w:ascii="Arial" w:cs="Arial" w:eastAsia="Arial" w:hAnsi="Arial"/>
                <w:sz w:val="23"/>
                <w:szCs w:val="23"/>
                <w:color w:val="010035"/>
                <w:vertAlign w:val="superscript"/>
              </w:rPr>
              <w:t>(4)</w:t>
            </w:r>
          </w:p>
        </w:tc>
        <w:tc>
          <w:tcPr>
            <w:tcW w:w="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200" w:type="dxa"/>
            <w:vAlign w:val="bottom"/>
            <w:tcBorders>
              <w:bottom w:val="single" w:sz="8" w:color="010035"/>
            </w:tcBorders>
          </w:tcPr>
          <w:p>
            <w:pPr>
              <w:spacing w:after="0"/>
              <w:rPr>
                <w:sz w:val="10"/>
                <w:szCs w:val="10"/>
                <w:color w:val="auto"/>
              </w:rPr>
            </w:pPr>
          </w:p>
        </w:tc>
        <w:tc>
          <w:tcPr>
            <w:tcW w:w="380" w:type="dxa"/>
            <w:vAlign w:val="bottom"/>
            <w:tcBorders>
              <w:bottom w:val="single" w:sz="8" w:color="010035"/>
            </w:tcBorders>
          </w:tcPr>
          <w:p>
            <w:pPr>
              <w:spacing w:after="0"/>
              <w:rPr>
                <w:sz w:val="10"/>
                <w:szCs w:val="10"/>
                <w:color w:val="auto"/>
              </w:rPr>
            </w:pPr>
          </w:p>
        </w:tc>
        <w:tc>
          <w:tcPr>
            <w:tcW w:w="140" w:type="dxa"/>
            <w:vAlign w:val="bottom"/>
            <w:tcBorders>
              <w:bottom w:val="single" w:sz="8" w:color="010035"/>
            </w:tcBorders>
          </w:tcPr>
          <w:p>
            <w:pPr>
              <w:spacing w:after="0"/>
              <w:rPr>
                <w:sz w:val="10"/>
                <w:szCs w:val="10"/>
                <w:color w:val="auto"/>
              </w:rPr>
            </w:pPr>
          </w:p>
        </w:tc>
        <w:tc>
          <w:tcPr>
            <w:tcW w:w="800" w:type="dxa"/>
            <w:vAlign w:val="bottom"/>
            <w:tcBorders>
              <w:bottom w:val="single" w:sz="8" w:color="010035"/>
            </w:tcBorders>
          </w:tcPr>
          <w:p>
            <w:pPr>
              <w:spacing w:after="0"/>
              <w:rPr>
                <w:sz w:val="10"/>
                <w:szCs w:val="10"/>
                <w:color w:val="auto"/>
              </w:rPr>
            </w:pPr>
          </w:p>
        </w:tc>
        <w:tc>
          <w:tcPr>
            <w:tcW w:w="580" w:type="dxa"/>
            <w:vAlign w:val="bottom"/>
            <w:tcBorders>
              <w:bottom w:val="single" w:sz="8" w:color="010035"/>
            </w:tcBorders>
          </w:tcPr>
          <w:p>
            <w:pPr>
              <w:spacing w:after="0"/>
              <w:rPr>
                <w:sz w:val="10"/>
                <w:szCs w:val="10"/>
                <w:color w:val="auto"/>
              </w:rPr>
            </w:pPr>
          </w:p>
        </w:tc>
        <w:tc>
          <w:tcPr>
            <w:tcW w:w="500" w:type="dxa"/>
            <w:vAlign w:val="bottom"/>
            <w:tcBorders>
              <w:bottom w:val="single" w:sz="8" w:color="010035"/>
            </w:tcBorders>
          </w:tcPr>
          <w:p>
            <w:pPr>
              <w:spacing w:after="0"/>
              <w:rPr>
                <w:sz w:val="10"/>
                <w:szCs w:val="10"/>
                <w:color w:val="auto"/>
              </w:rPr>
            </w:pPr>
          </w:p>
        </w:tc>
        <w:tc>
          <w:tcPr>
            <w:tcW w:w="520" w:type="dxa"/>
            <w:vAlign w:val="bottom"/>
            <w:tcBorders>
              <w:bottom w:val="single" w:sz="8" w:color="010035"/>
            </w:tcBorders>
          </w:tcPr>
          <w:p>
            <w:pPr>
              <w:spacing w:after="0"/>
              <w:rPr>
                <w:sz w:val="10"/>
                <w:szCs w:val="10"/>
                <w:color w:val="auto"/>
              </w:rPr>
            </w:pPr>
          </w:p>
        </w:tc>
        <w:tc>
          <w:tcPr>
            <w:tcW w:w="1140" w:type="dxa"/>
            <w:vAlign w:val="bottom"/>
            <w:tcBorders>
              <w:bottom w:val="single" w:sz="8" w:color="010035"/>
            </w:tcBorders>
          </w:tcPr>
          <w:p>
            <w:pPr>
              <w:spacing w:after="0"/>
              <w:rPr>
                <w:sz w:val="10"/>
                <w:szCs w:val="10"/>
                <w:color w:val="auto"/>
              </w:rPr>
            </w:pPr>
          </w:p>
        </w:tc>
        <w:tc>
          <w:tcPr>
            <w:tcW w:w="1060" w:type="dxa"/>
            <w:vAlign w:val="bottom"/>
            <w:tcBorders>
              <w:bottom w:val="single" w:sz="8" w:color="010035"/>
            </w:tcBorders>
          </w:tcPr>
          <w:p>
            <w:pPr>
              <w:spacing w:after="0"/>
              <w:rPr>
                <w:sz w:val="10"/>
                <w:szCs w:val="10"/>
                <w:color w:val="auto"/>
              </w:rPr>
            </w:pPr>
          </w:p>
        </w:tc>
        <w:tc>
          <w:tcPr>
            <w:tcW w:w="1140" w:type="dxa"/>
            <w:vAlign w:val="bottom"/>
            <w:tcBorders>
              <w:bottom w:val="single" w:sz="8" w:color="010035"/>
            </w:tcBorders>
          </w:tcPr>
          <w:p>
            <w:pPr>
              <w:spacing w:after="0"/>
              <w:rPr>
                <w:sz w:val="10"/>
                <w:szCs w:val="10"/>
                <w:color w:val="auto"/>
              </w:rPr>
            </w:pPr>
          </w:p>
        </w:tc>
        <w:tc>
          <w:tcPr>
            <w:tcW w:w="1340" w:type="dxa"/>
            <w:vAlign w:val="bottom"/>
            <w:tcBorders>
              <w:bottom w:val="single" w:sz="8" w:color="010035"/>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200" w:type="dxa"/>
            <w:vAlign w:val="bottom"/>
          </w:tcPr>
          <w:p>
            <w:pPr>
              <w:spacing w:after="0"/>
              <w:rPr>
                <w:sz w:val="19"/>
                <w:szCs w:val="19"/>
                <w:color w:val="auto"/>
              </w:rPr>
            </w:pPr>
          </w:p>
        </w:tc>
        <w:tc>
          <w:tcPr>
            <w:tcW w:w="380" w:type="dxa"/>
            <w:vAlign w:val="bottom"/>
          </w:tcPr>
          <w:p>
            <w:pPr>
              <w:ind w:left="280"/>
              <w:spacing w:after="0"/>
              <w:rPr>
                <w:sz w:val="20"/>
                <w:szCs w:val="20"/>
                <w:color w:val="auto"/>
              </w:rPr>
            </w:pPr>
            <w:r>
              <w:rPr>
                <w:rFonts w:ascii="Arial" w:cs="Arial" w:eastAsia="Arial" w:hAnsi="Arial"/>
                <w:sz w:val="11"/>
                <w:szCs w:val="11"/>
                <w:b w:val="1"/>
                <w:bCs w:val="1"/>
                <w:color w:val="auto"/>
                <w:w w:val="72"/>
              </w:rPr>
              <w:t> </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Member</w:t>
            </w:r>
          </w:p>
        </w:tc>
        <w:tc>
          <w:tcPr>
            <w:tcW w:w="580" w:type="dxa"/>
            <w:vAlign w:val="bottom"/>
          </w:tcPr>
          <w:p>
            <w:pPr>
              <w:ind w:left="380"/>
              <w:spacing w:after="0"/>
              <w:rPr>
                <w:sz w:val="20"/>
                <w:szCs w:val="20"/>
                <w:color w:val="auto"/>
              </w:rPr>
            </w:pPr>
            <w:r>
              <w:rPr>
                <w:rFonts w:ascii="Arial" w:cs="Arial" w:eastAsia="Arial" w:hAnsi="Arial"/>
                <w:sz w:val="14"/>
                <w:szCs w:val="14"/>
                <w:b w:val="1"/>
                <w:bCs w:val="1"/>
                <w:color w:val="auto"/>
              </w:rPr>
              <w:t xml:space="preserve">    </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Chair</w:t>
            </w:r>
          </w:p>
        </w:tc>
        <w:tc>
          <w:tcPr>
            <w:tcW w:w="520" w:type="dxa"/>
            <w:vAlign w:val="bottom"/>
          </w:tcPr>
          <w:p>
            <w:pPr>
              <w:spacing w:after="0"/>
              <w:rPr>
                <w:sz w:val="19"/>
                <w:szCs w:val="19"/>
                <w:color w:val="auto"/>
              </w:rPr>
            </w:pPr>
          </w:p>
        </w:tc>
        <w:tc>
          <w:tcPr>
            <w:tcW w:w="33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  Audit Committee Financial Expert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34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-6067425</wp:posOffset>
            </wp:positionV>
            <wp:extent cx="5083175" cy="60350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83175" cy="6035040"/>
                    </a:xfrm>
                    <a:prstGeom prst="rect">
                      <a:avLst/>
                    </a:prstGeom>
                    <a:noFill/>
                  </pic:spPr>
                </pic:pic>
              </a:graphicData>
            </a:graphic>
          </wp:anchor>
        </w:drawing>
      </w:r>
    </w:p>
    <w:p>
      <w:pPr>
        <w:ind w:left="180" w:hanging="174"/>
        <w:spacing w:after="0"/>
        <w:tabs>
          <w:tab w:leader="none" w:pos="180" w:val="left"/>
        </w:tabs>
        <w:numPr>
          <w:ilvl w:val="0"/>
          <w:numId w:val="1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Ages as of our 2026 Annual Meeting.</w:t>
      </w:r>
    </w:p>
    <w:p>
      <w:pPr>
        <w:spacing w:after="0" w:line="13" w:lineRule="exact"/>
        <w:rPr>
          <w:rFonts w:ascii="Times New Roman" w:cs="Times New Roman" w:eastAsia="Times New Roman" w:hAnsi="Times New Roman"/>
          <w:sz w:val="11"/>
          <w:szCs w:val="11"/>
          <w:color w:val="010035"/>
        </w:rPr>
      </w:pPr>
    </w:p>
    <w:p>
      <w:pPr>
        <w:ind w:left="180" w:right="540" w:hanging="174"/>
        <w:spacing w:after="0" w:line="246" w:lineRule="auto"/>
        <w:tabs>
          <w:tab w:leader="none" w:pos="180" w:val="left"/>
        </w:tabs>
        <w:numPr>
          <w:ilvl w:val="0"/>
          <w:numId w:val="1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Compliance Committee is chaired by an independent non-director member, Thomas N. Auriemma. Mr. Auriemma is the Company’s former Vice President, Chief Compliance Officer and former Director of the Division of Gaming Enforcement in New Jersey, with over 30 years of experience as a gaming regulator in the State of New Jersey.</w:t>
      </w:r>
    </w:p>
    <w:p>
      <w:pPr>
        <w:spacing w:after="0" w:line="5"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1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Mr. Handler has served as Board Chair since 2019.</w:t>
      </w:r>
    </w:p>
    <w:p>
      <w:pPr>
        <w:spacing w:after="0" w:line="13"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1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Mr. Snowden serves as our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00"/>
          </w:cols>
          <w:pgMar w:left="1240" w:top="114" w:right="8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ind w:left="440" w:hanging="434"/>
        <w:spacing w:after="0"/>
        <w:tabs>
          <w:tab w:leader="none" w:pos="4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PENN’s Board believes that having a mix of highly-qualified directors with complementary skill sets, experiences and attributes is essential to effectively fulfilling its oversight responsibilities and supporting the Company’s long-term growth strategy. The table below summarizes the key qualifications, expertise and attributes possessed by one or more of PENN’s directors that are of particular relevance to the Company’s business, strategy and risk management framework, but does not encompass all qualifications, expertise and attributes of the Board. These factors were considered by the Nominating and Corporate Governance Committee and the Board in connection with this year’s director nomination process and ongoing refreshment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5906135" cy="5701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06135" cy="570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tbl>
      <w:tblPr>
        <w:tblLayout w:type="fixed"/>
        <w:tblInd w:w="7120" w:type="dxa"/>
        <w:tblCellMar>
          <w:top w:w="0" w:type="dxa"/>
          <w:left w:w="0" w:type="dxa"/>
          <w:bottom w:w="0" w:type="dxa"/>
          <w:right w:w="0" w:type="dxa"/>
        </w:tblCellMar>
      </w:tblPr>
      <w:tr>
        <w:trPr>
          <w:trHeight w:val="190"/>
        </w:trPr>
        <w:tc>
          <w:tcPr>
            <w:tcW w:w="2020" w:type="dxa"/>
            <w:vAlign w:val="bottom"/>
          </w:tcPr>
          <w:p>
            <w:pPr>
              <w:spacing w:after="0"/>
              <w:rPr>
                <w:sz w:val="20"/>
                <w:szCs w:val="20"/>
                <w:color w:val="auto"/>
              </w:rPr>
            </w:pPr>
            <w:r>
              <w:rPr>
                <w:rFonts w:ascii="Arial" w:cs="Arial" w:eastAsia="Arial" w:hAnsi="Arial"/>
                <w:sz w:val="14"/>
                <w:szCs w:val="14"/>
                <w:color w:val="auto"/>
              </w:rPr>
              <w:t>PROXY STATEMENT - 2026</w:t>
            </w:r>
          </w:p>
        </w:tc>
        <w:tc>
          <w:tcPr>
            <w:tcW w:w="260" w:type="dxa"/>
            <w:vAlign w:val="bottom"/>
          </w:tcPr>
          <w:p>
            <w:pPr>
              <w:jc w:val="right"/>
              <w:spacing w:after="0"/>
              <w:rPr>
                <w:sz w:val="20"/>
                <w:szCs w:val="20"/>
                <w:color w:val="auto"/>
              </w:rPr>
            </w:pPr>
            <w:r>
              <w:rPr>
                <w:rFonts w:ascii="Arial" w:cs="Arial" w:eastAsia="Arial" w:hAnsi="Arial"/>
                <w:sz w:val="14"/>
                <w:szCs w:val="14"/>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96646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6672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466725"/>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-298450</wp:posOffset>
            </wp:positionV>
            <wp:extent cx="5829300" cy="300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4883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6460" cy="4883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FFFF"/>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1585595" cy="54178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5595" cy="541782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Independent Board Chair</w:t>
            </w:r>
          </w:p>
        </w:tc>
        <w:tc>
          <w:tcPr>
            <w:tcW w:w="0" w:type="dxa"/>
            <w:vAlign w:val="bottom"/>
          </w:tcPr>
          <w:p>
            <w:pPr>
              <w:spacing w:after="0"/>
              <w:rPr>
                <w:sz w:val="1"/>
                <w:szCs w:val="1"/>
                <w:color w:val="auto"/>
              </w:rPr>
            </w:pPr>
          </w:p>
        </w:tc>
      </w:tr>
      <w:tr>
        <w:trPr>
          <w:trHeight w:val="259"/>
        </w:trPr>
        <w:tc>
          <w:tcPr>
            <w:tcW w:w="2540" w:type="dxa"/>
            <w:vAlign w:val="bottom"/>
          </w:tcPr>
          <w:p>
            <w:pPr>
              <w:ind w:left="240"/>
              <w:spacing w:after="0"/>
              <w:rPr>
                <w:sz w:val="20"/>
                <w:szCs w:val="20"/>
                <w:color w:val="auto"/>
              </w:rPr>
            </w:pPr>
            <w:r>
              <w:rPr>
                <w:rFonts w:ascii="Arial" w:cs="Arial" w:eastAsia="Arial" w:hAnsi="Arial"/>
                <w:sz w:val="18"/>
                <w:szCs w:val="18"/>
                <w:b w:val="1"/>
                <w:bCs w:val="1"/>
                <w:color w:val="010035"/>
              </w:rPr>
              <w:t>ROBUST BOARD AND</w:t>
            </w:r>
          </w:p>
        </w:tc>
        <w:tc>
          <w:tcPr>
            <w:tcW w:w="6860" w:type="dxa"/>
            <w:vAlign w:val="bottom"/>
          </w:tcPr>
          <w:p>
            <w:pPr>
              <w:ind w:left="120"/>
              <w:spacing w:after="0"/>
              <w:rPr>
                <w:sz w:val="20"/>
                <w:szCs w:val="20"/>
                <w:color w:val="auto"/>
              </w:rPr>
            </w:pPr>
            <w:r>
              <w:rPr>
                <w:rFonts w:ascii="Arial" w:cs="Arial" w:eastAsia="Arial" w:hAnsi="Arial"/>
                <w:sz w:val="14"/>
                <w:szCs w:val="14"/>
                <w:color w:val="010035"/>
              </w:rPr>
              <w:t>•  All Directors (except CEO) are independent</w:t>
            </w:r>
          </w:p>
        </w:tc>
        <w:tc>
          <w:tcPr>
            <w:tcW w:w="0" w:type="dxa"/>
            <w:vAlign w:val="bottom"/>
          </w:tcPr>
          <w:p>
            <w:pPr>
              <w:spacing w:after="0"/>
              <w:rPr>
                <w:sz w:val="1"/>
                <w:szCs w:val="1"/>
                <w:color w:val="auto"/>
              </w:rPr>
            </w:pPr>
          </w:p>
        </w:tc>
      </w:tr>
      <w:tr>
        <w:trPr>
          <w:trHeight w:val="247"/>
        </w:trPr>
        <w:tc>
          <w:tcPr>
            <w:tcW w:w="2540" w:type="dxa"/>
            <w:vAlign w:val="bottom"/>
          </w:tcPr>
          <w:p>
            <w:pPr>
              <w:ind w:left="240"/>
              <w:spacing w:after="0"/>
              <w:rPr>
                <w:sz w:val="20"/>
                <w:szCs w:val="20"/>
                <w:color w:val="auto"/>
              </w:rPr>
            </w:pPr>
            <w:r>
              <w:rPr>
                <w:rFonts w:ascii="Arial" w:cs="Arial" w:eastAsia="Arial" w:hAnsi="Arial"/>
                <w:sz w:val="18"/>
                <w:szCs w:val="18"/>
                <w:b w:val="1"/>
                <w:bCs w:val="1"/>
                <w:color w:val="010035"/>
                <w:w w:val="94"/>
              </w:rPr>
              <w:t>COMMITTEE COMPOSITION</w:t>
            </w:r>
          </w:p>
        </w:tc>
        <w:tc>
          <w:tcPr>
            <w:tcW w:w="6860" w:type="dxa"/>
            <w:vAlign w:val="bottom"/>
          </w:tcPr>
          <w:p>
            <w:pPr>
              <w:ind w:left="120"/>
              <w:spacing w:after="0"/>
              <w:rPr>
                <w:sz w:val="20"/>
                <w:szCs w:val="20"/>
                <w:color w:val="auto"/>
              </w:rPr>
            </w:pPr>
            <w:r>
              <w:rPr>
                <w:rFonts w:ascii="Arial" w:cs="Arial" w:eastAsia="Arial" w:hAnsi="Arial"/>
                <w:sz w:val="14"/>
                <w:szCs w:val="14"/>
                <w:color w:val="010035"/>
              </w:rPr>
              <w:t>•  Our Audit Committee Chair qualifies as an “audit committee financial expert” as defined by the SEC</w:t>
            </w: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All Committees comprised solely of independent members</w:t>
            </w:r>
          </w:p>
        </w:tc>
        <w:tc>
          <w:tcPr>
            <w:tcW w:w="0" w:type="dxa"/>
            <w:vAlign w:val="bottom"/>
          </w:tcPr>
          <w:p>
            <w:pPr>
              <w:spacing w:after="0"/>
              <w:rPr>
                <w:sz w:val="1"/>
                <w:szCs w:val="1"/>
                <w:color w:val="auto"/>
              </w:rPr>
            </w:pPr>
          </w:p>
        </w:tc>
      </w:tr>
      <w:tr>
        <w:trPr>
          <w:trHeight w:val="130"/>
        </w:trPr>
        <w:tc>
          <w:tcPr>
            <w:tcW w:w="2540" w:type="dxa"/>
            <w:vAlign w:val="bottom"/>
            <w:tcBorders>
              <w:bottom w:val="single" w:sz="8" w:color="010035"/>
            </w:tcBorders>
          </w:tcPr>
          <w:p>
            <w:pPr>
              <w:spacing w:after="0"/>
              <w:rPr>
                <w:sz w:val="11"/>
                <w:szCs w:val="11"/>
                <w:color w:val="auto"/>
              </w:rPr>
            </w:pPr>
          </w:p>
        </w:tc>
        <w:tc>
          <w:tcPr>
            <w:tcW w:w="6860" w:type="dxa"/>
            <w:vAlign w:val="bottom"/>
            <w:tcBorders>
              <w:bottom w:val="single" w:sz="8" w:color="010035"/>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Ongoing, thoughtful Board refreshment and Committee leadership rotation. Five of our ten</w:t>
            </w:r>
          </w:p>
        </w:tc>
        <w:tc>
          <w:tcPr>
            <w:tcW w:w="0" w:type="dxa"/>
            <w:vAlign w:val="bottom"/>
          </w:tcPr>
          <w:p>
            <w:pPr>
              <w:spacing w:after="0"/>
              <w:rPr>
                <w:sz w:val="1"/>
                <w:szCs w:val="1"/>
                <w:color w:val="auto"/>
              </w:rPr>
            </w:pPr>
          </w:p>
        </w:tc>
      </w:tr>
      <w:tr>
        <w:trPr>
          <w:trHeight w:val="162"/>
        </w:trPr>
        <w:tc>
          <w:tcPr>
            <w:tcW w:w="2540" w:type="dxa"/>
            <w:vAlign w:val="bottom"/>
            <w:vMerge w:val="restart"/>
          </w:tcPr>
          <w:p>
            <w:pPr>
              <w:ind w:left="240"/>
              <w:spacing w:after="0"/>
              <w:rPr>
                <w:sz w:val="20"/>
                <w:szCs w:val="20"/>
                <w:color w:val="auto"/>
              </w:rPr>
            </w:pPr>
            <w:r>
              <w:rPr>
                <w:rFonts w:ascii="Arial" w:cs="Arial" w:eastAsia="Arial" w:hAnsi="Arial"/>
                <w:sz w:val="18"/>
                <w:szCs w:val="18"/>
                <w:b w:val="1"/>
                <w:bCs w:val="1"/>
                <w:color w:val="010035"/>
              </w:rPr>
              <w:t>REFRESHED BOARD</w:t>
            </w:r>
          </w:p>
        </w:tc>
        <w:tc>
          <w:tcPr>
            <w:tcW w:w="6860" w:type="dxa"/>
            <w:vAlign w:val="bottom"/>
          </w:tcPr>
          <w:p>
            <w:pPr>
              <w:ind w:left="240"/>
              <w:spacing w:after="0"/>
              <w:rPr>
                <w:sz w:val="20"/>
                <w:szCs w:val="20"/>
                <w:color w:val="auto"/>
              </w:rPr>
            </w:pPr>
            <w:r>
              <w:rPr>
                <w:rFonts w:ascii="Arial" w:cs="Arial" w:eastAsia="Arial" w:hAnsi="Arial"/>
                <w:sz w:val="14"/>
                <w:szCs w:val="14"/>
                <w:color w:val="010035"/>
              </w:rPr>
              <w:t>independent directors were appointed since our 2025 Annual Meeting, bringing extensive finance,</w:t>
            </w:r>
          </w:p>
        </w:tc>
        <w:tc>
          <w:tcPr>
            <w:tcW w:w="0" w:type="dxa"/>
            <w:vAlign w:val="bottom"/>
          </w:tcPr>
          <w:p>
            <w:pPr>
              <w:spacing w:after="0"/>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010035"/>
              </w:rPr>
              <w:t>human capital and talent management, gaming, strategy, corporate governance and technology</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010035"/>
              </w:rPr>
              <w:t>experience to effectively oversee our next phase of growth and disciplined execution, including with</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010035"/>
              </w:rPr>
              <w:t>respect to our refocused digital strategy</w:t>
            </w:r>
          </w:p>
        </w:tc>
        <w:tc>
          <w:tcPr>
            <w:tcW w:w="0" w:type="dxa"/>
            <w:vAlign w:val="bottom"/>
          </w:tcPr>
          <w:p>
            <w:pPr>
              <w:spacing w:after="0"/>
              <w:rPr>
                <w:sz w:val="1"/>
                <w:szCs w:val="1"/>
                <w:color w:val="auto"/>
              </w:rPr>
            </w:pPr>
          </w:p>
        </w:tc>
      </w:tr>
      <w:tr>
        <w:trPr>
          <w:trHeight w:val="129"/>
        </w:trPr>
        <w:tc>
          <w:tcPr>
            <w:tcW w:w="2540" w:type="dxa"/>
            <w:vAlign w:val="bottom"/>
            <w:tcBorders>
              <w:bottom w:val="single" w:sz="8" w:color="010035"/>
            </w:tcBorders>
          </w:tcPr>
          <w:p>
            <w:pPr>
              <w:spacing w:after="0"/>
              <w:rPr>
                <w:sz w:val="11"/>
                <w:szCs w:val="11"/>
                <w:color w:val="auto"/>
              </w:rPr>
            </w:pPr>
          </w:p>
        </w:tc>
        <w:tc>
          <w:tcPr>
            <w:tcW w:w="6860" w:type="dxa"/>
            <w:vAlign w:val="bottom"/>
            <w:tcBorders>
              <w:bottom w:val="single" w:sz="8" w:color="010035"/>
            </w:tcBorders>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2540" w:type="dxa"/>
            <w:vAlign w:val="bottom"/>
          </w:tcPr>
          <w:p>
            <w:pPr>
              <w:spacing w:after="0"/>
              <w:rPr>
                <w:sz w:val="24"/>
                <w:szCs w:val="24"/>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Annual ‘Say-on-Pay’ vote</w:t>
            </w:r>
          </w:p>
        </w:tc>
        <w:tc>
          <w:tcPr>
            <w:tcW w:w="0" w:type="dxa"/>
            <w:vAlign w:val="bottom"/>
          </w:tcPr>
          <w:p>
            <w:pPr>
              <w:spacing w:after="0"/>
              <w:rPr>
                <w:sz w:val="1"/>
                <w:szCs w:val="1"/>
                <w:color w:val="auto"/>
              </w:rPr>
            </w:pPr>
          </w:p>
        </w:tc>
      </w:tr>
      <w:tr>
        <w:trPr>
          <w:trHeight w:val="257"/>
        </w:trPr>
        <w:tc>
          <w:tcPr>
            <w:tcW w:w="2540" w:type="dxa"/>
            <w:vAlign w:val="bottom"/>
          </w:tcPr>
          <w:p>
            <w:pPr>
              <w:spacing w:after="0"/>
              <w:rPr>
                <w:sz w:val="22"/>
                <w:szCs w:val="22"/>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One class of common stock with equal voting rights</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Annual shareholder engagement program is overseen by the Nominating and Corporate Governance</w:t>
            </w:r>
          </w:p>
        </w:tc>
        <w:tc>
          <w:tcPr>
            <w:tcW w:w="0" w:type="dxa"/>
            <w:vAlign w:val="bottom"/>
          </w:tcPr>
          <w:p>
            <w:pPr>
              <w:spacing w:after="0"/>
              <w:rPr>
                <w:sz w:val="1"/>
                <w:szCs w:val="1"/>
                <w:color w:val="auto"/>
              </w:rPr>
            </w:pPr>
          </w:p>
        </w:tc>
      </w:tr>
      <w:tr>
        <w:trPr>
          <w:trHeight w:val="162"/>
        </w:trPr>
        <w:tc>
          <w:tcPr>
            <w:tcW w:w="2540" w:type="dxa"/>
            <w:vAlign w:val="bottom"/>
            <w:vMerge w:val="restart"/>
          </w:tcPr>
          <w:p>
            <w:pPr>
              <w:ind w:left="240"/>
              <w:spacing w:after="0"/>
              <w:rPr>
                <w:sz w:val="20"/>
                <w:szCs w:val="20"/>
                <w:color w:val="auto"/>
              </w:rPr>
            </w:pPr>
            <w:r>
              <w:rPr>
                <w:rFonts w:ascii="Arial" w:cs="Arial" w:eastAsia="Arial" w:hAnsi="Arial"/>
                <w:sz w:val="18"/>
                <w:szCs w:val="18"/>
                <w:b w:val="1"/>
                <w:bCs w:val="1"/>
                <w:color w:val="010035"/>
              </w:rPr>
              <w:t>ALIGNMENT WITH</w:t>
            </w:r>
          </w:p>
        </w:tc>
        <w:tc>
          <w:tcPr>
            <w:tcW w:w="6860" w:type="dxa"/>
            <w:vAlign w:val="bottom"/>
          </w:tcPr>
          <w:p>
            <w:pPr>
              <w:ind w:left="240"/>
              <w:spacing w:after="0"/>
              <w:rPr>
                <w:sz w:val="20"/>
                <w:szCs w:val="20"/>
                <w:color w:val="auto"/>
              </w:rPr>
            </w:pPr>
            <w:r>
              <w:rPr>
                <w:rFonts w:ascii="Arial" w:cs="Arial" w:eastAsia="Arial" w:hAnsi="Arial"/>
                <w:sz w:val="14"/>
                <w:szCs w:val="14"/>
                <w:color w:val="010035"/>
              </w:rPr>
              <w:t>Committee, with engagement efforts led by our Board Chair and the Chair of our Compensation</w:t>
            </w:r>
          </w:p>
        </w:tc>
        <w:tc>
          <w:tcPr>
            <w:tcW w:w="0" w:type="dxa"/>
            <w:vAlign w:val="bottom"/>
          </w:tcPr>
          <w:p>
            <w:pPr>
              <w:spacing w:after="0"/>
              <w:rPr>
                <w:sz w:val="1"/>
                <w:szCs w:val="1"/>
                <w:color w:val="auto"/>
              </w:rPr>
            </w:pPr>
          </w:p>
        </w:tc>
      </w:tr>
      <w:tr>
        <w:trPr>
          <w:trHeight w:val="144"/>
        </w:trPr>
        <w:tc>
          <w:tcPr>
            <w:tcW w:w="2540" w:type="dxa"/>
            <w:vAlign w:val="bottom"/>
            <w:vMerge w:val="continue"/>
          </w:tcPr>
          <w:p>
            <w:pPr>
              <w:spacing w:after="0"/>
              <w:rPr>
                <w:sz w:val="12"/>
                <w:szCs w:val="12"/>
                <w:color w:val="auto"/>
              </w:rPr>
            </w:pPr>
          </w:p>
        </w:tc>
        <w:tc>
          <w:tcPr>
            <w:tcW w:w="6860" w:type="dxa"/>
            <w:vAlign w:val="bottom"/>
          </w:tcPr>
          <w:p>
            <w:pPr>
              <w:ind w:left="240"/>
              <w:spacing w:after="0" w:line="145" w:lineRule="exact"/>
              <w:rPr>
                <w:sz w:val="20"/>
                <w:szCs w:val="20"/>
                <w:color w:val="auto"/>
              </w:rPr>
            </w:pPr>
            <w:r>
              <w:rPr>
                <w:rFonts w:ascii="Arial" w:cs="Arial" w:eastAsia="Arial" w:hAnsi="Arial"/>
                <w:sz w:val="14"/>
                <w:szCs w:val="14"/>
                <w:color w:val="010035"/>
              </w:rPr>
              <w:t>Committee and Nominating and Corporate Governance Committee</w:t>
            </w:r>
          </w:p>
        </w:tc>
        <w:tc>
          <w:tcPr>
            <w:tcW w:w="0" w:type="dxa"/>
            <w:vAlign w:val="bottom"/>
          </w:tcPr>
          <w:p>
            <w:pPr>
              <w:spacing w:after="0"/>
              <w:rPr>
                <w:sz w:val="1"/>
                <w:szCs w:val="1"/>
                <w:color w:val="auto"/>
              </w:rPr>
            </w:pPr>
          </w:p>
        </w:tc>
      </w:tr>
      <w:tr>
        <w:trPr>
          <w:trHeight w:val="247"/>
        </w:trPr>
        <w:tc>
          <w:tcPr>
            <w:tcW w:w="2540" w:type="dxa"/>
            <w:vAlign w:val="bottom"/>
          </w:tcPr>
          <w:p>
            <w:pPr>
              <w:ind w:left="240"/>
              <w:spacing w:after="0"/>
              <w:rPr>
                <w:sz w:val="20"/>
                <w:szCs w:val="20"/>
                <w:color w:val="auto"/>
              </w:rPr>
            </w:pPr>
            <w:r>
              <w:rPr>
                <w:rFonts w:ascii="Arial" w:cs="Arial" w:eastAsia="Arial" w:hAnsi="Arial"/>
                <w:sz w:val="18"/>
                <w:szCs w:val="18"/>
                <w:b w:val="1"/>
                <w:bCs w:val="1"/>
                <w:color w:val="010035"/>
                <w:w w:val="93"/>
              </w:rPr>
              <w:t>SHAREHOLDER INTERESTS</w:t>
            </w:r>
          </w:p>
        </w:tc>
        <w:tc>
          <w:tcPr>
            <w:tcW w:w="6860" w:type="dxa"/>
            <w:vAlign w:val="bottom"/>
            <w:vMerge w:val="restart"/>
          </w:tcPr>
          <w:p>
            <w:pPr>
              <w:ind w:left="120"/>
              <w:spacing w:after="0"/>
              <w:rPr>
                <w:sz w:val="20"/>
                <w:szCs w:val="20"/>
                <w:color w:val="auto"/>
              </w:rPr>
            </w:pPr>
            <w:r>
              <w:rPr>
                <w:rFonts w:ascii="Arial" w:cs="Arial" w:eastAsia="Arial" w:hAnsi="Arial"/>
                <w:sz w:val="14"/>
                <w:szCs w:val="14"/>
                <w:color w:val="010035"/>
              </w:rPr>
              <w:t>•  Robust stock ownership guidelines for executives and directors</w:t>
            </w:r>
          </w:p>
        </w:tc>
        <w:tc>
          <w:tcPr>
            <w:tcW w:w="0" w:type="dxa"/>
            <w:vAlign w:val="bottom"/>
          </w:tcPr>
          <w:p>
            <w:pPr>
              <w:spacing w:after="0"/>
              <w:rPr>
                <w:sz w:val="1"/>
                <w:szCs w:val="1"/>
                <w:color w:val="auto"/>
              </w:rPr>
            </w:pPr>
          </w:p>
        </w:tc>
      </w:tr>
      <w:tr>
        <w:trPr>
          <w:trHeight w:val="56"/>
        </w:trPr>
        <w:tc>
          <w:tcPr>
            <w:tcW w:w="2540" w:type="dxa"/>
            <w:vAlign w:val="bottom"/>
          </w:tcPr>
          <w:p>
            <w:pPr>
              <w:spacing w:after="0"/>
              <w:rPr>
                <w:sz w:val="4"/>
                <w:szCs w:val="4"/>
                <w:color w:val="auto"/>
              </w:rPr>
            </w:pPr>
          </w:p>
        </w:tc>
        <w:tc>
          <w:tcPr>
            <w:tcW w:w="6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Policies prohibiting hedging and pledging of PENN securities</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Comprehensive clawback policy for current and former executives, covering all equity incentives in the</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010035"/>
              </w:rPr>
              <w:t>event of a restatement (performance- and time-based)</w:t>
            </w:r>
          </w:p>
        </w:tc>
        <w:tc>
          <w:tcPr>
            <w:tcW w:w="0" w:type="dxa"/>
            <w:vAlign w:val="bottom"/>
          </w:tcPr>
          <w:p>
            <w:pPr>
              <w:spacing w:after="0"/>
              <w:rPr>
                <w:sz w:val="1"/>
                <w:szCs w:val="1"/>
                <w:color w:val="auto"/>
              </w:rPr>
            </w:pPr>
          </w:p>
        </w:tc>
      </w:tr>
      <w:tr>
        <w:trPr>
          <w:trHeight w:val="143"/>
        </w:trPr>
        <w:tc>
          <w:tcPr>
            <w:tcW w:w="2540" w:type="dxa"/>
            <w:vAlign w:val="bottom"/>
            <w:tcBorders>
              <w:bottom w:val="single" w:sz="8" w:color="010035"/>
            </w:tcBorders>
          </w:tcPr>
          <w:p>
            <w:pPr>
              <w:spacing w:after="0"/>
              <w:rPr>
                <w:sz w:val="12"/>
                <w:szCs w:val="12"/>
                <w:color w:val="auto"/>
              </w:rPr>
            </w:pPr>
          </w:p>
        </w:tc>
        <w:tc>
          <w:tcPr>
            <w:tcW w:w="6860" w:type="dxa"/>
            <w:vAlign w:val="bottom"/>
            <w:tcBorders>
              <w:bottom w:val="single" w:sz="8" w:color="010035"/>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Rigorous enterprise risk management program overseen by the Audit Committee, with quarterly</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010035"/>
              </w:rPr>
              <w:t>review of the Company’s risk profile, including but not limited to risks associated with cybersecurity,</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010035"/>
              </w:rPr>
              <w:t>human capital management and regulatory compliance</w:t>
            </w:r>
          </w:p>
        </w:tc>
        <w:tc>
          <w:tcPr>
            <w:tcW w:w="0" w:type="dxa"/>
            <w:vAlign w:val="bottom"/>
          </w:tcPr>
          <w:p>
            <w:pPr>
              <w:spacing w:after="0"/>
              <w:rPr>
                <w:sz w:val="1"/>
                <w:szCs w:val="1"/>
                <w:color w:val="auto"/>
              </w:rPr>
            </w:pPr>
          </w:p>
        </w:tc>
      </w:tr>
      <w:tr>
        <w:trPr>
          <w:trHeight w:val="228"/>
        </w:trPr>
        <w:tc>
          <w:tcPr>
            <w:tcW w:w="2540" w:type="dxa"/>
            <w:vAlign w:val="bottom"/>
          </w:tcPr>
          <w:p>
            <w:pPr>
              <w:spacing w:after="0"/>
              <w:rPr>
                <w:sz w:val="19"/>
                <w:szCs w:val="19"/>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Compliance Committee with broad authority, comprised of independent directors, bolstered by two</w:t>
            </w:r>
          </w:p>
        </w:tc>
        <w:tc>
          <w:tcPr>
            <w:tcW w:w="0" w:type="dxa"/>
            <w:vAlign w:val="bottom"/>
          </w:tcPr>
          <w:p>
            <w:pPr>
              <w:spacing w:after="0"/>
              <w:rPr>
                <w:sz w:val="1"/>
                <w:szCs w:val="1"/>
                <w:color w:val="auto"/>
              </w:rPr>
            </w:pPr>
          </w:p>
        </w:tc>
      </w:tr>
      <w:tr>
        <w:trPr>
          <w:trHeight w:val="190"/>
        </w:trPr>
        <w:tc>
          <w:tcPr>
            <w:tcW w:w="2540" w:type="dxa"/>
            <w:vAlign w:val="bottom"/>
            <w:vMerge w:val="restart"/>
          </w:tcPr>
          <w:p>
            <w:pPr>
              <w:ind w:left="240"/>
              <w:spacing w:after="0"/>
              <w:rPr>
                <w:sz w:val="20"/>
                <w:szCs w:val="20"/>
                <w:color w:val="auto"/>
              </w:rPr>
            </w:pPr>
            <w:r>
              <w:rPr>
                <w:rFonts w:ascii="Arial" w:cs="Arial" w:eastAsia="Arial" w:hAnsi="Arial"/>
                <w:sz w:val="18"/>
                <w:szCs w:val="18"/>
                <w:b w:val="1"/>
                <w:bCs w:val="1"/>
                <w:color w:val="010035"/>
              </w:rPr>
              <w:t>EFFECTIVE RISK</w:t>
            </w:r>
          </w:p>
        </w:tc>
        <w:tc>
          <w:tcPr>
            <w:tcW w:w="6860" w:type="dxa"/>
            <w:vAlign w:val="bottom"/>
          </w:tcPr>
          <w:p>
            <w:pPr>
              <w:ind w:left="240"/>
              <w:spacing w:after="0"/>
              <w:rPr>
                <w:sz w:val="20"/>
                <w:szCs w:val="20"/>
                <w:color w:val="auto"/>
              </w:rPr>
            </w:pPr>
            <w:r>
              <w:rPr>
                <w:rFonts w:ascii="Arial" w:cs="Arial" w:eastAsia="Arial" w:hAnsi="Arial"/>
                <w:sz w:val="14"/>
                <w:szCs w:val="14"/>
                <w:color w:val="010035"/>
              </w:rPr>
              <w:t>external non-director compliance professionals, including the Chair</w:t>
            </w:r>
          </w:p>
        </w:tc>
        <w:tc>
          <w:tcPr>
            <w:tcW w:w="0" w:type="dxa"/>
            <w:vAlign w:val="bottom"/>
          </w:tcPr>
          <w:p>
            <w:pPr>
              <w:spacing w:after="0"/>
              <w:rPr>
                <w:sz w:val="1"/>
                <w:szCs w:val="1"/>
                <w:color w:val="auto"/>
              </w:rPr>
            </w:pPr>
          </w:p>
        </w:tc>
      </w:tr>
      <w:tr>
        <w:trPr>
          <w:trHeight w:val="97"/>
        </w:trPr>
        <w:tc>
          <w:tcPr>
            <w:tcW w:w="2540" w:type="dxa"/>
            <w:vAlign w:val="bottom"/>
            <w:vMerge w:val="continue"/>
          </w:tcPr>
          <w:p>
            <w:pPr>
              <w:spacing w:after="0"/>
              <w:rPr>
                <w:sz w:val="8"/>
                <w:szCs w:val="8"/>
                <w:color w:val="auto"/>
              </w:rPr>
            </w:pPr>
          </w:p>
        </w:tc>
        <w:tc>
          <w:tcPr>
            <w:tcW w:w="6860" w:type="dxa"/>
            <w:vAlign w:val="bottom"/>
            <w:vMerge w:val="restart"/>
          </w:tcPr>
          <w:p>
            <w:pPr>
              <w:ind w:left="120"/>
              <w:spacing w:after="0"/>
              <w:rPr>
                <w:sz w:val="20"/>
                <w:szCs w:val="20"/>
                <w:color w:val="auto"/>
              </w:rPr>
            </w:pPr>
            <w:r>
              <w:rPr>
                <w:rFonts w:ascii="Arial" w:cs="Arial" w:eastAsia="Arial" w:hAnsi="Arial"/>
                <w:sz w:val="14"/>
                <w:szCs w:val="14"/>
                <w:color w:val="010035"/>
              </w:rPr>
              <w:t>•  Cybersecurity oversight by full Board and Audit Committee, with a recently completed third-party</w:t>
            </w:r>
          </w:p>
        </w:tc>
        <w:tc>
          <w:tcPr>
            <w:tcW w:w="0" w:type="dxa"/>
            <w:vAlign w:val="bottom"/>
          </w:tcPr>
          <w:p>
            <w:pPr>
              <w:spacing w:after="0"/>
              <w:rPr>
                <w:sz w:val="1"/>
                <w:szCs w:val="1"/>
                <w:color w:val="auto"/>
              </w:rPr>
            </w:pPr>
          </w:p>
        </w:tc>
      </w:tr>
      <w:tr>
        <w:trPr>
          <w:trHeight w:val="118"/>
        </w:trPr>
        <w:tc>
          <w:tcPr>
            <w:tcW w:w="2540" w:type="dxa"/>
            <w:vAlign w:val="bottom"/>
            <w:vMerge w:val="restart"/>
          </w:tcPr>
          <w:p>
            <w:pPr>
              <w:ind w:left="240"/>
              <w:spacing w:after="0"/>
              <w:rPr>
                <w:sz w:val="20"/>
                <w:szCs w:val="20"/>
                <w:color w:val="auto"/>
              </w:rPr>
            </w:pPr>
            <w:r>
              <w:rPr>
                <w:rFonts w:ascii="Arial" w:cs="Arial" w:eastAsia="Arial" w:hAnsi="Arial"/>
                <w:sz w:val="18"/>
                <w:szCs w:val="18"/>
                <w:b w:val="1"/>
                <w:bCs w:val="1"/>
                <w:color w:val="010035"/>
              </w:rPr>
              <w:t>OVERSIGHT</w:t>
            </w:r>
          </w:p>
        </w:tc>
        <w:tc>
          <w:tcPr>
            <w:tcW w:w="6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540" w:type="dxa"/>
            <w:vAlign w:val="bottom"/>
            <w:vMerge w:val="continue"/>
          </w:tcPr>
          <w:p>
            <w:pPr>
              <w:spacing w:after="0"/>
              <w:rPr>
                <w:sz w:val="11"/>
                <w:szCs w:val="11"/>
                <w:color w:val="auto"/>
              </w:rPr>
            </w:pPr>
          </w:p>
        </w:tc>
        <w:tc>
          <w:tcPr>
            <w:tcW w:w="6860" w:type="dxa"/>
            <w:vAlign w:val="bottom"/>
            <w:vMerge w:val="restart"/>
          </w:tcPr>
          <w:p>
            <w:pPr>
              <w:ind w:left="240"/>
              <w:spacing w:after="0"/>
              <w:rPr>
                <w:sz w:val="20"/>
                <w:szCs w:val="20"/>
                <w:color w:val="auto"/>
              </w:rPr>
            </w:pPr>
            <w:r>
              <w:rPr>
                <w:rFonts w:ascii="Arial" w:cs="Arial" w:eastAsia="Arial" w:hAnsi="Arial"/>
                <w:sz w:val="14"/>
                <w:szCs w:val="14"/>
                <w:color w:val="010035"/>
              </w:rPr>
              <w:t>consultant table-top exercise informing improvements to preparedness and response plans</w:t>
            </w:r>
          </w:p>
        </w:tc>
        <w:tc>
          <w:tcPr>
            <w:tcW w:w="0" w:type="dxa"/>
            <w:vAlign w:val="bottom"/>
          </w:tcPr>
          <w:p>
            <w:pPr>
              <w:spacing w:after="0"/>
              <w:rPr>
                <w:sz w:val="1"/>
                <w:szCs w:val="1"/>
                <w:color w:val="auto"/>
              </w:rPr>
            </w:pPr>
          </w:p>
        </w:tc>
      </w:tr>
      <w:tr>
        <w:trPr>
          <w:trHeight w:val="61"/>
        </w:trPr>
        <w:tc>
          <w:tcPr>
            <w:tcW w:w="254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Independent directors meet regularly without management</w:t>
            </w:r>
          </w:p>
        </w:tc>
        <w:tc>
          <w:tcPr>
            <w:tcW w:w="0" w:type="dxa"/>
            <w:vAlign w:val="bottom"/>
          </w:tcPr>
          <w:p>
            <w:pPr>
              <w:spacing w:after="0"/>
              <w:rPr>
                <w:sz w:val="1"/>
                <w:szCs w:val="1"/>
                <w:color w:val="auto"/>
              </w:rPr>
            </w:pPr>
          </w:p>
        </w:tc>
      </w:tr>
      <w:tr>
        <w:trPr>
          <w:trHeight w:val="257"/>
        </w:trPr>
        <w:tc>
          <w:tcPr>
            <w:tcW w:w="2540" w:type="dxa"/>
            <w:vAlign w:val="bottom"/>
          </w:tcPr>
          <w:p>
            <w:pPr>
              <w:spacing w:after="0"/>
              <w:rPr>
                <w:sz w:val="22"/>
                <w:szCs w:val="22"/>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The Compliance Committee receives quarterly updates on whistleblower matters</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Comprehensive director onboarding and continuing education program</w:t>
            </w:r>
          </w:p>
        </w:tc>
        <w:tc>
          <w:tcPr>
            <w:tcW w:w="0" w:type="dxa"/>
            <w:vAlign w:val="bottom"/>
          </w:tcPr>
          <w:p>
            <w:pPr>
              <w:spacing w:after="0"/>
              <w:rPr>
                <w:sz w:val="1"/>
                <w:szCs w:val="1"/>
                <w:color w:val="auto"/>
              </w:rPr>
            </w:pPr>
          </w:p>
        </w:tc>
      </w:tr>
      <w:tr>
        <w:trPr>
          <w:trHeight w:val="143"/>
        </w:trPr>
        <w:tc>
          <w:tcPr>
            <w:tcW w:w="2540" w:type="dxa"/>
            <w:vAlign w:val="bottom"/>
            <w:tcBorders>
              <w:bottom w:val="single" w:sz="8" w:color="010035"/>
            </w:tcBorders>
          </w:tcPr>
          <w:p>
            <w:pPr>
              <w:spacing w:after="0"/>
              <w:rPr>
                <w:sz w:val="12"/>
                <w:szCs w:val="12"/>
                <w:color w:val="auto"/>
              </w:rPr>
            </w:pPr>
          </w:p>
        </w:tc>
        <w:tc>
          <w:tcPr>
            <w:tcW w:w="6860" w:type="dxa"/>
            <w:vAlign w:val="bottom"/>
            <w:tcBorders>
              <w:bottom w:val="single" w:sz="8" w:color="010035"/>
            </w:tcBorders>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2540" w:type="dxa"/>
            <w:vAlign w:val="bottom"/>
          </w:tcPr>
          <w:p>
            <w:pPr>
              <w:spacing w:after="0"/>
              <w:rPr>
                <w:sz w:val="24"/>
                <w:szCs w:val="24"/>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10035"/>
              </w:rPr>
              <w:t>•  Extensive CEO and executive leadership succession planning</w:t>
            </w: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9400"/>
          </w:cols>
          <w:pgMar w:left="1240" w:top="114" w:right="1259" w:bottom="1440" w:gutter="0" w:footer="0" w:header="0"/>
        </w:sectPr>
      </w:pPr>
    </w:p>
    <w:p>
      <w:pPr>
        <w:spacing w:after="0" w:line="15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10035"/>
        </w:rPr>
        <w:t>SUCCESSION</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10035"/>
        </w:rPr>
        <w:t>PLANNING</w:t>
      </w:r>
    </w:p>
    <w:p>
      <w:pPr>
        <w:spacing w:after="0" w:line="20" w:lineRule="exact"/>
        <w:rPr>
          <w:sz w:val="20"/>
          <w:szCs w:val="20"/>
          <w:color w:val="auto"/>
        </w:rPr>
      </w:pPr>
      <w:r>
        <w:rPr>
          <w:sz w:val="20"/>
          <w:szCs w:val="20"/>
          <w:color w:val="auto"/>
        </w:rPr>
        <w:br w:type="column"/>
      </w:r>
    </w:p>
    <w:p>
      <w:pPr>
        <w:ind w:left="120" w:right="880" w:hanging="121"/>
        <w:spacing w:after="0" w:line="285" w:lineRule="auto"/>
        <w:rPr>
          <w:sz w:val="20"/>
          <w:szCs w:val="20"/>
          <w:color w:val="auto"/>
        </w:rPr>
      </w:pPr>
      <w:r>
        <w:rPr>
          <w:rFonts w:ascii="Arial" w:cs="Arial" w:eastAsia="Arial" w:hAnsi="Arial"/>
          <w:sz w:val="14"/>
          <w:szCs w:val="14"/>
          <w:color w:val="010035"/>
        </w:rPr>
        <w:t>•  Regular Board interactions with senior leaders to inform independent assessment of talent development readiness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010035"/>
        </w:rPr>
        <w:t>•  Robust director and committee leadership succession planning</w:t>
      </w:r>
    </w:p>
    <w:p>
      <w:pPr>
        <w:spacing w:after="0" w:line="96" w:lineRule="exact"/>
        <w:rPr>
          <w:sz w:val="20"/>
          <w:szCs w:val="20"/>
          <w:color w:val="auto"/>
        </w:rPr>
      </w:pPr>
    </w:p>
    <w:p>
      <w:pPr>
        <w:ind w:left="120" w:right="500" w:hanging="121"/>
        <w:spacing w:after="0" w:line="285" w:lineRule="auto"/>
        <w:rPr>
          <w:sz w:val="20"/>
          <w:szCs w:val="20"/>
          <w:color w:val="auto"/>
        </w:rPr>
      </w:pPr>
      <w:r>
        <w:rPr>
          <w:rFonts w:ascii="Arial" w:cs="Arial" w:eastAsia="Arial" w:hAnsi="Arial"/>
          <w:sz w:val="14"/>
          <w:szCs w:val="14"/>
          <w:color w:val="010035"/>
        </w:rPr>
        <w:t>•  Annual Board and Committee self-evaluations of director performance and qualifications informs ongoing director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54610</wp:posOffset>
            </wp:positionV>
            <wp:extent cx="59664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174625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940" w:space="720"/>
            <w:col w:w="6740"/>
          </w:cols>
          <w:pgMar w:left="1240" w:top="114" w:right="12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69439A"/>
        </w:rPr>
        <w:t>Regular Shareholder Communications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596646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59664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86"/>
          <w:szCs w:val="86"/>
          <w:b w:val="1"/>
          <w:bCs w:val="1"/>
          <w:color w:val="69439A"/>
        </w:rPr>
        <w:t>240+</w:t>
      </w:r>
    </w:p>
    <w:p>
      <w:pPr>
        <w:ind w:left="380"/>
        <w:spacing w:after="0"/>
        <w:rPr>
          <w:sz w:val="20"/>
          <w:szCs w:val="20"/>
          <w:color w:val="auto"/>
        </w:rPr>
      </w:pPr>
      <w:r>
        <w:rPr>
          <w:rFonts w:ascii="Arial" w:cs="Arial" w:eastAsia="Arial" w:hAnsi="Arial"/>
          <w:sz w:val="13"/>
          <w:szCs w:val="13"/>
          <w:color w:val="010035"/>
        </w:rPr>
        <w:t>meetings with shareholders in 2025</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220"/>
        <w:spacing w:after="0" w:line="252" w:lineRule="auto"/>
        <w:rPr>
          <w:sz w:val="20"/>
          <w:szCs w:val="20"/>
          <w:color w:val="auto"/>
        </w:rPr>
      </w:pPr>
      <w:r>
        <w:rPr>
          <w:rFonts w:ascii="Arial" w:cs="Arial" w:eastAsia="Arial" w:hAnsi="Arial"/>
          <w:sz w:val="14"/>
          <w:szCs w:val="14"/>
          <w:color w:val="010035"/>
        </w:rPr>
        <w:t>The Board and management team value shareholder perspectives and in 2025 Company participants held over 240 meetings with shareholders through investor meetings, industry conferences and regularly scheduled post-earnings discussions. The Company participants in these conversations included our CEO and CFO, and others on the senior management team, as well as cross-functional representatives from operations, legal, finance and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129540</wp:posOffset>
            </wp:positionV>
            <wp:extent cx="59664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41" w:lineRule="exact"/>
        <w:rPr>
          <w:sz w:val="20"/>
          <w:szCs w:val="20"/>
          <w:color w:val="auto"/>
        </w:rPr>
      </w:pPr>
    </w:p>
    <w:p>
      <w:pPr>
        <w:sectPr>
          <w:pgSz w:w="11900" w:h="16838" w:orient="portrait"/>
          <w:cols w:equalWidth="0" w:num="2">
            <w:col w:w="2520" w:space="220"/>
            <w:col w:w="6660"/>
          </w:cols>
          <w:pgMar w:left="1240" w:top="114" w:right="125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Annual Off-Season Shareholder Outreach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Our Board values shareholder feedback as a critical input in our annual corporate governance and executive compensation review process to promote transparency, develop a better understanding of shareholder perspectives, and support Board accountability. We maintain an active semi-annual, broad-based shareholder engagement program, which is led by our independent directors, to solicit shareholder inputs and feedback on a range of topics, including strategic priorities, capital allocation, corporate governance, executive compensation, and business impact initiatives, as well as on other topics of importance to our shareholders. Perspectives of our shareholders are shared with relevant Committees and the full Board and inform the Board meeting agendas, as well as responsive actions when appropriate,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5966460" cy="4286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6460" cy="42862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10035"/>
        </w:rPr>
        <w:t>OUTREACH</w:t>
      </w:r>
    </w:p>
    <w:p>
      <w:pPr>
        <w:spacing w:after="0" w:line="40" w:lineRule="exact"/>
        <w:rPr>
          <w:sz w:val="20"/>
          <w:szCs w:val="20"/>
          <w:color w:val="auto"/>
        </w:rPr>
      </w:pPr>
    </w:p>
    <w:p>
      <w:pPr>
        <w:jc w:val="right"/>
        <w:ind w:left="200" w:right="560"/>
        <w:spacing w:after="0" w:line="181" w:lineRule="auto"/>
        <w:rPr>
          <w:sz w:val="20"/>
          <w:szCs w:val="20"/>
          <w:color w:val="auto"/>
        </w:rPr>
      </w:pPr>
      <w:r>
        <w:rPr>
          <w:rFonts w:ascii="Arial" w:cs="Arial" w:eastAsia="Arial" w:hAnsi="Arial"/>
          <w:sz w:val="73"/>
          <w:szCs w:val="73"/>
          <w:b w:val="1"/>
          <w:bCs w:val="1"/>
          <w:color w:val="69439A"/>
          <w:vertAlign w:val="subscript"/>
        </w:rPr>
        <w:t>48%</w:t>
      </w:r>
      <w:r>
        <w:rPr>
          <w:rFonts w:ascii="Arial" w:cs="Arial" w:eastAsia="Arial" w:hAnsi="Arial"/>
          <w:sz w:val="13"/>
          <w:szCs w:val="13"/>
          <w:color w:val="010035"/>
        </w:rPr>
        <w:t xml:space="preserve"> Contacted 17 shareholders</w:t>
      </w:r>
    </w:p>
    <w:p>
      <w:pPr>
        <w:ind w:left="2060"/>
        <w:spacing w:after="0" w:line="186" w:lineRule="auto"/>
        <w:rPr>
          <w:sz w:val="20"/>
          <w:szCs w:val="20"/>
          <w:color w:val="auto"/>
        </w:rPr>
      </w:pPr>
      <w:r>
        <w:rPr>
          <w:rFonts w:ascii="Arial" w:cs="Arial" w:eastAsia="Arial" w:hAnsi="Arial"/>
          <w:sz w:val="14"/>
          <w:szCs w:val="14"/>
          <w:color w:val="010035"/>
        </w:rPr>
        <w:t>representing ~48%</w:t>
      </w:r>
      <w:r>
        <w:rPr>
          <w:rFonts w:ascii="Arial" w:cs="Arial" w:eastAsia="Arial" w:hAnsi="Arial"/>
          <w:sz w:val="22"/>
          <w:szCs w:val="22"/>
          <w:color w:val="010035"/>
          <w:vertAlign w:val="superscript"/>
        </w:rPr>
        <w:t>*</w:t>
      </w:r>
      <w:r>
        <w:rPr>
          <w:rFonts w:ascii="Arial" w:cs="Arial" w:eastAsia="Arial" w:hAnsi="Arial"/>
          <w:sz w:val="14"/>
          <w:szCs w:val="14"/>
          <w:color w:val="010035"/>
        </w:rPr>
        <w:t xml:space="preserve"> of</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4"/>
          <w:szCs w:val="14"/>
          <w:color w:val="010035"/>
        </w:rPr>
        <w:t>the Company’s</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4"/>
          <w:szCs w:val="14"/>
          <w:color w:val="010035"/>
        </w:rPr>
        <w:t>outstanding shares</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4"/>
          <w:szCs w:val="14"/>
          <w:color w:val="010035"/>
        </w:rPr>
        <w:t>during the off-season</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1"/>
          <w:szCs w:val="11"/>
          <w:b w:val="1"/>
          <w:bCs w:val="1"/>
          <w:color w:val="010035"/>
        </w:rPr>
        <w:t>*  Outstanding share ownership calculated as of June 20, 2025</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010035"/>
        </w:rPr>
        <w:t>ENGAGED</w:t>
      </w:r>
    </w:p>
    <w:p>
      <w:pPr>
        <w:spacing w:after="0" w:line="240" w:lineRule="exact"/>
        <w:rPr>
          <w:sz w:val="20"/>
          <w:szCs w:val="20"/>
          <w:color w:val="auto"/>
        </w:rPr>
      </w:pPr>
    </w:p>
    <w:p>
      <w:pPr>
        <w:jc w:val="right"/>
        <w:ind w:right="420"/>
        <w:spacing w:after="0" w:line="183" w:lineRule="auto"/>
        <w:rPr>
          <w:sz w:val="20"/>
          <w:szCs w:val="20"/>
          <w:color w:val="auto"/>
        </w:rPr>
      </w:pPr>
      <w:r>
        <w:rPr>
          <w:rFonts w:ascii="Arial" w:cs="Arial" w:eastAsia="Arial" w:hAnsi="Arial"/>
          <w:sz w:val="47"/>
          <w:szCs w:val="47"/>
          <w:b w:val="1"/>
          <w:bCs w:val="1"/>
          <w:color w:val="69439A"/>
        </w:rPr>
        <w:t xml:space="preserve">36% </w:t>
      </w:r>
      <w:r>
        <w:rPr>
          <w:rFonts w:ascii="Arial" w:cs="Arial" w:eastAsia="Arial" w:hAnsi="Arial"/>
          <w:sz w:val="12"/>
          <w:szCs w:val="12"/>
          <w:color w:val="010035"/>
        </w:rPr>
        <w:t>Engaged with 9</w:t>
      </w:r>
      <w:r>
        <w:rPr>
          <w:rFonts w:ascii="Arial" w:cs="Arial" w:eastAsia="Arial" w:hAnsi="Arial"/>
          <w:sz w:val="47"/>
          <w:szCs w:val="47"/>
          <w:b w:val="1"/>
          <w:bCs w:val="1"/>
          <w:color w:val="69439A"/>
        </w:rPr>
        <w:t xml:space="preserve"> </w:t>
      </w:r>
      <w:r>
        <w:rPr>
          <w:rFonts w:ascii="Arial" w:cs="Arial" w:eastAsia="Arial" w:hAnsi="Arial"/>
          <w:sz w:val="12"/>
          <w:szCs w:val="12"/>
          <w:color w:val="010035"/>
        </w:rPr>
        <w:t>shareholders</w:t>
      </w:r>
    </w:p>
    <w:p>
      <w:pPr>
        <w:ind w:left="1880"/>
        <w:spacing w:after="0" w:line="184" w:lineRule="auto"/>
        <w:rPr>
          <w:sz w:val="20"/>
          <w:szCs w:val="20"/>
          <w:color w:val="auto"/>
        </w:rPr>
      </w:pPr>
      <w:r>
        <w:rPr>
          <w:rFonts w:ascii="Arial" w:cs="Arial" w:eastAsia="Arial" w:hAnsi="Arial"/>
          <w:sz w:val="14"/>
          <w:szCs w:val="14"/>
          <w:color w:val="010035"/>
        </w:rPr>
        <w:t>representing ~36%</w:t>
      </w:r>
      <w:r>
        <w:rPr>
          <w:rFonts w:ascii="Arial" w:cs="Arial" w:eastAsia="Arial" w:hAnsi="Arial"/>
          <w:sz w:val="22"/>
          <w:szCs w:val="22"/>
          <w:color w:val="010035"/>
          <w:vertAlign w:val="superscript"/>
        </w:rPr>
        <w:t>*</w:t>
      </w:r>
      <w:r>
        <w:rPr>
          <w:rFonts w:ascii="Arial" w:cs="Arial" w:eastAsia="Arial" w:hAnsi="Arial"/>
          <w:sz w:val="14"/>
          <w:szCs w:val="14"/>
          <w:color w:val="010035"/>
        </w:rPr>
        <w:t xml:space="preserve"> of</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010035"/>
        </w:rPr>
        <w:t>the Company’s</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010035"/>
        </w:rPr>
        <w:t>outstanding shares</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010035"/>
        </w:rPr>
        <w:t>during the off-season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280670</wp:posOffset>
            </wp:positionV>
            <wp:extent cx="59664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010035"/>
        </w:rPr>
        <w:t>DIRECTOR LED</w:t>
      </w:r>
    </w:p>
    <w:p>
      <w:pPr>
        <w:spacing w:after="0" w:line="333"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010035"/>
        </w:rPr>
        <w:t>Engagement efforts led by our Independent Board Chair, Compensation Committee Chair and Nominating and Corporate Governance Committee Chair</w:t>
      </w:r>
    </w:p>
    <w:p>
      <w:pPr>
        <w:spacing w:after="0" w:line="546" w:lineRule="exact"/>
        <w:rPr>
          <w:sz w:val="20"/>
          <w:szCs w:val="20"/>
          <w:color w:val="auto"/>
        </w:rPr>
      </w:pPr>
    </w:p>
    <w:p>
      <w:pPr>
        <w:sectPr>
          <w:pgSz w:w="11900" w:h="16838" w:orient="portrait"/>
          <w:cols w:equalWidth="0" w:num="3">
            <w:col w:w="3480" w:space="260"/>
            <w:col w:w="3300" w:space="320"/>
            <w:col w:w="2040"/>
          </w:cols>
          <w:pgMar w:left="1240" w:top="114" w:right="1259" w:bottom="1440" w:gutter="0" w:footer="0" w:header="0"/>
          <w:type w:val="continuous"/>
        </w:sectPr>
      </w:pPr>
    </w:p>
    <w:p>
      <w:pPr>
        <w:spacing w:after="0" w:line="248" w:lineRule="auto"/>
        <w:rPr>
          <w:sz w:val="20"/>
          <w:szCs w:val="20"/>
          <w:color w:val="auto"/>
        </w:rPr>
      </w:pPr>
      <w:r>
        <w:rPr>
          <w:rFonts w:ascii="Arial" w:cs="Arial" w:eastAsia="Arial" w:hAnsi="Arial"/>
          <w:sz w:val="14"/>
          <w:szCs w:val="14"/>
          <w:color w:val="auto"/>
        </w:rPr>
        <w:t xml:space="preserve">Many shareholders who participated in the 2025 engagement meetings expressed appreciation of the Board’s thoughtful approach to shareholder dialogue and responsive actions adopted in past years, including enhanced proxy disclosures and the continued evolution of executive compensation practices. The Board strives to maintain leading governance practices and is committed to continuing its track record of implementing responsiveness actions that address shareholder priorities, while promoting long-term shareholder value and accountability. For full details related to shareholder feedback on our executive compensation program and the Board’s responsiveness actions, including the Board’s disclosure on its expanded compensation-focused outreach, see the ‘Shareholder Engagement’ section on page </w:t>
      </w:r>
      <w:r>
        <w:rPr>
          <w:rFonts w:ascii="Arial" w:cs="Arial" w:eastAsia="Arial" w:hAnsi="Arial"/>
          <w:sz w:val="14"/>
          <w:szCs w:val="14"/>
          <w:u w:val="single" w:color="auto"/>
          <w:color w:val="0000EE"/>
        </w:rPr>
        <w:t>40</w:t>
      </w:r>
      <w:r>
        <w:rPr>
          <w:rFonts w:ascii="Arial" w:cs="Arial" w:eastAsia="Arial" w:hAnsi="Arial"/>
          <w:sz w:val="14"/>
          <w:szCs w:val="14"/>
          <w:color w:val="auto"/>
        </w:rPr>
        <w:t xml:space="preserve"> and ‘2025 Say-On-Pay Vote and Shareholder Engagement’ on page </w:t>
      </w:r>
      <w:r>
        <w:rPr>
          <w:rFonts w:ascii="Arial" w:cs="Arial" w:eastAsia="Arial" w:hAnsi="Arial"/>
          <w:sz w:val="14"/>
          <w:szCs w:val="14"/>
          <w:u w:val="single" w:color="auto"/>
          <w:color w:val="0000EE"/>
        </w:rPr>
        <w:t>57</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386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6460" cy="38608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10035"/>
        </w:rPr>
        <w:t>KEY DISCUSSION TOPICS</w:t>
      </w:r>
    </w:p>
    <w:p>
      <w:pPr>
        <w:spacing w:after="0" w:line="200" w:lineRule="exact"/>
        <w:rPr>
          <w:sz w:val="20"/>
          <w:szCs w:val="20"/>
          <w:color w:val="auto"/>
        </w:rPr>
      </w:pPr>
    </w:p>
    <w:p>
      <w:pPr>
        <w:spacing w:after="0" w:line="21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10035"/>
        </w:rPr>
        <w:t>Business strategy</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4"/>
          <w:szCs w:val="14"/>
          <w:color w:val="010035"/>
        </w:rPr>
        <w:t> </w:t>
      </w:r>
    </w:p>
    <w:p>
      <w:pPr>
        <w:spacing w:after="0" w:line="33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10035"/>
        </w:rPr>
        <w:t>Board oversight of strategic initiatives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4"/>
          <w:szCs w:val="14"/>
          <w:color w:val="010035"/>
        </w:rPr>
        <w:t> </w:t>
      </w:r>
    </w:p>
    <w:p>
      <w:pPr>
        <w:spacing w:after="0" w:line="33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10035"/>
        </w:rPr>
        <w:t>New director onboarding</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4"/>
          <w:szCs w:val="14"/>
          <w:color w:val="010035"/>
        </w:rPr>
        <w:t> </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10035"/>
        </w:rPr>
        <w:t>Executive compensation program and alignment with</w:t>
      </w:r>
    </w:p>
    <w:p>
      <w:pPr>
        <w:ind w:left="600" w:hanging="351"/>
        <w:spacing w:after="0" w:line="187" w:lineRule="auto"/>
        <w:tabs>
          <w:tab w:leader="none" w:pos="600" w:val="left"/>
        </w:tabs>
        <w:numPr>
          <w:ilvl w:val="0"/>
          <w:numId w:val="16"/>
        </w:numPr>
        <w:rPr>
          <w:rFonts w:ascii="Arial" w:cs="Arial" w:eastAsia="Arial" w:hAnsi="Arial"/>
          <w:sz w:val="22"/>
          <w:szCs w:val="22"/>
          <w:color w:val="010035"/>
          <w:vertAlign w:val="subscript"/>
        </w:rPr>
      </w:pPr>
      <w:r>
        <w:rPr>
          <w:rFonts w:ascii="Arial" w:cs="Arial" w:eastAsia="Arial" w:hAnsi="Arial"/>
          <w:sz w:val="12"/>
          <w:szCs w:val="12"/>
          <w:b w:val="1"/>
          <w:bCs w:val="1"/>
          <w:color w:val="010035"/>
        </w:rPr>
        <w:t>shareholder value creation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10035"/>
        </w:rPr>
        <w:t>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-259715</wp:posOffset>
            </wp:positionV>
            <wp:extent cx="5966460" cy="1671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6460" cy="16719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010035"/>
        </w:rPr>
        <w:t> </w:t>
      </w:r>
    </w:p>
    <w:p>
      <w:pPr>
        <w:spacing w:after="0" w:line="35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10035"/>
        </w:rPr>
        <w:t>Board skills and refreshment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010035"/>
        </w:rPr>
        <w:t> </w:t>
      </w:r>
    </w:p>
    <w:p>
      <w:pPr>
        <w:spacing w:after="0" w:line="257" w:lineRule="exact"/>
        <w:rPr>
          <w:sz w:val="20"/>
          <w:szCs w:val="20"/>
          <w:color w:val="auto"/>
        </w:rPr>
      </w:pPr>
    </w:p>
    <w:p>
      <w:pPr>
        <w:jc w:val="right"/>
        <w:ind w:right="760"/>
        <w:spacing w:after="0"/>
        <w:rPr>
          <w:sz w:val="20"/>
          <w:szCs w:val="20"/>
          <w:color w:val="auto"/>
        </w:rPr>
      </w:pPr>
      <w:r>
        <w:rPr>
          <w:rFonts w:ascii="Arial" w:cs="Arial" w:eastAsia="Arial" w:hAnsi="Arial"/>
          <w:sz w:val="14"/>
          <w:szCs w:val="14"/>
          <w:b w:val="1"/>
          <w:bCs w:val="1"/>
          <w:color w:val="010035"/>
        </w:rPr>
        <w:t>Senior talent management pipeline and executive</w:t>
      </w:r>
    </w:p>
    <w:p>
      <w:pPr>
        <w:ind w:left="440" w:hanging="435"/>
        <w:spacing w:after="0" w:line="187" w:lineRule="auto"/>
        <w:tabs>
          <w:tab w:leader="none" w:pos="440" w:val="left"/>
        </w:tabs>
        <w:numPr>
          <w:ilvl w:val="0"/>
          <w:numId w:val="17"/>
        </w:numPr>
        <w:rPr>
          <w:rFonts w:ascii="Arial" w:cs="Arial" w:eastAsia="Arial" w:hAnsi="Arial"/>
          <w:sz w:val="22"/>
          <w:szCs w:val="22"/>
          <w:b w:val="1"/>
          <w:bCs w:val="1"/>
          <w:color w:val="010035"/>
          <w:vertAlign w:val="subscript"/>
        </w:rPr>
      </w:pPr>
      <w:r>
        <w:rPr>
          <w:rFonts w:ascii="Arial" w:cs="Arial" w:eastAsia="Arial" w:hAnsi="Arial"/>
          <w:sz w:val="12"/>
          <w:szCs w:val="12"/>
          <w:b w:val="1"/>
          <w:bCs w:val="1"/>
          <w:color w:val="010035"/>
        </w:rPr>
        <w:t>succession planning</w:t>
      </w:r>
    </w:p>
    <w:p>
      <w:pPr>
        <w:spacing w:after="0" w:line="38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10035"/>
        </w:rPr>
        <w:t>Talent strategy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0100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160655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260" w:space="560"/>
            <w:col w:w="4580"/>
          </w:cols>
          <w:pgMar w:left="1240" w:top="114" w:right="12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b w:val="1"/>
          <w:bCs w:val="1"/>
          <w:color w:val="auto"/>
        </w:rPr>
        <w:t xml:space="preserve">Our executive compensation is predominantly at risk and long-term focused. </w:t>
      </w:r>
      <w:r>
        <w:rPr>
          <w:rFonts w:ascii="Arial" w:cs="Arial" w:eastAsia="Arial" w:hAnsi="Arial"/>
          <w:sz w:val="14"/>
          <w:szCs w:val="14"/>
          <w:color w:val="auto"/>
        </w:rPr>
        <w:t>We issue a significant majority of our executive compensation in</w:t>
      </w:r>
      <w:r>
        <w:rPr>
          <w:rFonts w:ascii="Arial" w:cs="Arial" w:eastAsia="Arial" w:hAnsi="Arial"/>
          <w:sz w:val="14"/>
          <w:szCs w:val="14"/>
          <w:b w:val="1"/>
          <w:bCs w:val="1"/>
          <w:color w:val="auto"/>
        </w:rPr>
        <w:t xml:space="preserve"> </w:t>
      </w:r>
      <w:r>
        <w:rPr>
          <w:rFonts w:ascii="Arial" w:cs="Arial" w:eastAsia="Arial" w:hAnsi="Arial"/>
          <w:sz w:val="14"/>
          <w:szCs w:val="14"/>
          <w:color w:val="auto"/>
        </w:rPr>
        <w:t>the form of annual and at-risk, long-term incentives that deliver value only if our executives achieve pre-set performance goals or we achieve sustained long-term stock price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158115</wp:posOffset>
            </wp:positionV>
            <wp:extent cx="5297805" cy="1945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9780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010035"/>
        </w:rPr>
        <w:t xml:space="preserve">NOTE: Weighting of each compensation element is rounded to the nearest whole percentage. See page </w:t>
      </w:r>
      <w:r>
        <w:rPr>
          <w:rFonts w:ascii="Times New Roman" w:cs="Times New Roman" w:eastAsia="Times New Roman" w:hAnsi="Times New Roman"/>
          <w:sz w:val="11"/>
          <w:szCs w:val="11"/>
          <w:u w:val="single" w:color="auto"/>
          <w:color w:val="0000EE"/>
        </w:rPr>
        <w:t>61</w:t>
      </w:r>
      <w:r>
        <w:rPr>
          <w:rFonts w:ascii="Times New Roman" w:cs="Times New Roman" w:eastAsia="Times New Roman" w:hAnsi="Times New Roman"/>
          <w:sz w:val="11"/>
          <w:szCs w:val="11"/>
          <w:color w:val="010035"/>
        </w:rPr>
        <w:t xml:space="preserve"> of this Proxy Statement for further details.</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Incentive Plan Payouts Aligned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37" w:lineRule="exact"/>
        <w:rPr>
          <w:sz w:val="20"/>
          <w:szCs w:val="20"/>
          <w:color w:val="auto"/>
        </w:rPr>
      </w:pPr>
    </w:p>
    <w:tbl>
      <w:tblPr>
        <w:tblLayout w:type="fixed"/>
        <w:tblInd w:w="22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010035"/>
              </w:rPr>
              <w:t>2025 STIP</w:t>
            </w:r>
          </w:p>
        </w:tc>
        <w:tc>
          <w:tcPr>
            <w:tcW w:w="1160" w:type="dxa"/>
            <w:vAlign w:val="bottom"/>
          </w:tcPr>
          <w:p>
            <w:pPr>
              <w:ind w:left="240"/>
              <w:spacing w:after="0"/>
              <w:rPr>
                <w:sz w:val="20"/>
                <w:szCs w:val="20"/>
                <w:color w:val="auto"/>
              </w:rPr>
            </w:pPr>
            <w:r>
              <w:rPr>
                <w:rFonts w:ascii="Arial" w:cs="Arial" w:eastAsia="Arial" w:hAnsi="Arial"/>
                <w:sz w:val="18"/>
                <w:szCs w:val="18"/>
                <w:b w:val="1"/>
                <w:bCs w:val="1"/>
                <w:color w:val="010035"/>
              </w:rPr>
              <w:t>2025 LTIP</w:t>
            </w:r>
          </w:p>
        </w:tc>
        <w:tc>
          <w:tcPr>
            <w:tcW w:w="1480" w:type="dxa"/>
            <w:vAlign w:val="bottom"/>
            <w:vMerge w:val="restart"/>
          </w:tcPr>
          <w:p>
            <w:pPr>
              <w:jc w:val="right"/>
              <w:spacing w:after="0"/>
              <w:rPr>
                <w:sz w:val="20"/>
                <w:szCs w:val="20"/>
                <w:color w:val="auto"/>
              </w:rPr>
            </w:pPr>
            <w:r>
              <w:rPr>
                <w:rFonts w:ascii="Arial" w:cs="Arial" w:eastAsia="Arial" w:hAnsi="Arial"/>
                <w:sz w:val="43"/>
                <w:szCs w:val="43"/>
                <w:b w:val="1"/>
                <w:bCs w:val="1"/>
                <w:color w:val="69439A"/>
              </w:rPr>
              <w:t>74.75%</w:t>
            </w:r>
          </w:p>
        </w:tc>
        <w:tc>
          <w:tcPr>
            <w:tcW w:w="0" w:type="dxa"/>
            <w:vAlign w:val="bottom"/>
          </w:tcPr>
          <w:p>
            <w:pPr>
              <w:spacing w:after="0"/>
              <w:rPr>
                <w:sz w:val="1"/>
                <w:szCs w:val="1"/>
                <w:color w:val="auto"/>
              </w:rPr>
            </w:pPr>
          </w:p>
        </w:tc>
      </w:tr>
      <w:tr>
        <w:trPr>
          <w:trHeight w:val="359"/>
        </w:trPr>
        <w:tc>
          <w:tcPr>
            <w:tcW w:w="2380" w:type="dxa"/>
            <w:vAlign w:val="bottom"/>
          </w:tcPr>
          <w:p>
            <w:pPr>
              <w:spacing w:after="0" w:line="358" w:lineRule="exact"/>
              <w:rPr>
                <w:sz w:val="20"/>
                <w:szCs w:val="20"/>
                <w:color w:val="auto"/>
              </w:rPr>
            </w:pPr>
            <w:r>
              <w:rPr>
                <w:rFonts w:ascii="Arial" w:cs="Arial" w:eastAsia="Arial" w:hAnsi="Arial"/>
                <w:sz w:val="18"/>
                <w:szCs w:val="18"/>
                <w:b w:val="1"/>
                <w:bCs w:val="1"/>
                <w:color w:val="010035"/>
              </w:rPr>
              <w:t xml:space="preserve">PAYOUT ~ </w:t>
            </w:r>
            <w:r>
              <w:rPr>
                <w:rFonts w:ascii="Arial" w:cs="Arial" w:eastAsia="Arial" w:hAnsi="Arial"/>
                <w:sz w:val="41"/>
                <w:szCs w:val="41"/>
                <w:b w:val="1"/>
                <w:bCs w:val="1"/>
                <w:color w:val="69439A"/>
              </w:rPr>
              <w:t>66.3%</w:t>
            </w:r>
          </w:p>
        </w:tc>
        <w:tc>
          <w:tcPr>
            <w:tcW w:w="1160" w:type="dxa"/>
            <w:vAlign w:val="bottom"/>
          </w:tcPr>
          <w:p>
            <w:pPr>
              <w:ind w:left="240"/>
              <w:spacing w:after="0"/>
              <w:rPr>
                <w:sz w:val="20"/>
                <w:szCs w:val="20"/>
                <w:color w:val="auto"/>
              </w:rPr>
            </w:pPr>
            <w:r>
              <w:rPr>
                <w:rFonts w:ascii="Arial" w:cs="Arial" w:eastAsia="Arial" w:hAnsi="Arial"/>
                <w:sz w:val="18"/>
                <w:szCs w:val="18"/>
                <w:b w:val="1"/>
                <w:bCs w:val="1"/>
                <w:color w:val="010035"/>
              </w:rPr>
              <w:t>PAYOUT</w:t>
            </w: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4820"/>
        <w:spacing w:after="0"/>
        <w:rPr>
          <w:sz w:val="20"/>
          <w:szCs w:val="20"/>
          <w:color w:val="auto"/>
        </w:rPr>
      </w:pPr>
      <w:r>
        <w:rPr>
          <w:rFonts w:ascii="Arial" w:cs="Arial" w:eastAsia="Arial" w:hAnsi="Arial"/>
          <w:sz w:val="13"/>
          <w:szCs w:val="13"/>
          <w:color w:val="auto"/>
        </w:rPr>
        <w:t>(FY 2024-2025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596646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6460" cy="17145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sz w:val="1"/>
          <w:szCs w:val="1"/>
          <w:color w:val="auto"/>
        </w:rPr>
        <w:drawing>
          <wp:inline distT="0" distB="0" distL="0" distR="0">
            <wp:extent cx="68580" cy="3429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342900"/>
                    </a:xfrm>
                    <a:prstGeom prst="rect">
                      <a:avLst/>
                    </a:prstGeom>
                    <a:noFill/>
                    <a:ln>
                      <a:noFill/>
                    </a:ln>
                  </pic:spPr>
                </pic:pic>
              </a:graphicData>
            </a:graphic>
          </wp:inline>
        </w:drawing>
      </w:r>
      <w:r>
        <w:rPr>
          <w:rFonts w:ascii="Arial" w:cs="Arial" w:eastAsia="Arial" w:hAnsi="Arial"/>
          <w:sz w:val="18"/>
          <w:szCs w:val="18"/>
          <w:b w:val="1"/>
          <w:bCs w:val="1"/>
          <w:color w:val="FFFFFF"/>
        </w:rPr>
        <w:t xml:space="preserve"> COMPENSATION PROGRAM CHANGES ADOPTED IN RESPONSE TO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-205105</wp:posOffset>
            </wp:positionV>
            <wp:extent cx="5966460" cy="2400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6460" cy="2400300"/>
                    </a:xfrm>
                    <a:prstGeom prst="rect">
                      <a:avLst/>
                    </a:prstGeom>
                    <a:noFill/>
                  </pic:spPr>
                </pic:pic>
              </a:graphicData>
            </a:graphic>
          </wp:anchor>
        </w:drawing>
      </w:r>
    </w:p>
    <w:p>
      <w:pPr>
        <w:spacing w:after="0" w:line="92" w:lineRule="exact"/>
        <w:rPr>
          <w:sz w:val="20"/>
          <w:szCs w:val="20"/>
          <w:color w:val="auto"/>
        </w:rPr>
      </w:pPr>
    </w:p>
    <w:p>
      <w:pPr>
        <w:ind w:left="160" w:right="280"/>
        <w:spacing w:after="0" w:line="256" w:lineRule="auto"/>
        <w:rPr>
          <w:sz w:val="20"/>
          <w:szCs w:val="20"/>
          <w:color w:val="auto"/>
        </w:rPr>
      </w:pPr>
      <w:r>
        <w:rPr>
          <w:rFonts w:ascii="Arial" w:cs="Arial" w:eastAsia="Arial" w:hAnsi="Arial"/>
          <w:sz w:val="14"/>
          <w:szCs w:val="14"/>
          <w:color w:val="010035"/>
        </w:rPr>
        <w:t>Following our 2025 Annual Meeting, we conducted an expansive shareholder outreach effort to inform our go-forward compensation program approach. As an immediate responsiveness action, the Board refreshed the Compensation Committee’s leadership and composition. The Committee conducted a comprehensive RFP process to engage a new independent compensation consultant to provide a fresh external perspective on leading compensation governance practices and develop appropriate responsiveness actions.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10035"/>
        </w:rPr>
        <w:t>Compensation Program Changes Effective in 2026</w:t>
      </w:r>
    </w:p>
    <w:p>
      <w:pPr>
        <w:spacing w:after="0" w:line="69" w:lineRule="exact"/>
        <w:rPr>
          <w:sz w:val="20"/>
          <w:szCs w:val="20"/>
          <w:color w:val="auto"/>
        </w:rPr>
      </w:pPr>
    </w:p>
    <w:p>
      <w:pPr>
        <w:ind w:left="340" w:right="340" w:hanging="121"/>
        <w:spacing w:after="0" w:line="285" w:lineRule="auto"/>
        <w:rPr>
          <w:sz w:val="20"/>
          <w:szCs w:val="20"/>
          <w:color w:val="auto"/>
        </w:rPr>
      </w:pPr>
      <w:r>
        <w:rPr>
          <w:rFonts w:ascii="Arial" w:cs="Arial" w:eastAsia="Arial" w:hAnsi="Arial"/>
          <w:sz w:val="14"/>
          <w:szCs w:val="14"/>
          <w:color w:val="010035"/>
        </w:rPr>
        <w:t xml:space="preserve">•  </w:t>
      </w:r>
      <w:r>
        <w:rPr>
          <w:rFonts w:ascii="Arial" w:cs="Arial" w:eastAsia="Arial" w:hAnsi="Arial"/>
          <w:sz w:val="14"/>
          <w:szCs w:val="14"/>
          <w:b w:val="1"/>
          <w:bCs w:val="1"/>
          <w:color w:val="010035"/>
        </w:rPr>
        <w:t>Refreshed the 2026 compensation peer group</w:t>
      </w:r>
      <w:r>
        <w:rPr>
          <w:rFonts w:ascii="Arial" w:cs="Arial" w:eastAsia="Arial" w:hAnsi="Arial"/>
          <w:sz w:val="14"/>
          <w:szCs w:val="14"/>
          <w:color w:val="010035"/>
        </w:rPr>
        <w:t xml:space="preserve"> by removing digital and entertainment companies and adding additional casino, gaming and/or hospitality companies to more closely reflect the Company’s relative size and strategic digital realignment.</w:t>
      </w:r>
    </w:p>
    <w:p>
      <w:pPr>
        <w:spacing w:after="0" w:line="23" w:lineRule="exact"/>
        <w:rPr>
          <w:sz w:val="20"/>
          <w:szCs w:val="20"/>
          <w:color w:val="auto"/>
        </w:rPr>
      </w:pPr>
    </w:p>
    <w:p>
      <w:pPr>
        <w:ind w:left="340" w:right="240" w:hanging="121"/>
        <w:spacing w:after="0" w:line="256" w:lineRule="auto"/>
        <w:rPr>
          <w:sz w:val="20"/>
          <w:szCs w:val="20"/>
          <w:color w:val="auto"/>
        </w:rPr>
      </w:pPr>
      <w:r>
        <w:rPr>
          <w:rFonts w:ascii="Arial" w:cs="Arial" w:eastAsia="Arial" w:hAnsi="Arial"/>
          <w:sz w:val="14"/>
          <w:szCs w:val="14"/>
          <w:color w:val="010035"/>
        </w:rPr>
        <w:t xml:space="preserve">•  </w:t>
      </w:r>
      <w:r>
        <w:rPr>
          <w:rFonts w:ascii="Arial" w:cs="Arial" w:eastAsia="Arial" w:hAnsi="Arial"/>
          <w:sz w:val="14"/>
          <w:szCs w:val="14"/>
          <w:b w:val="1"/>
          <w:bCs w:val="1"/>
          <w:color w:val="010035"/>
        </w:rPr>
        <w:t>Lowered the target grant value of the CEO’s 2026 equity awards by $7.87 million</w:t>
      </w:r>
      <w:r>
        <w:rPr>
          <w:rFonts w:ascii="Arial" w:cs="Arial" w:eastAsia="Arial" w:hAnsi="Arial"/>
          <w:sz w:val="14"/>
          <w:szCs w:val="14"/>
          <w:color w:val="010035"/>
        </w:rPr>
        <w:t>, equivalent to a 41% reduction in LTIP opportunity and 31% reduction in total target direct compensation compared to 2025, effectively resetting his total target pay to 2023 levels. This decision followed the peer group update and strategic realignment as described below, and was made in consultation with the Committee’s independent compensation consultant and with the support and agreement of CEO Jay Snowden.</w:t>
      </w:r>
    </w:p>
    <w:p>
      <w:pPr>
        <w:spacing w:after="0" w:line="29" w:lineRule="exact"/>
        <w:rPr>
          <w:sz w:val="20"/>
          <w:szCs w:val="20"/>
          <w:color w:val="auto"/>
        </w:rPr>
      </w:pPr>
    </w:p>
    <w:p>
      <w:pPr>
        <w:ind w:left="340" w:right="220" w:hanging="121"/>
        <w:spacing w:after="0" w:line="252" w:lineRule="auto"/>
        <w:rPr>
          <w:sz w:val="20"/>
          <w:szCs w:val="20"/>
          <w:color w:val="auto"/>
        </w:rPr>
      </w:pPr>
      <w:r>
        <w:rPr>
          <w:rFonts w:ascii="Arial" w:cs="Arial" w:eastAsia="Arial" w:hAnsi="Arial"/>
          <w:sz w:val="14"/>
          <w:szCs w:val="14"/>
          <w:color w:val="010035"/>
        </w:rPr>
        <w:t xml:space="preserve">•  </w:t>
      </w:r>
      <w:r>
        <w:rPr>
          <w:rFonts w:ascii="Arial" w:cs="Arial" w:eastAsia="Arial" w:hAnsi="Arial"/>
          <w:sz w:val="14"/>
          <w:szCs w:val="14"/>
          <w:b w:val="1"/>
          <w:bCs w:val="1"/>
          <w:color w:val="010035"/>
        </w:rPr>
        <w:t>Re-evaluated and updated LTIP design:</w:t>
      </w:r>
      <w:r>
        <w:rPr>
          <w:rFonts w:ascii="Arial" w:cs="Arial" w:eastAsia="Arial" w:hAnsi="Arial"/>
          <w:sz w:val="14"/>
          <w:szCs w:val="14"/>
          <w:color w:val="010035"/>
        </w:rPr>
        <w:t xml:space="preserve"> Beginning with the 2026-2028 performance cycle, the PSU grant will be tied to the achievement of a cash flow from operations goal (100% financial metric), with a relative TSR payout modifier (±20%) measured against the Russell 3000 Casino and Gambling Index. This incentive structure is designed to drive cash generation across our retail and digital operations, support disciplined capital allocation and better align our long-term financial performance with shareholder interests. These LTIP changes also address our shareholders’ preference for diversified metrics across short- and long-term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59664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274955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102870</wp:posOffset>
            </wp:positionV>
            <wp:extent cx="4423410" cy="1117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272415</wp:posOffset>
            </wp:positionV>
            <wp:extent cx="2571750" cy="82207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71750" cy="822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320"/>
        <w:spacing w:after="0"/>
        <w:rPr>
          <w:sz w:val="20"/>
          <w:szCs w:val="20"/>
          <w:color w:val="auto"/>
        </w:rPr>
      </w:pPr>
      <w:r>
        <w:rPr>
          <w:rFonts w:ascii="Arial" w:cs="Arial" w:eastAsia="Arial" w:hAnsi="Arial"/>
          <w:sz w:val="41"/>
          <w:szCs w:val="41"/>
          <w:b w:val="1"/>
          <w:bCs w:val="1"/>
          <w:color w:val="010035"/>
        </w:rPr>
        <w:t>PROPOSAL 1:</w:t>
      </w:r>
    </w:p>
    <w:p>
      <w:pPr>
        <w:spacing w:after="0" w:line="99" w:lineRule="exact"/>
        <w:rPr>
          <w:sz w:val="20"/>
          <w:szCs w:val="20"/>
          <w:color w:val="auto"/>
        </w:rPr>
      </w:pPr>
    </w:p>
    <w:p>
      <w:pPr>
        <w:ind w:left="4320" w:right="260"/>
        <w:spacing w:after="0" w:line="259" w:lineRule="auto"/>
        <w:rPr>
          <w:sz w:val="20"/>
          <w:szCs w:val="20"/>
          <w:color w:val="auto"/>
        </w:rPr>
      </w:pPr>
      <w:r>
        <w:rPr>
          <w:rFonts w:ascii="Arial" w:cs="Arial" w:eastAsia="Arial" w:hAnsi="Arial"/>
          <w:sz w:val="83"/>
          <w:szCs w:val="83"/>
          <w:b w:val="1"/>
          <w:bCs w:val="1"/>
          <w:color w:val="010035"/>
        </w:rPr>
        <w:t>ELECTION OF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6350</wp:posOffset>
            </wp:positionV>
            <wp:extent cx="373761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737610" cy="137160"/>
                    </a:xfrm>
                    <a:prstGeom prst="rect">
                      <a:avLst/>
                    </a:prstGeom>
                    <a:noFill/>
                  </pic:spPr>
                </pic:pic>
              </a:graphicData>
            </a:graphic>
          </wp:anchor>
        </w:drawing>
      </w:r>
    </w:p>
    <w:p>
      <w:pPr>
        <w:ind w:left="4320"/>
        <w:spacing w:after="0"/>
        <w:rPr>
          <w:sz w:val="20"/>
          <w:szCs w:val="20"/>
          <w:color w:val="auto"/>
        </w:rPr>
      </w:pPr>
      <w:r>
        <w:rPr>
          <w:sz w:val="1"/>
          <w:szCs w:val="1"/>
          <w:color w:val="auto"/>
        </w:rPr>
        <w:drawing>
          <wp:inline distT="0" distB="0" distL="0" distR="0">
            <wp:extent cx="128905" cy="3429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342900"/>
                    </a:xfrm>
                    <a:prstGeom prst="rect">
                      <a:avLst/>
                    </a:prstGeom>
                    <a:noFill/>
                    <a:ln>
                      <a:noFill/>
                    </a:ln>
                  </pic:spPr>
                </pic:pic>
              </a:graphicData>
            </a:graphic>
          </wp:inline>
        </w:drawing>
      </w:r>
      <w:r>
        <w:rPr>
          <w:rFonts w:ascii="Arial" w:cs="Arial" w:eastAsia="Arial" w:hAnsi="Arial"/>
          <w:sz w:val="22"/>
          <w:szCs w:val="22"/>
          <w:b w:val="1"/>
          <w:bCs w:val="1"/>
          <w:color w:val="010035"/>
        </w:rPr>
        <w:t xml:space="preserve">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-228600</wp:posOffset>
            </wp:positionV>
            <wp:extent cx="3737610" cy="8229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737610" cy="822960"/>
                    </a:xfrm>
                    <a:prstGeom prst="rect">
                      <a:avLst/>
                    </a:prstGeom>
                    <a:noFill/>
                  </pic:spPr>
                </pic:pic>
              </a:graphicData>
            </a:graphic>
          </wp:anchor>
        </w:drawing>
      </w:r>
    </w:p>
    <w:p>
      <w:pPr>
        <w:spacing w:after="0" w:line="96" w:lineRule="exact"/>
        <w:rPr>
          <w:sz w:val="20"/>
          <w:szCs w:val="20"/>
          <w:color w:val="auto"/>
        </w:rPr>
      </w:pPr>
    </w:p>
    <w:p>
      <w:pPr>
        <w:ind w:left="5260" w:right="280"/>
        <w:spacing w:after="0" w:line="251" w:lineRule="auto"/>
        <w:rPr>
          <w:sz w:val="20"/>
          <w:szCs w:val="20"/>
          <w:color w:val="auto"/>
        </w:rPr>
      </w:pPr>
      <w:r>
        <w:rPr>
          <w:rFonts w:ascii="Arial" w:cs="Arial" w:eastAsia="Arial" w:hAnsi="Arial"/>
          <w:sz w:val="14"/>
          <w:szCs w:val="14"/>
          <w:b w:val="1"/>
          <w:bCs w:val="1"/>
          <w:color w:val="FFFFFF"/>
        </w:rPr>
        <w:t>OUR BOARD OF DIRECTORS UNANIMOUSLY RECOMMENDS A VOTE “FOR” EACH CLASS III DIRECTOR NOMINEE:</w:t>
      </w:r>
    </w:p>
    <w:p>
      <w:pPr>
        <w:spacing w:after="0" w:line="1" w:lineRule="exact"/>
        <w:rPr>
          <w:sz w:val="20"/>
          <w:szCs w:val="20"/>
          <w:color w:val="auto"/>
        </w:rPr>
      </w:pPr>
    </w:p>
    <w:p>
      <w:pPr>
        <w:ind w:left="5260" w:right="400"/>
        <w:spacing w:after="0" w:line="264" w:lineRule="auto"/>
        <w:rPr>
          <w:sz w:val="20"/>
          <w:szCs w:val="20"/>
          <w:color w:val="auto"/>
        </w:rPr>
      </w:pPr>
      <w:r>
        <w:rPr>
          <w:rFonts w:ascii="Arial" w:cs="Arial" w:eastAsia="Arial" w:hAnsi="Arial"/>
          <w:sz w:val="14"/>
          <w:szCs w:val="14"/>
          <w:color w:val="FFFFFF"/>
        </w:rPr>
        <w:t>(i) Marla Kaplowitz; (ii) Jane Scaccetti; (iii) Fabio Schiavolin; and (iv) Jay Snowden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69439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12065</wp:posOffset>
            </wp:positionV>
            <wp:extent cx="37376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78" w:lineRule="exact"/>
        <w:rPr>
          <w:sz w:val="20"/>
          <w:szCs w:val="20"/>
          <w:color w:val="auto"/>
        </w:rPr>
      </w:pPr>
    </w:p>
    <w:p>
      <w:pPr>
        <w:ind w:left="4320" w:right="360"/>
        <w:spacing w:after="0" w:line="285" w:lineRule="auto"/>
        <w:rPr>
          <w:sz w:val="20"/>
          <w:szCs w:val="20"/>
          <w:color w:val="auto"/>
        </w:rPr>
      </w:pPr>
      <w:r>
        <w:rPr>
          <w:rFonts w:ascii="Arial" w:cs="Arial" w:eastAsia="Arial" w:hAnsi="Arial"/>
          <w:sz w:val="14"/>
          <w:szCs w:val="14"/>
          <w:color w:val="auto"/>
        </w:rPr>
        <w:t>Our Board of Directors currently consists of eleven members. The directors are organized into three classes, with each class elected to serve a three-year term.</w:t>
      </w:r>
    </w:p>
    <w:p>
      <w:pPr>
        <w:spacing w:after="0" w:line="23" w:lineRule="exact"/>
        <w:rPr>
          <w:sz w:val="20"/>
          <w:szCs w:val="20"/>
          <w:color w:val="auto"/>
        </w:rPr>
      </w:pPr>
    </w:p>
    <w:p>
      <w:pPr>
        <w:ind w:left="4320"/>
        <w:spacing w:after="0" w:line="247" w:lineRule="auto"/>
        <w:rPr>
          <w:sz w:val="20"/>
          <w:szCs w:val="20"/>
          <w:color w:val="auto"/>
        </w:rPr>
      </w:pPr>
      <w:r>
        <w:rPr>
          <w:rFonts w:ascii="Arial" w:cs="Arial" w:eastAsia="Arial" w:hAnsi="Arial"/>
          <w:sz w:val="14"/>
          <w:szCs w:val="14"/>
          <w:color w:val="auto"/>
        </w:rPr>
        <w:t>At the Annual Meeting, shareholders will be asked to elect each of the four Class III directors to serve until the annual meeting of shareholders of the Company to be held in 2029 and until their respective successors are duly elected and qualified. Our Board of Directors, upon the recommendation of our Nominating and Corporate Governance Committee, has nominated (i) Marla Kaplowitz; (ii) Jane Scaccetti; (iii) Fabio Schiavolin; and (iv) Jay Snowden to serve as Class III directors. Each of the nominated persons has consented to being named in this Proxy Statement and to serve as a Class III director, if elected.</w:t>
      </w:r>
    </w:p>
    <w:p>
      <w:pPr>
        <w:spacing w:after="0" w:line="38" w:lineRule="exact"/>
        <w:rPr>
          <w:sz w:val="20"/>
          <w:szCs w:val="20"/>
          <w:color w:val="auto"/>
        </w:rPr>
      </w:pPr>
    </w:p>
    <w:p>
      <w:pPr>
        <w:ind w:left="4320" w:right="20"/>
        <w:spacing w:after="0" w:line="252" w:lineRule="auto"/>
        <w:rPr>
          <w:sz w:val="20"/>
          <w:szCs w:val="20"/>
          <w:color w:val="auto"/>
        </w:rPr>
      </w:pPr>
      <w:r>
        <w:rPr>
          <w:rFonts w:ascii="Arial" w:cs="Arial" w:eastAsia="Arial" w:hAnsi="Arial"/>
          <w:sz w:val="14"/>
          <w:szCs w:val="14"/>
          <w:color w:val="auto"/>
        </w:rPr>
        <w:t>We believe that each of our Class III director nominees has the specific experience, qualifications, attributes, and skills necessary to serve as an effective director on our Board of Directors. A description of our process for identifying and evaluating director nominees, as well as our criteria for membership on our Board of Directors, is set forth under the heading “Director Candidate Qualification and Selection Process.”</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9760"/>
          </w:cols>
          <w:pgMar w:left="84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191135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840" w:top="114" w:right="12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CLASS III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5966460" cy="3651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6460" cy="365188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Marla Kaplowitz</w:t>
      </w:r>
      <w:r>
        <w:rPr>
          <w:rFonts w:ascii="Arial" w:cs="Arial" w:eastAsia="Arial" w:hAnsi="Arial"/>
          <w:sz w:val="12"/>
          <w:szCs w:val="12"/>
          <w:color w:val="010035"/>
        </w:rPr>
        <w:t>​</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Class III Director (Independent)</w:t>
      </w:r>
    </w:p>
    <w:p>
      <w:pPr>
        <w:ind w:left="180"/>
        <w:spacing w:after="0" w:line="216" w:lineRule="auto"/>
        <w:rPr>
          <w:sz w:val="20"/>
          <w:szCs w:val="20"/>
          <w:color w:val="auto"/>
        </w:rPr>
      </w:pPr>
      <w:r>
        <w:rPr>
          <w:rFonts w:ascii="Arial" w:cs="Arial" w:eastAsia="Arial" w:hAnsi="Arial"/>
          <w:sz w:val="13"/>
          <w:szCs w:val="13"/>
          <w:color w:val="010035"/>
        </w:rPr>
        <w:t>Age: 60</w:t>
      </w:r>
    </w:p>
    <w:p>
      <w:pPr>
        <w:ind w:left="180"/>
        <w:spacing w:after="0"/>
        <w:rPr>
          <w:sz w:val="20"/>
          <w:szCs w:val="20"/>
          <w:color w:val="auto"/>
        </w:rPr>
      </w:pPr>
      <w:r>
        <w:rPr>
          <w:rFonts w:ascii="Arial" w:cs="Arial" w:eastAsia="Arial" w:hAnsi="Arial"/>
          <w:sz w:val="13"/>
          <w:szCs w:val="13"/>
          <w:color w:val="010035"/>
        </w:rPr>
        <w:t>Director Since: 2020</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Committees:</w:t>
      </w:r>
    </w:p>
    <w:p>
      <w:pPr>
        <w:ind w:left="300" w:right="460" w:hanging="106"/>
        <w:spacing w:after="0" w:line="234" w:lineRule="auto"/>
        <w:rPr>
          <w:sz w:val="20"/>
          <w:szCs w:val="20"/>
          <w:color w:val="auto"/>
        </w:rPr>
      </w:pPr>
      <w:r>
        <w:rPr>
          <w:rFonts w:ascii="Arial" w:cs="Arial" w:eastAsia="Arial" w:hAnsi="Arial"/>
          <w:sz w:val="12"/>
          <w:szCs w:val="12"/>
          <w:color w:val="010035"/>
        </w:rPr>
        <w:t>•  Nominating and Corporate Governance, Chair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•  Compensation, Chair</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180"/>
        <w:spacing w:after="0" w:line="234" w:lineRule="auto"/>
        <w:rPr>
          <w:sz w:val="20"/>
          <w:szCs w:val="20"/>
          <w:color w:val="auto"/>
        </w:rPr>
      </w:pPr>
      <w:r>
        <w:rPr>
          <w:rFonts w:ascii="Arial" w:cs="Arial" w:eastAsia="Arial" w:hAnsi="Arial"/>
          <w:sz w:val="12"/>
          <w:szCs w:val="12"/>
          <w:color w:val="010035"/>
        </w:rPr>
        <w:t>•  UC Santa Barbara: BA, Sociology</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6"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rPr>
          <w:sz w:val="20"/>
          <w:szCs w:val="20"/>
          <w:color w:val="auto"/>
        </w:rPr>
      </w:pPr>
      <w:r>
        <w:rPr>
          <w:rFonts w:ascii="Arial" w:cs="Arial" w:eastAsia="Arial" w:hAnsi="Arial"/>
          <w:sz w:val="13"/>
          <w:szCs w:val="13"/>
          <w:color w:val="010035"/>
        </w:rPr>
        <w:t> </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ind w:right="100"/>
        <w:spacing w:after="0" w:line="216" w:lineRule="auto"/>
        <w:rPr>
          <w:sz w:val="20"/>
          <w:szCs w:val="20"/>
          <w:color w:val="auto"/>
        </w:rPr>
      </w:pPr>
      <w:r>
        <w:rPr>
          <w:rFonts w:ascii="Arial" w:cs="Arial" w:eastAsia="Arial" w:hAnsi="Arial"/>
          <w:sz w:val="13"/>
          <w:szCs w:val="13"/>
          <w:color w:val="010035"/>
        </w:rPr>
        <w:t>Ms. Kaplowitz is an innovator and a proven leader in marketing and digital transformation, with a long track record of experience in business management, strategic planning and communications.</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3"/>
          <w:szCs w:val="13"/>
          <w:color w:val="010035"/>
        </w:rPr>
        <w:t>She has successfully counseled companies through impacts of evolving technologies on consumer behavior, including risks and opportunities associated with digital consumer experiences and omnichannel growth strategies, which she contributes to Board discussions on PENN’s customer offerings and strategy.</w:t>
      </w:r>
    </w:p>
    <w:p>
      <w:pPr>
        <w:spacing w:after="0" w:line="92" w:lineRule="exact"/>
        <w:rPr>
          <w:sz w:val="20"/>
          <w:szCs w:val="20"/>
          <w:color w:val="auto"/>
        </w:rPr>
      </w:pPr>
    </w:p>
    <w:p>
      <w:pPr>
        <w:ind w:left="100" w:right="80" w:hanging="106"/>
        <w:spacing w:after="0" w:line="246" w:lineRule="auto"/>
        <w:rPr>
          <w:sz w:val="20"/>
          <w:szCs w:val="20"/>
          <w:color w:val="auto"/>
        </w:rPr>
      </w:pPr>
      <w:r>
        <w:rPr>
          <w:rFonts w:ascii="Arial" w:cs="Arial" w:eastAsia="Arial" w:hAnsi="Arial"/>
          <w:sz w:val="12"/>
          <w:szCs w:val="12"/>
          <w:b w:val="1"/>
          <w:bCs w:val="1"/>
          <w:color w:val="010035"/>
        </w:rPr>
        <w:t xml:space="preserve">•  Industry Experience (Gaming, Hospitality, Media) and Government Affairs: </w:t>
      </w:r>
      <w:r>
        <w:rPr>
          <w:rFonts w:ascii="Arial" w:cs="Arial" w:eastAsia="Arial" w:hAnsi="Arial"/>
          <w:sz w:val="12"/>
          <w:szCs w:val="12"/>
          <w:color w:val="010035"/>
        </w:rPr>
        <w:t>Gained over Ms. Kaplowitz's</w:t>
      </w:r>
      <w:r>
        <w:rPr>
          <w:rFonts w:ascii="Arial" w:cs="Arial" w:eastAsia="Arial" w:hAnsi="Arial"/>
          <w:sz w:val="12"/>
          <w:szCs w:val="12"/>
          <w:b w:val="1"/>
          <w:bCs w:val="1"/>
          <w:color w:val="010035"/>
        </w:rPr>
        <w:t xml:space="preserve"> </w:t>
      </w:r>
      <w:r>
        <w:rPr>
          <w:rFonts w:ascii="Arial" w:cs="Arial" w:eastAsia="Arial" w:hAnsi="Arial"/>
          <w:sz w:val="12"/>
          <w:szCs w:val="12"/>
          <w:color w:val="010035"/>
        </w:rPr>
        <w:t>more than 35-year career in the media industry, including her prior role as Chief Executive Officer of 4As, a trade association for advertising agencies that serves corporate members representing more than 85% of total U.S. advertising spend. In that role, she worked with members of the U.S. Congress to address critical issues pertaining to the media and digital media ecosystem and the industry's evolving regulatory landscape.</w:t>
      </w:r>
    </w:p>
    <w:p>
      <w:pPr>
        <w:spacing w:after="0" w:line="89" w:lineRule="exact"/>
        <w:rPr>
          <w:sz w:val="20"/>
          <w:szCs w:val="20"/>
          <w:color w:val="auto"/>
        </w:rPr>
      </w:pPr>
    </w:p>
    <w:p>
      <w:pPr>
        <w:ind w:left="100" w:right="60" w:hanging="106"/>
        <w:spacing w:after="0" w:line="251" w:lineRule="auto"/>
        <w:rPr>
          <w:sz w:val="20"/>
          <w:szCs w:val="20"/>
          <w:color w:val="auto"/>
        </w:rPr>
      </w:pPr>
      <w:r>
        <w:rPr>
          <w:rFonts w:ascii="Arial" w:cs="Arial" w:eastAsia="Arial" w:hAnsi="Arial"/>
          <w:sz w:val="12"/>
          <w:szCs w:val="12"/>
          <w:b w:val="1"/>
          <w:bCs w:val="1"/>
          <w:color w:val="010035"/>
        </w:rPr>
        <w:t xml:space="preserve">•  Sales &amp; Marketing: </w:t>
      </w:r>
      <w:r>
        <w:rPr>
          <w:rFonts w:ascii="Arial" w:cs="Arial" w:eastAsia="Arial" w:hAnsi="Arial"/>
          <w:sz w:val="12"/>
          <w:szCs w:val="12"/>
          <w:color w:val="010035"/>
        </w:rPr>
        <w:t>Acquired through her extensive career in marketing and communications, including</w:t>
      </w:r>
      <w:r>
        <w:rPr>
          <w:rFonts w:ascii="Arial" w:cs="Arial" w:eastAsia="Arial" w:hAnsi="Arial"/>
          <w:sz w:val="12"/>
          <w:szCs w:val="12"/>
          <w:b w:val="1"/>
          <w:bCs w:val="1"/>
          <w:color w:val="010035"/>
        </w:rPr>
        <w:t xml:space="preserve"> </w:t>
      </w:r>
      <w:r>
        <w:rPr>
          <w:rFonts w:ascii="Arial" w:cs="Arial" w:eastAsia="Arial" w:hAnsi="Arial"/>
          <w:sz w:val="12"/>
          <w:szCs w:val="12"/>
          <w:color w:val="010035"/>
        </w:rPr>
        <w:t>executive leadership roles focused on identifying strategic growth areas to build consumer loyalty and strengthen brand equity. During Ms. Kaplowitz's nearly 25 years at media communication agencies, she led marketing campaigns for global high-profile brands across personal care, restaurant and financial services sectors.</w:t>
      </w:r>
    </w:p>
    <w:p>
      <w:pPr>
        <w:spacing w:after="0" w:line="98" w:lineRule="exact"/>
        <w:rPr>
          <w:sz w:val="20"/>
          <w:szCs w:val="20"/>
          <w:color w:val="auto"/>
        </w:rPr>
      </w:pPr>
    </w:p>
    <w:p>
      <w:pPr>
        <w:ind w:left="100" w:right="140" w:hanging="106"/>
        <w:spacing w:after="0" w:line="220" w:lineRule="auto"/>
        <w:rPr>
          <w:sz w:val="20"/>
          <w:szCs w:val="20"/>
          <w:color w:val="auto"/>
        </w:rPr>
      </w:pPr>
      <w:r>
        <w:rPr>
          <w:rFonts w:ascii="Arial" w:cs="Arial" w:eastAsia="Arial" w:hAnsi="Arial"/>
          <w:sz w:val="13"/>
          <w:szCs w:val="13"/>
          <w:b w:val="1"/>
          <w:bCs w:val="1"/>
          <w:color w:val="010035"/>
        </w:rPr>
        <w:t xml:space="preserve">•  Corporate Stewardship: </w:t>
      </w:r>
      <w:r>
        <w:rPr>
          <w:rFonts w:ascii="Arial" w:cs="Arial" w:eastAsia="Arial" w:hAnsi="Arial"/>
          <w:sz w:val="13"/>
          <w:szCs w:val="13"/>
          <w:color w:val="010035"/>
        </w:rPr>
        <w:t>Obtained through her leadership roles in advertising, marketing and media, which</w:t>
      </w:r>
      <w:r>
        <w:rPr>
          <w:rFonts w:ascii="Arial" w:cs="Arial" w:eastAsia="Arial" w:hAnsi="Arial"/>
          <w:sz w:val="13"/>
          <w:szCs w:val="13"/>
          <w:b w:val="1"/>
          <w:bCs w:val="1"/>
          <w:color w:val="010035"/>
        </w:rPr>
        <w:t xml:space="preserve"> </w:t>
      </w:r>
      <w:r>
        <w:rPr>
          <w:rFonts w:ascii="Arial" w:cs="Arial" w:eastAsia="Arial" w:hAnsi="Arial"/>
          <w:sz w:val="13"/>
          <w:szCs w:val="13"/>
          <w:color w:val="010035"/>
        </w:rPr>
        <w:t>required understanding of the evolving impact of non-financial business risks on various industries and evolving consumer preferences. Ms. Kaplowitz's work has included advising global companies on the FTC's updated Green Guides on the use of environmental marketing claims, as well as navigating the shifting regulatory and legislative landscape across state jurisdictions.</w:t>
      </w:r>
    </w:p>
    <w:p>
      <w:pPr>
        <w:spacing w:after="0" w:line="223" w:lineRule="auto"/>
        <w:rPr>
          <w:sz w:val="20"/>
          <w:szCs w:val="20"/>
          <w:color w:val="auto"/>
        </w:rPr>
      </w:pPr>
      <w:r>
        <w:rPr>
          <w:rFonts w:ascii="Arial" w:cs="Arial" w:eastAsia="Arial" w:hAnsi="Arial"/>
          <w:sz w:val="13"/>
          <w:szCs w:val="13"/>
          <w:color w:val="010035"/>
        </w:rPr>
        <w:t> </w:t>
      </w:r>
    </w:p>
    <w:p>
      <w:pPr>
        <w:spacing w:after="0" w:line="223" w:lineRule="auto"/>
        <w:rPr>
          <w:sz w:val="20"/>
          <w:szCs w:val="20"/>
          <w:color w:val="auto"/>
        </w:rPr>
      </w:pPr>
      <w:r>
        <w:rPr>
          <w:rFonts w:ascii="Arial" w:cs="Arial" w:eastAsia="Arial" w:hAnsi="Arial"/>
          <w:sz w:val="20"/>
          <w:szCs w:val="20"/>
          <w:b w:val="1"/>
          <w:bCs w:val="1"/>
          <w:color w:val="69439A"/>
        </w:rPr>
        <w:t>EXPERIENCE:</w:t>
      </w:r>
    </w:p>
    <w:p>
      <w:pPr>
        <w:ind w:right="380"/>
        <w:spacing w:after="0" w:line="216" w:lineRule="auto"/>
        <w:rPr>
          <w:sz w:val="20"/>
          <w:szCs w:val="20"/>
          <w:color w:val="auto"/>
        </w:rPr>
      </w:pPr>
      <w:r>
        <w:rPr>
          <w:rFonts w:ascii="Arial" w:cs="Arial" w:eastAsia="Arial" w:hAnsi="Arial"/>
          <w:sz w:val="13"/>
          <w:szCs w:val="13"/>
          <w:b w:val="1"/>
          <w:bCs w:val="1"/>
          <w:color w:val="010035"/>
        </w:rPr>
        <w:t xml:space="preserve">4As (American Association of Advertising Agencies) </w:t>
      </w:r>
      <w:r>
        <w:rPr>
          <w:rFonts w:ascii="Arial" w:cs="Arial" w:eastAsia="Arial" w:hAnsi="Arial"/>
          <w:sz w:val="13"/>
          <w:szCs w:val="13"/>
          <w:color w:val="010035"/>
        </w:rPr>
        <w:t>– Trade association serving more than 600 member</w:t>
      </w:r>
      <w:r>
        <w:rPr>
          <w:rFonts w:ascii="Arial" w:cs="Arial" w:eastAsia="Arial" w:hAnsi="Arial"/>
          <w:sz w:val="13"/>
          <w:szCs w:val="13"/>
          <w:b w:val="1"/>
          <w:bCs w:val="1"/>
          <w:color w:val="010035"/>
        </w:rPr>
        <w:t xml:space="preserve"> </w:t>
      </w:r>
      <w:r>
        <w:rPr>
          <w:rFonts w:ascii="Arial" w:cs="Arial" w:eastAsia="Arial" w:hAnsi="Arial"/>
          <w:sz w:val="13"/>
          <w:szCs w:val="13"/>
          <w:color w:val="010035"/>
        </w:rPr>
        <w:t>agencies throughout the U.S.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President and CEO (2017-2025)</w:t>
      </w:r>
    </w:p>
    <w:p>
      <w:pPr>
        <w:spacing w:after="0" w:line="236" w:lineRule="auto"/>
        <w:rPr>
          <w:sz w:val="20"/>
          <w:szCs w:val="20"/>
          <w:color w:val="auto"/>
        </w:rPr>
      </w:pPr>
      <w:r>
        <w:rPr>
          <w:rFonts w:ascii="Arial" w:cs="Arial" w:eastAsia="Arial" w:hAnsi="Arial"/>
          <w:sz w:val="13"/>
          <w:szCs w:val="13"/>
          <w:b w:val="1"/>
          <w:bCs w:val="1"/>
          <w:color w:val="010035"/>
        </w:rPr>
        <w:t xml:space="preserve">MEC Global </w:t>
      </w:r>
      <w:r>
        <w:rPr>
          <w:rFonts w:ascii="Arial" w:cs="Arial" w:eastAsia="Arial" w:hAnsi="Arial"/>
          <w:sz w:val="13"/>
          <w:szCs w:val="13"/>
          <w:color w:val="010035"/>
        </w:rPr>
        <w:t>(now Wavemaker Global) – Global media agency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CEO of North America (2011-2017)</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3"/>
          <w:szCs w:val="13"/>
          <w:b w:val="1"/>
          <w:bCs w:val="1"/>
          <w:color w:val="010035"/>
        </w:rPr>
        <w:t xml:space="preserve">MediaVest </w:t>
      </w:r>
      <w:r>
        <w:rPr>
          <w:rFonts w:ascii="Arial" w:cs="Arial" w:eastAsia="Arial" w:hAnsi="Arial"/>
          <w:sz w:val="13"/>
          <w:szCs w:val="13"/>
          <w:color w:val="010035"/>
        </w:rPr>
        <w:t>(now Spark Foundry) – Full-service media agency that provides marketing, content and technology</w:t>
      </w:r>
      <w:r>
        <w:rPr>
          <w:rFonts w:ascii="Arial" w:cs="Arial" w:eastAsia="Arial" w:hAnsi="Arial"/>
          <w:sz w:val="13"/>
          <w:szCs w:val="13"/>
          <w:b w:val="1"/>
          <w:bCs w:val="1"/>
          <w:color w:val="010035"/>
        </w:rPr>
        <w:t xml:space="preserve"> </w:t>
      </w:r>
      <w:r>
        <w:rPr>
          <w:rFonts w:ascii="Arial" w:cs="Arial" w:eastAsia="Arial" w:hAnsi="Arial"/>
          <w:sz w:val="13"/>
          <w:szCs w:val="13"/>
          <w:color w:val="010035"/>
        </w:rPr>
        <w:t>solutions</w:t>
      </w:r>
    </w:p>
    <w:p>
      <w:pPr>
        <w:spacing w:after="0"/>
        <w:rPr>
          <w:sz w:val="20"/>
          <w:szCs w:val="20"/>
          <w:color w:val="auto"/>
        </w:rPr>
      </w:pPr>
      <w:r>
        <w:rPr>
          <w:rFonts w:ascii="Arial" w:cs="Arial" w:eastAsia="Arial" w:hAnsi="Arial"/>
          <w:sz w:val="12"/>
          <w:szCs w:val="12"/>
          <w:b w:val="1"/>
          <w:bCs w:val="1"/>
          <w:color w:val="010035"/>
        </w:rPr>
        <w:t xml:space="preserve">•  </w:t>
      </w:r>
      <w:r>
        <w:rPr>
          <w:rFonts w:ascii="Arial" w:cs="Arial" w:eastAsia="Arial" w:hAnsi="Arial"/>
          <w:sz w:val="12"/>
          <w:szCs w:val="12"/>
          <w:color w:val="010035"/>
        </w:rPr>
        <w:t>EVP, Managing Director (2006-2011), SVP, Media Director (2003-2006), SVP, Group Media Director (1999-2002)</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Ammirati Puris Lintas </w:t>
      </w:r>
      <w:r>
        <w:rPr>
          <w:rFonts w:ascii="Arial" w:cs="Arial" w:eastAsia="Arial" w:hAnsi="Arial"/>
          <w:sz w:val="13"/>
          <w:szCs w:val="13"/>
          <w:color w:val="010035"/>
        </w:rPr>
        <w:t>– Advertising agency</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SVP, Group Media Director (1996-1999)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106045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240" w:space="720"/>
            <w:col w:w="6440"/>
          </w:cols>
          <w:pgMar w:left="1240" w:top="114" w:right="12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29"/>
          <w:szCs w:val="29"/>
          <w:b w:val="1"/>
          <w:bCs w:val="1"/>
          <w:color w:val="FFFFFF"/>
        </w:rPr>
        <w:t xml:space="preserve"> CLASS III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-292100</wp:posOffset>
            </wp:positionV>
            <wp:extent cx="5829300" cy="3003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877060" cy="31718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7706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Jane Scaccetti</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Class III Director (Independent)</w:t>
      </w:r>
    </w:p>
    <w:p>
      <w:pPr>
        <w:ind w:left="180"/>
        <w:spacing w:after="0" w:line="216" w:lineRule="auto"/>
        <w:rPr>
          <w:sz w:val="20"/>
          <w:szCs w:val="20"/>
          <w:color w:val="auto"/>
        </w:rPr>
      </w:pPr>
      <w:r>
        <w:rPr>
          <w:rFonts w:ascii="Arial" w:cs="Arial" w:eastAsia="Arial" w:hAnsi="Arial"/>
          <w:sz w:val="13"/>
          <w:szCs w:val="13"/>
          <w:color w:val="010035"/>
        </w:rPr>
        <w:t>Age: 72</w:t>
      </w:r>
    </w:p>
    <w:p>
      <w:pPr>
        <w:ind w:left="180"/>
        <w:spacing w:after="0"/>
        <w:rPr>
          <w:sz w:val="20"/>
          <w:szCs w:val="20"/>
          <w:color w:val="auto"/>
        </w:rPr>
      </w:pPr>
      <w:r>
        <w:rPr>
          <w:rFonts w:ascii="Arial" w:cs="Arial" w:eastAsia="Arial" w:hAnsi="Arial"/>
          <w:sz w:val="13"/>
          <w:szCs w:val="13"/>
          <w:color w:val="010035"/>
        </w:rPr>
        <w:t>Director Since: 2015</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Committees:</w:t>
      </w:r>
    </w:p>
    <w:p>
      <w:pPr>
        <w:ind w:left="180"/>
        <w:spacing w:after="0" w:line="216" w:lineRule="auto"/>
        <w:rPr>
          <w:sz w:val="20"/>
          <w:szCs w:val="20"/>
          <w:color w:val="auto"/>
        </w:rPr>
      </w:pPr>
      <w:r>
        <w:rPr>
          <w:rFonts w:ascii="Arial" w:cs="Arial" w:eastAsia="Arial" w:hAnsi="Arial"/>
          <w:sz w:val="13"/>
          <w:szCs w:val="13"/>
          <w:color w:val="010035"/>
        </w:rPr>
        <w:t>•  Audit, Chair</w:t>
      </w:r>
    </w:p>
    <w:p>
      <w:pPr>
        <w:ind w:left="180"/>
        <w:spacing w:after="0" w:line="217" w:lineRule="auto"/>
        <w:rPr>
          <w:sz w:val="20"/>
          <w:szCs w:val="20"/>
          <w:color w:val="auto"/>
        </w:rPr>
      </w:pPr>
      <w:r>
        <w:rPr>
          <w:rFonts w:ascii="Arial" w:cs="Arial" w:eastAsia="Arial" w:hAnsi="Arial"/>
          <w:sz w:val="13"/>
          <w:szCs w:val="13"/>
          <w:color w:val="010035"/>
        </w:rPr>
        <w:t>•  Compensation</w:t>
      </w:r>
    </w:p>
    <w:p>
      <w:pPr>
        <w:ind w:left="180"/>
        <w:spacing w:after="0" w:line="316" w:lineRule="auto"/>
        <w:rPr>
          <w:sz w:val="20"/>
          <w:szCs w:val="20"/>
          <w:color w:val="auto"/>
        </w:rPr>
      </w:pPr>
      <w:r>
        <w:rPr>
          <w:rFonts w:ascii="Arial" w:cs="Arial" w:eastAsia="Arial" w:hAnsi="Arial"/>
          <w:sz w:val="12"/>
          <w:szCs w:val="12"/>
          <w:color w:val="010035"/>
        </w:rPr>
        <w:t xml:space="preserve">•  Nominating and Corporate Governance </w:t>
      </w:r>
      <w:r>
        <w:rPr>
          <w:rFonts w:ascii="Arial" w:cs="Arial" w:eastAsia="Arial" w:hAnsi="Arial"/>
          <w:sz w:val="12"/>
          <w:szCs w:val="12"/>
          <w:b w:val="1"/>
          <w:bCs w:val="1"/>
          <w:color w:val="010035"/>
        </w:rPr>
        <w:t>Public Board Directorships:</w:t>
      </w:r>
    </w:p>
    <w:p>
      <w:pPr>
        <w:ind w:left="180"/>
        <w:spacing w:after="0" w:line="218" w:lineRule="auto"/>
        <w:rPr>
          <w:sz w:val="20"/>
          <w:szCs w:val="20"/>
          <w:color w:val="auto"/>
        </w:rPr>
      </w:pPr>
      <w:r>
        <w:rPr>
          <w:rFonts w:ascii="Arial" w:cs="Arial" w:eastAsia="Arial" w:hAnsi="Arial"/>
          <w:sz w:val="13"/>
          <w:szCs w:val="13"/>
          <w:color w:val="010035"/>
        </w:rPr>
        <w:t>•  Myers Industries, Inc (2016-2021)</w:t>
      </w:r>
    </w:p>
    <w:p>
      <w:pPr>
        <w:ind w:left="180"/>
        <w:spacing w:after="0"/>
        <w:rPr>
          <w:sz w:val="20"/>
          <w:szCs w:val="20"/>
          <w:color w:val="auto"/>
        </w:rPr>
      </w:pPr>
      <w:r>
        <w:rPr>
          <w:rFonts w:ascii="Arial" w:cs="Arial" w:eastAsia="Arial" w:hAnsi="Arial"/>
          <w:sz w:val="13"/>
          <w:szCs w:val="13"/>
          <w:color w:val="010035"/>
        </w:rPr>
        <w:t>•  The Pep Boys (2002-2016)</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300" w:right="320" w:hanging="106"/>
        <w:spacing w:after="0" w:line="216" w:lineRule="auto"/>
        <w:rPr>
          <w:sz w:val="20"/>
          <w:szCs w:val="20"/>
          <w:color w:val="auto"/>
        </w:rPr>
      </w:pPr>
      <w:r>
        <w:rPr>
          <w:rFonts w:ascii="Arial" w:cs="Arial" w:eastAsia="Arial" w:hAnsi="Arial"/>
          <w:sz w:val="13"/>
          <w:szCs w:val="13"/>
          <w:color w:val="010035"/>
        </w:rPr>
        <w:t>•  Temple University's Fox School of Business: BBA</w:t>
      </w:r>
    </w:p>
    <w:p>
      <w:pPr>
        <w:ind w:left="180"/>
        <w:spacing w:after="0" w:line="218" w:lineRule="auto"/>
        <w:rPr>
          <w:sz w:val="20"/>
          <w:szCs w:val="20"/>
          <w:color w:val="auto"/>
        </w:rPr>
      </w:pPr>
      <w:r>
        <w:rPr>
          <w:rFonts w:ascii="Arial" w:cs="Arial" w:eastAsia="Arial" w:hAnsi="Arial"/>
          <w:sz w:val="13"/>
          <w:szCs w:val="13"/>
          <w:color w:val="010035"/>
        </w:rPr>
        <w:t>•  Villanova University: MS, Taxation</w:t>
      </w:r>
    </w:p>
    <w:p>
      <w:pPr>
        <w:ind w:left="280"/>
        <w:spacing w:after="0" w:line="216" w:lineRule="auto"/>
        <w:rPr>
          <w:sz w:val="20"/>
          <w:szCs w:val="20"/>
          <w:color w:val="auto"/>
        </w:rPr>
      </w:pPr>
      <w:r>
        <w:rPr>
          <w:rFonts w:ascii="Arial" w:cs="Arial" w:eastAsia="Arial" w:hAnsi="Arial"/>
          <w:sz w:val="13"/>
          <w:szCs w:val="13"/>
          <w:color w:val="010035"/>
        </w:rPr>
        <w:t> </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010035"/>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ind w:right="119"/>
        <w:spacing w:after="0" w:line="221" w:lineRule="auto"/>
        <w:rPr>
          <w:sz w:val="20"/>
          <w:szCs w:val="20"/>
          <w:color w:val="auto"/>
        </w:rPr>
      </w:pPr>
      <w:r>
        <w:rPr>
          <w:rFonts w:ascii="Arial" w:cs="Arial" w:eastAsia="Arial" w:hAnsi="Arial"/>
          <w:sz w:val="13"/>
          <w:szCs w:val="13"/>
          <w:color w:val="010035"/>
        </w:rPr>
        <w:t>Ms. Scaccetti brings expertise in finance, tax, accounting, cyber risk oversight, strategic planning, M&amp;A, risk management and human capital development, shaped by her career as a Certified Public Accountant (CPA) and extensive corporate governance expertise, developed through her service on the boards of leading public companies over the past three decades. She has guided strategic planning initiatives to drive value creation and transformative growth, while ensuring financial integrity and aligning talent strategies with organizational objectives. Her financial acumen, strategic vision and governance experience make her a critical contributor to PENN’s growth and risk management efforts.</w:t>
      </w:r>
    </w:p>
    <w:p>
      <w:pPr>
        <w:spacing w:after="0" w:line="91" w:lineRule="exact"/>
        <w:rPr>
          <w:sz w:val="20"/>
          <w:szCs w:val="20"/>
          <w:color w:val="auto"/>
        </w:rPr>
      </w:pPr>
    </w:p>
    <w:p>
      <w:pPr>
        <w:ind w:left="100" w:right="99" w:hanging="106"/>
        <w:spacing w:after="0" w:line="226" w:lineRule="auto"/>
        <w:rPr>
          <w:sz w:val="20"/>
          <w:szCs w:val="20"/>
          <w:color w:val="auto"/>
        </w:rPr>
      </w:pPr>
      <w:r>
        <w:rPr>
          <w:rFonts w:ascii="Arial" w:cs="Arial" w:eastAsia="Arial" w:hAnsi="Arial"/>
          <w:sz w:val="13"/>
          <w:szCs w:val="13"/>
          <w:b w:val="1"/>
          <w:bCs w:val="1"/>
          <w:color w:val="010035"/>
        </w:rPr>
        <w:t xml:space="preserve">•  Risk Management: </w:t>
      </w:r>
      <w:r>
        <w:rPr>
          <w:rFonts w:ascii="Arial" w:cs="Arial" w:eastAsia="Arial" w:hAnsi="Arial"/>
          <w:sz w:val="13"/>
          <w:szCs w:val="13"/>
          <w:color w:val="010035"/>
        </w:rPr>
        <w:t>Acquired during Ms. Scaccetti’s more than 45-year career as a practicing CPA, including</w:t>
      </w:r>
      <w:r>
        <w:rPr>
          <w:rFonts w:ascii="Arial" w:cs="Arial" w:eastAsia="Arial" w:hAnsi="Arial"/>
          <w:sz w:val="13"/>
          <w:szCs w:val="13"/>
          <w:b w:val="1"/>
          <w:bCs w:val="1"/>
          <w:color w:val="010035"/>
        </w:rPr>
        <w:t xml:space="preserve"> </w:t>
      </w:r>
      <w:r>
        <w:rPr>
          <w:rFonts w:ascii="Arial" w:cs="Arial" w:eastAsia="Arial" w:hAnsi="Arial"/>
          <w:sz w:val="13"/>
          <w:szCs w:val="13"/>
          <w:color w:val="010035"/>
        </w:rPr>
        <w:t>at Drucker &amp; Scaccetti, which she co-founded, and at Laventhol &amp; Horwath, where she was the first female tax partner of any international accounting firm in Philadelphia. In these roles, she provided counsel to U.S. and international based companies on a wide range of complex tax planning, corporate transactions and business strategy matters.</w:t>
      </w:r>
    </w:p>
    <w:p>
      <w:pPr>
        <w:spacing w:after="0" w:line="106" w:lineRule="exact"/>
        <w:rPr>
          <w:sz w:val="20"/>
          <w:szCs w:val="20"/>
          <w:color w:val="auto"/>
        </w:rPr>
      </w:pPr>
    </w:p>
    <w:p>
      <w:pPr>
        <w:ind w:left="100" w:right="99" w:hanging="106"/>
        <w:spacing w:after="0" w:line="225" w:lineRule="auto"/>
        <w:rPr>
          <w:sz w:val="20"/>
          <w:szCs w:val="20"/>
          <w:color w:val="auto"/>
        </w:rPr>
      </w:pPr>
      <w:r>
        <w:rPr>
          <w:rFonts w:ascii="Arial" w:cs="Arial" w:eastAsia="Arial" w:hAnsi="Arial"/>
          <w:sz w:val="13"/>
          <w:szCs w:val="13"/>
          <w:b w:val="1"/>
          <w:bCs w:val="1"/>
          <w:color w:val="010035"/>
        </w:rPr>
        <w:t xml:space="preserve">•  Cybersecurity: </w:t>
      </w:r>
      <w:r>
        <w:rPr>
          <w:rFonts w:ascii="Arial" w:cs="Arial" w:eastAsia="Arial" w:hAnsi="Arial"/>
          <w:sz w:val="13"/>
          <w:szCs w:val="13"/>
          <w:color w:val="010035"/>
        </w:rPr>
        <w:t>Developed through her leadership role at Drucker &amp; Scaccetti, where she oversaw the</w:t>
      </w:r>
      <w:r>
        <w:rPr>
          <w:rFonts w:ascii="Arial" w:cs="Arial" w:eastAsia="Arial" w:hAnsi="Arial"/>
          <w:sz w:val="13"/>
          <w:szCs w:val="13"/>
          <w:b w:val="1"/>
          <w:bCs w:val="1"/>
          <w:color w:val="010035"/>
        </w:rPr>
        <w:t xml:space="preserve"> </w:t>
      </w:r>
      <w:r>
        <w:rPr>
          <w:rFonts w:ascii="Arial" w:cs="Arial" w:eastAsia="Arial" w:hAnsi="Arial"/>
          <w:sz w:val="13"/>
          <w:szCs w:val="13"/>
          <w:color w:val="010035"/>
        </w:rPr>
        <w:t>creation and continued evolution of information security systems and controls to safeguard the firm’s information infrastructure. Ms. Scaccetti’s expertise was further enhanced through her role as the chair of the audit committee at multiple public companies for over three decades and her service on the board of a $3B+ in revenue non-profit institution where cybersecurity is paramount to protecting personal health records and information and annual CPA continuing education requirements.</w:t>
      </w:r>
    </w:p>
    <w:p>
      <w:pPr>
        <w:spacing w:after="0" w:line="91" w:lineRule="exact"/>
        <w:rPr>
          <w:sz w:val="20"/>
          <w:szCs w:val="20"/>
          <w:color w:val="auto"/>
        </w:rPr>
      </w:pPr>
    </w:p>
    <w:p>
      <w:pPr>
        <w:ind w:left="100" w:right="59" w:hanging="106"/>
        <w:spacing w:after="0" w:line="221" w:lineRule="auto"/>
        <w:rPr>
          <w:sz w:val="20"/>
          <w:szCs w:val="20"/>
          <w:color w:val="auto"/>
        </w:rPr>
      </w:pPr>
      <w:r>
        <w:rPr>
          <w:rFonts w:ascii="Arial" w:cs="Arial" w:eastAsia="Arial" w:hAnsi="Arial"/>
          <w:sz w:val="13"/>
          <w:szCs w:val="13"/>
          <w:b w:val="1"/>
          <w:bCs w:val="1"/>
          <w:color w:val="010035"/>
        </w:rPr>
        <w:t xml:space="preserve">•  Strategic Planning / M&amp;A: </w:t>
      </w:r>
      <w:r>
        <w:rPr>
          <w:rFonts w:ascii="Arial" w:cs="Arial" w:eastAsia="Arial" w:hAnsi="Arial"/>
          <w:sz w:val="13"/>
          <w:szCs w:val="13"/>
          <w:color w:val="010035"/>
        </w:rPr>
        <w:t>Skills gained from both her board service and work with complex clients, where</w:t>
      </w:r>
      <w:r>
        <w:rPr>
          <w:rFonts w:ascii="Arial" w:cs="Arial" w:eastAsia="Arial" w:hAnsi="Arial"/>
          <w:sz w:val="13"/>
          <w:szCs w:val="13"/>
          <w:b w:val="1"/>
          <w:bCs w:val="1"/>
          <w:color w:val="010035"/>
        </w:rPr>
        <w:t xml:space="preserve"> </w:t>
      </w:r>
      <w:r>
        <w:rPr>
          <w:rFonts w:ascii="Arial" w:cs="Arial" w:eastAsia="Arial" w:hAnsi="Arial"/>
          <w:sz w:val="13"/>
          <w:szCs w:val="13"/>
          <w:color w:val="010035"/>
        </w:rPr>
        <w:t>Ms. Scaccetti has guided organizations through evaluating and executing detailed analysis of acquisition targets, assessing integration risks, determining optimal pathways for growth, assessing financial implications and aligning strategic initiatives with long-term goals to drive value creation.</w:t>
      </w:r>
    </w:p>
    <w:p>
      <w:pPr>
        <w:spacing w:after="0" w:line="222" w:lineRule="auto"/>
        <w:rPr>
          <w:sz w:val="20"/>
          <w:szCs w:val="20"/>
          <w:color w:val="auto"/>
        </w:rPr>
      </w:pPr>
      <w:r>
        <w:rPr>
          <w:rFonts w:ascii="Arial" w:cs="Arial" w:eastAsia="Arial" w:hAnsi="Arial"/>
          <w:sz w:val="13"/>
          <w:szCs w:val="13"/>
          <w:color w:val="010035"/>
        </w:rPr>
        <w:t> </w:t>
      </w:r>
    </w:p>
    <w:p>
      <w:pPr>
        <w:spacing w:after="0" w:line="223" w:lineRule="auto"/>
        <w:rPr>
          <w:sz w:val="20"/>
          <w:szCs w:val="20"/>
          <w:color w:val="auto"/>
        </w:rPr>
      </w:pPr>
      <w:r>
        <w:rPr>
          <w:rFonts w:ascii="Arial" w:cs="Arial" w:eastAsia="Arial" w:hAnsi="Arial"/>
          <w:sz w:val="20"/>
          <w:szCs w:val="20"/>
          <w:b w:val="1"/>
          <w:bCs w:val="1"/>
          <w:color w:val="69439A"/>
        </w:rPr>
        <w:t>EXPERIENCE:</w:t>
      </w:r>
    </w:p>
    <w:p>
      <w:pPr>
        <w:spacing w:after="0" w:line="217" w:lineRule="auto"/>
        <w:rPr>
          <w:sz w:val="20"/>
          <w:szCs w:val="20"/>
          <w:color w:val="auto"/>
        </w:rPr>
      </w:pPr>
      <w:r>
        <w:rPr>
          <w:rFonts w:ascii="Arial" w:cs="Arial" w:eastAsia="Arial" w:hAnsi="Arial"/>
          <w:sz w:val="13"/>
          <w:szCs w:val="13"/>
          <w:b w:val="1"/>
          <w:bCs w:val="1"/>
          <w:color w:val="010035"/>
        </w:rPr>
        <w:t xml:space="preserve">Armanino LLP </w:t>
      </w:r>
      <w:r>
        <w:rPr>
          <w:rFonts w:ascii="Arial" w:cs="Arial" w:eastAsia="Arial" w:hAnsi="Arial"/>
          <w:sz w:val="13"/>
          <w:szCs w:val="13"/>
          <w:color w:val="010035"/>
        </w:rPr>
        <w:t>– Successor company of Drucker &amp; Scaccetti, P.C.</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Of Counsel/Ambassador (since 2022)</w:t>
      </w:r>
    </w:p>
    <w:p>
      <w:pPr>
        <w:spacing w:after="0" w:line="14" w:lineRule="exact"/>
        <w:rPr>
          <w:sz w:val="20"/>
          <w:szCs w:val="20"/>
          <w:color w:val="auto"/>
        </w:rPr>
      </w:pPr>
    </w:p>
    <w:p>
      <w:pPr>
        <w:ind w:right="2119"/>
        <w:spacing w:after="0" w:line="246" w:lineRule="auto"/>
        <w:rPr>
          <w:sz w:val="20"/>
          <w:szCs w:val="20"/>
          <w:color w:val="auto"/>
        </w:rPr>
      </w:pPr>
      <w:r>
        <w:rPr>
          <w:rFonts w:ascii="Arial" w:cs="Arial" w:eastAsia="Arial" w:hAnsi="Arial"/>
          <w:sz w:val="13"/>
          <w:szCs w:val="13"/>
          <w:b w:val="1"/>
          <w:bCs w:val="1"/>
          <w:color w:val="010035"/>
        </w:rPr>
        <w:t xml:space="preserve">Drucker &amp; Scaccetti, P.C. </w:t>
      </w:r>
      <w:r>
        <w:rPr>
          <w:rFonts w:ascii="Arial" w:cs="Arial" w:eastAsia="Arial" w:hAnsi="Arial"/>
          <w:sz w:val="13"/>
          <w:szCs w:val="13"/>
          <w:color w:val="010035"/>
        </w:rPr>
        <w:t>– Public accounting and business advisory firm</w:t>
      </w:r>
      <w:r>
        <w:rPr>
          <w:rFonts w:ascii="Arial" w:cs="Arial" w:eastAsia="Arial" w:hAnsi="Arial"/>
          <w:sz w:val="13"/>
          <w:szCs w:val="13"/>
          <w:b w:val="1"/>
          <w:bCs w:val="1"/>
          <w:color w:val="010035"/>
        </w:rPr>
        <w:t xml:space="preserve"> •  </w:t>
      </w:r>
      <w:r>
        <w:rPr>
          <w:rFonts w:ascii="Arial" w:cs="Arial" w:eastAsia="Arial" w:hAnsi="Arial"/>
          <w:sz w:val="13"/>
          <w:szCs w:val="13"/>
          <w:color w:val="010035"/>
        </w:rPr>
        <w:t>Chief Executive Officer (2013-2021), Partner (1990-2021)</w:t>
      </w:r>
    </w:p>
    <w:p>
      <w:pPr>
        <w:spacing w:after="0" w:line="220" w:lineRule="auto"/>
        <w:rPr>
          <w:sz w:val="20"/>
          <w:szCs w:val="20"/>
          <w:color w:val="auto"/>
        </w:rPr>
      </w:pPr>
      <w:r>
        <w:rPr>
          <w:rFonts w:ascii="Arial" w:cs="Arial" w:eastAsia="Arial" w:hAnsi="Arial"/>
          <w:sz w:val="13"/>
          <w:szCs w:val="13"/>
          <w:b w:val="1"/>
          <w:bCs w:val="1"/>
          <w:color w:val="010035"/>
        </w:rPr>
        <w:t xml:space="preserve">Laventhol &amp; Horwath </w:t>
      </w:r>
      <w:r>
        <w:rPr>
          <w:rFonts w:ascii="Arial" w:cs="Arial" w:eastAsia="Arial" w:hAnsi="Arial"/>
          <w:sz w:val="13"/>
          <w:szCs w:val="13"/>
          <w:color w:val="010035"/>
        </w:rPr>
        <w:t>– International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Partner (1987-1990), Staff/Manager (1977-1987)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191770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500" w:space="460"/>
            <w:col w:w="6259"/>
          </w:cols>
          <w:pgMar w:left="1240" w:top="114" w:right="1440"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CLASS III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877060" cy="3197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77060" cy="319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Fabio Schiavolin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Class III Director (Independent)</w:t>
      </w:r>
    </w:p>
    <w:p>
      <w:pPr>
        <w:ind w:left="180"/>
        <w:spacing w:after="0" w:line="216" w:lineRule="auto"/>
        <w:rPr>
          <w:sz w:val="20"/>
          <w:szCs w:val="20"/>
          <w:color w:val="auto"/>
        </w:rPr>
      </w:pPr>
      <w:r>
        <w:rPr>
          <w:rFonts w:ascii="Arial" w:cs="Arial" w:eastAsia="Arial" w:hAnsi="Arial"/>
          <w:sz w:val="13"/>
          <w:szCs w:val="13"/>
          <w:color w:val="010035"/>
        </w:rPr>
        <w:t>Age: 56</w:t>
      </w:r>
    </w:p>
    <w:p>
      <w:pPr>
        <w:ind w:left="180"/>
        <w:spacing w:after="0"/>
        <w:rPr>
          <w:sz w:val="20"/>
          <w:szCs w:val="20"/>
          <w:color w:val="auto"/>
        </w:rPr>
      </w:pPr>
      <w:r>
        <w:rPr>
          <w:rFonts w:ascii="Arial" w:cs="Arial" w:eastAsia="Arial" w:hAnsi="Arial"/>
          <w:sz w:val="13"/>
          <w:szCs w:val="13"/>
          <w:color w:val="010035"/>
        </w:rPr>
        <w:t>Director Since: 2026</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300" w:hanging="106"/>
        <w:spacing w:after="0" w:line="231" w:lineRule="auto"/>
        <w:rPr>
          <w:sz w:val="20"/>
          <w:szCs w:val="20"/>
          <w:color w:val="auto"/>
        </w:rPr>
      </w:pPr>
      <w:r>
        <w:rPr>
          <w:rFonts w:ascii="Arial" w:cs="Arial" w:eastAsia="Arial" w:hAnsi="Arial"/>
          <w:sz w:val="13"/>
          <w:szCs w:val="13"/>
          <w:color w:val="010035"/>
        </w:rPr>
        <w:t>•  Università di Bologna: MA, Business Administration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spacing w:after="0" w:line="221" w:lineRule="auto"/>
        <w:rPr>
          <w:sz w:val="20"/>
          <w:szCs w:val="20"/>
          <w:color w:val="auto"/>
        </w:rPr>
      </w:pPr>
      <w:r>
        <w:rPr>
          <w:rFonts w:ascii="Arial" w:cs="Arial" w:eastAsia="Arial" w:hAnsi="Arial"/>
          <w:sz w:val="13"/>
          <w:szCs w:val="13"/>
          <w:color w:val="010035"/>
        </w:rPr>
        <w:t>Mr. Schiavolin is a recognized leader in gaming markets and omnichannel business development, bringing over 25 years of executive experience and deep M&amp;A expertise to the Board. Over the course of his career, he has built and scaled integrated gaming businesses across land-based and retail operations, online gaming and sports betting. His track record of integrating digital platforms with physical operations and managing complex international businesses provides him with a deep understanding of the industry dynamics, which strengthens the oversight of PENN’s growth strategy, capital allocation and innovation priorities.</w:t>
      </w:r>
    </w:p>
    <w:p>
      <w:pPr>
        <w:spacing w:after="0" w:line="94" w:lineRule="exact"/>
        <w:rPr>
          <w:sz w:val="20"/>
          <w:szCs w:val="20"/>
          <w:color w:val="auto"/>
        </w:rPr>
      </w:pPr>
    </w:p>
    <w:p>
      <w:pPr>
        <w:ind w:left="100" w:right="100" w:hanging="106"/>
        <w:spacing w:after="0" w:line="225" w:lineRule="auto"/>
        <w:rPr>
          <w:sz w:val="20"/>
          <w:szCs w:val="20"/>
          <w:color w:val="auto"/>
        </w:rPr>
      </w:pPr>
      <w:r>
        <w:rPr>
          <w:rFonts w:ascii="Arial" w:cs="Arial" w:eastAsia="Arial" w:hAnsi="Arial"/>
          <w:sz w:val="13"/>
          <w:szCs w:val="13"/>
          <w:b w:val="1"/>
          <w:bCs w:val="1"/>
          <w:color w:val="010035"/>
        </w:rPr>
        <w:t xml:space="preserve">•  Industry Experience (Gaming, Hospitality, Media): </w:t>
      </w:r>
      <w:r>
        <w:rPr>
          <w:rFonts w:ascii="Arial" w:cs="Arial" w:eastAsia="Arial" w:hAnsi="Arial"/>
          <w:sz w:val="13"/>
          <w:szCs w:val="13"/>
          <w:color w:val="010035"/>
        </w:rPr>
        <w:t>As CEO and Co-Founder of Cogetech, an online gaming</w:t>
      </w:r>
      <w:r>
        <w:rPr>
          <w:rFonts w:ascii="Arial" w:cs="Arial" w:eastAsia="Arial" w:hAnsi="Arial"/>
          <w:sz w:val="13"/>
          <w:szCs w:val="13"/>
          <w:b w:val="1"/>
          <w:bCs w:val="1"/>
          <w:color w:val="010035"/>
        </w:rPr>
        <w:t xml:space="preserve"> </w:t>
      </w:r>
      <w:r>
        <w:rPr>
          <w:rFonts w:ascii="Arial" w:cs="Arial" w:eastAsia="Arial" w:hAnsi="Arial"/>
          <w:sz w:val="13"/>
          <w:szCs w:val="13"/>
          <w:color w:val="010035"/>
        </w:rPr>
        <w:t>and gambling company, Mr. Schiavolin scaled the business and led its merger with Snaitech in 2015, expanding the company’s retail betting network to over 1,600 points of sale. Under his leadership, Snaitech became Italy’s largest publicly traded gaming and entertainment company, achieving market-leading positions in sports betting, gaming machines and horse racing. He began his career at Cirsa, a multinational casino and gaming machine operator.</w:t>
      </w:r>
    </w:p>
    <w:p>
      <w:pPr>
        <w:spacing w:after="0" w:line="104" w:lineRule="exact"/>
        <w:rPr>
          <w:sz w:val="20"/>
          <w:szCs w:val="20"/>
          <w:color w:val="auto"/>
        </w:rPr>
      </w:pPr>
    </w:p>
    <w:p>
      <w:pPr>
        <w:ind w:left="100" w:right="20" w:hanging="106"/>
        <w:spacing w:after="0" w:line="251" w:lineRule="auto"/>
        <w:rPr>
          <w:sz w:val="20"/>
          <w:szCs w:val="20"/>
          <w:color w:val="auto"/>
        </w:rPr>
      </w:pPr>
      <w:r>
        <w:rPr>
          <w:rFonts w:ascii="Arial" w:cs="Arial" w:eastAsia="Arial" w:hAnsi="Arial"/>
          <w:sz w:val="12"/>
          <w:szCs w:val="12"/>
          <w:b w:val="1"/>
          <w:bCs w:val="1"/>
          <w:color w:val="010035"/>
        </w:rPr>
        <w:t xml:space="preserve">•  Strategic Planning / M&amp;A: </w:t>
      </w:r>
      <w:r>
        <w:rPr>
          <w:rFonts w:ascii="Arial" w:cs="Arial" w:eastAsia="Arial" w:hAnsi="Arial"/>
          <w:sz w:val="12"/>
          <w:szCs w:val="12"/>
          <w:color w:val="010035"/>
        </w:rPr>
        <w:t>At Snaitech, Mr. Schiavolin delivered durable operating performance and margin</w:t>
      </w:r>
      <w:r>
        <w:rPr>
          <w:rFonts w:ascii="Arial" w:cs="Arial" w:eastAsia="Arial" w:hAnsi="Arial"/>
          <w:sz w:val="12"/>
          <w:szCs w:val="12"/>
          <w:b w:val="1"/>
          <w:bCs w:val="1"/>
          <w:color w:val="010035"/>
        </w:rPr>
        <w:t xml:space="preserve"> </w:t>
      </w:r>
      <w:r>
        <w:rPr>
          <w:rFonts w:ascii="Arial" w:cs="Arial" w:eastAsia="Arial" w:hAnsi="Arial"/>
          <w:sz w:val="12"/>
          <w:szCs w:val="12"/>
          <w:color w:val="010035"/>
        </w:rPr>
        <w:t>expansion. He led the company’s strategic initiatives, including the 2018 merger with Playtech Group, a global gaming technology company operating in more than 17 countries. His experience evaluating transactions, managing integrations, and executing value creation strategies supports effective board oversight of M&amp;A activity.</w:t>
      </w:r>
    </w:p>
    <w:p>
      <w:pPr>
        <w:spacing w:after="0" w:line="84" w:lineRule="exact"/>
        <w:rPr>
          <w:sz w:val="20"/>
          <w:szCs w:val="20"/>
          <w:color w:val="auto"/>
        </w:rPr>
      </w:pPr>
    </w:p>
    <w:p>
      <w:pPr>
        <w:ind w:left="100" w:right="100" w:hanging="106"/>
        <w:spacing w:after="0" w:line="221" w:lineRule="auto"/>
        <w:rPr>
          <w:sz w:val="20"/>
          <w:szCs w:val="20"/>
          <w:color w:val="auto"/>
        </w:rPr>
      </w:pPr>
      <w:r>
        <w:rPr>
          <w:rFonts w:ascii="Arial" w:cs="Arial" w:eastAsia="Arial" w:hAnsi="Arial"/>
          <w:sz w:val="13"/>
          <w:szCs w:val="13"/>
          <w:b w:val="1"/>
          <w:bCs w:val="1"/>
          <w:color w:val="010035"/>
        </w:rPr>
        <w:t xml:space="preserve">•  Technology / Digital: </w:t>
      </w:r>
      <w:r>
        <w:rPr>
          <w:rFonts w:ascii="Arial" w:cs="Arial" w:eastAsia="Arial" w:hAnsi="Arial"/>
          <w:sz w:val="13"/>
          <w:szCs w:val="13"/>
          <w:color w:val="010035"/>
        </w:rPr>
        <w:t>Mr. Schiavolin brings extensive experience leading technology-enabled gaming platforms</w:t>
      </w:r>
      <w:r>
        <w:rPr>
          <w:rFonts w:ascii="Arial" w:cs="Arial" w:eastAsia="Arial" w:hAnsi="Arial"/>
          <w:sz w:val="13"/>
          <w:szCs w:val="13"/>
          <w:b w:val="1"/>
          <w:bCs w:val="1"/>
          <w:color w:val="010035"/>
        </w:rPr>
        <w:t xml:space="preserve"> </w:t>
      </w:r>
      <w:r>
        <w:rPr>
          <w:rFonts w:ascii="Arial" w:cs="Arial" w:eastAsia="Arial" w:hAnsi="Arial"/>
          <w:sz w:val="13"/>
          <w:szCs w:val="13"/>
          <w:color w:val="010035"/>
        </w:rPr>
        <w:t>and omnichannel growth initiatives. He has overseen the development and expansion of digital-first offerings across online gaming, sports betting and broadcasting, successfully integrating technology with retail operations to build customer loyalty and engagement.</w:t>
      </w:r>
    </w:p>
    <w:p>
      <w:pPr>
        <w:spacing w:after="0" w:line="222" w:lineRule="auto"/>
        <w:rPr>
          <w:sz w:val="20"/>
          <w:szCs w:val="20"/>
          <w:color w:val="auto"/>
        </w:rPr>
      </w:pPr>
      <w:r>
        <w:rPr>
          <w:rFonts w:ascii="Arial" w:cs="Arial" w:eastAsia="Arial" w:hAnsi="Arial"/>
          <w:sz w:val="13"/>
          <w:szCs w:val="13"/>
          <w:color w:val="010035"/>
        </w:rPr>
        <w:t> </w:t>
      </w:r>
    </w:p>
    <w:p>
      <w:pPr>
        <w:spacing w:after="0" w:line="223" w:lineRule="auto"/>
        <w:rPr>
          <w:sz w:val="20"/>
          <w:szCs w:val="20"/>
          <w:color w:val="auto"/>
        </w:rPr>
      </w:pPr>
      <w:r>
        <w:rPr>
          <w:rFonts w:ascii="Arial" w:cs="Arial" w:eastAsia="Arial" w:hAnsi="Arial"/>
          <w:sz w:val="20"/>
          <w:szCs w:val="20"/>
          <w:b w:val="1"/>
          <w:bCs w:val="1"/>
          <w:color w:val="69439A"/>
        </w:rPr>
        <w:t>EXPERIENCE:</w:t>
      </w:r>
    </w:p>
    <w:p>
      <w:pPr>
        <w:ind w:right="2840"/>
        <w:spacing w:after="0" w:line="236" w:lineRule="auto"/>
        <w:rPr>
          <w:sz w:val="20"/>
          <w:szCs w:val="20"/>
          <w:color w:val="auto"/>
        </w:rPr>
      </w:pPr>
      <w:r>
        <w:rPr>
          <w:rFonts w:ascii="Arial" w:cs="Arial" w:eastAsia="Arial" w:hAnsi="Arial"/>
          <w:sz w:val="13"/>
          <w:szCs w:val="13"/>
          <w:b w:val="1"/>
          <w:bCs w:val="1"/>
          <w:color w:val="010035"/>
        </w:rPr>
        <w:t xml:space="preserve">Snaitech S.p.A. </w:t>
      </w:r>
      <w:r>
        <w:rPr>
          <w:rFonts w:ascii="Arial" w:cs="Arial" w:eastAsia="Arial" w:hAnsi="Arial"/>
          <w:sz w:val="13"/>
          <w:szCs w:val="13"/>
          <w:color w:val="010035"/>
        </w:rPr>
        <w:t>– A leading Italian gaming and betting company</w:t>
      </w:r>
      <w:r>
        <w:rPr>
          <w:rFonts w:ascii="Arial" w:cs="Arial" w:eastAsia="Arial" w:hAnsi="Arial"/>
          <w:sz w:val="13"/>
          <w:szCs w:val="13"/>
          <w:b w:val="1"/>
          <w:bCs w:val="1"/>
          <w:color w:val="010035"/>
        </w:rPr>
        <w:t xml:space="preserve"> •  </w:t>
      </w:r>
      <w:r>
        <w:rPr>
          <w:rFonts w:ascii="Arial" w:cs="Arial" w:eastAsia="Arial" w:hAnsi="Arial"/>
          <w:sz w:val="13"/>
          <w:szCs w:val="13"/>
          <w:color w:val="010035"/>
        </w:rPr>
        <w:t>CEO (2015-2025)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Cogetech S.p.A. </w:t>
      </w:r>
      <w:r>
        <w:rPr>
          <w:rFonts w:ascii="Arial" w:cs="Arial" w:eastAsia="Arial" w:hAnsi="Arial"/>
          <w:sz w:val="13"/>
          <w:szCs w:val="13"/>
          <w:color w:val="010035"/>
        </w:rPr>
        <w:t>– An Italian gaming company (acquired by Snaitech in 2015)</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Co-Founder and CEO (2004-2015)</w:t>
      </w:r>
    </w:p>
    <w:p>
      <w:pPr>
        <w:spacing w:after="0" w:line="236" w:lineRule="auto"/>
        <w:rPr>
          <w:sz w:val="20"/>
          <w:szCs w:val="20"/>
          <w:color w:val="auto"/>
        </w:rPr>
      </w:pPr>
      <w:r>
        <w:rPr>
          <w:rFonts w:ascii="Arial" w:cs="Arial" w:eastAsia="Arial" w:hAnsi="Arial"/>
          <w:sz w:val="13"/>
          <w:szCs w:val="13"/>
          <w:b w:val="1"/>
          <w:bCs w:val="1"/>
          <w:color w:val="010035"/>
        </w:rPr>
        <w:t xml:space="preserve">Bottega del Caffe </w:t>
      </w:r>
      <w:r>
        <w:rPr>
          <w:rFonts w:ascii="Arial" w:cs="Arial" w:eastAsia="Arial" w:hAnsi="Arial"/>
          <w:sz w:val="13"/>
          <w:szCs w:val="13"/>
          <w:color w:val="010035"/>
        </w:rPr>
        <w:t>– An Italian coffee chain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CEO (2000-2003)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Cirsa </w:t>
      </w:r>
      <w:r>
        <w:rPr>
          <w:rFonts w:ascii="Arial" w:cs="Arial" w:eastAsia="Arial" w:hAnsi="Arial"/>
          <w:sz w:val="13"/>
          <w:szCs w:val="13"/>
          <w:color w:val="010035"/>
        </w:rPr>
        <w:t>– A leading multinational gaming company</w:t>
      </w:r>
    </w:p>
    <w:p>
      <w:pPr>
        <w:spacing w:after="0" w:line="216"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BU Director (1997-2000)</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Branch Director (1995-1997)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106045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320" w:space="640"/>
            <w:col w:w="6440"/>
          </w:cols>
          <w:pgMar w:left="1240" w:top="114" w:right="12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29"/>
          <w:szCs w:val="29"/>
          <w:b w:val="1"/>
          <w:bCs w:val="1"/>
          <w:color w:val="FFFFFF"/>
        </w:rPr>
        <w:t xml:space="preserve"> CLASS III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-292100</wp:posOffset>
            </wp:positionV>
            <wp:extent cx="5829300" cy="300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1877060" cy="38150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77060" cy="381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Jay Snowden</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2"/>
          <w:szCs w:val="12"/>
          <w:color w:val="010035"/>
        </w:rPr>
        <w:t>Class III Director (Executive Director)</w:t>
      </w:r>
    </w:p>
    <w:p>
      <w:pPr>
        <w:ind w:left="180"/>
        <w:spacing w:after="0" w:line="231" w:lineRule="auto"/>
        <w:rPr>
          <w:sz w:val="20"/>
          <w:szCs w:val="20"/>
          <w:color w:val="auto"/>
        </w:rPr>
      </w:pPr>
      <w:r>
        <w:rPr>
          <w:rFonts w:ascii="Arial" w:cs="Arial" w:eastAsia="Arial" w:hAnsi="Arial"/>
          <w:sz w:val="13"/>
          <w:szCs w:val="13"/>
          <w:color w:val="010035"/>
        </w:rPr>
        <w:t>Age: 50</w:t>
      </w:r>
    </w:p>
    <w:p>
      <w:pPr>
        <w:ind w:left="180"/>
        <w:spacing w:after="0"/>
        <w:rPr>
          <w:sz w:val="20"/>
          <w:szCs w:val="20"/>
          <w:color w:val="auto"/>
        </w:rPr>
      </w:pPr>
      <w:r>
        <w:rPr>
          <w:rFonts w:ascii="Arial" w:cs="Arial" w:eastAsia="Arial" w:hAnsi="Arial"/>
          <w:sz w:val="13"/>
          <w:szCs w:val="13"/>
          <w:color w:val="010035"/>
        </w:rPr>
        <w:t>Director Since: 2019</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180" w:right="580"/>
        <w:spacing w:after="0" w:line="234" w:lineRule="auto"/>
        <w:rPr>
          <w:sz w:val="20"/>
          <w:szCs w:val="20"/>
          <w:color w:val="auto"/>
        </w:rPr>
      </w:pPr>
      <w:r>
        <w:rPr>
          <w:rFonts w:ascii="Arial" w:cs="Arial" w:eastAsia="Arial" w:hAnsi="Arial"/>
          <w:sz w:val="12"/>
          <w:szCs w:val="12"/>
          <w:color w:val="010035"/>
        </w:rPr>
        <w:t>•  Harvard University: BA •  Washington University in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010035"/>
        </w:rPr>
        <w:t>St. Louis: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Arial" w:cs="Arial" w:eastAsia="Arial" w:hAnsi="Arial"/>
          <w:sz w:val="13"/>
          <w:szCs w:val="13"/>
          <w:color w:val="010035"/>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spacing w:after="0" w:line="244" w:lineRule="auto"/>
        <w:rPr>
          <w:sz w:val="20"/>
          <w:szCs w:val="20"/>
          <w:color w:val="auto"/>
        </w:rPr>
      </w:pPr>
      <w:r>
        <w:rPr>
          <w:rFonts w:ascii="Arial" w:cs="Arial" w:eastAsia="Arial" w:hAnsi="Arial"/>
          <w:sz w:val="12"/>
          <w:szCs w:val="12"/>
          <w:color w:val="010035"/>
        </w:rPr>
        <w:t>Mr. Snowden is Chief Executive Officer and President of PENN Entertainment (“PENN”), North America’s leading provider of integrated entertainment, sports content and casino gaming experiences. PENN operates in 27 jurisdictions throughout North America, with a broadly diversified portfolio of casinos, racetracks and online sports betting and iCasino offerings under well-recognized brands including Ameristar, L’Auberge, Hollywood Casino and theScore Bet.</w:t>
      </w:r>
    </w:p>
    <w:p>
      <w:pPr>
        <w:spacing w:after="0" w:line="88"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010035"/>
        </w:rPr>
        <w:t>As Chief Executive Officer and President, Mr. Snowden has led PENN’s expansion into sports media, entertainment and technology. Under his leadership the Company has transformed from a regional gaming operator into an omnichannel provider of entertainment experiences, focusing on leveraging best-in-class regional gaming assets into cross-sell opportunities that expand the customer ecosystem and brand awareness. His deep industry knowledge and best-in-class operational capabilities make him a valuable member of the Board.</w:t>
      </w:r>
    </w:p>
    <w:p>
      <w:pPr>
        <w:spacing w:after="0" w:line="103" w:lineRule="exact"/>
        <w:rPr>
          <w:sz w:val="20"/>
          <w:szCs w:val="20"/>
          <w:color w:val="auto"/>
        </w:rPr>
      </w:pPr>
    </w:p>
    <w:p>
      <w:pPr>
        <w:ind w:right="80"/>
        <w:spacing w:after="0" w:line="229" w:lineRule="auto"/>
        <w:rPr>
          <w:sz w:val="20"/>
          <w:szCs w:val="20"/>
          <w:color w:val="auto"/>
        </w:rPr>
      </w:pPr>
      <w:r>
        <w:rPr>
          <w:rFonts w:ascii="Arial" w:cs="Arial" w:eastAsia="Arial" w:hAnsi="Arial"/>
          <w:sz w:val="13"/>
          <w:szCs w:val="13"/>
          <w:color w:val="010035"/>
        </w:rPr>
        <w:t>Mr. Snowden served as President and Chief Operating Officer beginning in March 2017, was appointed to the Board of Directors in August 2019, and has held various senior leadership roles since joining the Company in October 2011. Prior to joining PENN, Mr. Snowden held leadership positions with Caesars Entertainment Corporation in several markets, including Las Vegas, Nevada and Atlantic City, New Jersey.</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Industry Experience (Gaming, Hospitality, Media): </w:t>
      </w:r>
      <w:r>
        <w:rPr>
          <w:rFonts w:ascii="Arial" w:cs="Arial" w:eastAsia="Arial" w:hAnsi="Arial"/>
          <w:sz w:val="13"/>
          <w:szCs w:val="13"/>
          <w:color w:val="010035"/>
        </w:rPr>
        <w:t>Gained from Mr. Snowden’s more than</w:t>
      </w:r>
    </w:p>
    <w:p>
      <w:pPr>
        <w:ind w:left="100" w:right="40"/>
        <w:spacing w:after="0" w:line="221" w:lineRule="auto"/>
        <w:rPr>
          <w:sz w:val="20"/>
          <w:szCs w:val="20"/>
          <w:color w:val="auto"/>
        </w:rPr>
      </w:pPr>
      <w:r>
        <w:rPr>
          <w:rFonts w:ascii="Arial" w:cs="Arial" w:eastAsia="Arial" w:hAnsi="Arial"/>
          <w:sz w:val="13"/>
          <w:szCs w:val="13"/>
          <w:color w:val="010035"/>
        </w:rPr>
        <w:t>25-year successful career in the highly regulated and rapidly evolving gaming and sports betting industry, and hospitality and entertainment sectors. Prior to being appointed as CEO in 2020, he served as PENN’s President and Chief Operating Officer and as SVP of Regional Operations. Mr. Snowden previously spent 12 years with Caesars Entertainment, where he acquired significant gaming industry management experience across several regional and destination markets, including as SVP and General Manager of both Caesars and Harrah’s Resorts in Atlantic City.</w:t>
      </w:r>
    </w:p>
    <w:p>
      <w:pPr>
        <w:spacing w:after="0" w:line="94" w:lineRule="exact"/>
        <w:rPr>
          <w:sz w:val="20"/>
          <w:szCs w:val="20"/>
          <w:color w:val="auto"/>
        </w:rPr>
      </w:pPr>
    </w:p>
    <w:p>
      <w:pPr>
        <w:ind w:left="100" w:right="120" w:hanging="106"/>
        <w:spacing w:after="0" w:line="229" w:lineRule="auto"/>
        <w:rPr>
          <w:sz w:val="20"/>
          <w:szCs w:val="20"/>
          <w:color w:val="auto"/>
        </w:rPr>
      </w:pPr>
      <w:r>
        <w:rPr>
          <w:rFonts w:ascii="Arial" w:cs="Arial" w:eastAsia="Arial" w:hAnsi="Arial"/>
          <w:sz w:val="13"/>
          <w:szCs w:val="13"/>
          <w:b w:val="1"/>
          <w:bCs w:val="1"/>
          <w:color w:val="010035"/>
        </w:rPr>
        <w:t xml:space="preserve">•  HR / Talent Management: </w:t>
      </w:r>
      <w:r>
        <w:rPr>
          <w:rFonts w:ascii="Arial" w:cs="Arial" w:eastAsia="Arial" w:hAnsi="Arial"/>
          <w:sz w:val="13"/>
          <w:szCs w:val="13"/>
          <w:color w:val="010035"/>
        </w:rPr>
        <w:t>Acquired through his executive leadership career overseeing human capital</w:t>
      </w:r>
      <w:r>
        <w:rPr>
          <w:rFonts w:ascii="Arial" w:cs="Arial" w:eastAsia="Arial" w:hAnsi="Arial"/>
          <w:sz w:val="13"/>
          <w:szCs w:val="13"/>
          <w:b w:val="1"/>
          <w:bCs w:val="1"/>
          <w:color w:val="010035"/>
        </w:rPr>
        <w:t xml:space="preserve"> </w:t>
      </w:r>
      <w:r>
        <w:rPr>
          <w:rFonts w:ascii="Arial" w:cs="Arial" w:eastAsia="Arial" w:hAnsi="Arial"/>
          <w:sz w:val="13"/>
          <w:szCs w:val="13"/>
          <w:color w:val="010035"/>
        </w:rPr>
        <w:t>strategies at large corporations, including talent integration initiatives following strategic transactions. At PENN, Mr. Snowden oversaw the launch of the expansive talent development strategy designed to support the growth of the Interactive segment and attract and retain leading industry talent.</w:t>
      </w:r>
    </w:p>
    <w:p>
      <w:pPr>
        <w:spacing w:after="0" w:line="104" w:lineRule="exact"/>
        <w:rPr>
          <w:sz w:val="20"/>
          <w:szCs w:val="20"/>
          <w:color w:val="auto"/>
        </w:rPr>
      </w:pPr>
    </w:p>
    <w:p>
      <w:pPr>
        <w:ind w:left="100" w:right="480" w:hanging="106"/>
        <w:spacing w:after="0" w:line="223" w:lineRule="auto"/>
        <w:rPr>
          <w:sz w:val="20"/>
          <w:szCs w:val="20"/>
          <w:color w:val="auto"/>
        </w:rPr>
      </w:pPr>
      <w:r>
        <w:rPr>
          <w:rFonts w:ascii="Arial" w:cs="Arial" w:eastAsia="Arial" w:hAnsi="Arial"/>
          <w:sz w:val="13"/>
          <w:szCs w:val="13"/>
          <w:b w:val="1"/>
          <w:bCs w:val="1"/>
          <w:color w:val="010035"/>
        </w:rPr>
        <w:t xml:space="preserve">•  Technology / Digital: </w:t>
      </w:r>
      <w:r>
        <w:rPr>
          <w:rFonts w:ascii="Arial" w:cs="Arial" w:eastAsia="Arial" w:hAnsi="Arial"/>
          <w:sz w:val="13"/>
          <w:szCs w:val="13"/>
          <w:color w:val="010035"/>
        </w:rPr>
        <w:t>His deep industry knowledge and digital transformation expertise provide unique</w:t>
      </w:r>
      <w:r>
        <w:rPr>
          <w:rFonts w:ascii="Arial" w:cs="Arial" w:eastAsia="Arial" w:hAnsi="Arial"/>
          <w:sz w:val="13"/>
          <w:szCs w:val="13"/>
          <w:b w:val="1"/>
          <w:bCs w:val="1"/>
          <w:color w:val="010035"/>
        </w:rPr>
        <w:t xml:space="preserve"> </w:t>
      </w:r>
      <w:r>
        <w:rPr>
          <w:rFonts w:ascii="Arial" w:cs="Arial" w:eastAsia="Arial" w:hAnsi="Arial"/>
          <w:sz w:val="13"/>
          <w:szCs w:val="13"/>
          <w:color w:val="010035"/>
        </w:rPr>
        <w:t>perspectives on the Company’s strategic navigation of its broader omnichannel expansion and customer engagement strategies.</w:t>
      </w:r>
    </w:p>
    <w:p>
      <w:pPr>
        <w:spacing w:after="0" w:line="221" w:lineRule="auto"/>
        <w:rPr>
          <w:sz w:val="20"/>
          <w:szCs w:val="20"/>
          <w:color w:val="auto"/>
        </w:rPr>
      </w:pPr>
      <w:r>
        <w:rPr>
          <w:rFonts w:ascii="Arial" w:cs="Arial" w:eastAsia="Arial" w:hAnsi="Arial"/>
          <w:sz w:val="13"/>
          <w:szCs w:val="13"/>
          <w:color w:val="010035"/>
        </w:rPr>
        <w:t> </w:t>
      </w:r>
    </w:p>
    <w:p>
      <w:pPr>
        <w:spacing w:after="0"/>
        <w:rPr>
          <w:sz w:val="20"/>
          <w:szCs w:val="20"/>
          <w:color w:val="auto"/>
        </w:rPr>
      </w:pPr>
      <w:r>
        <w:rPr>
          <w:rFonts w:ascii="Arial" w:cs="Arial" w:eastAsia="Arial" w:hAnsi="Arial"/>
          <w:sz w:val="20"/>
          <w:szCs w:val="20"/>
          <w:b w:val="1"/>
          <w:bCs w:val="1"/>
          <w:color w:val="69439A"/>
        </w:rPr>
        <w:t>EXPERIENCE: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PENN Entertainment</w:t>
      </w:r>
    </w:p>
    <w:p>
      <w:pPr>
        <w:spacing w:after="0" w:line="14" w:lineRule="exact"/>
        <w:rPr>
          <w:sz w:val="20"/>
          <w:szCs w:val="20"/>
          <w:color w:val="auto"/>
        </w:rPr>
      </w:pPr>
    </w:p>
    <w:p>
      <w:pPr>
        <w:ind w:left="100" w:right="240" w:hanging="106"/>
        <w:spacing w:after="0" w:line="243"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CEO and President (since 2020), President and Chief Operating Officer (2017-2019), Chief Operating Officer</w:t>
      </w:r>
      <w:r>
        <w:rPr>
          <w:rFonts w:ascii="Arial" w:cs="Arial" w:eastAsia="Arial" w:hAnsi="Arial"/>
          <w:sz w:val="13"/>
          <w:szCs w:val="13"/>
          <w:b w:val="1"/>
          <w:bCs w:val="1"/>
          <w:color w:val="010035"/>
        </w:rPr>
        <w:t xml:space="preserve"> </w:t>
      </w:r>
      <w:r>
        <w:rPr>
          <w:rFonts w:ascii="Arial" w:cs="Arial" w:eastAsia="Arial" w:hAnsi="Arial"/>
          <w:sz w:val="13"/>
          <w:szCs w:val="13"/>
          <w:color w:val="010035"/>
        </w:rPr>
        <w:t>(2014-2017), Senior Vice President of Regional Operations (2011-2014)</w:t>
      </w:r>
    </w:p>
    <w:p>
      <w:pPr>
        <w:spacing w:after="0" w:line="8" w:lineRule="exact"/>
        <w:rPr>
          <w:sz w:val="20"/>
          <w:szCs w:val="20"/>
          <w:color w:val="auto"/>
        </w:rPr>
      </w:pPr>
    </w:p>
    <w:p>
      <w:pPr>
        <w:ind w:right="2400"/>
        <w:spacing w:after="0" w:line="246" w:lineRule="auto"/>
        <w:rPr>
          <w:sz w:val="20"/>
          <w:szCs w:val="20"/>
          <w:color w:val="auto"/>
        </w:rPr>
      </w:pPr>
      <w:r>
        <w:rPr>
          <w:rFonts w:ascii="Arial" w:cs="Arial" w:eastAsia="Arial" w:hAnsi="Arial"/>
          <w:sz w:val="13"/>
          <w:szCs w:val="13"/>
          <w:b w:val="1"/>
          <w:bCs w:val="1"/>
          <w:color w:val="010035"/>
        </w:rPr>
        <w:t xml:space="preserve">Caesars and Harrah's Resorts Atlantic City </w:t>
      </w:r>
      <w:r>
        <w:rPr>
          <w:rFonts w:ascii="Arial" w:cs="Arial" w:eastAsia="Arial" w:hAnsi="Arial"/>
          <w:sz w:val="13"/>
          <w:szCs w:val="13"/>
          <w:color w:val="010035"/>
        </w:rPr>
        <w:t>– Casino resort and hotel</w:t>
      </w:r>
      <w:r>
        <w:rPr>
          <w:rFonts w:ascii="Arial" w:cs="Arial" w:eastAsia="Arial" w:hAnsi="Arial"/>
          <w:sz w:val="13"/>
          <w:szCs w:val="13"/>
          <w:b w:val="1"/>
          <w:bCs w:val="1"/>
          <w:color w:val="010035"/>
        </w:rPr>
        <w:t xml:space="preserve"> •  </w:t>
      </w:r>
      <w:r>
        <w:rPr>
          <w:rFonts w:ascii="Arial" w:cs="Arial" w:eastAsia="Arial" w:hAnsi="Arial"/>
          <w:sz w:val="13"/>
          <w:szCs w:val="13"/>
          <w:color w:val="010035"/>
        </w:rPr>
        <w:t>Senior Vice President and General Manager (2010-2011)</w:t>
      </w:r>
    </w:p>
    <w:p>
      <w:pPr>
        <w:spacing w:after="0" w:line="1" w:lineRule="exact"/>
        <w:rPr>
          <w:sz w:val="20"/>
          <w:szCs w:val="20"/>
          <w:color w:val="auto"/>
        </w:rPr>
      </w:pPr>
    </w:p>
    <w:p>
      <w:pPr>
        <w:ind w:right="1320"/>
        <w:spacing w:after="0" w:line="276" w:lineRule="auto"/>
        <w:rPr>
          <w:sz w:val="20"/>
          <w:szCs w:val="20"/>
          <w:color w:val="auto"/>
        </w:rPr>
      </w:pPr>
      <w:r>
        <w:rPr>
          <w:rFonts w:ascii="Arial" w:cs="Arial" w:eastAsia="Arial" w:hAnsi="Arial"/>
          <w:sz w:val="12"/>
          <w:szCs w:val="12"/>
          <w:b w:val="1"/>
          <w:bCs w:val="1"/>
          <w:color w:val="010035"/>
        </w:rPr>
        <w:t xml:space="preserve">Caesars Entertainment Corporation </w:t>
      </w:r>
      <w:r>
        <w:rPr>
          <w:rFonts w:ascii="Arial" w:cs="Arial" w:eastAsia="Arial" w:hAnsi="Arial"/>
          <w:sz w:val="12"/>
          <w:szCs w:val="12"/>
          <w:color w:val="010035"/>
        </w:rPr>
        <w:t>– Leading global gaming and hospitality resort chain</w:t>
      </w:r>
      <w:r>
        <w:rPr>
          <w:rFonts w:ascii="Arial" w:cs="Arial" w:eastAsia="Arial" w:hAnsi="Arial"/>
          <w:sz w:val="12"/>
          <w:szCs w:val="12"/>
          <w:b w:val="1"/>
          <w:bCs w:val="1"/>
          <w:color w:val="010035"/>
        </w:rPr>
        <w:t xml:space="preserve"> •  </w:t>
      </w:r>
      <w:r>
        <w:rPr>
          <w:rFonts w:ascii="Arial" w:cs="Arial" w:eastAsia="Arial" w:hAnsi="Arial"/>
          <w:sz w:val="12"/>
          <w:szCs w:val="12"/>
          <w:color w:val="010035"/>
        </w:rPr>
        <w:t>Various leadership positions in St. Louis, San Diego and Las Vegas (1998-2010)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112395</wp:posOffset>
            </wp:positionV>
            <wp:extent cx="596646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260" w:space="700"/>
            <w:col w:w="6400"/>
          </w:cols>
          <w:pgMar w:left="1240" w:top="114" w:right="1299" w:bottom="1440" w:gutter="0" w:footer="0" w:header="0"/>
          <w:type w:val="continuous"/>
        </w:sectPr>
      </w:pPr>
    </w:p>
    <w:p>
      <w:pPr>
        <w:spacing w:after="0"/>
        <w:rPr>
          <w:sz w:val="20"/>
          <w:szCs w:val="20"/>
          <w:color w:val="auto"/>
        </w:rPr>
      </w:pPr>
      <w:r>
        <w:rPr>
          <w:sz w:val="1"/>
          <w:szCs w:val="1"/>
          <w:color w:val="auto"/>
        </w:rPr>
        <w:drawing>
          <wp:inline distT="0" distB="0" distL="0" distR="0">
            <wp:extent cx="128905" cy="36893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368935"/>
                    </a:xfrm>
                    <a:prstGeom prst="rect">
                      <a:avLst/>
                    </a:prstGeom>
                    <a:noFill/>
                    <a:ln>
                      <a:noFill/>
                    </a:ln>
                  </pic:spPr>
                </pic:pic>
              </a:graphicData>
            </a:graphic>
          </wp:inline>
        </w:drawing>
      </w:r>
      <w:r>
        <w:rPr>
          <w:rFonts w:ascii="Arial" w:cs="Arial" w:eastAsia="Arial" w:hAnsi="Arial"/>
          <w:sz w:val="22"/>
          <w:szCs w:val="22"/>
          <w:b w:val="1"/>
          <w:bCs w:val="1"/>
          <w:color w:val="010035"/>
        </w:rPr>
        <w:t xml:space="preserve">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-231140</wp:posOffset>
            </wp:positionV>
            <wp:extent cx="5966460" cy="7200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6460" cy="720090"/>
                    </a:xfrm>
                    <a:prstGeom prst="rect">
                      <a:avLst/>
                    </a:prstGeom>
                    <a:noFill/>
                  </pic:spPr>
                </pic:pic>
              </a:graphicData>
            </a:graphic>
          </wp:anchor>
        </w:drawing>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FFFFFF"/>
        </w:rPr>
        <w:t>OUR BOARD OF DIRECTORS UNANIMOUSLY RECOMMENDS A VOTE “FOR” EACH CLASS III DIRECTOR NOMINEE:</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4"/>
          <w:szCs w:val="14"/>
          <w:color w:val="FFFFFF"/>
        </w:rPr>
        <w:t>(i) Marla Kaplowitz; (ii) Jane Scaccetti; (iii) Fabio Schiavolin; and (iv) Jay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254635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5966460" cy="34201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6460" cy="342011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David Handler</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Class I Director (Independent)</w:t>
      </w:r>
    </w:p>
    <w:p>
      <w:pPr>
        <w:ind w:left="180"/>
        <w:spacing w:after="0" w:line="216" w:lineRule="auto"/>
        <w:rPr>
          <w:sz w:val="20"/>
          <w:szCs w:val="20"/>
          <w:color w:val="auto"/>
        </w:rPr>
      </w:pPr>
      <w:r>
        <w:rPr>
          <w:rFonts w:ascii="Arial" w:cs="Arial" w:eastAsia="Arial" w:hAnsi="Arial"/>
          <w:sz w:val="13"/>
          <w:szCs w:val="13"/>
          <w:color w:val="010035"/>
        </w:rPr>
        <w:t>Age: 61</w:t>
      </w:r>
    </w:p>
    <w:p>
      <w:pPr>
        <w:ind w:left="180"/>
        <w:spacing w:after="0" w:line="217" w:lineRule="auto"/>
        <w:rPr>
          <w:sz w:val="20"/>
          <w:szCs w:val="20"/>
          <w:color w:val="auto"/>
        </w:rPr>
      </w:pPr>
      <w:r>
        <w:rPr>
          <w:rFonts w:ascii="Arial" w:cs="Arial" w:eastAsia="Arial" w:hAnsi="Arial"/>
          <w:sz w:val="13"/>
          <w:szCs w:val="13"/>
          <w:color w:val="010035"/>
        </w:rPr>
        <w:t>Director Since: 1994</w:t>
      </w:r>
    </w:p>
    <w:p>
      <w:pPr>
        <w:ind w:left="180"/>
        <w:spacing w:after="0"/>
        <w:rPr>
          <w:sz w:val="20"/>
          <w:szCs w:val="20"/>
          <w:color w:val="auto"/>
        </w:rPr>
      </w:pPr>
      <w:r>
        <w:rPr>
          <w:rFonts w:ascii="Arial" w:cs="Arial" w:eastAsia="Arial" w:hAnsi="Arial"/>
          <w:sz w:val="13"/>
          <w:szCs w:val="13"/>
          <w:color w:val="010035"/>
        </w:rPr>
        <w:t>Board Chair Since: 2019</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Committees:</w:t>
      </w:r>
    </w:p>
    <w:p>
      <w:pPr>
        <w:ind w:left="180"/>
        <w:spacing w:after="0" w:line="216" w:lineRule="auto"/>
        <w:rPr>
          <w:sz w:val="20"/>
          <w:szCs w:val="20"/>
          <w:color w:val="auto"/>
        </w:rPr>
      </w:pPr>
      <w:r>
        <w:rPr>
          <w:rFonts w:ascii="Arial" w:cs="Arial" w:eastAsia="Arial" w:hAnsi="Arial"/>
          <w:sz w:val="13"/>
          <w:szCs w:val="13"/>
          <w:color w:val="010035"/>
        </w:rPr>
        <w:t>•  Compensation</w:t>
      </w:r>
    </w:p>
    <w:p>
      <w:pPr>
        <w:ind w:left="180"/>
        <w:spacing w:after="0"/>
        <w:rPr>
          <w:sz w:val="20"/>
          <w:szCs w:val="20"/>
          <w:color w:val="auto"/>
        </w:rPr>
      </w:pPr>
      <w:r>
        <w:rPr>
          <w:rFonts w:ascii="Arial" w:cs="Arial" w:eastAsia="Arial" w:hAnsi="Arial"/>
          <w:sz w:val="12"/>
          <w:szCs w:val="12"/>
          <w:color w:val="010035"/>
        </w:rPr>
        <w:t>•  Nominating and Corporate Governance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180"/>
        <w:spacing w:after="0" w:line="216" w:lineRule="auto"/>
        <w:rPr>
          <w:sz w:val="20"/>
          <w:szCs w:val="20"/>
          <w:color w:val="auto"/>
        </w:rPr>
      </w:pPr>
      <w:r>
        <w:rPr>
          <w:rFonts w:ascii="Arial" w:cs="Arial" w:eastAsia="Arial" w:hAnsi="Arial"/>
          <w:sz w:val="13"/>
          <w:szCs w:val="13"/>
          <w:color w:val="010035"/>
        </w:rPr>
        <w:t>•  NYU Stern School of Business:</w:t>
      </w:r>
    </w:p>
    <w:p>
      <w:pPr>
        <w:ind w:left="300"/>
        <w:spacing w:after="0" w:line="217" w:lineRule="auto"/>
        <w:rPr>
          <w:sz w:val="20"/>
          <w:szCs w:val="20"/>
          <w:color w:val="auto"/>
        </w:rPr>
      </w:pPr>
      <w:r>
        <w:rPr>
          <w:rFonts w:ascii="Arial" w:cs="Arial" w:eastAsia="Arial" w:hAnsi="Arial"/>
          <w:sz w:val="13"/>
          <w:szCs w:val="13"/>
          <w:color w:val="010035"/>
        </w:rPr>
        <w:t>BA, Marketing</w:t>
      </w:r>
    </w:p>
    <w:p>
      <w:pPr>
        <w:ind w:left="180"/>
        <w:spacing w:after="0" w:line="217" w:lineRule="auto"/>
        <w:rPr>
          <w:sz w:val="20"/>
          <w:szCs w:val="20"/>
          <w:color w:val="auto"/>
        </w:rPr>
      </w:pPr>
      <w:r>
        <w:rPr>
          <w:rFonts w:ascii="Arial" w:cs="Arial" w:eastAsia="Arial" w:hAnsi="Arial"/>
          <w:sz w:val="13"/>
          <w:szCs w:val="13"/>
          <w:color w:val="010035"/>
        </w:rPr>
        <w:t>•  NYU Stern School of Business:</w:t>
      </w:r>
    </w:p>
    <w:p>
      <w:pPr>
        <w:ind w:left="300"/>
        <w:spacing w:after="0" w:line="216" w:lineRule="auto"/>
        <w:rPr>
          <w:sz w:val="20"/>
          <w:szCs w:val="20"/>
          <w:color w:val="auto"/>
        </w:rPr>
      </w:pPr>
      <w:r>
        <w:rPr>
          <w:rFonts w:ascii="Arial" w:cs="Arial" w:eastAsia="Arial" w:hAnsi="Arial"/>
          <w:sz w:val="13"/>
          <w:szCs w:val="13"/>
          <w:color w:val="010035"/>
        </w:rPr>
        <w:t>MBA, Finance</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rPr>
          <w:sz w:val="20"/>
          <w:szCs w:val="20"/>
          <w:color w:val="auto"/>
        </w:rPr>
      </w:pPr>
      <w:r>
        <w:rPr>
          <w:rFonts w:ascii="Arial" w:cs="Arial" w:eastAsia="Arial" w:hAnsi="Arial"/>
          <w:sz w:val="13"/>
          <w:szCs w:val="13"/>
          <w:color w:val="010035"/>
        </w:rPr>
        <w:t> </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ind w:right="360"/>
        <w:spacing w:after="0" w:line="221" w:lineRule="auto"/>
        <w:rPr>
          <w:sz w:val="20"/>
          <w:szCs w:val="20"/>
          <w:color w:val="auto"/>
        </w:rPr>
      </w:pPr>
      <w:r>
        <w:rPr>
          <w:rFonts w:ascii="Arial" w:cs="Arial" w:eastAsia="Arial" w:hAnsi="Arial"/>
          <w:sz w:val="13"/>
          <w:szCs w:val="13"/>
          <w:color w:val="010035"/>
        </w:rPr>
        <w:t>Mr. Handler has over 30 years of investment banking experience advising clients on many of the largest and most transformative transactions in the technology sector. In 2022, he co-founded Tidal Partners, a strategic M&amp;A advisory firm headquartered in Palo Alto, California. Mr. Handler is a strategy and transaction thought partner to CEOs and boards as they navigate through the rapidly changing and increasingly complex technology industry. His experience in the highly regulated gaming industry, especially given the impact of technology, provides invaluable contributions to the Board’s oversight of PENN’s growth and capital allocation strategies.</w:t>
      </w:r>
    </w:p>
    <w:p>
      <w:pPr>
        <w:spacing w:after="0" w:line="91" w:lineRule="exact"/>
        <w:rPr>
          <w:sz w:val="20"/>
          <w:szCs w:val="20"/>
          <w:color w:val="auto"/>
        </w:rPr>
      </w:pPr>
    </w:p>
    <w:p>
      <w:pPr>
        <w:ind w:left="120" w:right="320" w:hanging="106"/>
        <w:spacing w:after="0" w:line="233" w:lineRule="auto"/>
        <w:rPr>
          <w:sz w:val="20"/>
          <w:szCs w:val="20"/>
          <w:color w:val="auto"/>
        </w:rPr>
      </w:pPr>
      <w:r>
        <w:rPr>
          <w:rFonts w:ascii="Arial" w:cs="Arial" w:eastAsia="Arial" w:hAnsi="Arial"/>
          <w:sz w:val="13"/>
          <w:szCs w:val="13"/>
          <w:b w:val="1"/>
          <w:bCs w:val="1"/>
          <w:color w:val="010035"/>
        </w:rPr>
        <w:t xml:space="preserve">•  Financial (Capital Markets, Accounting &amp; Tax): </w:t>
      </w:r>
      <w:r>
        <w:rPr>
          <w:rFonts w:ascii="Arial" w:cs="Arial" w:eastAsia="Arial" w:hAnsi="Arial"/>
          <w:sz w:val="13"/>
          <w:szCs w:val="13"/>
          <w:color w:val="010035"/>
        </w:rPr>
        <w:t>Acquired over his 30+ year career in investment banking</w:t>
      </w:r>
      <w:r>
        <w:rPr>
          <w:rFonts w:ascii="Arial" w:cs="Arial" w:eastAsia="Arial" w:hAnsi="Arial"/>
          <w:sz w:val="13"/>
          <w:szCs w:val="13"/>
          <w:b w:val="1"/>
          <w:bCs w:val="1"/>
          <w:color w:val="010035"/>
        </w:rPr>
        <w:t xml:space="preserve"> </w:t>
      </w:r>
      <w:r>
        <w:rPr>
          <w:rFonts w:ascii="Arial" w:cs="Arial" w:eastAsia="Arial" w:hAnsi="Arial"/>
          <w:sz w:val="13"/>
          <w:szCs w:val="13"/>
          <w:color w:val="010035"/>
        </w:rPr>
        <w:t>where he successfully advised clients on significant business transformation initiatives to unlock shareholder value.</w:t>
      </w:r>
    </w:p>
    <w:p>
      <w:pPr>
        <w:spacing w:after="0" w:line="91" w:lineRule="exact"/>
        <w:rPr>
          <w:sz w:val="20"/>
          <w:szCs w:val="20"/>
          <w:color w:val="auto"/>
        </w:rPr>
      </w:pPr>
    </w:p>
    <w:p>
      <w:pPr>
        <w:ind w:left="120" w:right="360" w:hanging="106"/>
        <w:spacing w:after="0" w:line="229" w:lineRule="auto"/>
        <w:rPr>
          <w:sz w:val="20"/>
          <w:szCs w:val="20"/>
          <w:color w:val="auto"/>
        </w:rPr>
      </w:pPr>
      <w:r>
        <w:rPr>
          <w:rFonts w:ascii="Arial" w:cs="Arial" w:eastAsia="Arial" w:hAnsi="Arial"/>
          <w:sz w:val="13"/>
          <w:szCs w:val="13"/>
          <w:b w:val="1"/>
          <w:bCs w:val="1"/>
          <w:color w:val="010035"/>
        </w:rPr>
        <w:t xml:space="preserve">•  Strategic Planning / M&amp;A: </w:t>
      </w:r>
      <w:r>
        <w:rPr>
          <w:rFonts w:ascii="Arial" w:cs="Arial" w:eastAsia="Arial" w:hAnsi="Arial"/>
          <w:sz w:val="13"/>
          <w:szCs w:val="13"/>
          <w:color w:val="010035"/>
        </w:rPr>
        <w:t>Gained through decades of guiding major technology industry players on large-scale, high-profile and industry-defining transactions. Mr. Handler's long-term exposure to the gaming and technology industries, including opportunities created by emerging technologies, is an especially valuable asset to the Board.</w:t>
      </w:r>
    </w:p>
    <w:p>
      <w:pPr>
        <w:spacing w:after="0" w:line="104" w:lineRule="exact"/>
        <w:rPr>
          <w:sz w:val="20"/>
          <w:szCs w:val="20"/>
          <w:color w:val="auto"/>
        </w:rPr>
      </w:pPr>
    </w:p>
    <w:p>
      <w:pPr>
        <w:ind w:left="120" w:right="500" w:hanging="106"/>
        <w:spacing w:after="0" w:line="221" w:lineRule="auto"/>
        <w:rPr>
          <w:sz w:val="20"/>
          <w:szCs w:val="20"/>
          <w:color w:val="auto"/>
        </w:rPr>
      </w:pPr>
      <w:r>
        <w:rPr>
          <w:rFonts w:ascii="Arial" w:cs="Arial" w:eastAsia="Arial" w:hAnsi="Arial"/>
          <w:sz w:val="13"/>
          <w:szCs w:val="13"/>
          <w:b w:val="1"/>
          <w:bCs w:val="1"/>
          <w:color w:val="010035"/>
        </w:rPr>
        <w:t xml:space="preserve">•  Technology / Digital: </w:t>
      </w:r>
      <w:r>
        <w:rPr>
          <w:rFonts w:ascii="Arial" w:cs="Arial" w:eastAsia="Arial" w:hAnsi="Arial"/>
          <w:sz w:val="13"/>
          <w:szCs w:val="13"/>
          <w:color w:val="010035"/>
        </w:rPr>
        <w:t>As a co-founder of an M&amp;A advisory firm focused on the technology sector, Mr.</w:t>
      </w:r>
      <w:r>
        <w:rPr>
          <w:rFonts w:ascii="Arial" w:cs="Arial" w:eastAsia="Arial" w:hAnsi="Arial"/>
          <w:sz w:val="13"/>
          <w:szCs w:val="13"/>
          <w:b w:val="1"/>
          <w:bCs w:val="1"/>
          <w:color w:val="010035"/>
        </w:rPr>
        <w:t xml:space="preserve"> </w:t>
      </w:r>
      <w:r>
        <w:rPr>
          <w:rFonts w:ascii="Arial" w:cs="Arial" w:eastAsia="Arial" w:hAnsi="Arial"/>
          <w:sz w:val="13"/>
          <w:szCs w:val="13"/>
          <w:color w:val="010035"/>
        </w:rPr>
        <w:t>Handler contributes to the Board deep strategic insights into the evolving industry landscape, expertise in effective risk oversight and the ability to identify strategic opportunities for PENN's omnichannel growth strategy.</w:t>
      </w:r>
    </w:p>
    <w:p>
      <w:pPr>
        <w:spacing w:after="0" w:line="222" w:lineRule="auto"/>
        <w:rPr>
          <w:sz w:val="20"/>
          <w:szCs w:val="20"/>
          <w:color w:val="auto"/>
        </w:rPr>
      </w:pPr>
      <w:r>
        <w:rPr>
          <w:rFonts w:ascii="Arial" w:cs="Arial" w:eastAsia="Arial" w:hAnsi="Arial"/>
          <w:sz w:val="13"/>
          <w:szCs w:val="13"/>
          <w:color w:val="010035"/>
        </w:rPr>
        <w:t> </w:t>
      </w:r>
    </w:p>
    <w:p>
      <w:pPr>
        <w:spacing w:after="0"/>
        <w:rPr>
          <w:sz w:val="20"/>
          <w:szCs w:val="20"/>
          <w:color w:val="auto"/>
        </w:rPr>
      </w:pPr>
      <w:r>
        <w:rPr>
          <w:rFonts w:ascii="Arial" w:cs="Arial" w:eastAsia="Arial" w:hAnsi="Arial"/>
          <w:sz w:val="20"/>
          <w:szCs w:val="20"/>
          <w:b w:val="1"/>
          <w:bCs w:val="1"/>
          <w:color w:val="69439A"/>
        </w:rPr>
        <w:t>EXPERIENCE:</w:t>
      </w:r>
    </w:p>
    <w:p>
      <w:pPr>
        <w:spacing w:after="0" w:line="11" w:lineRule="exact"/>
        <w:rPr>
          <w:sz w:val="20"/>
          <w:szCs w:val="20"/>
          <w:color w:val="auto"/>
        </w:rPr>
      </w:pPr>
    </w:p>
    <w:p>
      <w:pPr>
        <w:ind w:right="1940"/>
        <w:spacing w:after="0" w:line="236" w:lineRule="auto"/>
        <w:rPr>
          <w:sz w:val="20"/>
          <w:szCs w:val="20"/>
          <w:color w:val="auto"/>
        </w:rPr>
      </w:pPr>
      <w:r>
        <w:rPr>
          <w:rFonts w:ascii="Arial" w:cs="Arial" w:eastAsia="Arial" w:hAnsi="Arial"/>
          <w:sz w:val="13"/>
          <w:szCs w:val="13"/>
          <w:b w:val="1"/>
          <w:bCs w:val="1"/>
          <w:color w:val="010035"/>
        </w:rPr>
        <w:t xml:space="preserve">Tidal Partners </w:t>
      </w:r>
      <w:r>
        <w:rPr>
          <w:rFonts w:ascii="Arial" w:cs="Arial" w:eastAsia="Arial" w:hAnsi="Arial"/>
          <w:sz w:val="13"/>
          <w:szCs w:val="13"/>
          <w:color w:val="010035"/>
        </w:rPr>
        <w:t>– Strategic M&amp;A advisory firm focused on the technology industry</w:t>
      </w:r>
      <w:r>
        <w:rPr>
          <w:rFonts w:ascii="Arial" w:cs="Arial" w:eastAsia="Arial" w:hAnsi="Arial"/>
          <w:sz w:val="13"/>
          <w:szCs w:val="13"/>
          <w:b w:val="1"/>
          <w:bCs w:val="1"/>
          <w:color w:val="010035"/>
        </w:rPr>
        <w:t xml:space="preserve"> •  </w:t>
      </w:r>
      <w:r>
        <w:rPr>
          <w:rFonts w:ascii="Arial" w:cs="Arial" w:eastAsia="Arial" w:hAnsi="Arial"/>
          <w:sz w:val="13"/>
          <w:szCs w:val="13"/>
          <w:color w:val="010035"/>
        </w:rPr>
        <w:t>Co-Founder and Partner (since 2022)</w:t>
      </w:r>
    </w:p>
    <w:p>
      <w:pPr>
        <w:spacing w:after="0" w:line="4" w:lineRule="exact"/>
        <w:rPr>
          <w:sz w:val="20"/>
          <w:szCs w:val="20"/>
          <w:color w:val="auto"/>
        </w:rPr>
      </w:pPr>
    </w:p>
    <w:p>
      <w:pPr>
        <w:ind w:right="2920"/>
        <w:spacing w:after="0" w:line="270" w:lineRule="auto"/>
        <w:rPr>
          <w:sz w:val="20"/>
          <w:szCs w:val="20"/>
          <w:color w:val="auto"/>
        </w:rPr>
      </w:pPr>
      <w:r>
        <w:rPr>
          <w:rFonts w:ascii="Arial" w:cs="Arial" w:eastAsia="Arial" w:hAnsi="Arial"/>
          <w:sz w:val="12"/>
          <w:szCs w:val="12"/>
          <w:b w:val="1"/>
          <w:bCs w:val="1"/>
          <w:color w:val="010035"/>
        </w:rPr>
        <w:t xml:space="preserve">Centerview Partners </w:t>
      </w:r>
      <w:r>
        <w:rPr>
          <w:rFonts w:ascii="Arial" w:cs="Arial" w:eastAsia="Arial" w:hAnsi="Arial"/>
          <w:sz w:val="12"/>
          <w:szCs w:val="12"/>
          <w:color w:val="010035"/>
        </w:rPr>
        <w:t>– Investment banking and advisory firm</w:t>
      </w:r>
      <w:r>
        <w:rPr>
          <w:rFonts w:ascii="Arial" w:cs="Arial" w:eastAsia="Arial" w:hAnsi="Arial"/>
          <w:sz w:val="12"/>
          <w:szCs w:val="12"/>
          <w:b w:val="1"/>
          <w:bCs w:val="1"/>
          <w:color w:val="010035"/>
        </w:rPr>
        <w:t xml:space="preserve"> •  </w:t>
      </w:r>
      <w:r>
        <w:rPr>
          <w:rFonts w:ascii="Arial" w:cs="Arial" w:eastAsia="Arial" w:hAnsi="Arial"/>
          <w:sz w:val="12"/>
          <w:szCs w:val="12"/>
          <w:color w:val="010035"/>
        </w:rPr>
        <w:t>Partner, founding Head of the Technology Group (2008-2022)</w:t>
      </w:r>
    </w:p>
    <w:p>
      <w:pPr>
        <w:spacing w:after="0" w:line="236" w:lineRule="auto"/>
        <w:rPr>
          <w:sz w:val="20"/>
          <w:szCs w:val="20"/>
          <w:color w:val="auto"/>
        </w:rPr>
      </w:pPr>
      <w:r>
        <w:rPr>
          <w:rFonts w:ascii="Arial" w:cs="Arial" w:eastAsia="Arial" w:hAnsi="Arial"/>
          <w:sz w:val="13"/>
          <w:szCs w:val="13"/>
          <w:b w:val="1"/>
          <w:bCs w:val="1"/>
          <w:color w:val="010035"/>
        </w:rPr>
        <w:t xml:space="preserve">UBS </w:t>
      </w:r>
      <w:r>
        <w:rPr>
          <w:rFonts w:ascii="Arial" w:cs="Arial" w:eastAsia="Arial" w:hAnsi="Arial"/>
          <w:sz w:val="13"/>
          <w:szCs w:val="13"/>
          <w:color w:val="010035"/>
        </w:rPr>
        <w:t>– Global investment bank</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Managing Director, Co-Head of Americas Technology Investment Banking (2006-2009)</w:t>
      </w:r>
    </w:p>
    <w:p>
      <w:pPr>
        <w:spacing w:after="0" w:line="236" w:lineRule="auto"/>
        <w:rPr>
          <w:sz w:val="20"/>
          <w:szCs w:val="20"/>
          <w:color w:val="auto"/>
        </w:rPr>
      </w:pPr>
      <w:r>
        <w:rPr>
          <w:rFonts w:ascii="Arial" w:cs="Arial" w:eastAsia="Arial" w:hAnsi="Arial"/>
          <w:sz w:val="13"/>
          <w:szCs w:val="13"/>
          <w:b w:val="1"/>
          <w:bCs w:val="1"/>
          <w:color w:val="010035"/>
        </w:rPr>
        <w:t xml:space="preserve">Bear Stearns &amp; Company </w:t>
      </w:r>
      <w:r>
        <w:rPr>
          <w:rFonts w:ascii="Arial" w:cs="Arial" w:eastAsia="Arial" w:hAnsi="Arial"/>
          <w:sz w:val="13"/>
          <w:szCs w:val="13"/>
          <w:color w:val="010035"/>
        </w:rPr>
        <w:t>– Specialized financial services company and investment bank</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Managing Director, Co-Head of Communications Technology Investment Banking (2000-2006)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114300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500" w:space="440"/>
            <w:col w:w="6460"/>
          </w:cols>
          <w:pgMar w:left="1240" w:top="114" w:right="12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0"/>
          <w:szCs w:val="30"/>
          <w:b w:val="1"/>
          <w:bCs w:val="1"/>
          <w:color w:val="FFFFFF"/>
        </w:rPr>
        <w:t xml:space="preserv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-293370</wp:posOffset>
            </wp:positionV>
            <wp:extent cx="5829300" cy="300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152400</wp:posOffset>
            </wp:positionV>
            <wp:extent cx="1877060" cy="36950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77060" cy="369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Vimla Black-Gupta</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Class I Director (Independent)</w:t>
      </w:r>
    </w:p>
    <w:p>
      <w:pPr>
        <w:ind w:left="180"/>
        <w:spacing w:after="0" w:line="216" w:lineRule="auto"/>
        <w:rPr>
          <w:sz w:val="20"/>
          <w:szCs w:val="20"/>
          <w:color w:val="auto"/>
        </w:rPr>
      </w:pPr>
      <w:r>
        <w:rPr>
          <w:rFonts w:ascii="Arial" w:cs="Arial" w:eastAsia="Arial" w:hAnsi="Arial"/>
          <w:sz w:val="13"/>
          <w:szCs w:val="13"/>
          <w:color w:val="010035"/>
        </w:rPr>
        <w:t>Age: 56</w:t>
      </w:r>
    </w:p>
    <w:p>
      <w:pPr>
        <w:ind w:left="180"/>
        <w:spacing w:after="0"/>
        <w:rPr>
          <w:sz w:val="20"/>
          <w:szCs w:val="20"/>
          <w:color w:val="auto"/>
        </w:rPr>
      </w:pPr>
      <w:r>
        <w:rPr>
          <w:rFonts w:ascii="Arial" w:cs="Arial" w:eastAsia="Arial" w:hAnsi="Arial"/>
          <w:sz w:val="13"/>
          <w:szCs w:val="13"/>
          <w:color w:val="010035"/>
        </w:rPr>
        <w:t>Director Since: 2021</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Committees:</w:t>
      </w:r>
    </w:p>
    <w:p>
      <w:pPr>
        <w:ind w:left="180"/>
        <w:spacing w:after="0" w:line="216" w:lineRule="auto"/>
        <w:rPr>
          <w:sz w:val="20"/>
          <w:szCs w:val="20"/>
          <w:color w:val="auto"/>
        </w:rPr>
      </w:pPr>
      <w:r>
        <w:rPr>
          <w:rFonts w:ascii="Arial" w:cs="Arial" w:eastAsia="Arial" w:hAnsi="Arial"/>
          <w:sz w:val="13"/>
          <w:szCs w:val="13"/>
          <w:color w:val="010035"/>
        </w:rPr>
        <w:t>•  Compensation</w:t>
      </w:r>
    </w:p>
    <w:p>
      <w:pPr>
        <w:ind w:left="180" w:right="240"/>
        <w:spacing w:after="0" w:line="231" w:lineRule="auto"/>
        <w:rPr>
          <w:sz w:val="20"/>
          <w:szCs w:val="20"/>
          <w:color w:val="auto"/>
        </w:rPr>
      </w:pPr>
      <w:r>
        <w:rPr>
          <w:rFonts w:ascii="Arial" w:cs="Arial" w:eastAsia="Arial" w:hAnsi="Arial"/>
          <w:sz w:val="13"/>
          <w:szCs w:val="13"/>
          <w:color w:val="010035"/>
        </w:rPr>
        <w:t>•  Nominating and Corporate Governance •  Audit</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180"/>
        <w:spacing w:after="0" w:line="216" w:lineRule="auto"/>
        <w:rPr>
          <w:sz w:val="20"/>
          <w:szCs w:val="20"/>
          <w:color w:val="auto"/>
        </w:rPr>
      </w:pPr>
      <w:r>
        <w:rPr>
          <w:rFonts w:ascii="Arial" w:cs="Arial" w:eastAsia="Arial" w:hAnsi="Arial"/>
          <w:sz w:val="13"/>
          <w:szCs w:val="13"/>
          <w:color w:val="010035"/>
        </w:rPr>
        <w:t>•  Duke University: BA</w:t>
      </w:r>
    </w:p>
    <w:p>
      <w:pPr>
        <w:ind w:left="300" w:hanging="106"/>
        <w:spacing w:after="0" w:line="216" w:lineRule="auto"/>
        <w:rPr>
          <w:sz w:val="20"/>
          <w:szCs w:val="20"/>
          <w:color w:val="auto"/>
        </w:rPr>
      </w:pPr>
      <w:r>
        <w:rPr>
          <w:rFonts w:ascii="Arial" w:cs="Arial" w:eastAsia="Arial" w:hAnsi="Arial"/>
          <w:sz w:val="13"/>
          <w:szCs w:val="13"/>
          <w:color w:val="010035"/>
        </w:rPr>
        <w:t>•  Northwestern University’s Kellogg School of Management: MBA</w:t>
      </w:r>
    </w:p>
    <w:p>
      <w:pPr>
        <w:ind w:left="280"/>
        <w:spacing w:after="0" w:line="218" w:lineRule="auto"/>
        <w:rPr>
          <w:sz w:val="20"/>
          <w:szCs w:val="20"/>
          <w:color w:val="auto"/>
        </w:rPr>
      </w:pPr>
      <w:r>
        <w:rPr>
          <w:rFonts w:ascii="Arial" w:cs="Arial" w:eastAsia="Arial" w:hAnsi="Arial"/>
          <w:sz w:val="13"/>
          <w:szCs w:val="13"/>
          <w:color w:val="010035"/>
        </w:rPr>
        <w:t> </w:t>
      </w:r>
    </w:p>
    <w:p>
      <w:pPr>
        <w:ind w:left="280"/>
        <w:spacing w:after="0" w:line="216"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rPr>
          <w:sz w:val="20"/>
          <w:szCs w:val="20"/>
          <w:color w:val="auto"/>
        </w:rPr>
      </w:pPr>
      <w:r>
        <w:rPr>
          <w:rFonts w:ascii="Arial" w:cs="Arial" w:eastAsia="Arial" w:hAnsi="Arial"/>
          <w:sz w:val="13"/>
          <w:szCs w:val="13"/>
          <w:color w:val="010035"/>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ind w:right="39"/>
        <w:spacing w:after="0" w:line="221" w:lineRule="auto"/>
        <w:rPr>
          <w:sz w:val="20"/>
          <w:szCs w:val="20"/>
          <w:color w:val="auto"/>
        </w:rPr>
      </w:pPr>
      <w:r>
        <w:rPr>
          <w:rFonts w:ascii="Arial" w:cs="Arial" w:eastAsia="Arial" w:hAnsi="Arial"/>
          <w:sz w:val="13"/>
          <w:szCs w:val="13"/>
          <w:color w:val="010035"/>
        </w:rPr>
        <w:t>Ms. Black-Gupta contributes to the Board more than 25 years of executive leadership experience with a strong track record of leading successful product, consumer and digital marketing strategies for global brands, including Colgate-Palmolive, Equinox, Estée Lauder and Procter &amp; Gamble. As a founder of her own skincare consumer brand, Ourself, and in her roles guiding brand development and digital engagement strategies, she has overseen regulatory compliance, strategic planning, talent management and sustainability initiatives, driving corporate growth and innovation. Ms. Black-Gupta was named to Women Inc.’s list of “2023 Most Influential Corporate Directors.”</w:t>
      </w:r>
    </w:p>
    <w:p>
      <w:pPr>
        <w:spacing w:after="0" w:line="104" w:lineRule="exact"/>
        <w:rPr>
          <w:sz w:val="20"/>
          <w:szCs w:val="20"/>
          <w:color w:val="auto"/>
        </w:rPr>
      </w:pPr>
    </w:p>
    <w:p>
      <w:pPr>
        <w:ind w:left="100" w:right="39" w:hanging="106"/>
        <w:spacing w:after="0" w:line="226" w:lineRule="auto"/>
        <w:rPr>
          <w:sz w:val="20"/>
          <w:szCs w:val="20"/>
          <w:color w:val="auto"/>
        </w:rPr>
      </w:pPr>
      <w:r>
        <w:rPr>
          <w:rFonts w:ascii="Arial" w:cs="Arial" w:eastAsia="Arial" w:hAnsi="Arial"/>
          <w:sz w:val="13"/>
          <w:szCs w:val="13"/>
          <w:b w:val="1"/>
          <w:bCs w:val="1"/>
          <w:color w:val="010035"/>
        </w:rPr>
        <w:t xml:space="preserve">•  Industry Experience (Gaming, Hospitality, Media): </w:t>
      </w:r>
      <w:r>
        <w:rPr>
          <w:rFonts w:ascii="Arial" w:cs="Arial" w:eastAsia="Arial" w:hAnsi="Arial"/>
          <w:sz w:val="13"/>
          <w:szCs w:val="13"/>
          <w:color w:val="010035"/>
        </w:rPr>
        <w:t>Acquired through Ms. Black-Gupta’s executive career in</w:t>
      </w:r>
      <w:r>
        <w:rPr>
          <w:rFonts w:ascii="Arial" w:cs="Arial" w:eastAsia="Arial" w:hAnsi="Arial"/>
          <w:sz w:val="13"/>
          <w:szCs w:val="13"/>
          <w:b w:val="1"/>
          <w:bCs w:val="1"/>
          <w:color w:val="010035"/>
        </w:rPr>
        <w:t xml:space="preserve"> </w:t>
      </w:r>
      <w:r>
        <w:rPr>
          <w:rFonts w:ascii="Arial" w:cs="Arial" w:eastAsia="Arial" w:hAnsi="Arial"/>
          <w:sz w:val="13"/>
          <w:szCs w:val="13"/>
          <w:color w:val="010035"/>
        </w:rPr>
        <w:t>global marketing roles, including as Global Chief Marketing Officer at Equinox, where she led the enterprise-wide marketing strategy for over 300 Equinox sport clubs and a pipeline of 10 lifestyle Equinox hotels with a focus on customer experience and digital engagement that successfully elevated the brand, enhanced client loyalty and expanded omnichannel growth opportunities.</w:t>
      </w:r>
    </w:p>
    <w:p>
      <w:pPr>
        <w:spacing w:after="0" w:line="93" w:lineRule="exact"/>
        <w:rPr>
          <w:sz w:val="20"/>
          <w:szCs w:val="20"/>
          <w:color w:val="auto"/>
        </w:rPr>
      </w:pPr>
    </w:p>
    <w:p>
      <w:pPr>
        <w:ind w:left="100" w:right="59" w:hanging="106"/>
        <w:spacing w:after="0" w:line="226" w:lineRule="auto"/>
        <w:rPr>
          <w:sz w:val="20"/>
          <w:szCs w:val="20"/>
          <w:color w:val="auto"/>
        </w:rPr>
      </w:pPr>
      <w:r>
        <w:rPr>
          <w:rFonts w:ascii="Arial" w:cs="Arial" w:eastAsia="Arial" w:hAnsi="Arial"/>
          <w:sz w:val="13"/>
          <w:szCs w:val="13"/>
          <w:b w:val="1"/>
          <w:bCs w:val="1"/>
          <w:color w:val="010035"/>
        </w:rPr>
        <w:t xml:space="preserve">•  Sales &amp; Marketing: </w:t>
      </w:r>
      <w:r>
        <w:rPr>
          <w:rFonts w:ascii="Arial" w:cs="Arial" w:eastAsia="Arial" w:hAnsi="Arial"/>
          <w:sz w:val="13"/>
          <w:szCs w:val="13"/>
          <w:color w:val="010035"/>
        </w:rPr>
        <w:t>Developed through her experience overseeing the digital marketing strategy for the $1</w:t>
      </w:r>
      <w:r>
        <w:rPr>
          <w:rFonts w:ascii="Arial" w:cs="Arial" w:eastAsia="Arial" w:hAnsi="Arial"/>
          <w:sz w:val="13"/>
          <w:szCs w:val="13"/>
          <w:b w:val="1"/>
          <w:bCs w:val="1"/>
          <w:color w:val="010035"/>
        </w:rPr>
        <w:t xml:space="preserve"> </w:t>
      </w:r>
      <w:r>
        <w:rPr>
          <w:rFonts w:ascii="Arial" w:cs="Arial" w:eastAsia="Arial" w:hAnsi="Arial"/>
          <w:sz w:val="13"/>
          <w:szCs w:val="13"/>
          <w:color w:val="010035"/>
        </w:rPr>
        <w:t>billion Bobbi Brown Cosmetics brand at Estée Lauder in over 150 countries, including the beauty industry’s first digital channel launch, and for Procter and Gamble’s Gillette Venus and Oral B brands. As Co-Founder of Ourself, Ms. Black-Gupta was responsible for driving proprietary innovation in bio-technology for the fast growing direct-to-consumer and professional brand.</w:t>
      </w:r>
    </w:p>
    <w:p>
      <w:pPr>
        <w:spacing w:after="0" w:line="93" w:lineRule="exact"/>
        <w:rPr>
          <w:sz w:val="20"/>
          <w:szCs w:val="20"/>
          <w:color w:val="auto"/>
        </w:rPr>
      </w:pPr>
    </w:p>
    <w:p>
      <w:pPr>
        <w:jc w:val="both"/>
        <w:ind w:left="100" w:right="239" w:hanging="106"/>
        <w:spacing w:after="0" w:line="221" w:lineRule="auto"/>
        <w:rPr>
          <w:sz w:val="20"/>
          <w:szCs w:val="20"/>
          <w:color w:val="auto"/>
        </w:rPr>
      </w:pPr>
      <w:r>
        <w:rPr>
          <w:rFonts w:ascii="Arial" w:cs="Arial" w:eastAsia="Arial" w:hAnsi="Arial"/>
          <w:sz w:val="13"/>
          <w:szCs w:val="13"/>
          <w:b w:val="1"/>
          <w:bCs w:val="1"/>
          <w:color w:val="010035"/>
        </w:rPr>
        <w:t xml:space="preserve">•  Strategic Planning / M&amp;A: </w:t>
      </w:r>
      <w:r>
        <w:rPr>
          <w:rFonts w:ascii="Arial" w:cs="Arial" w:eastAsia="Arial" w:hAnsi="Arial"/>
          <w:sz w:val="13"/>
          <w:szCs w:val="13"/>
          <w:color w:val="010035"/>
        </w:rPr>
        <w:t>Obtained throughout numerous executive leadership roles, where Ms. Black-Gupta was responsible for strategy development and M&amp;A initiatives. At Estée Lauder, she worked closely with the corporate development team to support the company's M&amp;A strategy to fuel brand innovation and shareholder value growth.</w:t>
      </w:r>
    </w:p>
    <w:p>
      <w:pPr>
        <w:spacing w:after="0" w:line="222" w:lineRule="auto"/>
        <w:rPr>
          <w:sz w:val="20"/>
          <w:szCs w:val="20"/>
          <w:color w:val="auto"/>
        </w:rPr>
      </w:pPr>
      <w:r>
        <w:rPr>
          <w:rFonts w:ascii="Arial" w:cs="Arial" w:eastAsia="Arial" w:hAnsi="Arial"/>
          <w:sz w:val="13"/>
          <w:szCs w:val="13"/>
          <w:color w:val="010035"/>
        </w:rPr>
        <w:t> </w:t>
      </w:r>
    </w:p>
    <w:p>
      <w:pPr>
        <w:spacing w:after="0"/>
        <w:rPr>
          <w:sz w:val="20"/>
          <w:szCs w:val="20"/>
          <w:color w:val="auto"/>
        </w:rPr>
      </w:pPr>
      <w:r>
        <w:rPr>
          <w:rFonts w:ascii="Arial" w:cs="Arial" w:eastAsia="Arial" w:hAnsi="Arial"/>
          <w:sz w:val="20"/>
          <w:szCs w:val="20"/>
          <w:b w:val="1"/>
          <w:bCs w:val="1"/>
          <w:color w:val="69439A"/>
        </w:rPr>
        <w:t>EXPERIENCE:</w:t>
      </w:r>
    </w:p>
    <w:p>
      <w:pPr>
        <w:spacing w:after="0" w:line="23" w:lineRule="exact"/>
        <w:rPr>
          <w:sz w:val="20"/>
          <w:szCs w:val="20"/>
          <w:color w:val="auto"/>
        </w:rPr>
      </w:pPr>
    </w:p>
    <w:p>
      <w:pPr>
        <w:ind w:right="2319"/>
        <w:spacing w:after="0" w:line="237" w:lineRule="auto"/>
        <w:rPr>
          <w:sz w:val="20"/>
          <w:szCs w:val="20"/>
          <w:color w:val="auto"/>
        </w:rPr>
      </w:pPr>
      <w:r>
        <w:rPr>
          <w:rFonts w:ascii="Arial" w:cs="Arial" w:eastAsia="Arial" w:hAnsi="Arial"/>
          <w:sz w:val="13"/>
          <w:szCs w:val="13"/>
          <w:b w:val="1"/>
          <w:bCs w:val="1"/>
          <w:color w:val="010035"/>
        </w:rPr>
        <w:t xml:space="preserve">Colgate-Palmolive </w:t>
      </w:r>
      <w:r>
        <w:rPr>
          <w:rFonts w:ascii="Arial" w:cs="Arial" w:eastAsia="Arial" w:hAnsi="Arial"/>
          <w:sz w:val="13"/>
          <w:szCs w:val="13"/>
          <w:color w:val="010035"/>
        </w:rPr>
        <w:t>(NYSE: CL) – Global consumer products company</w:t>
      </w:r>
      <w:r>
        <w:rPr>
          <w:rFonts w:ascii="Arial" w:cs="Arial" w:eastAsia="Arial" w:hAnsi="Arial"/>
          <w:sz w:val="13"/>
          <w:szCs w:val="13"/>
          <w:b w:val="1"/>
          <w:bCs w:val="1"/>
          <w:color w:val="010035"/>
        </w:rPr>
        <w:t xml:space="preserve"> •  </w:t>
      </w:r>
      <w:r>
        <w:rPr>
          <w:rFonts w:ascii="Arial" w:cs="Arial" w:eastAsia="Arial" w:hAnsi="Arial"/>
          <w:sz w:val="13"/>
          <w:szCs w:val="13"/>
          <w:color w:val="010035"/>
        </w:rPr>
        <w:t>Executive Vice President, Innovation (since 2025)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Ourself </w:t>
      </w:r>
      <w:r>
        <w:rPr>
          <w:rFonts w:ascii="Arial" w:cs="Arial" w:eastAsia="Arial" w:hAnsi="Arial"/>
          <w:sz w:val="13"/>
          <w:szCs w:val="13"/>
          <w:color w:val="010035"/>
        </w:rPr>
        <w:t>– Innovative biotech skincare brand</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Chief Executive Officer and Co-Founder (Co-Founder beginning 2021, CEO 2022-2024)</w:t>
      </w:r>
    </w:p>
    <w:p>
      <w:pPr>
        <w:spacing w:after="0" w:line="10" w:lineRule="exact"/>
        <w:rPr>
          <w:sz w:val="20"/>
          <w:szCs w:val="20"/>
          <w:color w:val="auto"/>
        </w:rPr>
      </w:pPr>
    </w:p>
    <w:p>
      <w:pPr>
        <w:ind w:right="2899"/>
        <w:spacing w:after="0" w:line="238" w:lineRule="auto"/>
        <w:rPr>
          <w:sz w:val="20"/>
          <w:szCs w:val="20"/>
          <w:color w:val="auto"/>
        </w:rPr>
      </w:pPr>
      <w:r>
        <w:rPr>
          <w:rFonts w:ascii="Arial" w:cs="Arial" w:eastAsia="Arial" w:hAnsi="Arial"/>
          <w:sz w:val="13"/>
          <w:szCs w:val="13"/>
          <w:b w:val="1"/>
          <w:bCs w:val="1"/>
          <w:color w:val="010035"/>
        </w:rPr>
        <w:t xml:space="preserve">Equinox Fitness Club and Hotel </w:t>
      </w:r>
      <w:r>
        <w:rPr>
          <w:rFonts w:ascii="Arial" w:cs="Arial" w:eastAsia="Arial" w:hAnsi="Arial"/>
          <w:sz w:val="13"/>
          <w:szCs w:val="13"/>
          <w:color w:val="010035"/>
        </w:rPr>
        <w:t>– Luxury fitness company</w:t>
      </w:r>
      <w:r>
        <w:rPr>
          <w:rFonts w:ascii="Arial" w:cs="Arial" w:eastAsia="Arial" w:hAnsi="Arial"/>
          <w:sz w:val="13"/>
          <w:szCs w:val="13"/>
          <w:b w:val="1"/>
          <w:bCs w:val="1"/>
          <w:color w:val="010035"/>
        </w:rPr>
        <w:t xml:space="preserve"> •  </w:t>
      </w:r>
      <w:r>
        <w:rPr>
          <w:rFonts w:ascii="Arial" w:cs="Arial" w:eastAsia="Arial" w:hAnsi="Arial"/>
          <w:sz w:val="13"/>
          <w:szCs w:val="13"/>
          <w:color w:val="010035"/>
        </w:rPr>
        <w:t>Global Chief Marketing Officer (2017-2019)</w:t>
      </w:r>
    </w:p>
    <w:p>
      <w:pPr>
        <w:spacing w:after="0" w:line="4" w:lineRule="exact"/>
        <w:rPr>
          <w:sz w:val="20"/>
          <w:szCs w:val="20"/>
          <w:color w:val="auto"/>
        </w:rPr>
      </w:pPr>
    </w:p>
    <w:p>
      <w:pPr>
        <w:ind w:right="2999"/>
        <w:spacing w:after="0" w:line="270" w:lineRule="auto"/>
        <w:rPr>
          <w:sz w:val="20"/>
          <w:szCs w:val="20"/>
          <w:color w:val="auto"/>
        </w:rPr>
      </w:pPr>
      <w:r>
        <w:rPr>
          <w:rFonts w:ascii="Arial" w:cs="Arial" w:eastAsia="Arial" w:hAnsi="Arial"/>
          <w:sz w:val="12"/>
          <w:szCs w:val="12"/>
          <w:b w:val="1"/>
          <w:bCs w:val="1"/>
          <w:color w:val="010035"/>
        </w:rPr>
        <w:t xml:space="preserve">Bobbi Brown Cosmetics </w:t>
      </w:r>
      <w:r>
        <w:rPr>
          <w:rFonts w:ascii="Arial" w:cs="Arial" w:eastAsia="Arial" w:hAnsi="Arial"/>
          <w:sz w:val="12"/>
          <w:szCs w:val="12"/>
          <w:color w:val="010035"/>
        </w:rPr>
        <w:t>– Global premium beauty brand</w:t>
      </w:r>
      <w:r>
        <w:rPr>
          <w:rFonts w:ascii="Arial" w:cs="Arial" w:eastAsia="Arial" w:hAnsi="Arial"/>
          <w:sz w:val="12"/>
          <w:szCs w:val="12"/>
          <w:b w:val="1"/>
          <w:bCs w:val="1"/>
          <w:color w:val="010035"/>
        </w:rPr>
        <w:t xml:space="preserve"> •  </w:t>
      </w:r>
      <w:r>
        <w:rPr>
          <w:rFonts w:ascii="Arial" w:cs="Arial" w:eastAsia="Arial" w:hAnsi="Arial"/>
          <w:sz w:val="12"/>
          <w:szCs w:val="12"/>
          <w:color w:val="010035"/>
        </w:rPr>
        <w:t>Senior Vice President of Global Marketing (2013-2017)</w:t>
      </w:r>
    </w:p>
    <w:p>
      <w:pPr>
        <w:spacing w:after="0" w:line="236" w:lineRule="auto"/>
        <w:rPr>
          <w:sz w:val="20"/>
          <w:szCs w:val="20"/>
          <w:color w:val="auto"/>
        </w:rPr>
      </w:pPr>
      <w:r>
        <w:rPr>
          <w:rFonts w:ascii="Arial" w:cs="Arial" w:eastAsia="Arial" w:hAnsi="Arial"/>
          <w:sz w:val="13"/>
          <w:szCs w:val="13"/>
          <w:b w:val="1"/>
          <w:bCs w:val="1"/>
          <w:color w:val="010035"/>
        </w:rPr>
        <w:t xml:space="preserve">Estée Lauder </w:t>
      </w:r>
      <w:r>
        <w:rPr>
          <w:rFonts w:ascii="Arial" w:cs="Arial" w:eastAsia="Arial" w:hAnsi="Arial"/>
          <w:sz w:val="13"/>
          <w:szCs w:val="13"/>
          <w:color w:val="010035"/>
        </w:rPr>
        <w:t>– Multinational cosmetics company</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Vice President Global Marketing Idea Bank (2008-2013)</w:t>
      </w:r>
    </w:p>
    <w:p>
      <w:pPr>
        <w:spacing w:after="0" w:line="236" w:lineRule="auto"/>
        <w:rPr>
          <w:sz w:val="20"/>
          <w:szCs w:val="20"/>
          <w:color w:val="auto"/>
        </w:rPr>
      </w:pPr>
      <w:r>
        <w:rPr>
          <w:rFonts w:ascii="Arial" w:cs="Arial" w:eastAsia="Arial" w:hAnsi="Arial"/>
          <w:sz w:val="13"/>
          <w:szCs w:val="13"/>
          <w:b w:val="1"/>
          <w:bCs w:val="1"/>
          <w:color w:val="010035"/>
        </w:rPr>
        <w:t xml:space="preserve">Procter &amp; Gamble </w:t>
      </w:r>
      <w:r>
        <w:rPr>
          <w:rFonts w:ascii="Arial" w:cs="Arial" w:eastAsia="Arial" w:hAnsi="Arial"/>
          <w:sz w:val="13"/>
          <w:szCs w:val="13"/>
          <w:color w:val="010035"/>
        </w:rPr>
        <w:t>– Global consumer goods corporation</w:t>
      </w:r>
    </w:p>
    <w:p>
      <w:pPr>
        <w:spacing w:after="0" w:line="217"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Global Marketing Director (2005-2007)</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Various executive global marketing leadership roles for Gillette and Procter &amp; Gamble (1997-2005)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106045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740" w:space="220"/>
            <w:col w:w="6259"/>
          </w:cols>
          <w:pgMar w:left="1240" w:top="114" w:right="1440"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877060" cy="3514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7706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Anuj Dhanda</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Class I Director (Independent)</w:t>
      </w:r>
    </w:p>
    <w:p>
      <w:pPr>
        <w:ind w:left="180"/>
        <w:spacing w:after="0" w:line="216" w:lineRule="auto"/>
        <w:rPr>
          <w:sz w:val="20"/>
          <w:szCs w:val="20"/>
          <w:color w:val="auto"/>
        </w:rPr>
      </w:pPr>
      <w:r>
        <w:rPr>
          <w:rFonts w:ascii="Arial" w:cs="Arial" w:eastAsia="Arial" w:hAnsi="Arial"/>
          <w:sz w:val="13"/>
          <w:szCs w:val="13"/>
          <w:color w:val="010035"/>
        </w:rPr>
        <w:t>Age: 63</w:t>
      </w:r>
    </w:p>
    <w:p>
      <w:pPr>
        <w:ind w:left="180"/>
        <w:spacing w:after="0"/>
        <w:rPr>
          <w:sz w:val="20"/>
          <w:szCs w:val="20"/>
          <w:color w:val="auto"/>
        </w:rPr>
      </w:pPr>
      <w:r>
        <w:rPr>
          <w:rFonts w:ascii="Arial" w:cs="Arial" w:eastAsia="Arial" w:hAnsi="Arial"/>
          <w:sz w:val="13"/>
          <w:szCs w:val="13"/>
          <w:color w:val="010035"/>
        </w:rPr>
        <w:t>Director Since: 2024</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Committees:</w:t>
      </w:r>
    </w:p>
    <w:p>
      <w:pPr>
        <w:ind w:left="180"/>
        <w:spacing w:after="0"/>
        <w:rPr>
          <w:sz w:val="20"/>
          <w:szCs w:val="20"/>
          <w:color w:val="auto"/>
        </w:rPr>
      </w:pPr>
      <w:r>
        <w:rPr>
          <w:rFonts w:ascii="Arial" w:cs="Arial" w:eastAsia="Arial" w:hAnsi="Arial"/>
          <w:sz w:val="13"/>
          <w:szCs w:val="13"/>
          <w:color w:val="010035"/>
        </w:rPr>
        <w:t>•  Audit</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Public Board Directorships:</w:t>
      </w:r>
    </w:p>
    <w:p>
      <w:pPr>
        <w:ind w:left="180"/>
        <w:spacing w:after="0" w:line="216" w:lineRule="auto"/>
        <w:rPr>
          <w:sz w:val="20"/>
          <w:szCs w:val="20"/>
          <w:color w:val="auto"/>
        </w:rPr>
      </w:pPr>
      <w:r>
        <w:rPr>
          <w:rFonts w:ascii="Arial" w:cs="Arial" w:eastAsia="Arial" w:hAnsi="Arial"/>
          <w:sz w:val="13"/>
          <w:szCs w:val="13"/>
          <w:color w:val="010035"/>
        </w:rPr>
        <w:t>•  BlueLinx Holdings (NYSE: BXC)</w:t>
      </w:r>
    </w:p>
    <w:p>
      <w:pPr>
        <w:ind w:left="300"/>
        <w:spacing w:after="0"/>
        <w:rPr>
          <w:sz w:val="20"/>
          <w:szCs w:val="20"/>
          <w:color w:val="auto"/>
        </w:rPr>
      </w:pPr>
      <w:r>
        <w:rPr>
          <w:rFonts w:ascii="Arial" w:cs="Arial" w:eastAsia="Arial" w:hAnsi="Arial"/>
          <w:sz w:val="13"/>
          <w:szCs w:val="13"/>
          <w:color w:val="010035"/>
        </w:rPr>
        <w:t>(2023-Present)</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180"/>
        <w:spacing w:after="0" w:line="234" w:lineRule="auto"/>
        <w:rPr>
          <w:sz w:val="20"/>
          <w:szCs w:val="20"/>
          <w:color w:val="auto"/>
        </w:rPr>
      </w:pPr>
      <w:r>
        <w:rPr>
          <w:rFonts w:ascii="Arial" w:cs="Arial" w:eastAsia="Arial" w:hAnsi="Arial"/>
          <w:sz w:val="12"/>
          <w:szCs w:val="12"/>
          <w:color w:val="010035"/>
        </w:rPr>
        <w:t>•  University of Delhi: BA, Commerce</w:t>
      </w:r>
    </w:p>
    <w:p>
      <w:pPr>
        <w:ind w:left="180"/>
        <w:spacing w:after="0" w:line="217" w:lineRule="auto"/>
        <w:rPr>
          <w:sz w:val="20"/>
          <w:szCs w:val="20"/>
          <w:color w:val="auto"/>
        </w:rPr>
      </w:pPr>
      <w:r>
        <w:rPr>
          <w:rFonts w:ascii="Arial" w:cs="Arial" w:eastAsia="Arial" w:hAnsi="Arial"/>
          <w:sz w:val="13"/>
          <w:szCs w:val="13"/>
          <w:color w:val="010035"/>
        </w:rPr>
        <w:t>•  Rutgers University: MBA</w:t>
      </w:r>
    </w:p>
    <w:p>
      <w:pPr>
        <w:ind w:left="180"/>
        <w:spacing w:after="0" w:line="235" w:lineRule="auto"/>
        <w:rPr>
          <w:sz w:val="20"/>
          <w:szCs w:val="20"/>
          <w:color w:val="auto"/>
        </w:rPr>
      </w:pPr>
      <w:r>
        <w:rPr>
          <w:rFonts w:ascii="Arial" w:cs="Arial" w:eastAsia="Arial" w:hAnsi="Arial"/>
          <w:sz w:val="12"/>
          <w:szCs w:val="12"/>
          <w:color w:val="010035"/>
        </w:rPr>
        <w:t>•  Rutgers University: PhD, Finance</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6"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6"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rPr>
          <w:sz w:val="20"/>
          <w:szCs w:val="20"/>
          <w:color w:val="auto"/>
        </w:rPr>
      </w:pPr>
      <w:r>
        <w:rPr>
          <w:rFonts w:ascii="Arial" w:cs="Arial" w:eastAsia="Arial" w:hAnsi="Arial"/>
          <w:sz w:val="13"/>
          <w:szCs w:val="13"/>
          <w:color w:val="010035"/>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ind w:right="240"/>
        <w:spacing w:after="0" w:line="221" w:lineRule="auto"/>
        <w:rPr>
          <w:sz w:val="20"/>
          <w:szCs w:val="20"/>
          <w:color w:val="auto"/>
        </w:rPr>
      </w:pPr>
      <w:r>
        <w:rPr>
          <w:rFonts w:ascii="Arial" w:cs="Arial" w:eastAsia="Arial" w:hAnsi="Arial"/>
          <w:sz w:val="13"/>
          <w:szCs w:val="13"/>
          <w:color w:val="010035"/>
        </w:rPr>
        <w:t>Mr. Dhanda is a well-respected technology leader in the consumer sector, with over 30 years of experience in leading technology and business functions. He is known for building powerful and collaborative teams that keep pace with the rapidly evolving technology, AI and cybersecurity landscape, which enables him to contribute tremendous insights to Board discussions related to PENN’s customer-focused digital and omnichannel retail strategy. In recognition of his significant contributions to advancing the use of technology in business, Mr. Dhanda was inducted into the CIO Hall of Fame.</w:t>
      </w:r>
    </w:p>
    <w:p>
      <w:pPr>
        <w:spacing w:after="0" w:line="94" w:lineRule="exact"/>
        <w:rPr>
          <w:sz w:val="20"/>
          <w:szCs w:val="20"/>
          <w:color w:val="auto"/>
        </w:rPr>
      </w:pPr>
    </w:p>
    <w:p>
      <w:pPr>
        <w:ind w:left="100" w:right="300" w:hanging="106"/>
        <w:spacing w:after="0" w:line="226" w:lineRule="auto"/>
        <w:rPr>
          <w:sz w:val="20"/>
          <w:szCs w:val="20"/>
          <w:color w:val="auto"/>
        </w:rPr>
      </w:pPr>
      <w:r>
        <w:rPr>
          <w:rFonts w:ascii="Arial" w:cs="Arial" w:eastAsia="Arial" w:hAnsi="Arial"/>
          <w:sz w:val="13"/>
          <w:szCs w:val="13"/>
          <w:b w:val="1"/>
          <w:bCs w:val="1"/>
          <w:color w:val="010035"/>
        </w:rPr>
        <w:t xml:space="preserve">•  Technology / Digital: </w:t>
      </w:r>
      <w:r>
        <w:rPr>
          <w:rFonts w:ascii="Arial" w:cs="Arial" w:eastAsia="Arial" w:hAnsi="Arial"/>
          <w:sz w:val="13"/>
          <w:szCs w:val="13"/>
          <w:color w:val="010035"/>
        </w:rPr>
        <w:t>Obtained through numerous executive leadership roles with consumer- oriented and</w:t>
      </w:r>
      <w:r>
        <w:rPr>
          <w:rFonts w:ascii="Arial" w:cs="Arial" w:eastAsia="Arial" w:hAnsi="Arial"/>
          <w:sz w:val="13"/>
          <w:szCs w:val="13"/>
          <w:b w:val="1"/>
          <w:bCs w:val="1"/>
          <w:color w:val="010035"/>
        </w:rPr>
        <w:t xml:space="preserve"> </w:t>
      </w:r>
      <w:r>
        <w:rPr>
          <w:rFonts w:ascii="Arial" w:cs="Arial" w:eastAsia="Arial" w:hAnsi="Arial"/>
          <w:sz w:val="13"/>
          <w:szCs w:val="13"/>
          <w:color w:val="010035"/>
        </w:rPr>
        <w:t>digitally-enabled businesses, with responsibilities for technological transformation efforts, including customer digital engagement and intelligence, application and supply chain modernization. At Albertsons Companies (NYSE: ACI), he led the shift to exclusively cloud-based operations and is currently focused on accelerating business growth through the use of AI.</w:t>
      </w:r>
    </w:p>
    <w:p>
      <w:pPr>
        <w:spacing w:after="0" w:line="106" w:lineRule="exact"/>
        <w:rPr>
          <w:sz w:val="20"/>
          <w:szCs w:val="20"/>
          <w:color w:val="auto"/>
        </w:rPr>
      </w:pPr>
    </w:p>
    <w:p>
      <w:pPr>
        <w:ind w:left="100" w:right="280" w:hanging="106"/>
        <w:spacing w:after="0" w:line="251" w:lineRule="auto"/>
        <w:rPr>
          <w:sz w:val="20"/>
          <w:szCs w:val="20"/>
          <w:color w:val="auto"/>
        </w:rPr>
      </w:pPr>
      <w:r>
        <w:rPr>
          <w:rFonts w:ascii="Arial" w:cs="Arial" w:eastAsia="Arial" w:hAnsi="Arial"/>
          <w:sz w:val="12"/>
          <w:szCs w:val="12"/>
          <w:b w:val="1"/>
          <w:bCs w:val="1"/>
          <w:color w:val="010035"/>
        </w:rPr>
        <w:t xml:space="preserve">•  Cybersecurity: </w:t>
      </w:r>
      <w:r>
        <w:rPr>
          <w:rFonts w:ascii="Arial" w:cs="Arial" w:eastAsia="Arial" w:hAnsi="Arial"/>
          <w:sz w:val="12"/>
          <w:szCs w:val="12"/>
          <w:color w:val="010035"/>
        </w:rPr>
        <w:t>Acquired through more than 15 years of service as Chief Information Officer with leading</w:t>
      </w:r>
      <w:r>
        <w:rPr>
          <w:rFonts w:ascii="Arial" w:cs="Arial" w:eastAsia="Arial" w:hAnsi="Arial"/>
          <w:sz w:val="12"/>
          <w:szCs w:val="12"/>
          <w:b w:val="1"/>
          <w:bCs w:val="1"/>
          <w:color w:val="010035"/>
        </w:rPr>
        <w:t xml:space="preserve"> </w:t>
      </w:r>
      <w:r>
        <w:rPr>
          <w:rFonts w:ascii="Arial" w:cs="Arial" w:eastAsia="Arial" w:hAnsi="Arial"/>
          <w:sz w:val="12"/>
          <w:szCs w:val="12"/>
          <w:color w:val="010035"/>
        </w:rPr>
        <w:t>national retail and financial services companies, overseeing the security of IT architecture, application platforms and data, including in Mr. Dhanda’s current role with Albertsons Companies where he oversees the security and reliability of the payments platform that processes approximately $78 billion in sales annually.</w:t>
      </w:r>
    </w:p>
    <w:p>
      <w:pPr>
        <w:spacing w:after="0" w:line="84" w:lineRule="exact"/>
        <w:rPr>
          <w:sz w:val="20"/>
          <w:szCs w:val="20"/>
          <w:color w:val="auto"/>
        </w:rPr>
      </w:pPr>
    </w:p>
    <w:p>
      <w:pPr>
        <w:ind w:left="100" w:right="380" w:hanging="106"/>
        <w:spacing w:after="0" w:line="238" w:lineRule="auto"/>
        <w:rPr>
          <w:sz w:val="20"/>
          <w:szCs w:val="20"/>
          <w:color w:val="auto"/>
        </w:rPr>
      </w:pPr>
      <w:r>
        <w:rPr>
          <w:rFonts w:ascii="Arial" w:cs="Arial" w:eastAsia="Arial" w:hAnsi="Arial"/>
          <w:sz w:val="12"/>
          <w:szCs w:val="12"/>
          <w:b w:val="1"/>
          <w:bCs w:val="1"/>
          <w:color w:val="010035"/>
        </w:rPr>
        <w:t xml:space="preserve">•  Strategic Planning / M&amp;A: </w:t>
      </w:r>
      <w:r>
        <w:rPr>
          <w:rFonts w:ascii="Arial" w:cs="Arial" w:eastAsia="Arial" w:hAnsi="Arial"/>
          <w:sz w:val="12"/>
          <w:szCs w:val="12"/>
          <w:color w:val="010035"/>
        </w:rPr>
        <w:t>Gained by serving in strategic planning roles at JP Morgan and executive roles</w:t>
      </w:r>
      <w:r>
        <w:rPr>
          <w:rFonts w:ascii="Arial" w:cs="Arial" w:eastAsia="Arial" w:hAnsi="Arial"/>
          <w:sz w:val="12"/>
          <w:szCs w:val="12"/>
          <w:b w:val="1"/>
          <w:bCs w:val="1"/>
          <w:color w:val="010035"/>
        </w:rPr>
        <w:t xml:space="preserve"> </w:t>
      </w:r>
      <w:r>
        <w:rPr>
          <w:rFonts w:ascii="Arial" w:cs="Arial" w:eastAsia="Arial" w:hAnsi="Arial"/>
          <w:sz w:val="12"/>
          <w:szCs w:val="12"/>
          <w:color w:val="010035"/>
        </w:rPr>
        <w:t>with PNC Financial Services Group, which focused on leading business development in high potential markets and enterprise-wide transformation strategies. He played critical roles in leading business and technology functions across multiple mergers and acquisitions by PNC. At Albertsons Companies, Mr. Dhanda oversaw the post-acquisition integration of the company and Safeway to a common platform.</w:t>
      </w:r>
    </w:p>
    <w:p>
      <w:pPr>
        <w:spacing w:after="0" w:line="225" w:lineRule="auto"/>
        <w:rPr>
          <w:sz w:val="20"/>
          <w:szCs w:val="20"/>
          <w:color w:val="auto"/>
        </w:rPr>
      </w:pPr>
      <w:r>
        <w:rPr>
          <w:rFonts w:ascii="Arial" w:cs="Arial" w:eastAsia="Arial" w:hAnsi="Arial"/>
          <w:sz w:val="13"/>
          <w:szCs w:val="13"/>
          <w:color w:val="010035"/>
        </w:rPr>
        <w:t> </w:t>
      </w:r>
    </w:p>
    <w:p>
      <w:pPr>
        <w:spacing w:after="0" w:line="222" w:lineRule="auto"/>
        <w:rPr>
          <w:sz w:val="20"/>
          <w:szCs w:val="20"/>
          <w:color w:val="auto"/>
        </w:rPr>
      </w:pPr>
      <w:r>
        <w:rPr>
          <w:rFonts w:ascii="Arial" w:cs="Arial" w:eastAsia="Arial" w:hAnsi="Arial"/>
          <w:sz w:val="20"/>
          <w:szCs w:val="20"/>
          <w:b w:val="1"/>
          <w:bCs w:val="1"/>
          <w:color w:val="69439A"/>
        </w:rPr>
        <w:t>EXPERIENCE:</w:t>
      </w:r>
    </w:p>
    <w:p>
      <w:pPr>
        <w:spacing w:after="0" w:line="218" w:lineRule="auto"/>
        <w:rPr>
          <w:sz w:val="20"/>
          <w:szCs w:val="20"/>
          <w:color w:val="auto"/>
        </w:rPr>
      </w:pPr>
      <w:r>
        <w:rPr>
          <w:rFonts w:ascii="Arial" w:cs="Arial" w:eastAsia="Arial" w:hAnsi="Arial"/>
          <w:sz w:val="13"/>
          <w:szCs w:val="13"/>
          <w:b w:val="1"/>
          <w:bCs w:val="1"/>
          <w:color w:val="010035"/>
        </w:rPr>
        <w:t xml:space="preserve">Albertsons Companies, Inc. </w:t>
      </w:r>
      <w:r>
        <w:rPr>
          <w:rFonts w:ascii="Arial" w:cs="Arial" w:eastAsia="Arial" w:hAnsi="Arial"/>
          <w:sz w:val="13"/>
          <w:szCs w:val="13"/>
          <w:color w:val="010035"/>
        </w:rPr>
        <w:t>(NYSE: ACI) – Leading Fortune 100 grocery store chain</w:t>
      </w:r>
    </w:p>
    <w:p>
      <w:pPr>
        <w:ind w:left="100" w:right="220" w:hanging="106"/>
        <w:spacing w:after="0" w:line="231"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EVP and Chief Technology and Transformation Officer (since 2023), EVP and Chief Information Officer (2015-2022)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Giant Eagle, Inc. </w:t>
      </w:r>
      <w:r>
        <w:rPr>
          <w:rFonts w:ascii="Arial" w:cs="Arial" w:eastAsia="Arial" w:hAnsi="Arial"/>
          <w:sz w:val="13"/>
          <w:szCs w:val="13"/>
          <w:color w:val="010035"/>
        </w:rPr>
        <w:t>– American supermarket chain</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SVP, Digital Commerce and Chief Information Officer (2013-2015)</w:t>
      </w:r>
    </w:p>
    <w:p>
      <w:pPr>
        <w:spacing w:after="0" w:line="10" w:lineRule="exact"/>
        <w:rPr>
          <w:sz w:val="20"/>
          <w:szCs w:val="20"/>
          <w:color w:val="auto"/>
        </w:rPr>
      </w:pPr>
    </w:p>
    <w:p>
      <w:pPr>
        <w:ind w:right="320"/>
        <w:spacing w:after="0" w:line="236" w:lineRule="auto"/>
        <w:rPr>
          <w:sz w:val="20"/>
          <w:szCs w:val="20"/>
          <w:color w:val="auto"/>
        </w:rPr>
      </w:pPr>
      <w:r>
        <w:rPr>
          <w:rFonts w:ascii="Arial" w:cs="Arial" w:eastAsia="Arial" w:hAnsi="Arial"/>
          <w:sz w:val="12"/>
          <w:szCs w:val="12"/>
          <w:b w:val="1"/>
          <w:bCs w:val="1"/>
          <w:color w:val="010035"/>
        </w:rPr>
        <w:t xml:space="preserve">The PNC Financial Services Group, Inc. </w:t>
      </w:r>
      <w:r>
        <w:rPr>
          <w:rFonts w:ascii="Arial" w:cs="Arial" w:eastAsia="Arial" w:hAnsi="Arial"/>
          <w:sz w:val="12"/>
          <w:szCs w:val="12"/>
          <w:color w:val="010035"/>
        </w:rPr>
        <w:t>(NYSE: PNC) – Diversified U.S.-based financial services institution</w:t>
      </w:r>
      <w:r>
        <w:rPr>
          <w:rFonts w:ascii="Arial" w:cs="Arial" w:eastAsia="Arial" w:hAnsi="Arial"/>
          <w:sz w:val="12"/>
          <w:szCs w:val="12"/>
          <w:b w:val="1"/>
          <w:bCs w:val="1"/>
          <w:color w:val="010035"/>
        </w:rPr>
        <w:t xml:space="preserve"> •  </w:t>
      </w:r>
      <w:r>
        <w:rPr>
          <w:rFonts w:ascii="Arial" w:cs="Arial" w:eastAsia="Arial" w:hAnsi="Arial"/>
          <w:sz w:val="12"/>
          <w:szCs w:val="12"/>
          <w:color w:val="010035"/>
        </w:rPr>
        <w:t>EVP and CIO (2008-2013), SVP and CIO, PNC Bank (2005-2008), Various positions (1999-2013), SVP and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010035"/>
        </w:rPr>
        <w:t>Manager, Eastern Markets (1997-1999), Small Business Lending (1995-1997)</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JP Morgan Chase &amp; Co. </w:t>
      </w:r>
      <w:r>
        <w:rPr>
          <w:rFonts w:ascii="Arial" w:cs="Arial" w:eastAsia="Arial" w:hAnsi="Arial"/>
          <w:sz w:val="13"/>
          <w:szCs w:val="13"/>
          <w:color w:val="010035"/>
        </w:rPr>
        <w:t>(NYSE: JPM) (formerly Chemical Bank) – Leading global financial services firm</w:t>
      </w:r>
    </w:p>
    <w:p>
      <w:pPr>
        <w:ind w:left="100" w:right="420" w:hanging="106"/>
        <w:spacing w:after="0" w:line="226"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SVP, Marketing and Business Planning Manager, Consumer Bank (1992-1995), Strategic Planning Officer,</w:t>
      </w:r>
      <w:r>
        <w:rPr>
          <w:rFonts w:ascii="Arial" w:cs="Arial" w:eastAsia="Arial" w:hAnsi="Arial"/>
          <w:sz w:val="13"/>
          <w:szCs w:val="13"/>
          <w:b w:val="1"/>
          <w:bCs w:val="1"/>
          <w:color w:val="010035"/>
        </w:rPr>
        <w:t xml:space="preserve"> </w:t>
      </w:r>
      <w:r>
        <w:rPr>
          <w:rFonts w:ascii="Arial" w:cs="Arial" w:eastAsia="Arial" w:hAnsi="Arial"/>
          <w:sz w:val="13"/>
          <w:szCs w:val="13"/>
          <w:color w:val="010035"/>
        </w:rPr>
        <w:t>Regional Banking Operations Division (1989-1992), Management Consultant, Retail Operations and Technology (1988-1989)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164465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240" w:space="720"/>
            <w:col w:w="6440"/>
          </w:cols>
          <w:pgMar w:left="1240" w:top="114" w:right="12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0"/>
          <w:szCs w:val="30"/>
          <w:b w:val="1"/>
          <w:bCs w:val="1"/>
          <w:color w:val="FFFFFF"/>
        </w:rPr>
        <w:t xml:space="preserv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-293370</wp:posOffset>
            </wp:positionV>
            <wp:extent cx="5829300" cy="2997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29300" cy="299720"/>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877060" cy="384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77060" cy="384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Heather Ace</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Class II Director (Independent)</w:t>
      </w:r>
    </w:p>
    <w:p>
      <w:pPr>
        <w:ind w:left="180"/>
        <w:spacing w:after="0" w:line="216" w:lineRule="auto"/>
        <w:rPr>
          <w:sz w:val="20"/>
          <w:szCs w:val="20"/>
          <w:color w:val="auto"/>
        </w:rPr>
      </w:pPr>
      <w:r>
        <w:rPr>
          <w:rFonts w:ascii="Arial" w:cs="Arial" w:eastAsia="Arial" w:hAnsi="Arial"/>
          <w:sz w:val="13"/>
          <w:szCs w:val="13"/>
          <w:color w:val="010035"/>
        </w:rPr>
        <w:t>Age: 56</w:t>
      </w:r>
    </w:p>
    <w:p>
      <w:pPr>
        <w:ind w:left="180"/>
        <w:spacing w:after="0"/>
        <w:rPr>
          <w:sz w:val="20"/>
          <w:szCs w:val="20"/>
          <w:color w:val="auto"/>
        </w:rPr>
      </w:pPr>
      <w:r>
        <w:rPr>
          <w:rFonts w:ascii="Arial" w:cs="Arial" w:eastAsia="Arial" w:hAnsi="Arial"/>
          <w:sz w:val="13"/>
          <w:szCs w:val="13"/>
          <w:color w:val="010035"/>
        </w:rPr>
        <w:t>Director Since: 2026</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300" w:hanging="106"/>
        <w:spacing w:after="0" w:line="216" w:lineRule="auto"/>
        <w:rPr>
          <w:sz w:val="20"/>
          <w:szCs w:val="20"/>
          <w:color w:val="auto"/>
        </w:rPr>
      </w:pPr>
      <w:r>
        <w:rPr>
          <w:rFonts w:ascii="Arial" w:cs="Arial" w:eastAsia="Arial" w:hAnsi="Arial"/>
          <w:sz w:val="13"/>
          <w:szCs w:val="13"/>
          <w:color w:val="010035"/>
        </w:rPr>
        <w:t>•  University of California, Santa Barbara: BA, Law &amp; Society</w:t>
      </w:r>
    </w:p>
    <w:p>
      <w:pPr>
        <w:ind w:left="180"/>
        <w:spacing w:after="0" w:line="218" w:lineRule="auto"/>
        <w:rPr>
          <w:sz w:val="20"/>
          <w:szCs w:val="20"/>
          <w:color w:val="auto"/>
        </w:rPr>
      </w:pPr>
      <w:r>
        <w:rPr>
          <w:rFonts w:ascii="Arial" w:cs="Arial" w:eastAsia="Arial" w:hAnsi="Arial"/>
          <w:sz w:val="13"/>
          <w:szCs w:val="13"/>
          <w:color w:val="010035"/>
        </w:rPr>
        <w:t>•  Santa Clara School of Law: JD</w:t>
      </w:r>
    </w:p>
    <w:p>
      <w:pPr>
        <w:ind w:left="280"/>
        <w:spacing w:after="0" w:line="216"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6"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rPr>
          <w:sz w:val="20"/>
          <w:szCs w:val="20"/>
          <w:color w:val="auto"/>
        </w:rPr>
      </w:pPr>
      <w:r>
        <w:rPr>
          <w:rFonts w:ascii="Arial" w:cs="Arial" w:eastAsia="Arial" w:hAnsi="Arial"/>
          <w:sz w:val="13"/>
          <w:szCs w:val="13"/>
          <w:color w:val="010035"/>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ind w:right="79"/>
        <w:spacing w:after="0" w:line="221" w:lineRule="auto"/>
        <w:rPr>
          <w:sz w:val="20"/>
          <w:szCs w:val="20"/>
          <w:color w:val="auto"/>
        </w:rPr>
      </w:pPr>
      <w:r>
        <w:rPr>
          <w:rFonts w:ascii="Arial" w:cs="Arial" w:eastAsia="Arial" w:hAnsi="Arial"/>
          <w:sz w:val="13"/>
          <w:szCs w:val="13"/>
          <w:color w:val="010035"/>
        </w:rPr>
        <w:t>Ms. Ace is a seasoned global executive leader with more than 20 years of experience aligning human capital, operations and capital deployment with long-term business strategy. She has held senior leadership roles at complex, multinational organizations where she partnered closely with boards and executive teams to drive enterprise transformation and support sustained value creation. Her experience as a former attorney further strengthens her perspective on governance and compliance, which is particularly valuable in PENN’s regulated operating environment.</w:t>
      </w:r>
    </w:p>
    <w:p>
      <w:pPr>
        <w:spacing w:after="0" w:line="94" w:lineRule="exact"/>
        <w:rPr>
          <w:sz w:val="20"/>
          <w:szCs w:val="20"/>
          <w:color w:val="auto"/>
        </w:rPr>
      </w:pPr>
    </w:p>
    <w:p>
      <w:pPr>
        <w:ind w:left="100" w:right="139" w:hanging="106"/>
        <w:spacing w:after="0" w:line="226" w:lineRule="auto"/>
        <w:rPr>
          <w:sz w:val="20"/>
          <w:szCs w:val="20"/>
          <w:color w:val="auto"/>
        </w:rPr>
      </w:pPr>
      <w:r>
        <w:rPr>
          <w:rFonts w:ascii="Arial" w:cs="Arial" w:eastAsia="Arial" w:hAnsi="Arial"/>
          <w:sz w:val="13"/>
          <w:szCs w:val="13"/>
          <w:b w:val="1"/>
          <w:bCs w:val="1"/>
          <w:color w:val="010035"/>
        </w:rPr>
        <w:t xml:space="preserve">•  Human Capital / Talent Management: </w:t>
      </w:r>
      <w:r>
        <w:rPr>
          <w:rFonts w:ascii="Arial" w:cs="Arial" w:eastAsia="Arial" w:hAnsi="Arial"/>
          <w:sz w:val="13"/>
          <w:szCs w:val="13"/>
          <w:color w:val="010035"/>
        </w:rPr>
        <w:t>As Executive Vice President and Chief Human Resources Officer of</w:t>
      </w:r>
      <w:r>
        <w:rPr>
          <w:rFonts w:ascii="Arial" w:cs="Arial" w:eastAsia="Arial" w:hAnsi="Arial"/>
          <w:sz w:val="13"/>
          <w:szCs w:val="13"/>
          <w:b w:val="1"/>
          <w:bCs w:val="1"/>
          <w:color w:val="010035"/>
        </w:rPr>
        <w:t xml:space="preserve"> </w:t>
      </w:r>
      <w:r>
        <w:rPr>
          <w:rFonts w:ascii="Arial" w:cs="Arial" w:eastAsia="Arial" w:hAnsi="Arial"/>
          <w:sz w:val="13"/>
          <w:szCs w:val="13"/>
          <w:color w:val="010035"/>
        </w:rPr>
        <w:t>Qualcomm, Ms. Ace oversees the global workforce of ~50,000 employees and advises senior leadership on enterprise transformation, operating model design, executive compensation, leadership development and employee engagement. Her scope includes responsibility for aligning organizational structure and incentives with business strategy and long-term performance objectives.</w:t>
      </w:r>
    </w:p>
    <w:p>
      <w:pPr>
        <w:spacing w:after="0" w:line="106" w:lineRule="exact"/>
        <w:rPr>
          <w:sz w:val="20"/>
          <w:szCs w:val="20"/>
          <w:color w:val="auto"/>
        </w:rPr>
      </w:pPr>
    </w:p>
    <w:p>
      <w:pPr>
        <w:ind w:left="100" w:right="119" w:hanging="106"/>
        <w:spacing w:after="0" w:line="225" w:lineRule="auto"/>
        <w:rPr>
          <w:sz w:val="20"/>
          <w:szCs w:val="20"/>
          <w:color w:val="auto"/>
        </w:rPr>
      </w:pPr>
      <w:r>
        <w:rPr>
          <w:rFonts w:ascii="Arial" w:cs="Arial" w:eastAsia="Arial" w:hAnsi="Arial"/>
          <w:sz w:val="13"/>
          <w:szCs w:val="13"/>
          <w:b w:val="1"/>
          <w:bCs w:val="1"/>
          <w:color w:val="010035"/>
        </w:rPr>
        <w:t xml:space="preserve">•  Strategic Planning / M&amp;A: </w:t>
      </w:r>
      <w:r>
        <w:rPr>
          <w:rFonts w:ascii="Arial" w:cs="Arial" w:eastAsia="Arial" w:hAnsi="Arial"/>
          <w:sz w:val="13"/>
          <w:szCs w:val="13"/>
          <w:color w:val="010035"/>
        </w:rPr>
        <w:t>Ms. Ace has extensive experience with corporate transactions from strategy</w:t>
      </w:r>
      <w:r>
        <w:rPr>
          <w:rFonts w:ascii="Arial" w:cs="Arial" w:eastAsia="Arial" w:hAnsi="Arial"/>
          <w:sz w:val="13"/>
          <w:szCs w:val="13"/>
          <w:b w:val="1"/>
          <w:bCs w:val="1"/>
          <w:color w:val="010035"/>
        </w:rPr>
        <w:t xml:space="preserve"> </w:t>
      </w:r>
      <w:r>
        <w:rPr>
          <w:rFonts w:ascii="Arial" w:cs="Arial" w:eastAsia="Arial" w:hAnsi="Arial"/>
          <w:sz w:val="13"/>
          <w:szCs w:val="13"/>
          <w:color w:val="010035"/>
        </w:rPr>
        <w:t>planning through execution. As Director of Human Resources, M&amp;A at Life Technologies, she guided due diligence, contract negotiations and integration planning across all transactions. At Volcano Corporation, she served as Business Integration Leader for the company’s $1.2 billion acquisition by Royal Philips (NYSE: PHG), overseeing enterprise-wide integration efforts and the execution of cost synergies during the critical first year post-merger.</w:t>
      </w:r>
    </w:p>
    <w:p>
      <w:pPr>
        <w:spacing w:after="0" w:line="91" w:lineRule="exact"/>
        <w:rPr>
          <w:sz w:val="20"/>
          <w:szCs w:val="20"/>
          <w:color w:val="auto"/>
        </w:rPr>
      </w:pPr>
    </w:p>
    <w:p>
      <w:pPr>
        <w:ind w:left="100" w:right="59" w:hanging="106"/>
        <w:spacing w:after="0" w:line="220" w:lineRule="auto"/>
        <w:rPr>
          <w:sz w:val="20"/>
          <w:szCs w:val="20"/>
          <w:color w:val="auto"/>
        </w:rPr>
      </w:pPr>
      <w:r>
        <w:rPr>
          <w:rFonts w:ascii="Arial" w:cs="Arial" w:eastAsia="Arial" w:hAnsi="Arial"/>
          <w:sz w:val="13"/>
          <w:szCs w:val="13"/>
          <w:b w:val="1"/>
          <w:bCs w:val="1"/>
          <w:color w:val="010035"/>
        </w:rPr>
        <w:t xml:space="preserve">•  Risk Management: </w:t>
      </w:r>
      <w:r>
        <w:rPr>
          <w:rFonts w:ascii="Arial" w:cs="Arial" w:eastAsia="Arial" w:hAnsi="Arial"/>
          <w:sz w:val="13"/>
          <w:szCs w:val="13"/>
          <w:color w:val="010035"/>
        </w:rPr>
        <w:t>Developed through her numerous executive leadership roles at global companies,</w:t>
      </w:r>
      <w:r>
        <w:rPr>
          <w:rFonts w:ascii="Arial" w:cs="Arial" w:eastAsia="Arial" w:hAnsi="Arial"/>
          <w:sz w:val="13"/>
          <w:szCs w:val="13"/>
          <w:b w:val="1"/>
          <w:bCs w:val="1"/>
          <w:color w:val="010035"/>
        </w:rPr>
        <w:t xml:space="preserve"> </w:t>
      </w:r>
      <w:r>
        <w:rPr>
          <w:rFonts w:ascii="Arial" w:cs="Arial" w:eastAsia="Arial" w:hAnsi="Arial"/>
          <w:sz w:val="13"/>
          <w:szCs w:val="13"/>
          <w:color w:val="010035"/>
        </w:rPr>
        <w:t>Ms. Ace contributes deep expertise in enterprise risk management, including identifying and mitigating operational, regulatory and compliance risks. Her background as a partner at a legal advisory firm, where she practiced litigation and employment law, specializing in mergers and acquisitions, provides her with a deep understanding of regulatory frameworks and governance practices.</w:t>
      </w:r>
    </w:p>
    <w:p>
      <w:pPr>
        <w:spacing w:after="0" w:line="223" w:lineRule="auto"/>
        <w:rPr>
          <w:sz w:val="20"/>
          <w:szCs w:val="20"/>
          <w:color w:val="auto"/>
        </w:rPr>
      </w:pPr>
      <w:r>
        <w:rPr>
          <w:rFonts w:ascii="Arial" w:cs="Arial" w:eastAsia="Arial" w:hAnsi="Arial"/>
          <w:sz w:val="13"/>
          <w:szCs w:val="13"/>
          <w:color w:val="010035"/>
        </w:rPr>
        <w:t> </w:t>
      </w:r>
    </w:p>
    <w:p>
      <w:pPr>
        <w:spacing w:after="0" w:line="223" w:lineRule="auto"/>
        <w:rPr>
          <w:sz w:val="20"/>
          <w:szCs w:val="20"/>
          <w:color w:val="auto"/>
        </w:rPr>
      </w:pPr>
      <w:r>
        <w:rPr>
          <w:rFonts w:ascii="Arial" w:cs="Arial" w:eastAsia="Arial" w:hAnsi="Arial"/>
          <w:sz w:val="20"/>
          <w:szCs w:val="20"/>
          <w:b w:val="1"/>
          <w:bCs w:val="1"/>
          <w:color w:val="69439A"/>
        </w:rPr>
        <w:t>EXPERIENCE:</w:t>
      </w:r>
    </w:p>
    <w:p>
      <w:pPr>
        <w:ind w:right="959"/>
        <w:spacing w:after="0" w:line="236" w:lineRule="auto"/>
        <w:rPr>
          <w:sz w:val="20"/>
          <w:szCs w:val="20"/>
          <w:color w:val="auto"/>
        </w:rPr>
      </w:pPr>
      <w:r>
        <w:rPr>
          <w:rFonts w:ascii="Arial" w:cs="Arial" w:eastAsia="Arial" w:hAnsi="Arial"/>
          <w:sz w:val="13"/>
          <w:szCs w:val="13"/>
          <w:b w:val="1"/>
          <w:bCs w:val="1"/>
          <w:color w:val="010035"/>
        </w:rPr>
        <w:t xml:space="preserve">Qualcomm Incorporated </w:t>
      </w:r>
      <w:r>
        <w:rPr>
          <w:rFonts w:ascii="Arial" w:cs="Arial" w:eastAsia="Arial" w:hAnsi="Arial"/>
          <w:sz w:val="13"/>
          <w:szCs w:val="13"/>
          <w:color w:val="010035"/>
        </w:rPr>
        <w:t>(Nasdaq: QCOM) – A global semiconductor manufacturing company</w:t>
      </w:r>
      <w:r>
        <w:rPr>
          <w:rFonts w:ascii="Arial" w:cs="Arial" w:eastAsia="Arial" w:hAnsi="Arial"/>
          <w:sz w:val="13"/>
          <w:szCs w:val="13"/>
          <w:b w:val="1"/>
          <w:bCs w:val="1"/>
          <w:color w:val="010035"/>
        </w:rPr>
        <w:t xml:space="preserve"> •  </w:t>
      </w:r>
      <w:r>
        <w:rPr>
          <w:rFonts w:ascii="Arial" w:cs="Arial" w:eastAsia="Arial" w:hAnsi="Arial"/>
          <w:sz w:val="13"/>
          <w:szCs w:val="13"/>
          <w:color w:val="010035"/>
        </w:rPr>
        <w:t>Chief Human Resources Officer and EVP, Human Resources (since 2020)</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Dexcom, Inc. </w:t>
      </w:r>
      <w:r>
        <w:rPr>
          <w:rFonts w:ascii="Arial" w:cs="Arial" w:eastAsia="Arial" w:hAnsi="Arial"/>
          <w:sz w:val="13"/>
          <w:szCs w:val="13"/>
          <w:color w:val="010035"/>
        </w:rPr>
        <w:t>(Nasdaq: DXCM) – A medical device company</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Chief Human Resources Officer &amp; SVP Human Resources (2016-2020)</w:t>
      </w:r>
    </w:p>
    <w:p>
      <w:pPr>
        <w:spacing w:after="0" w:line="236" w:lineRule="auto"/>
        <w:rPr>
          <w:sz w:val="20"/>
          <w:szCs w:val="20"/>
          <w:color w:val="auto"/>
        </w:rPr>
      </w:pPr>
      <w:r>
        <w:rPr>
          <w:rFonts w:ascii="Arial" w:cs="Arial" w:eastAsia="Arial" w:hAnsi="Arial"/>
          <w:sz w:val="13"/>
          <w:szCs w:val="13"/>
          <w:b w:val="1"/>
          <w:bCs w:val="1"/>
          <w:color w:val="010035"/>
        </w:rPr>
        <w:t xml:space="preserve">Orexigen Therapeutics </w:t>
      </w:r>
      <w:r>
        <w:rPr>
          <w:rFonts w:ascii="Arial" w:cs="Arial" w:eastAsia="Arial" w:hAnsi="Arial"/>
          <w:sz w:val="13"/>
          <w:szCs w:val="13"/>
          <w:color w:val="010035"/>
        </w:rPr>
        <w:t>– A pharmaceutical company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Chief Human Resources Officer &amp; EVP Global Human Resources (2016)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Volcano Corporation </w:t>
      </w:r>
      <w:r>
        <w:rPr>
          <w:rFonts w:ascii="Arial" w:cs="Arial" w:eastAsia="Arial" w:hAnsi="Arial"/>
          <w:sz w:val="13"/>
          <w:szCs w:val="13"/>
          <w:color w:val="010035"/>
        </w:rPr>
        <w:t>– A global medical device company (former Nasdaq: VOLC)</w:t>
      </w:r>
    </w:p>
    <w:p>
      <w:pPr>
        <w:spacing w:after="0" w:line="216"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Business Integration Leader (2015-2016)</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Chief Human Resources Officer &amp; EVP Global Human Resources (2012-2015)</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Life Technologies Corporation </w:t>
      </w:r>
      <w:r>
        <w:rPr>
          <w:rFonts w:ascii="Arial" w:cs="Arial" w:eastAsia="Arial" w:hAnsi="Arial"/>
          <w:sz w:val="13"/>
          <w:szCs w:val="13"/>
          <w:color w:val="010035"/>
        </w:rPr>
        <w:t>– A leading life sciences company (former Nasdaq: LIFE)</w:t>
      </w:r>
    </w:p>
    <w:p>
      <w:pPr>
        <w:spacing w:after="0" w:line="216"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VP, HR Life Sciences (2011-2012)</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Roles of increasing scope and responsibility (2004-2011)</w:t>
      </w:r>
    </w:p>
    <w:p>
      <w:pPr>
        <w:spacing w:after="0" w:line="236" w:lineRule="auto"/>
        <w:rPr>
          <w:sz w:val="20"/>
          <w:szCs w:val="20"/>
          <w:color w:val="auto"/>
        </w:rPr>
      </w:pPr>
      <w:r>
        <w:rPr>
          <w:rFonts w:ascii="Arial" w:cs="Arial" w:eastAsia="Arial" w:hAnsi="Arial"/>
          <w:sz w:val="13"/>
          <w:szCs w:val="13"/>
          <w:b w:val="1"/>
          <w:bCs w:val="1"/>
          <w:color w:val="010035"/>
        </w:rPr>
        <w:t xml:space="preserve">Gray Cary Ware &amp; Freidenrich LLP </w:t>
      </w:r>
      <w:r>
        <w:rPr>
          <w:rFonts w:ascii="Arial" w:cs="Arial" w:eastAsia="Arial" w:hAnsi="Arial"/>
          <w:sz w:val="13"/>
          <w:szCs w:val="13"/>
          <w:color w:val="010035"/>
        </w:rPr>
        <w:t>– A law firm (acquired by DLA Piper in 2005)</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Employment Law Partner / Associate (1996-2004)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114300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700" w:space="260"/>
            <w:col w:w="6259"/>
          </w:cols>
          <w:pgMar w:left="1240" w:top="114"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877060" cy="4226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77060" cy="422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Jeffrey Fox</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Class II Director (Independent)</w:t>
      </w:r>
    </w:p>
    <w:p>
      <w:pPr>
        <w:ind w:left="180"/>
        <w:spacing w:after="0" w:line="216" w:lineRule="auto"/>
        <w:rPr>
          <w:sz w:val="20"/>
          <w:szCs w:val="20"/>
          <w:color w:val="auto"/>
        </w:rPr>
      </w:pPr>
      <w:r>
        <w:rPr>
          <w:rFonts w:ascii="Arial" w:cs="Arial" w:eastAsia="Arial" w:hAnsi="Arial"/>
          <w:sz w:val="13"/>
          <w:szCs w:val="13"/>
          <w:color w:val="010035"/>
        </w:rPr>
        <w:t>Age: 64</w:t>
      </w:r>
    </w:p>
    <w:p>
      <w:pPr>
        <w:ind w:left="180"/>
        <w:spacing w:after="0"/>
        <w:rPr>
          <w:sz w:val="20"/>
          <w:szCs w:val="20"/>
          <w:color w:val="auto"/>
        </w:rPr>
      </w:pPr>
      <w:r>
        <w:rPr>
          <w:rFonts w:ascii="Arial" w:cs="Arial" w:eastAsia="Arial" w:hAnsi="Arial"/>
          <w:sz w:val="13"/>
          <w:szCs w:val="13"/>
          <w:color w:val="010035"/>
        </w:rPr>
        <w:t>Director Since: 2026</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Public Board Directorships:</w:t>
      </w:r>
    </w:p>
    <w:p>
      <w:pPr>
        <w:ind w:left="180"/>
        <w:spacing w:after="0" w:line="216" w:lineRule="auto"/>
        <w:rPr>
          <w:sz w:val="20"/>
          <w:szCs w:val="20"/>
          <w:color w:val="auto"/>
        </w:rPr>
      </w:pPr>
      <w:r>
        <w:rPr>
          <w:rFonts w:ascii="Arial" w:cs="Arial" w:eastAsia="Arial" w:hAnsi="Arial"/>
          <w:sz w:val="13"/>
          <w:szCs w:val="13"/>
          <w:color w:val="010035"/>
        </w:rPr>
        <w:t>•  Westrock Coffee Company</w:t>
      </w:r>
    </w:p>
    <w:p>
      <w:pPr>
        <w:ind w:left="300"/>
        <w:spacing w:after="0" w:line="235" w:lineRule="auto"/>
        <w:rPr>
          <w:sz w:val="20"/>
          <w:szCs w:val="20"/>
          <w:color w:val="auto"/>
        </w:rPr>
      </w:pPr>
      <w:r>
        <w:rPr>
          <w:rFonts w:ascii="Arial" w:cs="Arial" w:eastAsia="Arial" w:hAnsi="Arial"/>
          <w:sz w:val="12"/>
          <w:szCs w:val="12"/>
          <w:color w:val="010035"/>
        </w:rPr>
        <w:t>(NASDAQ: WEST) (2020-Present)</w:t>
      </w:r>
    </w:p>
    <w:p>
      <w:pPr>
        <w:ind w:left="180"/>
        <w:spacing w:after="0" w:line="217" w:lineRule="auto"/>
        <w:rPr>
          <w:sz w:val="20"/>
          <w:szCs w:val="20"/>
          <w:color w:val="auto"/>
        </w:rPr>
      </w:pPr>
      <w:r>
        <w:rPr>
          <w:rFonts w:ascii="Arial" w:cs="Arial" w:eastAsia="Arial" w:hAnsi="Arial"/>
          <w:sz w:val="13"/>
          <w:szCs w:val="13"/>
          <w:color w:val="010035"/>
        </w:rPr>
        <w:t>•  Resources Connection, Inc.</w:t>
      </w:r>
    </w:p>
    <w:p>
      <w:pPr>
        <w:ind w:left="300"/>
        <w:spacing w:after="0"/>
        <w:rPr>
          <w:sz w:val="20"/>
          <w:szCs w:val="20"/>
          <w:color w:val="auto"/>
        </w:rPr>
      </w:pPr>
      <w:r>
        <w:rPr>
          <w:rFonts w:ascii="Arial" w:cs="Arial" w:eastAsia="Arial" w:hAnsi="Arial"/>
          <w:sz w:val="13"/>
          <w:szCs w:val="13"/>
          <w:color w:val="010035"/>
        </w:rPr>
        <w:t>(NASDAQ: RGP) (2025-Present)</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180"/>
        <w:spacing w:after="0" w:line="216" w:lineRule="auto"/>
        <w:rPr>
          <w:sz w:val="20"/>
          <w:szCs w:val="20"/>
          <w:color w:val="auto"/>
        </w:rPr>
      </w:pPr>
      <w:r>
        <w:rPr>
          <w:rFonts w:ascii="Arial" w:cs="Arial" w:eastAsia="Arial" w:hAnsi="Arial"/>
          <w:sz w:val="13"/>
          <w:szCs w:val="13"/>
          <w:color w:val="010035"/>
        </w:rPr>
        <w:t>•  Duke University: BA, Economics</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6"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line="217" w:lineRule="auto"/>
        <w:rPr>
          <w:sz w:val="20"/>
          <w:szCs w:val="20"/>
          <w:color w:val="auto"/>
        </w:rPr>
      </w:pPr>
      <w:r>
        <w:rPr>
          <w:rFonts w:ascii="Arial" w:cs="Arial" w:eastAsia="Arial" w:hAnsi="Arial"/>
          <w:sz w:val="13"/>
          <w:szCs w:val="13"/>
          <w:color w:val="010035"/>
        </w:rPr>
        <w:t> </w:t>
      </w:r>
    </w:p>
    <w:p>
      <w:pPr>
        <w:ind w:left="280"/>
        <w:spacing w:after="0"/>
        <w:rPr>
          <w:sz w:val="20"/>
          <w:szCs w:val="20"/>
          <w:color w:val="auto"/>
        </w:rPr>
      </w:pPr>
      <w:r>
        <w:rPr>
          <w:rFonts w:ascii="Arial" w:cs="Arial" w:eastAsia="Arial" w:hAnsi="Arial"/>
          <w:sz w:val="13"/>
          <w:szCs w:val="13"/>
          <w:color w:val="010035"/>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ind w:right="420"/>
        <w:spacing w:after="0" w:line="221" w:lineRule="auto"/>
        <w:rPr>
          <w:sz w:val="20"/>
          <w:szCs w:val="20"/>
          <w:color w:val="auto"/>
        </w:rPr>
      </w:pPr>
      <w:r>
        <w:rPr>
          <w:rFonts w:ascii="Arial" w:cs="Arial" w:eastAsia="Arial" w:hAnsi="Arial"/>
          <w:sz w:val="13"/>
          <w:szCs w:val="13"/>
          <w:color w:val="010035"/>
        </w:rPr>
        <w:t>Mr. Fox is an accomplished executive with a proven track record of increasing revenue, profitability and shareholder value through strategic leadership and operational excellence. He has led multiple strategic and operational transformations, delivering improved financial performance through disciplined capital allocation, strategic M&amp;A and successful integrations. Mr. Fox brings deep operational, technology, capital markets and financial expertise to the Board, supporting its oversight of PENN’s long-term growth strategy and value creation initiatives.</w:t>
      </w:r>
    </w:p>
    <w:p>
      <w:pPr>
        <w:spacing w:after="0" w:line="94" w:lineRule="exact"/>
        <w:rPr>
          <w:sz w:val="20"/>
          <w:szCs w:val="20"/>
          <w:color w:val="auto"/>
        </w:rPr>
      </w:pPr>
    </w:p>
    <w:p>
      <w:pPr>
        <w:ind w:left="100" w:right="240" w:hanging="106"/>
        <w:spacing w:after="0" w:line="222" w:lineRule="auto"/>
        <w:rPr>
          <w:sz w:val="20"/>
          <w:szCs w:val="20"/>
          <w:color w:val="auto"/>
        </w:rPr>
      </w:pPr>
      <w:r>
        <w:rPr>
          <w:rFonts w:ascii="Arial" w:cs="Arial" w:eastAsia="Arial" w:hAnsi="Arial"/>
          <w:sz w:val="13"/>
          <w:szCs w:val="13"/>
          <w:b w:val="1"/>
          <w:bCs w:val="1"/>
          <w:color w:val="010035"/>
        </w:rPr>
        <w:t xml:space="preserve">•  Strategic Planning / M&amp;A: </w:t>
      </w:r>
      <w:r>
        <w:rPr>
          <w:rFonts w:ascii="Arial" w:cs="Arial" w:eastAsia="Arial" w:hAnsi="Arial"/>
          <w:sz w:val="13"/>
          <w:szCs w:val="13"/>
          <w:color w:val="010035"/>
        </w:rPr>
        <w:t>Gained over the course of his professional career as an investment banker,</w:t>
      </w:r>
      <w:r>
        <w:rPr>
          <w:rFonts w:ascii="Arial" w:cs="Arial" w:eastAsia="Arial" w:hAnsi="Arial"/>
          <w:sz w:val="13"/>
          <w:szCs w:val="13"/>
          <w:b w:val="1"/>
          <w:bCs w:val="1"/>
          <w:color w:val="010035"/>
        </w:rPr>
        <w:t xml:space="preserve"> </w:t>
      </w:r>
      <w:r>
        <w:rPr>
          <w:rFonts w:ascii="Arial" w:cs="Arial" w:eastAsia="Arial" w:hAnsi="Arial"/>
          <w:sz w:val="13"/>
          <w:szCs w:val="13"/>
          <w:color w:val="010035"/>
        </w:rPr>
        <w:t>followed by decades as a public and private executive across multiple industries, including global enterprise software, cloud-based SaaS solutions, business process outsourcing, wireline, and wireless communications. As President and CEO of Convergys Corporation, Mr. Fox led the company through a multi-year strategic and operational transformation from a multi-line business services supplier into a well-capitalized market leader in the customer management business. As Chairman, Mr. Fox oversaw the $2.4 billion acquisition by SYNNEX Corporation (NYSE: SNX). Prior to Convergys, Mr. Fox was Co-President at Alltel Corporation, where he was part of the leadership team that executed the company’s $27 billion acquisition by TPG Capital and Goldman Sachs.</w:t>
      </w:r>
    </w:p>
    <w:p>
      <w:pPr>
        <w:spacing w:after="0" w:line="105" w:lineRule="exact"/>
        <w:rPr>
          <w:sz w:val="20"/>
          <w:szCs w:val="20"/>
          <w:color w:val="auto"/>
        </w:rPr>
      </w:pPr>
    </w:p>
    <w:p>
      <w:pPr>
        <w:ind w:left="100" w:right="260" w:hanging="106"/>
        <w:spacing w:after="0" w:line="241" w:lineRule="auto"/>
        <w:rPr>
          <w:sz w:val="20"/>
          <w:szCs w:val="20"/>
          <w:color w:val="auto"/>
        </w:rPr>
      </w:pPr>
      <w:r>
        <w:rPr>
          <w:rFonts w:ascii="Arial" w:cs="Arial" w:eastAsia="Arial" w:hAnsi="Arial"/>
          <w:sz w:val="12"/>
          <w:szCs w:val="12"/>
          <w:b w:val="1"/>
          <w:bCs w:val="1"/>
          <w:color w:val="010035"/>
        </w:rPr>
        <w:t xml:space="preserve">•  Financial (Capital Markets, Accounting &amp; Tax): </w:t>
      </w:r>
      <w:r>
        <w:rPr>
          <w:rFonts w:ascii="Arial" w:cs="Arial" w:eastAsia="Arial" w:hAnsi="Arial"/>
          <w:sz w:val="12"/>
          <w:szCs w:val="12"/>
          <w:color w:val="010035"/>
        </w:rPr>
        <w:t>Developed over 30+ years as a public and private</w:t>
      </w:r>
      <w:r>
        <w:rPr>
          <w:rFonts w:ascii="Arial" w:cs="Arial" w:eastAsia="Arial" w:hAnsi="Arial"/>
          <w:sz w:val="12"/>
          <w:szCs w:val="12"/>
          <w:b w:val="1"/>
          <w:bCs w:val="1"/>
          <w:color w:val="010035"/>
        </w:rPr>
        <w:t xml:space="preserve"> </w:t>
      </w:r>
      <w:r>
        <w:rPr>
          <w:rFonts w:ascii="Arial" w:cs="Arial" w:eastAsia="Arial" w:hAnsi="Arial"/>
          <w:sz w:val="12"/>
          <w:szCs w:val="12"/>
          <w:color w:val="010035"/>
        </w:rPr>
        <w:t>executive, including his role as COO of Alltel Corporation, then the fifth largest wireless provider in the United States. In this role, he was responsible for more than $10 billion in annual revenue and approximately</w:t>
      </w:r>
    </w:p>
    <w:p>
      <w:pPr>
        <w:spacing w:after="0" w:line="1" w:lineRule="exact"/>
        <w:rPr>
          <w:sz w:val="20"/>
          <w:szCs w:val="20"/>
          <w:color w:val="auto"/>
        </w:rPr>
      </w:pPr>
    </w:p>
    <w:p>
      <w:pPr>
        <w:ind w:left="100" w:right="220"/>
        <w:spacing w:after="0" w:line="224" w:lineRule="auto"/>
        <w:rPr>
          <w:sz w:val="20"/>
          <w:szCs w:val="20"/>
          <w:color w:val="auto"/>
        </w:rPr>
      </w:pPr>
      <w:r>
        <w:rPr>
          <w:rFonts w:ascii="Arial" w:cs="Arial" w:eastAsia="Arial" w:hAnsi="Arial"/>
          <w:sz w:val="13"/>
          <w:szCs w:val="13"/>
          <w:color w:val="010035"/>
        </w:rPr>
        <w:t>$3.5 billion in EBITDA, overseeing large scale P&amp;Ls, capital investment decisions and operating performance. In addition, as CEO of Endurance International Group and Convergys Corporation, Mr. Fox led the improvement in operating results, simplified strategic portfolios and prioritized the return of capital to shareholders.</w:t>
      </w:r>
    </w:p>
    <w:p>
      <w:pPr>
        <w:spacing w:after="0" w:line="91" w:lineRule="exact"/>
        <w:rPr>
          <w:sz w:val="20"/>
          <w:szCs w:val="20"/>
          <w:color w:val="auto"/>
        </w:rPr>
      </w:pPr>
    </w:p>
    <w:p>
      <w:pPr>
        <w:ind w:left="100" w:right="240" w:hanging="106"/>
        <w:spacing w:after="0" w:line="219" w:lineRule="auto"/>
        <w:rPr>
          <w:sz w:val="20"/>
          <w:szCs w:val="20"/>
          <w:color w:val="auto"/>
        </w:rPr>
      </w:pPr>
      <w:r>
        <w:rPr>
          <w:rFonts w:ascii="Arial" w:cs="Arial" w:eastAsia="Arial" w:hAnsi="Arial"/>
          <w:sz w:val="13"/>
          <w:szCs w:val="13"/>
          <w:b w:val="1"/>
          <w:bCs w:val="1"/>
          <w:color w:val="010035"/>
        </w:rPr>
        <w:t xml:space="preserve">•  Technology / Digital: </w:t>
      </w:r>
      <w:r>
        <w:rPr>
          <w:rFonts w:ascii="Arial" w:cs="Arial" w:eastAsia="Arial" w:hAnsi="Arial"/>
          <w:sz w:val="13"/>
          <w:szCs w:val="13"/>
          <w:color w:val="010035"/>
        </w:rPr>
        <w:t>Acquired through executive leadership roles at technology and technology-enabled</w:t>
      </w:r>
      <w:r>
        <w:rPr>
          <w:rFonts w:ascii="Arial" w:cs="Arial" w:eastAsia="Arial" w:hAnsi="Arial"/>
          <w:sz w:val="13"/>
          <w:szCs w:val="13"/>
          <w:b w:val="1"/>
          <w:bCs w:val="1"/>
          <w:color w:val="010035"/>
        </w:rPr>
        <w:t xml:space="preserve"> </w:t>
      </w:r>
      <w:r>
        <w:rPr>
          <w:rFonts w:ascii="Arial" w:cs="Arial" w:eastAsia="Arial" w:hAnsi="Arial"/>
          <w:sz w:val="13"/>
          <w:szCs w:val="13"/>
          <w:color w:val="010035"/>
        </w:rPr>
        <w:t>businesses, including as CEO of Endurance International Group, a leading provider of technology platform solutions designed to help small and medium-sized businesses successfully execute digital transformation strategies. As CEO, Mr. Fox led the transformation of Endurance International Group’s multi brand portfolio into a successful organic growth platform, culminating in the company’s successful $3 billion sale to Clearlake Capital Group in 2021.</w:t>
      </w:r>
    </w:p>
    <w:p>
      <w:pPr>
        <w:spacing w:after="0" w:line="226" w:lineRule="auto"/>
        <w:rPr>
          <w:sz w:val="20"/>
          <w:szCs w:val="20"/>
          <w:color w:val="auto"/>
        </w:rPr>
      </w:pPr>
      <w:r>
        <w:rPr>
          <w:rFonts w:ascii="Arial" w:cs="Arial" w:eastAsia="Arial" w:hAnsi="Arial"/>
          <w:sz w:val="13"/>
          <w:szCs w:val="13"/>
          <w:color w:val="010035"/>
        </w:rPr>
        <w:t> </w:t>
      </w:r>
    </w:p>
    <w:p>
      <w:pPr>
        <w:spacing w:after="0" w:line="223" w:lineRule="auto"/>
        <w:rPr>
          <w:sz w:val="20"/>
          <w:szCs w:val="20"/>
          <w:color w:val="auto"/>
        </w:rPr>
      </w:pPr>
      <w:r>
        <w:rPr>
          <w:rFonts w:ascii="Arial" w:cs="Arial" w:eastAsia="Arial" w:hAnsi="Arial"/>
          <w:sz w:val="20"/>
          <w:szCs w:val="20"/>
          <w:b w:val="1"/>
          <w:bCs w:val="1"/>
          <w:color w:val="69439A"/>
        </w:rPr>
        <w:t>EXPERIENCE:</w:t>
      </w:r>
    </w:p>
    <w:p>
      <w:pPr>
        <w:spacing w:after="0" w:line="216" w:lineRule="auto"/>
        <w:rPr>
          <w:sz w:val="20"/>
          <w:szCs w:val="20"/>
          <w:color w:val="auto"/>
        </w:rPr>
      </w:pPr>
      <w:r>
        <w:rPr>
          <w:rFonts w:ascii="Arial" w:cs="Arial" w:eastAsia="Arial" w:hAnsi="Arial"/>
          <w:sz w:val="13"/>
          <w:szCs w:val="13"/>
          <w:b w:val="1"/>
          <w:bCs w:val="1"/>
          <w:color w:val="010035"/>
        </w:rPr>
        <w:t xml:space="preserve">Circumference Group </w:t>
      </w:r>
      <w:r>
        <w:rPr>
          <w:rFonts w:ascii="Arial" w:cs="Arial" w:eastAsia="Arial" w:hAnsi="Arial"/>
          <w:sz w:val="13"/>
          <w:szCs w:val="13"/>
          <w:color w:val="010035"/>
        </w:rPr>
        <w:t>– An investment firm</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CEO and Founder (2009-2010; since 2021)</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b w:val="1"/>
          <w:bCs w:val="1"/>
          <w:color w:val="010035"/>
        </w:rPr>
        <w:t xml:space="preserve">Endurance International Group Holding Inc. </w:t>
      </w:r>
      <w:r>
        <w:rPr>
          <w:rFonts w:ascii="Arial" w:cs="Arial" w:eastAsia="Arial" w:hAnsi="Arial"/>
          <w:sz w:val="12"/>
          <w:szCs w:val="12"/>
          <w:color w:val="010035"/>
        </w:rPr>
        <w:t>– A leading provider of cloud-based platform solutions for small</w:t>
      </w:r>
    </w:p>
    <w:p>
      <w:pPr>
        <w:spacing w:after="0" w:line="231" w:lineRule="auto"/>
        <w:rPr>
          <w:sz w:val="20"/>
          <w:szCs w:val="20"/>
          <w:color w:val="auto"/>
        </w:rPr>
      </w:pPr>
      <w:r>
        <w:rPr>
          <w:rFonts w:ascii="Arial" w:cs="Arial" w:eastAsia="Arial" w:hAnsi="Arial"/>
          <w:sz w:val="13"/>
          <w:szCs w:val="13"/>
          <w:color w:val="010035"/>
        </w:rPr>
        <w:t>and medium sized businesses (former Nasdaq: EIGI)</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President and CEO (2017-2021)</w:t>
      </w:r>
    </w:p>
    <w:p>
      <w:pPr>
        <w:spacing w:after="0" w:line="236" w:lineRule="auto"/>
        <w:rPr>
          <w:sz w:val="20"/>
          <w:szCs w:val="20"/>
          <w:color w:val="auto"/>
        </w:rPr>
      </w:pPr>
      <w:r>
        <w:rPr>
          <w:rFonts w:ascii="Arial" w:cs="Arial" w:eastAsia="Arial" w:hAnsi="Arial"/>
          <w:sz w:val="13"/>
          <w:szCs w:val="13"/>
          <w:b w:val="1"/>
          <w:bCs w:val="1"/>
          <w:color w:val="010035"/>
        </w:rPr>
        <w:t xml:space="preserve">Convergys Corporation </w:t>
      </w:r>
      <w:r>
        <w:rPr>
          <w:rFonts w:ascii="Arial" w:cs="Arial" w:eastAsia="Arial" w:hAnsi="Arial"/>
          <w:sz w:val="13"/>
          <w:szCs w:val="13"/>
          <w:color w:val="010035"/>
        </w:rPr>
        <w:t>– A market-leading customer management company (former NYSE: CVG)</w:t>
      </w:r>
    </w:p>
    <w:p>
      <w:pPr>
        <w:spacing w:after="0" w:line="217"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Chairman of the Board (2013-2018)</w:t>
      </w:r>
    </w:p>
    <w:p>
      <w:pPr>
        <w:spacing w:after="0" w:line="217"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Executive Chairman (2012-2013)</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President and CEO (2010-2012)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Alltel Corporation </w:t>
      </w:r>
      <w:r>
        <w:rPr>
          <w:rFonts w:ascii="Arial" w:cs="Arial" w:eastAsia="Arial" w:hAnsi="Arial"/>
          <w:sz w:val="13"/>
          <w:szCs w:val="13"/>
          <w:color w:val="010035"/>
        </w:rPr>
        <w:t>– A major U.S. telecommunications provider (former NYSE: AT)</w:t>
      </w:r>
    </w:p>
    <w:p>
      <w:pPr>
        <w:spacing w:after="0" w:line="216"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COO (2007-2009)</w:t>
      </w:r>
    </w:p>
    <w:p>
      <w:pPr>
        <w:spacing w:after="0" w:line="217"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Group President, Shared Services (2003-2007)</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Group President, Alltel Information Services (1996-2003)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106045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240" w:space="720"/>
            <w:col w:w="6440"/>
          </w:cols>
          <w:pgMar w:left="1240" w:top="114" w:right="12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0"/>
          <w:szCs w:val="30"/>
          <w:b w:val="1"/>
          <w:bCs w:val="1"/>
          <w:color w:val="FFFFFF"/>
        </w:rPr>
        <w:t xml:space="preserv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-293370</wp:posOffset>
            </wp:positionV>
            <wp:extent cx="5829300" cy="300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877060" cy="25120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77060"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Johnny Hartnett</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2"/>
          <w:szCs w:val="12"/>
          <w:color w:val="010035"/>
        </w:rPr>
        <w:t>Class II Director (Independent)</w:t>
      </w:r>
    </w:p>
    <w:p>
      <w:pPr>
        <w:ind w:left="180"/>
        <w:spacing w:after="0" w:line="231" w:lineRule="auto"/>
        <w:rPr>
          <w:sz w:val="20"/>
          <w:szCs w:val="20"/>
          <w:color w:val="auto"/>
        </w:rPr>
      </w:pPr>
      <w:r>
        <w:rPr>
          <w:rFonts w:ascii="Arial" w:cs="Arial" w:eastAsia="Arial" w:hAnsi="Arial"/>
          <w:sz w:val="13"/>
          <w:szCs w:val="13"/>
          <w:color w:val="010035"/>
        </w:rPr>
        <w:t>Age: 50</w:t>
      </w:r>
    </w:p>
    <w:p>
      <w:pPr>
        <w:ind w:left="180"/>
        <w:spacing w:after="0"/>
        <w:rPr>
          <w:sz w:val="20"/>
          <w:szCs w:val="20"/>
          <w:color w:val="auto"/>
        </w:rPr>
      </w:pPr>
      <w:r>
        <w:rPr>
          <w:rFonts w:ascii="Arial" w:cs="Arial" w:eastAsia="Arial" w:hAnsi="Arial"/>
          <w:sz w:val="13"/>
          <w:szCs w:val="13"/>
          <w:color w:val="010035"/>
        </w:rPr>
        <w:t>Director Since: 2025</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Committees:</w:t>
      </w:r>
    </w:p>
    <w:p>
      <w:pPr>
        <w:ind w:left="180"/>
        <w:spacing w:after="0"/>
        <w:rPr>
          <w:sz w:val="20"/>
          <w:szCs w:val="20"/>
          <w:color w:val="auto"/>
        </w:rPr>
      </w:pPr>
      <w:r>
        <w:rPr>
          <w:rFonts w:ascii="Arial" w:cs="Arial" w:eastAsia="Arial" w:hAnsi="Arial"/>
          <w:sz w:val="13"/>
          <w:szCs w:val="13"/>
          <w:color w:val="010035"/>
        </w:rPr>
        <w:t>•  Compliance</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180"/>
        <w:spacing w:after="0" w:line="216" w:lineRule="auto"/>
        <w:rPr>
          <w:sz w:val="20"/>
          <w:szCs w:val="20"/>
          <w:color w:val="auto"/>
        </w:rPr>
      </w:pPr>
      <w:r>
        <w:rPr>
          <w:rFonts w:ascii="Arial" w:cs="Arial" w:eastAsia="Arial" w:hAnsi="Arial"/>
          <w:sz w:val="13"/>
          <w:szCs w:val="13"/>
          <w:color w:val="010035"/>
        </w:rPr>
        <w:t>•  University College Dublin:</w:t>
      </w:r>
    </w:p>
    <w:p>
      <w:pPr>
        <w:ind w:left="300"/>
        <w:spacing w:after="0" w:line="217" w:lineRule="auto"/>
        <w:rPr>
          <w:sz w:val="20"/>
          <w:szCs w:val="20"/>
          <w:color w:val="auto"/>
        </w:rPr>
      </w:pPr>
      <w:r>
        <w:rPr>
          <w:rFonts w:ascii="Arial" w:cs="Arial" w:eastAsia="Arial" w:hAnsi="Arial"/>
          <w:sz w:val="13"/>
          <w:szCs w:val="13"/>
          <w:color w:val="010035"/>
        </w:rPr>
        <w:t>Economics Degree</w:t>
      </w:r>
    </w:p>
    <w:p>
      <w:pPr>
        <w:ind w:left="280"/>
        <w:spacing w:after="0"/>
        <w:rPr>
          <w:sz w:val="20"/>
          <w:szCs w:val="20"/>
          <w:color w:val="auto"/>
        </w:rPr>
      </w:pPr>
      <w:r>
        <w:rPr>
          <w:rFonts w:ascii="Arial" w:cs="Arial" w:eastAsia="Arial" w:hAnsi="Arial"/>
          <w:sz w:val="13"/>
          <w:szCs w:val="13"/>
          <w:color w:val="010035"/>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ind w:right="59"/>
        <w:spacing w:after="0" w:line="224" w:lineRule="auto"/>
        <w:rPr>
          <w:sz w:val="20"/>
          <w:szCs w:val="20"/>
          <w:color w:val="auto"/>
        </w:rPr>
      </w:pPr>
      <w:r>
        <w:rPr>
          <w:rFonts w:ascii="Arial" w:cs="Arial" w:eastAsia="Arial" w:hAnsi="Arial"/>
          <w:sz w:val="13"/>
          <w:szCs w:val="13"/>
          <w:color w:val="010035"/>
        </w:rPr>
        <w:t>Mr. Hartnett contributes extensive experience scaling and guiding online sports betting, entertainment and gaming businesses to achieve sustained long-term growth. His expertise working with globally reaching brands, along with history of delivering enhanced shareholder value, bolsters the Board’s oversight of the Company’s growth initiatives.</w:t>
      </w:r>
    </w:p>
    <w:p>
      <w:pPr>
        <w:spacing w:after="0" w:line="91" w:lineRule="exact"/>
        <w:rPr>
          <w:sz w:val="20"/>
          <w:szCs w:val="20"/>
          <w:color w:val="auto"/>
        </w:rPr>
      </w:pPr>
    </w:p>
    <w:p>
      <w:pPr>
        <w:ind w:left="100" w:right="219" w:hanging="106"/>
        <w:spacing w:after="0" w:line="233" w:lineRule="auto"/>
        <w:rPr>
          <w:sz w:val="20"/>
          <w:szCs w:val="20"/>
          <w:color w:val="auto"/>
        </w:rPr>
      </w:pPr>
      <w:r>
        <w:rPr>
          <w:rFonts w:ascii="Arial" w:cs="Arial" w:eastAsia="Arial" w:hAnsi="Arial"/>
          <w:sz w:val="13"/>
          <w:szCs w:val="13"/>
          <w:b w:val="1"/>
          <w:bCs w:val="1"/>
          <w:color w:val="010035"/>
        </w:rPr>
        <w:t xml:space="preserve">•  Strategic Planning / M&amp;A: </w:t>
      </w:r>
      <w:r>
        <w:rPr>
          <w:rFonts w:ascii="Arial" w:cs="Arial" w:eastAsia="Arial" w:hAnsi="Arial"/>
          <w:sz w:val="13"/>
          <w:szCs w:val="13"/>
          <w:color w:val="010035"/>
        </w:rPr>
        <w:t>Acquired over a 20-year tenure in various leadership roles at an entertainment</w:t>
      </w:r>
      <w:r>
        <w:rPr>
          <w:rFonts w:ascii="Arial" w:cs="Arial" w:eastAsia="Arial" w:hAnsi="Arial"/>
          <w:sz w:val="13"/>
          <w:szCs w:val="13"/>
          <w:b w:val="1"/>
          <w:bCs w:val="1"/>
          <w:color w:val="010035"/>
        </w:rPr>
        <w:t xml:space="preserve"> </w:t>
      </w:r>
      <w:r>
        <w:rPr>
          <w:rFonts w:ascii="Arial" w:cs="Arial" w:eastAsia="Arial" w:hAnsi="Arial"/>
          <w:sz w:val="13"/>
          <w:szCs w:val="13"/>
          <w:color w:val="010035"/>
        </w:rPr>
        <w:t>company, where he oversaw several successful strategic M&amp;A initiatives, including the $770 million acquisition of FanDuel.</w:t>
      </w:r>
    </w:p>
    <w:p>
      <w:pPr>
        <w:spacing w:after="0" w:line="105" w:lineRule="exact"/>
        <w:rPr>
          <w:sz w:val="20"/>
          <w:szCs w:val="20"/>
          <w:color w:val="auto"/>
        </w:rPr>
      </w:pPr>
    </w:p>
    <w:p>
      <w:pPr>
        <w:ind w:left="100" w:right="459" w:hanging="106"/>
        <w:spacing w:after="0" w:line="243" w:lineRule="auto"/>
        <w:rPr>
          <w:sz w:val="20"/>
          <w:szCs w:val="20"/>
          <w:color w:val="auto"/>
        </w:rPr>
      </w:pPr>
      <w:r>
        <w:rPr>
          <w:rFonts w:ascii="Arial" w:cs="Arial" w:eastAsia="Arial" w:hAnsi="Arial"/>
          <w:sz w:val="13"/>
          <w:szCs w:val="13"/>
          <w:b w:val="1"/>
          <w:bCs w:val="1"/>
          <w:color w:val="010035"/>
        </w:rPr>
        <w:t xml:space="preserve">•  Technology / Digital: </w:t>
      </w:r>
      <w:r>
        <w:rPr>
          <w:rFonts w:ascii="Arial" w:cs="Arial" w:eastAsia="Arial" w:hAnsi="Arial"/>
          <w:sz w:val="13"/>
          <w:szCs w:val="13"/>
          <w:color w:val="010035"/>
        </w:rPr>
        <w:t>As CEO of a Blackstone-backed betting and gaming business, Mr. Hartnett was</w:t>
      </w:r>
      <w:r>
        <w:rPr>
          <w:rFonts w:ascii="Arial" w:cs="Arial" w:eastAsia="Arial" w:hAnsi="Arial"/>
          <w:sz w:val="13"/>
          <w:szCs w:val="13"/>
          <w:b w:val="1"/>
          <w:bCs w:val="1"/>
          <w:color w:val="010035"/>
        </w:rPr>
        <w:t xml:space="preserve"> </w:t>
      </w:r>
      <w:r>
        <w:rPr>
          <w:rFonts w:ascii="Arial" w:cs="Arial" w:eastAsia="Arial" w:hAnsi="Arial"/>
          <w:sz w:val="13"/>
          <w:szCs w:val="13"/>
          <w:color w:val="010035"/>
        </w:rPr>
        <w:t>responsible for implementing innovative, digitally-focused growth initiatives.</w:t>
      </w:r>
    </w:p>
    <w:p>
      <w:pPr>
        <w:spacing w:after="0" w:line="89" w:lineRule="exact"/>
        <w:rPr>
          <w:sz w:val="20"/>
          <w:szCs w:val="20"/>
          <w:color w:val="auto"/>
        </w:rPr>
      </w:pPr>
    </w:p>
    <w:p>
      <w:pPr>
        <w:ind w:left="100" w:right="359" w:hanging="106"/>
        <w:spacing w:after="0" w:line="245" w:lineRule="auto"/>
        <w:rPr>
          <w:sz w:val="20"/>
          <w:szCs w:val="20"/>
          <w:color w:val="auto"/>
        </w:rPr>
      </w:pPr>
      <w:r>
        <w:rPr>
          <w:rFonts w:ascii="Arial" w:cs="Arial" w:eastAsia="Arial" w:hAnsi="Arial"/>
          <w:sz w:val="12"/>
          <w:szCs w:val="12"/>
          <w:b w:val="1"/>
          <w:bCs w:val="1"/>
          <w:color w:val="010035"/>
        </w:rPr>
        <w:t xml:space="preserve">•  Risk Management: </w:t>
      </w:r>
      <w:r>
        <w:rPr>
          <w:rFonts w:ascii="Arial" w:cs="Arial" w:eastAsia="Arial" w:hAnsi="Arial"/>
          <w:sz w:val="12"/>
          <w:szCs w:val="12"/>
          <w:color w:val="010035"/>
        </w:rPr>
        <w:t>Mr. Hartnett brings extensive gaming and entertainment company risk management</w:t>
      </w:r>
      <w:r>
        <w:rPr>
          <w:rFonts w:ascii="Arial" w:cs="Arial" w:eastAsia="Arial" w:hAnsi="Arial"/>
          <w:sz w:val="12"/>
          <w:szCs w:val="12"/>
          <w:b w:val="1"/>
          <w:bCs w:val="1"/>
          <w:color w:val="010035"/>
        </w:rPr>
        <w:t xml:space="preserve"> </w:t>
      </w:r>
      <w:r>
        <w:rPr>
          <w:rFonts w:ascii="Arial" w:cs="Arial" w:eastAsia="Arial" w:hAnsi="Arial"/>
          <w:sz w:val="12"/>
          <w:szCs w:val="12"/>
          <w:color w:val="010035"/>
        </w:rPr>
        <w:t>expertise developed from his career leading operational teams in the highly regulated industry.</w:t>
      </w:r>
    </w:p>
    <w:p>
      <w:pPr>
        <w:spacing w:after="0" w:line="220" w:lineRule="auto"/>
        <w:rPr>
          <w:sz w:val="20"/>
          <w:szCs w:val="20"/>
          <w:color w:val="auto"/>
        </w:rPr>
      </w:pPr>
      <w:r>
        <w:rPr>
          <w:rFonts w:ascii="Arial" w:cs="Arial" w:eastAsia="Arial" w:hAnsi="Arial"/>
          <w:sz w:val="13"/>
          <w:szCs w:val="13"/>
          <w:color w:val="010035"/>
        </w:rPr>
        <w:t> </w:t>
      </w:r>
    </w:p>
    <w:p>
      <w:pPr>
        <w:spacing w:after="0" w:line="223" w:lineRule="auto"/>
        <w:rPr>
          <w:sz w:val="20"/>
          <w:szCs w:val="20"/>
          <w:color w:val="auto"/>
        </w:rPr>
      </w:pPr>
      <w:r>
        <w:rPr>
          <w:rFonts w:ascii="Arial" w:cs="Arial" w:eastAsia="Arial" w:hAnsi="Arial"/>
          <w:sz w:val="20"/>
          <w:szCs w:val="20"/>
          <w:b w:val="1"/>
          <w:bCs w:val="1"/>
          <w:color w:val="69439A"/>
        </w:rPr>
        <w:t>EXPERIENCE:</w:t>
      </w:r>
    </w:p>
    <w:p>
      <w:pPr>
        <w:spacing w:after="0" w:line="1" w:lineRule="exact"/>
        <w:rPr>
          <w:sz w:val="20"/>
          <w:szCs w:val="20"/>
          <w:color w:val="auto"/>
        </w:rPr>
      </w:pPr>
    </w:p>
    <w:p>
      <w:pPr>
        <w:ind w:right="2439"/>
        <w:spacing w:after="0" w:line="236" w:lineRule="auto"/>
        <w:rPr>
          <w:sz w:val="20"/>
          <w:szCs w:val="20"/>
          <w:color w:val="auto"/>
        </w:rPr>
      </w:pPr>
      <w:r>
        <w:rPr>
          <w:rFonts w:ascii="Arial" w:cs="Arial" w:eastAsia="Arial" w:hAnsi="Arial"/>
          <w:sz w:val="13"/>
          <w:szCs w:val="13"/>
          <w:b w:val="1"/>
          <w:bCs w:val="1"/>
          <w:color w:val="010035"/>
        </w:rPr>
        <w:t xml:space="preserve">Superbet Group </w:t>
      </w:r>
      <w:r>
        <w:rPr>
          <w:rFonts w:ascii="Arial" w:cs="Arial" w:eastAsia="Arial" w:hAnsi="Arial"/>
          <w:sz w:val="13"/>
          <w:szCs w:val="13"/>
          <w:color w:val="010035"/>
        </w:rPr>
        <w:t>– Blackstone-backed betting and gaming company</w:t>
      </w:r>
      <w:r>
        <w:rPr>
          <w:rFonts w:ascii="Arial" w:cs="Arial" w:eastAsia="Arial" w:hAnsi="Arial"/>
          <w:sz w:val="13"/>
          <w:szCs w:val="13"/>
          <w:b w:val="1"/>
          <w:bCs w:val="1"/>
          <w:color w:val="010035"/>
        </w:rPr>
        <w:t xml:space="preserve"> •  </w:t>
      </w:r>
      <w:r>
        <w:rPr>
          <w:rFonts w:ascii="Arial" w:cs="Arial" w:eastAsia="Arial" w:hAnsi="Arial"/>
          <w:sz w:val="13"/>
          <w:szCs w:val="13"/>
          <w:color w:val="010035"/>
        </w:rPr>
        <w:t>Chief Executive Officer (2019-2024)</w:t>
      </w:r>
    </w:p>
    <w:p>
      <w:pPr>
        <w:spacing w:after="0" w:line="4" w:lineRule="exact"/>
        <w:rPr>
          <w:sz w:val="20"/>
          <w:szCs w:val="20"/>
          <w:color w:val="auto"/>
        </w:rPr>
      </w:pPr>
    </w:p>
    <w:p>
      <w:pPr>
        <w:ind w:right="1439"/>
        <w:spacing w:after="0" w:line="226" w:lineRule="auto"/>
        <w:rPr>
          <w:sz w:val="20"/>
          <w:szCs w:val="20"/>
          <w:color w:val="auto"/>
        </w:rPr>
      </w:pPr>
      <w:r>
        <w:rPr>
          <w:rFonts w:ascii="Arial" w:cs="Arial" w:eastAsia="Arial" w:hAnsi="Arial"/>
          <w:sz w:val="13"/>
          <w:szCs w:val="13"/>
          <w:b w:val="1"/>
          <w:bCs w:val="1"/>
          <w:color w:val="010035"/>
        </w:rPr>
        <w:t xml:space="preserve">Paddy Power Betfair </w:t>
      </w:r>
      <w:r>
        <w:rPr>
          <w:rFonts w:ascii="Arial" w:cs="Arial" w:eastAsia="Arial" w:hAnsi="Arial"/>
          <w:sz w:val="13"/>
          <w:szCs w:val="13"/>
          <w:color w:val="010035"/>
        </w:rPr>
        <w:t>– Dublin-based gambling company, part of Flutter Entertainment</w:t>
      </w:r>
      <w:r>
        <w:rPr>
          <w:rFonts w:ascii="Arial" w:cs="Arial" w:eastAsia="Arial" w:hAnsi="Arial"/>
          <w:sz w:val="13"/>
          <w:szCs w:val="13"/>
          <w:b w:val="1"/>
          <w:bCs w:val="1"/>
          <w:color w:val="010035"/>
        </w:rPr>
        <w:t xml:space="preserve"> </w:t>
      </w:r>
      <w:r>
        <w:rPr>
          <w:rFonts w:ascii="Arial" w:cs="Arial" w:eastAsia="Arial" w:hAnsi="Arial"/>
          <w:sz w:val="13"/>
          <w:szCs w:val="13"/>
          <w:color w:val="010035"/>
        </w:rPr>
        <w:t>(NYSE: FLUT)</w:t>
      </w:r>
    </w:p>
    <w:p>
      <w:pPr>
        <w:spacing w:after="0" w:line="217"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Chief Development Officer (2018-2019)</w:t>
      </w:r>
    </w:p>
    <w:p>
      <w:pPr>
        <w:spacing w:after="0" w:line="217"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Managing Director, International (2016-2019), Online (2015-2016)</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Chief Operating Officer (2014-2016), Sportsbet Australia, a Paddy Power affiliate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405765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240" w:space="720"/>
            <w:col w:w="6259"/>
          </w:cols>
          <w:pgMar w:left="1240" w:top="114"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877060" cy="3214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7706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Carlos Ruisanchez</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3"/>
          <w:szCs w:val="13"/>
          <w:color w:val="010035"/>
        </w:rPr>
        <w:t>Class II Director (Independent)</w:t>
      </w:r>
    </w:p>
    <w:p>
      <w:pPr>
        <w:ind w:left="180"/>
        <w:spacing w:after="0" w:line="216" w:lineRule="auto"/>
        <w:rPr>
          <w:sz w:val="20"/>
          <w:szCs w:val="20"/>
          <w:color w:val="auto"/>
        </w:rPr>
      </w:pPr>
      <w:r>
        <w:rPr>
          <w:rFonts w:ascii="Arial" w:cs="Arial" w:eastAsia="Arial" w:hAnsi="Arial"/>
          <w:sz w:val="13"/>
          <w:szCs w:val="13"/>
          <w:color w:val="010035"/>
        </w:rPr>
        <w:t>Age: 55</w:t>
      </w:r>
    </w:p>
    <w:p>
      <w:pPr>
        <w:ind w:left="180"/>
        <w:spacing w:after="0"/>
        <w:rPr>
          <w:sz w:val="20"/>
          <w:szCs w:val="20"/>
          <w:color w:val="auto"/>
        </w:rPr>
      </w:pPr>
      <w:r>
        <w:rPr>
          <w:rFonts w:ascii="Arial" w:cs="Arial" w:eastAsia="Arial" w:hAnsi="Arial"/>
          <w:sz w:val="13"/>
          <w:szCs w:val="13"/>
          <w:color w:val="010035"/>
        </w:rPr>
        <w:t>Director Since: 2025</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Committees:</w:t>
      </w:r>
    </w:p>
    <w:p>
      <w:pPr>
        <w:ind w:left="180"/>
        <w:spacing w:after="0"/>
        <w:rPr>
          <w:sz w:val="20"/>
          <w:szCs w:val="20"/>
          <w:color w:val="auto"/>
        </w:rPr>
      </w:pPr>
      <w:r>
        <w:rPr>
          <w:rFonts w:ascii="Arial" w:cs="Arial" w:eastAsia="Arial" w:hAnsi="Arial"/>
          <w:sz w:val="13"/>
          <w:szCs w:val="13"/>
          <w:color w:val="010035"/>
        </w:rPr>
        <w:t>•  Compliance</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Public Board Directorships:</w:t>
      </w:r>
    </w:p>
    <w:p>
      <w:pPr>
        <w:ind w:left="180"/>
        <w:spacing w:after="0" w:line="216" w:lineRule="auto"/>
        <w:rPr>
          <w:sz w:val="20"/>
          <w:szCs w:val="20"/>
          <w:color w:val="auto"/>
        </w:rPr>
      </w:pPr>
      <w:r>
        <w:rPr>
          <w:rFonts w:ascii="Arial" w:cs="Arial" w:eastAsia="Arial" w:hAnsi="Arial"/>
          <w:sz w:val="13"/>
          <w:szCs w:val="13"/>
          <w:color w:val="010035"/>
        </w:rPr>
        <w:t>•  Southwest Gas Holdings (NYSE: SWX)</w:t>
      </w:r>
    </w:p>
    <w:p>
      <w:pPr>
        <w:ind w:left="300"/>
        <w:spacing w:after="0" w:line="217" w:lineRule="auto"/>
        <w:rPr>
          <w:sz w:val="20"/>
          <w:szCs w:val="20"/>
          <w:color w:val="auto"/>
        </w:rPr>
      </w:pPr>
      <w:r>
        <w:rPr>
          <w:rFonts w:ascii="Arial" w:cs="Arial" w:eastAsia="Arial" w:hAnsi="Arial"/>
          <w:sz w:val="13"/>
          <w:szCs w:val="13"/>
          <w:color w:val="010035"/>
        </w:rPr>
        <w:t>(since 2022)</w:t>
      </w:r>
    </w:p>
    <w:p>
      <w:pPr>
        <w:ind w:left="180"/>
        <w:spacing w:after="0" w:line="235" w:lineRule="auto"/>
        <w:rPr>
          <w:sz w:val="20"/>
          <w:szCs w:val="20"/>
          <w:color w:val="auto"/>
        </w:rPr>
      </w:pPr>
      <w:r>
        <w:rPr>
          <w:rFonts w:ascii="Arial" w:cs="Arial" w:eastAsia="Arial" w:hAnsi="Arial"/>
          <w:sz w:val="12"/>
          <w:szCs w:val="12"/>
          <w:color w:val="010035"/>
        </w:rPr>
        <w:t>•  Cedar Fair Entertainment Company (NYSE:</w:t>
      </w:r>
    </w:p>
    <w:p>
      <w:pPr>
        <w:ind w:left="300"/>
        <w:spacing w:after="0" w:line="217" w:lineRule="auto"/>
        <w:rPr>
          <w:sz w:val="20"/>
          <w:szCs w:val="20"/>
          <w:color w:val="auto"/>
        </w:rPr>
      </w:pPr>
      <w:r>
        <w:rPr>
          <w:rFonts w:ascii="Arial" w:cs="Arial" w:eastAsia="Arial" w:hAnsi="Arial"/>
          <w:sz w:val="13"/>
          <w:szCs w:val="13"/>
          <w:color w:val="010035"/>
        </w:rPr>
        <w:t>FUN) (2019-2024)</w:t>
      </w:r>
    </w:p>
    <w:p>
      <w:pPr>
        <w:ind w:left="180"/>
        <w:spacing w:after="0" w:line="216" w:lineRule="auto"/>
        <w:rPr>
          <w:sz w:val="20"/>
          <w:szCs w:val="20"/>
          <w:color w:val="auto"/>
        </w:rPr>
      </w:pPr>
      <w:r>
        <w:rPr>
          <w:rFonts w:ascii="Arial" w:cs="Arial" w:eastAsia="Arial" w:hAnsi="Arial"/>
          <w:sz w:val="13"/>
          <w:szCs w:val="13"/>
          <w:color w:val="010035"/>
        </w:rPr>
        <w:t>•  Pinnacle Entertainment, Inc. (NASDAQ:</w:t>
      </w:r>
    </w:p>
    <w:p>
      <w:pPr>
        <w:ind w:left="300"/>
        <w:spacing w:after="0"/>
        <w:rPr>
          <w:sz w:val="20"/>
          <w:szCs w:val="20"/>
          <w:color w:val="auto"/>
        </w:rPr>
      </w:pPr>
      <w:r>
        <w:rPr>
          <w:rFonts w:ascii="Arial" w:cs="Arial" w:eastAsia="Arial" w:hAnsi="Arial"/>
          <w:sz w:val="13"/>
          <w:szCs w:val="13"/>
          <w:color w:val="010035"/>
        </w:rPr>
        <w:t>PNK) (2016-2018)</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10035"/>
        </w:rPr>
        <w:t>Education:</w:t>
      </w:r>
    </w:p>
    <w:p>
      <w:pPr>
        <w:ind w:left="300" w:right="500" w:hanging="106"/>
        <w:spacing w:after="0" w:line="216" w:lineRule="auto"/>
        <w:rPr>
          <w:sz w:val="20"/>
          <w:szCs w:val="20"/>
          <w:color w:val="auto"/>
        </w:rPr>
      </w:pPr>
      <w:r>
        <w:rPr>
          <w:rFonts w:ascii="Arial" w:cs="Arial" w:eastAsia="Arial" w:hAnsi="Arial"/>
          <w:sz w:val="13"/>
          <w:szCs w:val="13"/>
          <w:color w:val="010035"/>
        </w:rPr>
        <w:t>•  University of Connecticut School of Business: BS, Finance</w:t>
      </w:r>
    </w:p>
    <w:p>
      <w:pPr>
        <w:jc w:val="center"/>
        <w:ind w:right="420"/>
        <w:spacing w:after="0" w:line="218" w:lineRule="auto"/>
        <w:rPr>
          <w:sz w:val="20"/>
          <w:szCs w:val="20"/>
          <w:color w:val="auto"/>
        </w:rPr>
      </w:pPr>
      <w:r>
        <w:rPr>
          <w:rFonts w:ascii="Arial" w:cs="Arial" w:eastAsia="Arial" w:hAnsi="Arial"/>
          <w:sz w:val="13"/>
          <w:szCs w:val="13"/>
          <w:color w:val="010035"/>
        </w:rPr>
        <w:t>•  University of California, Berkeley,</w:t>
      </w:r>
    </w:p>
    <w:p>
      <w:pPr>
        <w:jc w:val="center"/>
        <w:ind w:right="420"/>
        <w:spacing w:after="0"/>
        <w:rPr>
          <w:sz w:val="20"/>
          <w:szCs w:val="20"/>
          <w:color w:val="auto"/>
        </w:rPr>
      </w:pPr>
      <w:r>
        <w:rPr>
          <w:rFonts w:ascii="Arial" w:cs="Arial" w:eastAsia="Arial" w:hAnsi="Arial"/>
          <w:sz w:val="13"/>
          <w:szCs w:val="13"/>
          <w:color w:val="010035"/>
        </w:rPr>
        <w:t>Haas School of Business: MBA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KEY SKILLS AND EXPERTISE:</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2"/>
          <w:szCs w:val="12"/>
          <w:color w:val="010035"/>
        </w:rPr>
        <w:t>Mr. Ruisanchez is a proven, experienced executive with a long track record of leading strategic capital allocation decisions and growth initiatives. As the former President and CFO of Pinnacle Entertainment (which was purchased by PENN Entertainment), co-founder and partner of a family office focused on real estate development, a successful career in investment banking, as well as nearly a decade as a board member of public companies,</w:t>
      </w:r>
    </w:p>
    <w:p>
      <w:pPr>
        <w:spacing w:after="0" w:line="2" w:lineRule="exact"/>
        <w:rPr>
          <w:sz w:val="20"/>
          <w:szCs w:val="20"/>
          <w:color w:val="auto"/>
        </w:rPr>
      </w:pPr>
    </w:p>
    <w:p>
      <w:pPr>
        <w:ind w:right="540"/>
        <w:spacing w:after="0" w:line="231" w:lineRule="auto"/>
        <w:rPr>
          <w:sz w:val="20"/>
          <w:szCs w:val="20"/>
          <w:color w:val="auto"/>
        </w:rPr>
      </w:pPr>
      <w:r>
        <w:rPr>
          <w:rFonts w:ascii="Arial" w:cs="Arial" w:eastAsia="Arial" w:hAnsi="Arial"/>
          <w:sz w:val="13"/>
          <w:szCs w:val="13"/>
          <w:color w:val="010035"/>
        </w:rPr>
        <w:t>Mr. Ruisanchez bolsters the Board’s oversight of capital structure management, risk mitigation and growth strategies.</w:t>
      </w:r>
    </w:p>
    <w:p>
      <w:pPr>
        <w:spacing w:after="0" w:line="92" w:lineRule="exact"/>
        <w:rPr>
          <w:sz w:val="20"/>
          <w:szCs w:val="20"/>
          <w:color w:val="auto"/>
        </w:rPr>
      </w:pPr>
    </w:p>
    <w:p>
      <w:pPr>
        <w:ind w:left="100" w:right="20" w:hanging="106"/>
        <w:spacing w:after="0" w:line="283" w:lineRule="auto"/>
        <w:rPr>
          <w:sz w:val="20"/>
          <w:szCs w:val="20"/>
          <w:color w:val="auto"/>
        </w:rPr>
      </w:pPr>
      <w:r>
        <w:rPr>
          <w:rFonts w:ascii="Arial" w:cs="Arial" w:eastAsia="Arial" w:hAnsi="Arial"/>
          <w:sz w:val="12"/>
          <w:szCs w:val="12"/>
          <w:b w:val="1"/>
          <w:bCs w:val="1"/>
          <w:color w:val="010035"/>
        </w:rPr>
        <w:t xml:space="preserve">•  Finance: </w:t>
      </w:r>
      <w:r>
        <w:rPr>
          <w:rFonts w:ascii="Arial" w:cs="Arial" w:eastAsia="Arial" w:hAnsi="Arial"/>
          <w:sz w:val="12"/>
          <w:szCs w:val="12"/>
          <w:color w:val="010035"/>
        </w:rPr>
        <w:t>Developed over his investment banking experience and service as President and CFO of a public</w:t>
      </w:r>
      <w:r>
        <w:rPr>
          <w:rFonts w:ascii="Arial" w:cs="Arial" w:eastAsia="Arial" w:hAnsi="Arial"/>
          <w:sz w:val="12"/>
          <w:szCs w:val="12"/>
          <w:b w:val="1"/>
          <w:bCs w:val="1"/>
          <w:color w:val="010035"/>
        </w:rPr>
        <w:t xml:space="preserve"> </w:t>
      </w:r>
      <w:r>
        <w:rPr>
          <w:rFonts w:ascii="Arial" w:cs="Arial" w:eastAsia="Arial" w:hAnsi="Arial"/>
          <w:sz w:val="12"/>
          <w:szCs w:val="12"/>
          <w:color w:val="010035"/>
        </w:rPr>
        <w:t>company in the gaming industry, where he oversaw financial and administrative operations and all M&amp;A activities.</w:t>
      </w:r>
    </w:p>
    <w:p>
      <w:pPr>
        <w:spacing w:after="0" w:line="80" w:lineRule="exact"/>
        <w:rPr>
          <w:sz w:val="20"/>
          <w:szCs w:val="20"/>
          <w:color w:val="auto"/>
        </w:rPr>
      </w:pPr>
    </w:p>
    <w:p>
      <w:pPr>
        <w:ind w:left="100" w:hanging="106"/>
        <w:spacing w:after="0" w:line="226" w:lineRule="auto"/>
        <w:rPr>
          <w:sz w:val="20"/>
          <w:szCs w:val="20"/>
          <w:color w:val="auto"/>
        </w:rPr>
      </w:pPr>
      <w:r>
        <w:rPr>
          <w:rFonts w:ascii="Arial" w:cs="Arial" w:eastAsia="Arial" w:hAnsi="Arial"/>
          <w:sz w:val="13"/>
          <w:szCs w:val="13"/>
          <w:b w:val="1"/>
          <w:bCs w:val="1"/>
          <w:color w:val="010035"/>
        </w:rPr>
        <w:t xml:space="preserve">•  Industry Experience: </w:t>
      </w:r>
      <w:r>
        <w:rPr>
          <w:rFonts w:ascii="Arial" w:cs="Arial" w:eastAsia="Arial" w:hAnsi="Arial"/>
          <w:sz w:val="13"/>
          <w:szCs w:val="13"/>
          <w:color w:val="010035"/>
        </w:rPr>
        <w:t>Mr. Ruisanchez brings deep expertise in the casino industry. At Pinnacle Entertainment, he</w:t>
      </w:r>
      <w:r>
        <w:rPr>
          <w:rFonts w:ascii="Arial" w:cs="Arial" w:eastAsia="Arial" w:hAnsi="Arial"/>
          <w:sz w:val="13"/>
          <w:szCs w:val="13"/>
          <w:b w:val="1"/>
          <w:bCs w:val="1"/>
          <w:color w:val="010035"/>
        </w:rPr>
        <w:t xml:space="preserve"> </w:t>
      </w:r>
      <w:r>
        <w:rPr>
          <w:rFonts w:ascii="Arial" w:cs="Arial" w:eastAsia="Arial" w:hAnsi="Arial"/>
          <w:sz w:val="13"/>
          <w:szCs w:val="13"/>
          <w:color w:val="010035"/>
        </w:rPr>
        <w:t>led key expansion initiatives, including the acquisition of a leading multi-jurisdiction gaming operator, the development of several new casinos in various jurisdictions and the sale of Pinnacle to PENN Entertainment in 2018. Prior to that, he spent over a decade as an investment banker at Bear Stearns, advising corporate clients in the gaming, lodging and leisure industries.</w:t>
      </w:r>
    </w:p>
    <w:p>
      <w:pPr>
        <w:spacing w:after="0" w:line="93" w:lineRule="exact"/>
        <w:rPr>
          <w:sz w:val="20"/>
          <w:szCs w:val="20"/>
          <w:color w:val="auto"/>
        </w:rPr>
      </w:pPr>
    </w:p>
    <w:p>
      <w:pPr>
        <w:ind w:left="100" w:right="80" w:hanging="106"/>
        <w:spacing w:after="0" w:line="221" w:lineRule="auto"/>
        <w:rPr>
          <w:sz w:val="20"/>
          <w:szCs w:val="20"/>
          <w:color w:val="auto"/>
        </w:rPr>
      </w:pPr>
      <w:r>
        <w:rPr>
          <w:rFonts w:ascii="Arial" w:cs="Arial" w:eastAsia="Arial" w:hAnsi="Arial"/>
          <w:sz w:val="13"/>
          <w:szCs w:val="13"/>
          <w:b w:val="1"/>
          <w:bCs w:val="1"/>
          <w:color w:val="010035"/>
        </w:rPr>
        <w:t xml:space="preserve">•  Strategic Planning / M&amp;A: </w:t>
      </w:r>
      <w:r>
        <w:rPr>
          <w:rFonts w:ascii="Arial" w:cs="Arial" w:eastAsia="Arial" w:hAnsi="Arial"/>
          <w:sz w:val="13"/>
          <w:szCs w:val="13"/>
          <w:color w:val="010035"/>
        </w:rPr>
        <w:t>As President and CFO of a public company in the gaming sector, his tenure focused</w:t>
      </w:r>
      <w:r>
        <w:rPr>
          <w:rFonts w:ascii="Arial" w:cs="Arial" w:eastAsia="Arial" w:hAnsi="Arial"/>
          <w:sz w:val="13"/>
          <w:szCs w:val="13"/>
          <w:b w:val="1"/>
          <w:bCs w:val="1"/>
          <w:color w:val="010035"/>
        </w:rPr>
        <w:t xml:space="preserve"> </w:t>
      </w:r>
      <w:r>
        <w:rPr>
          <w:rFonts w:ascii="Arial" w:cs="Arial" w:eastAsia="Arial" w:hAnsi="Arial"/>
          <w:sz w:val="13"/>
          <w:szCs w:val="13"/>
          <w:color w:val="010035"/>
        </w:rPr>
        <w:t>on operational improvements, effective capital deployment and mergers &amp; acquisitions. Mr. Ruisanchez was instrumental in driving shareholder value through transformative initiatives, including the acquisition of Ameristar and the sale-leaseback transactions with GLPI.</w:t>
      </w:r>
    </w:p>
    <w:p>
      <w:pPr>
        <w:spacing w:after="0" w:line="222" w:lineRule="auto"/>
        <w:rPr>
          <w:sz w:val="20"/>
          <w:szCs w:val="20"/>
          <w:color w:val="auto"/>
        </w:rPr>
      </w:pPr>
      <w:r>
        <w:rPr>
          <w:rFonts w:ascii="Arial" w:cs="Arial" w:eastAsia="Arial" w:hAnsi="Arial"/>
          <w:sz w:val="13"/>
          <w:szCs w:val="13"/>
          <w:color w:val="010035"/>
        </w:rPr>
        <w:t> </w:t>
      </w:r>
    </w:p>
    <w:p>
      <w:pPr>
        <w:spacing w:after="0" w:line="223" w:lineRule="auto"/>
        <w:rPr>
          <w:sz w:val="20"/>
          <w:szCs w:val="20"/>
          <w:color w:val="auto"/>
        </w:rPr>
      </w:pPr>
      <w:r>
        <w:rPr>
          <w:rFonts w:ascii="Arial" w:cs="Arial" w:eastAsia="Arial" w:hAnsi="Arial"/>
          <w:sz w:val="20"/>
          <w:szCs w:val="20"/>
          <w:b w:val="1"/>
          <w:bCs w:val="1"/>
          <w:color w:val="69439A"/>
        </w:rPr>
        <w:t>EXPERIENCE:</w:t>
      </w:r>
    </w:p>
    <w:p>
      <w:pPr>
        <w:ind w:right="260"/>
        <w:spacing w:after="0" w:line="216" w:lineRule="auto"/>
        <w:rPr>
          <w:sz w:val="20"/>
          <w:szCs w:val="20"/>
          <w:color w:val="auto"/>
        </w:rPr>
      </w:pPr>
      <w:r>
        <w:rPr>
          <w:rFonts w:ascii="Arial" w:cs="Arial" w:eastAsia="Arial" w:hAnsi="Arial"/>
          <w:sz w:val="13"/>
          <w:szCs w:val="13"/>
          <w:b w:val="1"/>
          <w:bCs w:val="1"/>
          <w:color w:val="010035"/>
        </w:rPr>
        <w:t xml:space="preserve">Sorelle Capital </w:t>
      </w:r>
      <w:r>
        <w:rPr>
          <w:rFonts w:ascii="Arial" w:cs="Arial" w:eastAsia="Arial" w:hAnsi="Arial"/>
          <w:sz w:val="13"/>
          <w:szCs w:val="13"/>
          <w:color w:val="010035"/>
        </w:rPr>
        <w:t>– A family office focused on real estate development, primarily in the multifamily and hospitality</w:t>
      </w:r>
      <w:r>
        <w:rPr>
          <w:rFonts w:ascii="Arial" w:cs="Arial" w:eastAsia="Arial" w:hAnsi="Arial"/>
          <w:sz w:val="13"/>
          <w:szCs w:val="13"/>
          <w:b w:val="1"/>
          <w:bCs w:val="1"/>
          <w:color w:val="010035"/>
        </w:rPr>
        <w:t xml:space="preserve"> </w:t>
      </w:r>
      <w:r>
        <w:rPr>
          <w:rFonts w:ascii="Arial" w:cs="Arial" w:eastAsia="Arial" w:hAnsi="Arial"/>
          <w:sz w:val="13"/>
          <w:szCs w:val="13"/>
          <w:color w:val="010035"/>
        </w:rPr>
        <w:t>sectors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Founding Partner (since 2018)</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Pinnacle Entertainment </w:t>
      </w:r>
      <w:r>
        <w:rPr>
          <w:rFonts w:ascii="Arial" w:cs="Arial" w:eastAsia="Arial" w:hAnsi="Arial"/>
          <w:sz w:val="13"/>
          <w:szCs w:val="13"/>
          <w:color w:val="010035"/>
        </w:rPr>
        <w:t>– Leading gaming entertainment company (acquired by PENN in 2018)</w:t>
      </w:r>
    </w:p>
    <w:p>
      <w:pPr>
        <w:spacing w:after="0" w:line="216" w:lineRule="auto"/>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President, CFO (2013-2018), CFO (2011-2013)</w:t>
      </w: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EVP, Strategic Planning and Development (2008-2011)</w:t>
      </w:r>
    </w:p>
    <w:p>
      <w:pPr>
        <w:spacing w:after="0" w:line="236" w:lineRule="auto"/>
        <w:rPr>
          <w:sz w:val="20"/>
          <w:szCs w:val="20"/>
          <w:color w:val="auto"/>
        </w:rPr>
      </w:pPr>
      <w:r>
        <w:rPr>
          <w:rFonts w:ascii="Arial" w:cs="Arial" w:eastAsia="Arial" w:hAnsi="Arial"/>
          <w:sz w:val="13"/>
          <w:szCs w:val="13"/>
          <w:b w:val="1"/>
          <w:bCs w:val="1"/>
          <w:color w:val="010035"/>
        </w:rPr>
        <w:t xml:space="preserve">Bear Stearns &amp; Co. </w:t>
      </w:r>
      <w:r>
        <w:rPr>
          <w:rFonts w:ascii="Arial" w:cs="Arial" w:eastAsia="Arial" w:hAnsi="Arial"/>
          <w:sz w:val="13"/>
          <w:szCs w:val="13"/>
          <w:color w:val="010035"/>
        </w:rPr>
        <w:t>– Investment banking firm</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 xml:space="preserve">•  </w:t>
      </w:r>
      <w:r>
        <w:rPr>
          <w:rFonts w:ascii="Arial" w:cs="Arial" w:eastAsia="Arial" w:hAnsi="Arial"/>
          <w:sz w:val="13"/>
          <w:szCs w:val="13"/>
          <w:color w:val="010035"/>
        </w:rPr>
        <w:t>Roles of increasing responsibility, including Senior Managing Director (1997-2008)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491490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740" w:space="220"/>
            <w:col w:w="6440"/>
          </w:cols>
          <w:pgMar w:left="1240" w:top="114" w:right="12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Commitment To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Our commitment to corporate governance is integral to our business and reflects not only regulatory requirements, the Listing Rules of the Nasdaq Stock Market (the “Nasdaq Rules”) and broadly recognized governance practices, but also effective leadership and oversight by our Board and the senior management team. To maximize shareholder value, the Board strives to maintain a governance environment where: (i) entrepreneurship and prudent risk taking are encouraged, with a focus on both long- and short-term value creation; (ii) shareholder perspectives are understood and long-term relationships with shareholders are fostered through frequent, candid and comprehensive engagement with and disclosure to the Company’s shareholders and the investment community; (iii) integrity and accountability are integrated into the Company’s management philosophy and operations; and (iv) the Company is able to attract, develop and retain industry-leading executive talent to manage the Company’s increasingly complex operations.</w:t>
      </w:r>
    </w:p>
    <w:p>
      <w:pPr>
        <w:spacing w:after="0" w:line="78"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The Board regularly evaluates the governance environment to enable the Company to stay apprised of evolving industry risks facing the Company and respond appropriately to changes, practices and market conditions, as well as suggestions from shareholders and other stakeholders. Notable features of our corporate governance framework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5966460" cy="1117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6460" cy="11176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rPr>
          <w:sz w:val="20"/>
          <w:szCs w:val="20"/>
          <w:color w:val="auto"/>
        </w:rPr>
      </w:pPr>
      <w:r>
        <w:rPr>
          <w:sz w:val="1"/>
          <w:szCs w:val="1"/>
          <w:color w:val="auto"/>
        </w:rPr>
        <w:drawing>
          <wp:inline distT="0" distB="0" distL="0" distR="0">
            <wp:extent cx="68580" cy="2286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228600"/>
                    </a:xfrm>
                    <a:prstGeom prst="rect">
                      <a:avLst/>
                    </a:prstGeom>
                    <a:noFill/>
                    <a:ln>
                      <a:noFill/>
                    </a:ln>
                  </pic:spPr>
                </pic:pic>
              </a:graphicData>
            </a:graphic>
          </wp:inline>
        </w:drawing>
      </w:r>
      <w:r>
        <w:rPr>
          <w:rFonts w:ascii="Arial" w:cs="Arial" w:eastAsia="Arial" w:hAnsi="Arial"/>
          <w:sz w:val="18"/>
          <w:szCs w:val="18"/>
          <w:b w:val="1"/>
          <w:bCs w:val="1"/>
          <w:color w:val="FFFFFF"/>
        </w:rPr>
        <w:t xml:space="preserve"> 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-136525</wp:posOffset>
            </wp:positionV>
            <wp:extent cx="5897880"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97880" cy="14541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51435</wp:posOffset>
            </wp:positionV>
            <wp:extent cx="180340" cy="1797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010035"/>
        </w:rPr>
        <w:t>Independent Chair</w:t>
      </w:r>
      <w:r>
        <w:rPr>
          <w:rFonts w:ascii="Arial" w:cs="Arial" w:eastAsia="Arial" w:hAnsi="Arial"/>
          <w:sz w:val="13"/>
          <w:szCs w:val="13"/>
          <w:color w:val="010035"/>
        </w:rPr>
        <w:t>. Our Board Chair is an independent director.</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3"/>
          <w:szCs w:val="13"/>
          <w:color w:val="0100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316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6460" cy="316865"/>
                    </a:xfrm>
                    <a:prstGeom prst="rect">
                      <a:avLst/>
                    </a:prstGeom>
                    <a:noFill/>
                  </pic:spPr>
                </pic:pic>
              </a:graphicData>
            </a:graphic>
          </wp:anchor>
        </w:drawing>
      </w:r>
    </w:p>
    <w:p>
      <w:pPr>
        <w:spacing w:after="0" w:line="35" w:lineRule="exact"/>
        <w:rPr>
          <w:sz w:val="20"/>
          <w:szCs w:val="20"/>
          <w:color w:val="auto"/>
        </w:rPr>
      </w:pPr>
    </w:p>
    <w:p>
      <w:pPr>
        <w:ind w:left="560" w:right="180"/>
        <w:spacing w:after="0" w:line="245" w:lineRule="auto"/>
        <w:rPr>
          <w:sz w:val="20"/>
          <w:szCs w:val="20"/>
          <w:color w:val="auto"/>
        </w:rPr>
      </w:pPr>
      <w:r>
        <w:rPr>
          <w:rFonts w:ascii="Arial" w:cs="Arial" w:eastAsia="Arial" w:hAnsi="Arial"/>
          <w:sz w:val="12"/>
          <w:szCs w:val="12"/>
          <w:b w:val="1"/>
          <w:bCs w:val="1"/>
          <w:color w:val="010035"/>
        </w:rPr>
        <w:t>Regular Board and Committee Self-Evaluations</w:t>
      </w:r>
      <w:r>
        <w:rPr>
          <w:rFonts w:ascii="Arial" w:cs="Arial" w:eastAsia="Arial" w:hAnsi="Arial"/>
          <w:sz w:val="12"/>
          <w:szCs w:val="12"/>
          <w:color w:val="010035"/>
        </w:rPr>
        <w:t>. The Board of</w:t>
      </w:r>
      <w:r>
        <w:rPr>
          <w:rFonts w:ascii="Arial" w:cs="Arial" w:eastAsia="Arial" w:hAnsi="Arial"/>
          <w:sz w:val="12"/>
          <w:szCs w:val="12"/>
          <w:b w:val="1"/>
          <w:bCs w:val="1"/>
          <w:color w:val="010035"/>
        </w:rPr>
        <w:t xml:space="preserve"> </w:t>
      </w:r>
      <w:r>
        <w:rPr>
          <w:rFonts w:ascii="Arial" w:cs="Arial" w:eastAsia="Arial" w:hAnsi="Arial"/>
          <w:sz w:val="12"/>
          <w:szCs w:val="12"/>
          <w:color w:val="010035"/>
        </w:rPr>
        <w:t>Directors and each Committee conduct a comprehensive annual self-</w:t>
      </w:r>
    </w:p>
    <w:p>
      <w:pPr>
        <w:ind w:left="560" w:hanging="248"/>
        <w:spacing w:after="0"/>
        <w:tabs>
          <w:tab w:leader="none" w:pos="560" w:val="left"/>
        </w:tabs>
        <w:numPr>
          <w:ilvl w:val="0"/>
          <w:numId w:val="18"/>
        </w:numPr>
        <w:rPr>
          <w:rFonts w:ascii="Arial" w:cs="Arial" w:eastAsia="Arial" w:hAnsi="Arial"/>
          <w:sz w:val="13"/>
          <w:szCs w:val="13"/>
          <w:color w:val="010035"/>
        </w:rPr>
      </w:pPr>
      <w:r>
        <w:rPr>
          <w:rFonts w:ascii="Arial" w:cs="Arial" w:eastAsia="Arial" w:hAnsi="Arial"/>
          <w:sz w:val="13"/>
          <w:szCs w:val="13"/>
          <w:color w:val="010035"/>
        </w:rPr>
        <w:t>evaluation process.</w:t>
      </w:r>
    </w:p>
    <w:p>
      <w:pPr>
        <w:spacing w:after="0" w:line="135" w:lineRule="exact"/>
        <w:rPr>
          <w:rFonts w:ascii="Arial" w:cs="Arial" w:eastAsia="Arial" w:hAnsi="Arial"/>
          <w:sz w:val="13"/>
          <w:szCs w:val="13"/>
          <w:color w:val="010035"/>
        </w:rPr>
      </w:pPr>
    </w:p>
    <w:p>
      <w:pPr>
        <w:ind w:left="560" w:right="120"/>
        <w:spacing w:after="0" w:line="245" w:lineRule="auto"/>
        <w:rPr>
          <w:rFonts w:ascii="Arial" w:cs="Arial" w:eastAsia="Arial" w:hAnsi="Arial"/>
          <w:sz w:val="13"/>
          <w:szCs w:val="13"/>
          <w:color w:val="010035"/>
        </w:rPr>
      </w:pPr>
      <w:r>
        <w:rPr>
          <w:rFonts w:ascii="Arial" w:cs="Arial" w:eastAsia="Arial" w:hAnsi="Arial"/>
          <w:sz w:val="12"/>
          <w:szCs w:val="12"/>
          <w:b w:val="1"/>
          <w:bCs w:val="1"/>
          <w:color w:val="010035"/>
        </w:rPr>
        <w:t>Insider Trading Policy</w:t>
      </w:r>
      <w:r>
        <w:rPr>
          <w:rFonts w:ascii="Arial" w:cs="Arial" w:eastAsia="Arial" w:hAnsi="Arial"/>
          <w:sz w:val="12"/>
          <w:szCs w:val="12"/>
          <w:color w:val="010035"/>
        </w:rPr>
        <w:t>. We maintain an Insider Trading Policy that</w:t>
      </w:r>
      <w:r>
        <w:rPr>
          <w:rFonts w:ascii="Arial" w:cs="Arial" w:eastAsia="Arial" w:hAnsi="Arial"/>
          <w:sz w:val="12"/>
          <w:szCs w:val="12"/>
          <w:b w:val="1"/>
          <w:bCs w:val="1"/>
          <w:color w:val="010035"/>
        </w:rPr>
        <w:t xml:space="preserve"> </w:t>
      </w:r>
      <w:r>
        <w:rPr>
          <w:rFonts w:ascii="Arial" w:cs="Arial" w:eastAsia="Arial" w:hAnsi="Arial"/>
          <w:sz w:val="12"/>
          <w:szCs w:val="12"/>
          <w:color w:val="010035"/>
        </w:rPr>
        <w:t>applies to members of our Board, our officers and all other employees,</w:t>
      </w:r>
    </w:p>
    <w:p>
      <w:pPr>
        <w:ind w:left="560" w:right="220" w:hanging="248"/>
        <w:spacing w:after="0" w:line="182" w:lineRule="auto"/>
        <w:tabs>
          <w:tab w:leader="none" w:pos="560" w:val="left"/>
        </w:tabs>
        <w:numPr>
          <w:ilvl w:val="0"/>
          <w:numId w:val="18"/>
        </w:numPr>
        <w:rPr>
          <w:rFonts w:ascii="Arial" w:cs="Arial" w:eastAsia="Arial" w:hAnsi="Arial"/>
          <w:sz w:val="22"/>
          <w:szCs w:val="22"/>
          <w:color w:val="010035"/>
          <w:vertAlign w:val="subscript"/>
        </w:rPr>
      </w:pPr>
      <w:r>
        <w:rPr>
          <w:rFonts w:ascii="Arial" w:cs="Arial" w:eastAsia="Arial" w:hAnsi="Arial"/>
          <w:sz w:val="11"/>
          <w:szCs w:val="11"/>
          <w:color w:val="010035"/>
        </w:rPr>
        <w:t>which is reasonably designed to promote compliance with applicable insider trading laws, rules and regulations, and listing standards.</w:t>
      </w:r>
    </w:p>
    <w:p>
      <w:pPr>
        <w:spacing w:after="0" w:line="118" w:lineRule="exact"/>
        <w:rPr>
          <w:rFonts w:ascii="Arial" w:cs="Arial" w:eastAsia="Arial" w:hAnsi="Arial"/>
          <w:sz w:val="22"/>
          <w:szCs w:val="22"/>
          <w:color w:val="010035"/>
          <w:vertAlign w:val="subscript"/>
        </w:rPr>
      </w:pPr>
    </w:p>
    <w:p>
      <w:pPr>
        <w:ind w:left="560"/>
        <w:spacing w:after="0" w:line="245" w:lineRule="auto"/>
        <w:rPr>
          <w:rFonts w:ascii="Arial" w:cs="Arial" w:eastAsia="Arial" w:hAnsi="Arial"/>
          <w:sz w:val="22"/>
          <w:szCs w:val="22"/>
          <w:color w:val="010035"/>
          <w:vertAlign w:val="subscript"/>
        </w:rPr>
      </w:pPr>
      <w:r>
        <w:rPr>
          <w:rFonts w:ascii="Arial" w:cs="Arial" w:eastAsia="Arial" w:hAnsi="Arial"/>
          <w:sz w:val="12"/>
          <w:szCs w:val="12"/>
          <w:b w:val="1"/>
          <w:bCs w:val="1"/>
          <w:color w:val="010035"/>
        </w:rPr>
        <w:t>Entirely Independent Committees</w:t>
      </w:r>
      <w:r>
        <w:rPr>
          <w:rFonts w:ascii="Arial" w:cs="Arial" w:eastAsia="Arial" w:hAnsi="Arial"/>
          <w:sz w:val="12"/>
          <w:szCs w:val="12"/>
          <w:color w:val="010035"/>
        </w:rPr>
        <w:t>. All the members of our Audit,</w:t>
      </w:r>
      <w:r>
        <w:rPr>
          <w:rFonts w:ascii="Arial" w:cs="Arial" w:eastAsia="Arial" w:hAnsi="Arial"/>
          <w:sz w:val="12"/>
          <w:szCs w:val="12"/>
          <w:b w:val="1"/>
          <w:bCs w:val="1"/>
          <w:color w:val="010035"/>
        </w:rPr>
        <w:t xml:space="preserve"> </w:t>
      </w:r>
      <w:r>
        <w:rPr>
          <w:rFonts w:ascii="Arial" w:cs="Arial" w:eastAsia="Arial" w:hAnsi="Arial"/>
          <w:sz w:val="12"/>
          <w:szCs w:val="12"/>
          <w:color w:val="010035"/>
        </w:rPr>
        <w:t>Compensation, and Nominating and Corporate Governance Committees</w:t>
      </w:r>
    </w:p>
    <w:p>
      <w:pPr>
        <w:ind w:left="560" w:hanging="248"/>
        <w:spacing w:after="0"/>
        <w:tabs>
          <w:tab w:leader="none" w:pos="560" w:val="left"/>
        </w:tabs>
        <w:numPr>
          <w:ilvl w:val="0"/>
          <w:numId w:val="18"/>
        </w:numPr>
        <w:rPr>
          <w:rFonts w:ascii="Arial" w:cs="Arial" w:eastAsia="Arial" w:hAnsi="Arial"/>
          <w:sz w:val="13"/>
          <w:szCs w:val="13"/>
          <w:color w:val="010035"/>
        </w:rPr>
      </w:pPr>
      <w:r>
        <w:rPr>
          <w:rFonts w:ascii="Arial" w:cs="Arial" w:eastAsia="Arial" w:hAnsi="Arial"/>
          <w:sz w:val="13"/>
          <w:szCs w:val="13"/>
          <w:color w:val="010035"/>
        </w:rPr>
        <w:t>are independent.</w:t>
      </w:r>
    </w:p>
    <w:p>
      <w:pPr>
        <w:spacing w:after="0" w:line="135" w:lineRule="exact"/>
        <w:rPr>
          <w:rFonts w:ascii="Arial" w:cs="Arial" w:eastAsia="Arial" w:hAnsi="Arial"/>
          <w:sz w:val="13"/>
          <w:szCs w:val="13"/>
          <w:color w:val="010035"/>
        </w:rPr>
      </w:pPr>
    </w:p>
    <w:p>
      <w:pPr>
        <w:ind w:left="560" w:right="260"/>
        <w:spacing w:after="0" w:line="245" w:lineRule="auto"/>
        <w:rPr>
          <w:rFonts w:ascii="Arial" w:cs="Arial" w:eastAsia="Arial" w:hAnsi="Arial"/>
          <w:sz w:val="13"/>
          <w:szCs w:val="13"/>
          <w:color w:val="010035"/>
        </w:rPr>
      </w:pPr>
      <w:r>
        <w:rPr>
          <w:rFonts w:ascii="Arial" w:cs="Arial" w:eastAsia="Arial" w:hAnsi="Arial"/>
          <w:sz w:val="12"/>
          <w:szCs w:val="12"/>
          <w:b w:val="1"/>
          <w:bCs w:val="1"/>
          <w:color w:val="010035"/>
        </w:rPr>
        <w:t>Stock Ownership Guidelines for Directors</w:t>
      </w:r>
      <w:r>
        <w:rPr>
          <w:rFonts w:ascii="Arial" w:cs="Arial" w:eastAsia="Arial" w:hAnsi="Arial"/>
          <w:sz w:val="12"/>
          <w:szCs w:val="12"/>
          <w:color w:val="010035"/>
        </w:rPr>
        <w:t>. Our stock ownership</w:t>
      </w:r>
      <w:r>
        <w:rPr>
          <w:rFonts w:ascii="Arial" w:cs="Arial" w:eastAsia="Arial" w:hAnsi="Arial"/>
          <w:sz w:val="12"/>
          <w:szCs w:val="12"/>
          <w:b w:val="1"/>
          <w:bCs w:val="1"/>
          <w:color w:val="010035"/>
        </w:rPr>
        <w:t xml:space="preserve"> </w:t>
      </w:r>
      <w:r>
        <w:rPr>
          <w:rFonts w:ascii="Arial" w:cs="Arial" w:eastAsia="Arial" w:hAnsi="Arial"/>
          <w:sz w:val="12"/>
          <w:szCs w:val="12"/>
          <w:color w:val="010035"/>
        </w:rPr>
        <w:t>guidelines require that each of our directors accumulate a holding of</w:t>
      </w:r>
    </w:p>
    <w:p>
      <w:pPr>
        <w:ind w:left="560" w:hanging="248"/>
        <w:spacing w:after="0"/>
        <w:tabs>
          <w:tab w:leader="none" w:pos="560" w:val="left"/>
        </w:tabs>
        <w:numPr>
          <w:ilvl w:val="0"/>
          <w:numId w:val="18"/>
        </w:numPr>
        <w:rPr>
          <w:rFonts w:ascii="Arial" w:cs="Arial" w:eastAsia="Arial" w:hAnsi="Arial"/>
          <w:sz w:val="13"/>
          <w:szCs w:val="13"/>
          <w:color w:val="010035"/>
        </w:rPr>
      </w:pPr>
      <w:r>
        <w:rPr>
          <w:rFonts w:ascii="Arial" w:cs="Arial" w:eastAsia="Arial" w:hAnsi="Arial"/>
          <w:sz w:val="13"/>
          <w:szCs w:val="13"/>
          <w:color w:val="010035"/>
        </w:rPr>
        <w:t>shares having a value of 5x the value of the annual retainer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-1024890</wp:posOffset>
            </wp:positionV>
            <wp:extent cx="180340" cy="1803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-647700</wp:posOffset>
            </wp:positionV>
            <wp:extent cx="5966460" cy="3175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6460" cy="31750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-270510</wp:posOffset>
            </wp:positionV>
            <wp:extent cx="18034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both"/>
        <w:ind w:right="260"/>
        <w:spacing w:after="0" w:line="233" w:lineRule="auto"/>
        <w:rPr>
          <w:sz w:val="20"/>
          <w:szCs w:val="20"/>
          <w:color w:val="auto"/>
        </w:rPr>
      </w:pPr>
      <w:r>
        <w:rPr>
          <w:rFonts w:ascii="Arial" w:cs="Arial" w:eastAsia="Arial" w:hAnsi="Arial"/>
          <w:sz w:val="13"/>
          <w:szCs w:val="13"/>
          <w:b w:val="1"/>
          <w:bCs w:val="1"/>
          <w:color w:val="010035"/>
        </w:rPr>
        <w:t>91% Independent Directors</w:t>
      </w:r>
      <w:r>
        <w:rPr>
          <w:rFonts w:ascii="Arial" w:cs="Arial" w:eastAsia="Arial" w:hAnsi="Arial"/>
          <w:sz w:val="13"/>
          <w:szCs w:val="13"/>
          <w:color w:val="010035"/>
        </w:rPr>
        <w:t>. All of our directors, other than our CEO,</w:t>
      </w:r>
      <w:r>
        <w:rPr>
          <w:rFonts w:ascii="Arial" w:cs="Arial" w:eastAsia="Arial" w:hAnsi="Arial"/>
          <w:sz w:val="13"/>
          <w:szCs w:val="13"/>
          <w:b w:val="1"/>
          <w:bCs w:val="1"/>
          <w:color w:val="010035"/>
        </w:rPr>
        <w:t xml:space="preserve"> </w:t>
      </w:r>
      <w:r>
        <w:rPr>
          <w:rFonts w:ascii="Arial" w:cs="Arial" w:eastAsia="Arial" w:hAnsi="Arial"/>
          <w:sz w:val="13"/>
          <w:szCs w:val="13"/>
          <w:color w:val="010035"/>
        </w:rPr>
        <w:t>have been determined by the Board to be "independent" as defined by the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-221615</wp:posOffset>
            </wp:positionV>
            <wp:extent cx="179705"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44" w:lineRule="exact"/>
        <w:rPr>
          <w:sz w:val="20"/>
          <w:szCs w:val="20"/>
          <w:color w:val="auto"/>
        </w:rPr>
      </w:pPr>
    </w:p>
    <w:p>
      <w:pPr>
        <w:ind w:right="140"/>
        <w:spacing w:after="0" w:line="233" w:lineRule="auto"/>
        <w:rPr>
          <w:sz w:val="20"/>
          <w:szCs w:val="20"/>
          <w:color w:val="auto"/>
        </w:rPr>
      </w:pPr>
      <w:r>
        <w:rPr>
          <w:rFonts w:ascii="Arial" w:cs="Arial" w:eastAsia="Arial" w:hAnsi="Arial"/>
          <w:sz w:val="13"/>
          <w:szCs w:val="13"/>
          <w:b w:val="1"/>
          <w:bCs w:val="1"/>
          <w:color w:val="010035"/>
        </w:rPr>
        <w:t>Ongoing Board Refreshment</w:t>
      </w:r>
      <w:r>
        <w:rPr>
          <w:rFonts w:ascii="Arial" w:cs="Arial" w:eastAsia="Arial" w:hAnsi="Arial"/>
          <w:sz w:val="13"/>
          <w:szCs w:val="13"/>
          <w:color w:val="010035"/>
        </w:rPr>
        <w:t>. Seven of our eleven directors have been</w:t>
      </w:r>
      <w:r>
        <w:rPr>
          <w:rFonts w:ascii="Arial" w:cs="Arial" w:eastAsia="Arial" w:hAnsi="Arial"/>
          <w:sz w:val="13"/>
          <w:szCs w:val="13"/>
          <w:b w:val="1"/>
          <w:bCs w:val="1"/>
          <w:color w:val="010035"/>
        </w:rPr>
        <w:t xml:space="preserve"> </w:t>
      </w:r>
      <w:r>
        <w:rPr>
          <w:rFonts w:ascii="Arial" w:cs="Arial" w:eastAsia="Arial" w:hAnsi="Arial"/>
          <w:sz w:val="13"/>
          <w:szCs w:val="13"/>
          <w:color w:val="010035"/>
        </w:rPr>
        <w:t>appointed in the past five years, demonstrating our commitment to ensuring that our Board meets our evolving oversight needs.</w:t>
      </w:r>
    </w:p>
    <w:p>
      <w:pPr>
        <w:spacing w:after="0" w:line="64" w:lineRule="exact"/>
        <w:rPr>
          <w:sz w:val="20"/>
          <w:szCs w:val="20"/>
          <w:color w:val="auto"/>
        </w:rPr>
      </w:pPr>
    </w:p>
    <w:p>
      <w:pPr>
        <w:ind w:right="120"/>
        <w:spacing w:after="0" w:line="226" w:lineRule="auto"/>
        <w:rPr>
          <w:sz w:val="20"/>
          <w:szCs w:val="20"/>
          <w:color w:val="auto"/>
        </w:rPr>
      </w:pPr>
      <w:r>
        <w:rPr>
          <w:rFonts w:ascii="Arial" w:cs="Arial" w:eastAsia="Arial" w:hAnsi="Arial"/>
          <w:sz w:val="13"/>
          <w:szCs w:val="13"/>
          <w:b w:val="1"/>
          <w:bCs w:val="1"/>
          <w:color w:val="010035"/>
        </w:rPr>
        <w:t>Systemic Risk Oversight by Board and Committees</w:t>
      </w:r>
      <w:r>
        <w:rPr>
          <w:rFonts w:ascii="Arial" w:cs="Arial" w:eastAsia="Arial" w:hAnsi="Arial"/>
          <w:sz w:val="13"/>
          <w:szCs w:val="13"/>
          <w:color w:val="010035"/>
        </w:rPr>
        <w:t>. Our Board has</w:t>
      </w:r>
      <w:r>
        <w:rPr>
          <w:rFonts w:ascii="Arial" w:cs="Arial" w:eastAsia="Arial" w:hAnsi="Arial"/>
          <w:sz w:val="13"/>
          <w:szCs w:val="13"/>
          <w:b w:val="1"/>
          <w:bCs w:val="1"/>
          <w:color w:val="010035"/>
        </w:rPr>
        <w:t xml:space="preserve"> </w:t>
      </w:r>
      <w:r>
        <w:rPr>
          <w:rFonts w:ascii="Arial" w:cs="Arial" w:eastAsia="Arial" w:hAnsi="Arial"/>
          <w:sz w:val="13"/>
          <w:szCs w:val="13"/>
          <w:color w:val="010035"/>
        </w:rPr>
        <w:t>overall responsibility for risk oversight, while each of our Audit, Compensation, Nominating and Corporate Governance, and Compliance Committees monitor and address risks within the scope of their expertise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-314960</wp:posOffset>
            </wp:positionV>
            <wp:extent cx="179705" cy="1803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9705" cy="180340"/>
                    </a:xfrm>
                    <a:prstGeom prst="rect">
                      <a:avLst/>
                    </a:prstGeom>
                    <a:noFill/>
                  </pic:spPr>
                </pic:pic>
              </a:graphicData>
            </a:graphic>
          </wp:anchor>
        </w:drawing>
      </w:r>
    </w:p>
    <w:p>
      <w:pPr>
        <w:spacing w:after="0" w:line="100" w:lineRule="exact"/>
        <w:rPr>
          <w:sz w:val="20"/>
          <w:szCs w:val="20"/>
          <w:color w:val="auto"/>
        </w:rPr>
      </w:pPr>
    </w:p>
    <w:p>
      <w:pPr>
        <w:ind w:right="160"/>
        <w:spacing w:after="0" w:line="283" w:lineRule="auto"/>
        <w:rPr>
          <w:sz w:val="20"/>
          <w:szCs w:val="20"/>
          <w:color w:val="auto"/>
        </w:rPr>
      </w:pPr>
      <w:r>
        <w:rPr>
          <w:rFonts w:ascii="Arial" w:cs="Arial" w:eastAsia="Arial" w:hAnsi="Arial"/>
          <w:sz w:val="12"/>
          <w:szCs w:val="12"/>
          <w:b w:val="1"/>
          <w:bCs w:val="1"/>
          <w:color w:val="010035"/>
        </w:rPr>
        <w:t>Audit Committee Financial Expert</w:t>
      </w:r>
      <w:r>
        <w:rPr>
          <w:rFonts w:ascii="Arial" w:cs="Arial" w:eastAsia="Arial" w:hAnsi="Arial"/>
          <w:sz w:val="12"/>
          <w:szCs w:val="12"/>
          <w:color w:val="010035"/>
        </w:rPr>
        <w:t>. Our Audit Committee Chair</w:t>
      </w:r>
      <w:r>
        <w:rPr>
          <w:rFonts w:ascii="Arial" w:cs="Arial" w:eastAsia="Arial" w:hAnsi="Arial"/>
          <w:sz w:val="12"/>
          <w:szCs w:val="12"/>
          <w:b w:val="1"/>
          <w:bCs w:val="1"/>
          <w:color w:val="010035"/>
        </w:rPr>
        <w:t xml:space="preserve"> </w:t>
      </w:r>
      <w:r>
        <w:rPr>
          <w:rFonts w:ascii="Arial" w:cs="Arial" w:eastAsia="Arial" w:hAnsi="Arial"/>
          <w:sz w:val="12"/>
          <w:szCs w:val="12"/>
          <w:color w:val="010035"/>
        </w:rPr>
        <w:t>qualifies as an "audit committee financial expert" as defined by the SEC.</w:t>
      </w:r>
    </w:p>
    <w:p>
      <w:pPr>
        <w:spacing w:after="0" w:line="107" w:lineRule="exact"/>
        <w:rPr>
          <w:sz w:val="20"/>
          <w:szCs w:val="20"/>
          <w:color w:val="auto"/>
        </w:rPr>
      </w:pPr>
    </w:p>
    <w:p>
      <w:pPr>
        <w:ind w:right="260"/>
        <w:spacing w:after="0" w:line="251" w:lineRule="auto"/>
        <w:rPr>
          <w:sz w:val="20"/>
          <w:szCs w:val="20"/>
          <w:color w:val="auto"/>
        </w:rPr>
      </w:pPr>
      <w:r>
        <w:rPr>
          <w:rFonts w:ascii="Arial" w:cs="Arial" w:eastAsia="Arial" w:hAnsi="Arial"/>
          <w:sz w:val="12"/>
          <w:szCs w:val="12"/>
          <w:b w:val="1"/>
          <w:bCs w:val="1"/>
          <w:color w:val="010035"/>
        </w:rPr>
        <w:t>Stock Ownership Guidelines for Executives</w:t>
      </w:r>
      <w:r>
        <w:rPr>
          <w:rFonts w:ascii="Arial" w:cs="Arial" w:eastAsia="Arial" w:hAnsi="Arial"/>
          <w:sz w:val="12"/>
          <w:szCs w:val="12"/>
          <w:color w:val="010035"/>
        </w:rPr>
        <w:t>. Our stock ownership</w:t>
      </w:r>
      <w:r>
        <w:rPr>
          <w:rFonts w:ascii="Arial" w:cs="Arial" w:eastAsia="Arial" w:hAnsi="Arial"/>
          <w:sz w:val="12"/>
          <w:szCs w:val="12"/>
          <w:b w:val="1"/>
          <w:bCs w:val="1"/>
          <w:color w:val="010035"/>
        </w:rPr>
        <w:t xml:space="preserve"> </w:t>
      </w:r>
      <w:r>
        <w:rPr>
          <w:rFonts w:ascii="Arial" w:cs="Arial" w:eastAsia="Arial" w:hAnsi="Arial"/>
          <w:sz w:val="12"/>
          <w:szCs w:val="12"/>
          <w:color w:val="010035"/>
        </w:rPr>
        <w:t>guidelines require our CEO to accumulate a holding of shares equal to 6x his annual base salary, and our other executives to accumulate a holding of shares equal to 3x their respective annual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-277495</wp:posOffset>
            </wp:positionV>
            <wp:extent cx="179705"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4600" w:space="620"/>
            <w:col w:w="4180"/>
          </w:cols>
          <w:pgMar w:left="1240" w:top="114" w:right="125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120" w:type="dxa"/>
            <w:vAlign w:val="bottom"/>
            <w:shd w:val="clear" w:color="auto" w:fill="DED8EC"/>
          </w:tcPr>
          <w:p>
            <w:pPr>
              <w:spacing w:after="0"/>
              <w:rPr>
                <w:sz w:val="13"/>
                <w:szCs w:val="13"/>
                <w:color w:val="auto"/>
              </w:rPr>
            </w:pPr>
          </w:p>
        </w:tc>
        <w:tc>
          <w:tcPr>
            <w:tcW w:w="340" w:type="dxa"/>
            <w:vAlign w:val="bottom"/>
            <w:shd w:val="clear" w:color="auto" w:fill="DED8EC"/>
          </w:tcPr>
          <w:p>
            <w:pPr>
              <w:spacing w:after="0"/>
              <w:rPr>
                <w:sz w:val="13"/>
                <w:szCs w:val="13"/>
                <w:color w:val="auto"/>
              </w:rPr>
            </w:pPr>
          </w:p>
        </w:tc>
        <w:tc>
          <w:tcPr>
            <w:tcW w:w="4440" w:type="dxa"/>
            <w:vAlign w:val="bottom"/>
            <w:shd w:val="clear" w:color="auto" w:fill="DED8EC"/>
          </w:tcPr>
          <w:p>
            <w:pPr>
              <w:ind w:left="100"/>
              <w:spacing w:after="0"/>
              <w:rPr>
                <w:sz w:val="20"/>
                <w:szCs w:val="20"/>
                <w:color w:val="auto"/>
              </w:rPr>
            </w:pPr>
            <w:r>
              <w:rPr>
                <w:rFonts w:ascii="Arial" w:cs="Arial" w:eastAsia="Arial" w:hAnsi="Arial"/>
                <w:sz w:val="13"/>
                <w:szCs w:val="13"/>
                <w:b w:val="1"/>
                <w:bCs w:val="1"/>
                <w:color w:val="010035"/>
              </w:rPr>
              <w:t>Shareholder Outreach</w:t>
            </w:r>
            <w:r>
              <w:rPr>
                <w:rFonts w:ascii="Arial" w:cs="Arial" w:eastAsia="Arial" w:hAnsi="Arial"/>
                <w:sz w:val="13"/>
                <w:szCs w:val="13"/>
                <w:color w:val="010035"/>
              </w:rPr>
              <w:t>. The Company has a long-standing practice of</w:t>
            </w:r>
          </w:p>
        </w:tc>
        <w:tc>
          <w:tcPr>
            <w:tcW w:w="4500" w:type="dxa"/>
            <w:vAlign w:val="bottom"/>
            <w:vMerge w:val="restart"/>
            <w:shd w:val="clear" w:color="auto" w:fill="DED8EC"/>
          </w:tcPr>
          <w:p>
            <w:pPr>
              <w:ind w:left="320"/>
              <w:spacing w:after="0"/>
              <w:rPr>
                <w:sz w:val="20"/>
                <w:szCs w:val="20"/>
                <w:color w:val="auto"/>
              </w:rPr>
            </w:pPr>
            <w:r>
              <w:rPr>
                <w:rFonts w:ascii="Arial" w:cs="Arial" w:eastAsia="Arial" w:hAnsi="Arial"/>
                <w:sz w:val="13"/>
                <w:szCs w:val="13"/>
                <w:b w:val="1"/>
                <w:bCs w:val="1"/>
                <w:color w:val="010035"/>
              </w:rPr>
              <w:t>Clawback Policy</w:t>
            </w:r>
            <w:r>
              <w:rPr>
                <w:rFonts w:ascii="Arial" w:cs="Arial" w:eastAsia="Arial" w:hAnsi="Arial"/>
                <w:sz w:val="13"/>
                <w:szCs w:val="13"/>
                <w:color w:val="010035"/>
              </w:rPr>
              <w:t>. We maintain a clawback policy that exceeds Dodd-</w:t>
            </w:r>
          </w:p>
        </w:tc>
        <w:tc>
          <w:tcPr>
            <w:tcW w:w="0" w:type="dxa"/>
            <w:vAlign w:val="bottom"/>
          </w:tcPr>
          <w:p>
            <w:pPr>
              <w:spacing w:after="0"/>
              <w:rPr>
                <w:sz w:val="1"/>
                <w:szCs w:val="1"/>
                <w:color w:val="auto"/>
              </w:rPr>
            </w:pPr>
          </w:p>
        </w:tc>
      </w:tr>
      <w:tr>
        <w:trPr>
          <w:trHeight w:val="68"/>
        </w:trPr>
        <w:tc>
          <w:tcPr>
            <w:tcW w:w="120" w:type="dxa"/>
            <w:vAlign w:val="bottom"/>
            <w:shd w:val="clear" w:color="auto" w:fill="DED8EC"/>
          </w:tcPr>
          <w:p>
            <w:pPr>
              <w:spacing w:after="0"/>
              <w:rPr>
                <w:sz w:val="5"/>
                <w:szCs w:val="5"/>
                <w:color w:val="auto"/>
              </w:rPr>
            </w:pPr>
          </w:p>
        </w:tc>
        <w:tc>
          <w:tcPr>
            <w:tcW w:w="340" w:type="dxa"/>
            <w:vAlign w:val="bottom"/>
            <w:shd w:val="clear" w:color="auto" w:fill="DED8EC"/>
          </w:tcPr>
          <w:p>
            <w:pPr>
              <w:spacing w:after="0"/>
              <w:rPr>
                <w:sz w:val="5"/>
                <w:szCs w:val="5"/>
                <w:color w:val="auto"/>
              </w:rPr>
            </w:pPr>
          </w:p>
        </w:tc>
        <w:tc>
          <w:tcPr>
            <w:tcW w:w="4440" w:type="dxa"/>
            <w:vAlign w:val="bottom"/>
            <w:vMerge w:val="restart"/>
            <w:shd w:val="clear" w:color="auto" w:fill="DED8EC"/>
          </w:tcPr>
          <w:p>
            <w:pPr>
              <w:ind w:left="100"/>
              <w:spacing w:after="0" w:line="135" w:lineRule="exact"/>
              <w:rPr>
                <w:sz w:val="20"/>
                <w:szCs w:val="20"/>
                <w:color w:val="auto"/>
              </w:rPr>
            </w:pPr>
            <w:r>
              <w:rPr>
                <w:rFonts w:ascii="Arial" w:cs="Arial" w:eastAsia="Arial" w:hAnsi="Arial"/>
                <w:sz w:val="13"/>
                <w:szCs w:val="13"/>
                <w:color w:val="010035"/>
              </w:rPr>
              <w:t>frequent communication and discussion with shareholders, with a formal</w:t>
            </w:r>
          </w:p>
        </w:tc>
        <w:tc>
          <w:tcPr>
            <w:tcW w:w="4500" w:type="dxa"/>
            <w:vAlign w:val="bottom"/>
            <w:vMerge w:val="continue"/>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DED8EC"/>
          </w:tcPr>
          <w:p>
            <w:pPr>
              <w:spacing w:after="0"/>
              <w:rPr>
                <w:sz w:val="5"/>
                <w:szCs w:val="5"/>
                <w:color w:val="auto"/>
              </w:rPr>
            </w:pPr>
          </w:p>
        </w:tc>
        <w:tc>
          <w:tcPr>
            <w:tcW w:w="340" w:type="dxa"/>
            <w:vAlign w:val="bottom"/>
            <w:shd w:val="clear" w:color="auto" w:fill="DED8EC"/>
          </w:tcPr>
          <w:p>
            <w:pPr>
              <w:spacing w:after="0"/>
              <w:rPr>
                <w:sz w:val="5"/>
                <w:szCs w:val="5"/>
                <w:color w:val="auto"/>
              </w:rPr>
            </w:pPr>
          </w:p>
        </w:tc>
        <w:tc>
          <w:tcPr>
            <w:tcW w:w="4440" w:type="dxa"/>
            <w:vAlign w:val="bottom"/>
            <w:vMerge w:val="continue"/>
            <w:shd w:val="clear" w:color="auto" w:fill="DED8EC"/>
          </w:tcPr>
          <w:p>
            <w:pPr>
              <w:spacing w:after="0"/>
              <w:rPr>
                <w:sz w:val="5"/>
                <w:szCs w:val="5"/>
                <w:color w:val="auto"/>
              </w:rPr>
            </w:pPr>
          </w:p>
        </w:tc>
        <w:tc>
          <w:tcPr>
            <w:tcW w:w="4500" w:type="dxa"/>
            <w:vAlign w:val="bottom"/>
            <w:vMerge w:val="restart"/>
            <w:shd w:val="clear" w:color="auto" w:fill="DED8EC"/>
          </w:tcPr>
          <w:p>
            <w:pPr>
              <w:ind w:left="320"/>
              <w:spacing w:after="0" w:line="135" w:lineRule="exact"/>
              <w:rPr>
                <w:sz w:val="20"/>
                <w:szCs w:val="20"/>
                <w:color w:val="auto"/>
              </w:rPr>
            </w:pPr>
            <w:r>
              <w:rPr>
                <w:rFonts w:ascii="Arial" w:cs="Arial" w:eastAsia="Arial" w:hAnsi="Arial"/>
                <w:sz w:val="13"/>
                <w:szCs w:val="13"/>
                <w:color w:val="010035"/>
              </w:rPr>
              <w:t>Frank requirements, covering time-based incentives, in addition to</w:t>
            </w:r>
          </w:p>
        </w:tc>
        <w:tc>
          <w:tcPr>
            <w:tcW w:w="0" w:type="dxa"/>
            <w:vAlign w:val="bottom"/>
          </w:tcPr>
          <w:p>
            <w:pPr>
              <w:spacing w:after="0"/>
              <w:rPr>
                <w:sz w:val="1"/>
                <w:szCs w:val="1"/>
                <w:color w:val="auto"/>
              </w:rPr>
            </w:pPr>
          </w:p>
        </w:tc>
      </w:tr>
      <w:tr>
        <w:trPr>
          <w:trHeight w:val="68"/>
        </w:trPr>
        <w:tc>
          <w:tcPr>
            <w:tcW w:w="120" w:type="dxa"/>
            <w:vAlign w:val="bottom"/>
            <w:shd w:val="clear" w:color="auto" w:fill="DED8EC"/>
          </w:tcPr>
          <w:p>
            <w:pPr>
              <w:spacing w:after="0"/>
              <w:rPr>
                <w:sz w:val="5"/>
                <w:szCs w:val="5"/>
                <w:color w:val="auto"/>
              </w:rPr>
            </w:pPr>
          </w:p>
        </w:tc>
        <w:tc>
          <w:tcPr>
            <w:tcW w:w="340" w:type="dxa"/>
            <w:vAlign w:val="bottom"/>
            <w:shd w:val="clear" w:color="auto" w:fill="DED8EC"/>
          </w:tcPr>
          <w:p>
            <w:pPr>
              <w:spacing w:after="0"/>
              <w:rPr>
                <w:sz w:val="5"/>
                <w:szCs w:val="5"/>
                <w:color w:val="auto"/>
              </w:rPr>
            </w:pPr>
          </w:p>
        </w:tc>
        <w:tc>
          <w:tcPr>
            <w:tcW w:w="4440" w:type="dxa"/>
            <w:vAlign w:val="bottom"/>
            <w:vMerge w:val="restart"/>
            <w:shd w:val="clear" w:color="auto" w:fill="DED8EC"/>
          </w:tcPr>
          <w:p>
            <w:pPr>
              <w:ind w:left="100"/>
              <w:spacing w:after="0" w:line="135" w:lineRule="exact"/>
              <w:rPr>
                <w:sz w:val="20"/>
                <w:szCs w:val="20"/>
                <w:color w:val="auto"/>
              </w:rPr>
            </w:pPr>
            <w:r>
              <w:rPr>
                <w:rFonts w:ascii="Arial" w:cs="Arial" w:eastAsia="Arial" w:hAnsi="Arial"/>
                <w:sz w:val="13"/>
                <w:szCs w:val="13"/>
                <w:color w:val="010035"/>
              </w:rPr>
              <w:t>annual shareholder engagement program led and overseen by our</w:t>
            </w:r>
          </w:p>
        </w:tc>
        <w:tc>
          <w:tcPr>
            <w:tcW w:w="4500" w:type="dxa"/>
            <w:vAlign w:val="bottom"/>
            <w:vMerge w:val="continue"/>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DED8EC"/>
          </w:tcPr>
          <w:p>
            <w:pPr>
              <w:spacing w:after="0"/>
              <w:rPr>
                <w:sz w:val="5"/>
                <w:szCs w:val="5"/>
                <w:color w:val="auto"/>
              </w:rPr>
            </w:pPr>
          </w:p>
        </w:tc>
        <w:tc>
          <w:tcPr>
            <w:tcW w:w="340" w:type="dxa"/>
            <w:vAlign w:val="bottom"/>
            <w:vMerge w:val="restart"/>
            <w:shd w:val="clear" w:color="auto" w:fill="DED8EC"/>
          </w:tcPr>
          <w:p>
            <w:pPr>
              <w:ind w:left="200"/>
              <w:spacing w:after="0"/>
              <w:rPr>
                <w:sz w:val="20"/>
                <w:szCs w:val="20"/>
                <w:color w:val="auto"/>
              </w:rPr>
            </w:pPr>
            <w:r>
              <w:rPr>
                <w:rFonts w:ascii="Arial" w:cs="Arial" w:eastAsia="Arial" w:hAnsi="Arial"/>
                <w:sz w:val="13"/>
                <w:szCs w:val="13"/>
                <w:color w:val="010035"/>
              </w:rPr>
              <w:t> </w:t>
            </w:r>
          </w:p>
        </w:tc>
        <w:tc>
          <w:tcPr>
            <w:tcW w:w="4440" w:type="dxa"/>
            <w:vAlign w:val="bottom"/>
            <w:vMerge w:val="continue"/>
            <w:shd w:val="clear" w:color="auto" w:fill="DED8EC"/>
          </w:tcPr>
          <w:p>
            <w:pPr>
              <w:spacing w:after="0"/>
              <w:rPr>
                <w:sz w:val="5"/>
                <w:szCs w:val="5"/>
                <w:color w:val="auto"/>
              </w:rPr>
            </w:pPr>
          </w:p>
        </w:tc>
        <w:tc>
          <w:tcPr>
            <w:tcW w:w="4500" w:type="dxa"/>
            <w:vAlign w:val="bottom"/>
            <w:vMerge w:val="restart"/>
            <w:shd w:val="clear" w:color="auto" w:fill="DED8EC"/>
          </w:tcPr>
          <w:p>
            <w:pPr>
              <w:ind w:left="320"/>
              <w:spacing w:after="0"/>
              <w:rPr>
                <w:sz w:val="20"/>
                <w:szCs w:val="20"/>
                <w:color w:val="auto"/>
              </w:rPr>
            </w:pPr>
            <w:r>
              <w:rPr>
                <w:rFonts w:ascii="Arial" w:cs="Arial" w:eastAsia="Arial" w:hAnsi="Arial"/>
                <w:sz w:val="13"/>
                <w:szCs w:val="13"/>
                <w:color w:val="010035"/>
              </w:rPr>
              <w:t>performance-based incentives.</w:t>
            </w:r>
          </w:p>
        </w:tc>
        <w:tc>
          <w:tcPr>
            <w:tcW w:w="0" w:type="dxa"/>
            <w:vAlign w:val="bottom"/>
          </w:tcPr>
          <w:p>
            <w:pPr>
              <w:spacing w:after="0"/>
              <w:rPr>
                <w:sz w:val="1"/>
                <w:szCs w:val="1"/>
                <w:color w:val="auto"/>
              </w:rPr>
            </w:pPr>
          </w:p>
        </w:tc>
      </w:tr>
      <w:tr>
        <w:trPr>
          <w:trHeight w:val="98"/>
        </w:trPr>
        <w:tc>
          <w:tcPr>
            <w:tcW w:w="120" w:type="dxa"/>
            <w:vAlign w:val="bottom"/>
            <w:shd w:val="clear" w:color="auto" w:fill="DED8EC"/>
          </w:tcPr>
          <w:p>
            <w:pPr>
              <w:spacing w:after="0"/>
              <w:rPr>
                <w:sz w:val="8"/>
                <w:szCs w:val="8"/>
                <w:color w:val="auto"/>
              </w:rPr>
            </w:pPr>
          </w:p>
        </w:tc>
        <w:tc>
          <w:tcPr>
            <w:tcW w:w="340" w:type="dxa"/>
            <w:vAlign w:val="bottom"/>
            <w:vMerge w:val="continue"/>
            <w:shd w:val="clear" w:color="auto" w:fill="DED8EC"/>
          </w:tcPr>
          <w:p>
            <w:pPr>
              <w:spacing w:after="0"/>
              <w:rPr>
                <w:sz w:val="8"/>
                <w:szCs w:val="8"/>
                <w:color w:val="auto"/>
              </w:rPr>
            </w:pPr>
          </w:p>
        </w:tc>
        <w:tc>
          <w:tcPr>
            <w:tcW w:w="4440" w:type="dxa"/>
            <w:vAlign w:val="bottom"/>
            <w:vMerge w:val="restart"/>
            <w:shd w:val="clear" w:color="auto" w:fill="DED8EC"/>
          </w:tcPr>
          <w:p>
            <w:pPr>
              <w:ind w:left="100"/>
              <w:spacing w:after="0"/>
              <w:rPr>
                <w:sz w:val="20"/>
                <w:szCs w:val="20"/>
                <w:color w:val="auto"/>
              </w:rPr>
            </w:pPr>
            <w:r>
              <w:rPr>
                <w:rFonts w:ascii="Arial" w:cs="Arial" w:eastAsia="Arial" w:hAnsi="Arial"/>
                <w:sz w:val="13"/>
                <w:szCs w:val="13"/>
                <w:color w:val="010035"/>
              </w:rPr>
              <w:t>independent Board members.</w:t>
            </w:r>
          </w:p>
        </w:tc>
        <w:tc>
          <w:tcPr>
            <w:tcW w:w="4500" w:type="dxa"/>
            <w:vAlign w:val="bottom"/>
            <w:vMerge w:val="continue"/>
            <w:shd w:val="clear" w:color="auto" w:fill="DED8EC"/>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ED8EC"/>
          </w:tcPr>
          <w:p>
            <w:pPr>
              <w:spacing w:after="0"/>
              <w:rPr>
                <w:sz w:val="4"/>
                <w:szCs w:val="4"/>
                <w:color w:val="auto"/>
              </w:rPr>
            </w:pPr>
          </w:p>
        </w:tc>
        <w:tc>
          <w:tcPr>
            <w:tcW w:w="340" w:type="dxa"/>
            <w:vAlign w:val="bottom"/>
            <w:shd w:val="clear" w:color="auto" w:fill="DED8EC"/>
          </w:tcPr>
          <w:p>
            <w:pPr>
              <w:spacing w:after="0"/>
              <w:rPr>
                <w:sz w:val="4"/>
                <w:szCs w:val="4"/>
                <w:color w:val="auto"/>
              </w:rPr>
            </w:pPr>
          </w:p>
        </w:tc>
        <w:tc>
          <w:tcPr>
            <w:tcW w:w="4440" w:type="dxa"/>
            <w:vAlign w:val="bottom"/>
            <w:vMerge w:val="continue"/>
            <w:shd w:val="clear" w:color="auto" w:fill="DED8EC"/>
          </w:tcPr>
          <w:p>
            <w:pPr>
              <w:spacing w:after="0"/>
              <w:rPr>
                <w:sz w:val="4"/>
                <w:szCs w:val="4"/>
                <w:color w:val="auto"/>
              </w:rPr>
            </w:pPr>
          </w:p>
        </w:tc>
        <w:tc>
          <w:tcPr>
            <w:tcW w:w="4500" w:type="dxa"/>
            <w:vAlign w:val="bottom"/>
            <w:shd w:val="clear" w:color="auto" w:fill="DED8EC"/>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DED8EC"/>
          </w:tcPr>
          <w:p>
            <w:pPr>
              <w:spacing w:after="0"/>
              <w:rPr>
                <w:sz w:val="5"/>
                <w:szCs w:val="5"/>
                <w:color w:val="auto"/>
              </w:rPr>
            </w:pPr>
          </w:p>
        </w:tc>
        <w:tc>
          <w:tcPr>
            <w:tcW w:w="340" w:type="dxa"/>
            <w:vAlign w:val="bottom"/>
            <w:shd w:val="clear" w:color="auto" w:fill="DED8EC"/>
          </w:tcPr>
          <w:p>
            <w:pPr>
              <w:spacing w:after="0"/>
              <w:rPr>
                <w:sz w:val="5"/>
                <w:szCs w:val="5"/>
                <w:color w:val="auto"/>
              </w:rPr>
            </w:pPr>
          </w:p>
        </w:tc>
        <w:tc>
          <w:tcPr>
            <w:tcW w:w="4440" w:type="dxa"/>
            <w:vAlign w:val="bottom"/>
            <w:shd w:val="clear" w:color="auto" w:fill="DED8EC"/>
          </w:tcPr>
          <w:p>
            <w:pPr>
              <w:spacing w:after="0"/>
              <w:rPr>
                <w:sz w:val="5"/>
                <w:szCs w:val="5"/>
                <w:color w:val="auto"/>
              </w:rPr>
            </w:pPr>
          </w:p>
        </w:tc>
        <w:tc>
          <w:tcPr>
            <w:tcW w:w="450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966460" cy="1117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6460" cy="11176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-350520</wp:posOffset>
            </wp:positionV>
            <wp:extent cx="180340" cy="180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-307975</wp:posOffset>
            </wp:positionV>
            <wp:extent cx="179705" cy="1803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9705" cy="18034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68580" cy="25717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257175"/>
                    </a:xfrm>
                    <a:prstGeom prst="rect">
                      <a:avLst/>
                    </a:prstGeom>
                    <a:noFill/>
                    <a:ln>
                      <a:noFill/>
                    </a:ln>
                  </pic:spPr>
                </pic:pic>
              </a:graphicData>
            </a:graphic>
          </wp:inline>
        </w:drawing>
      </w:r>
      <w:r>
        <w:rPr>
          <w:rFonts w:ascii="Arial" w:cs="Arial" w:eastAsia="Arial" w:hAnsi="Arial"/>
          <w:sz w:val="18"/>
          <w:szCs w:val="18"/>
          <w:b w:val="1"/>
          <w:bCs w:val="1"/>
          <w:color w:val="FFFFFF"/>
        </w:rPr>
        <w:t xml:space="preserve">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-169545</wp:posOffset>
            </wp:positionV>
            <wp:extent cx="589788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97880" cy="17145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160"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010035"/>
        </w:rPr>
        <w:t>No Poison Pill or Shareholder Rights Plan</w:t>
      </w:r>
      <w:r>
        <w:rPr>
          <w:rFonts w:ascii="Arial" w:cs="Arial" w:eastAsia="Arial" w:hAnsi="Arial"/>
          <w:sz w:val="12"/>
          <w:szCs w:val="12"/>
          <w:color w:val="010035"/>
        </w:rPr>
        <w:t>. We do not have a “poison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-109855</wp:posOffset>
            </wp:positionV>
            <wp:extent cx="146050"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ind w:left="560" w:hanging="248"/>
        <w:spacing w:after="0" w:line="188" w:lineRule="auto"/>
        <w:tabs>
          <w:tab w:leader="none" w:pos="560" w:val="left"/>
        </w:tabs>
        <w:numPr>
          <w:ilvl w:val="0"/>
          <w:numId w:val="19"/>
        </w:numPr>
        <w:rPr>
          <w:rFonts w:ascii="Arial" w:cs="Arial" w:eastAsia="Arial" w:hAnsi="Arial"/>
          <w:sz w:val="18"/>
          <w:szCs w:val="18"/>
          <w:color w:val="010035"/>
          <w:vertAlign w:val="subscript"/>
        </w:rPr>
      </w:pPr>
      <w:r>
        <w:rPr>
          <w:rFonts w:ascii="Arial" w:cs="Arial" w:eastAsia="Arial" w:hAnsi="Arial"/>
          <w:sz w:val="10"/>
          <w:szCs w:val="10"/>
          <w:color w:val="010035"/>
        </w:rPr>
        <w:t>pill” or shareholder rights plan.</w:t>
      </w:r>
    </w:p>
    <w:p>
      <w:pPr>
        <w:spacing w:after="0" w:line="199" w:lineRule="exact"/>
        <w:rPr>
          <w:rFonts w:ascii="Arial" w:cs="Arial" w:eastAsia="Arial" w:hAnsi="Arial"/>
          <w:sz w:val="18"/>
          <w:szCs w:val="18"/>
          <w:color w:val="010035"/>
          <w:vertAlign w:val="subscript"/>
        </w:rPr>
      </w:pPr>
    </w:p>
    <w:p>
      <w:pPr>
        <w:ind w:left="560" w:right="40"/>
        <w:spacing w:after="0" w:line="245" w:lineRule="auto"/>
        <w:rPr>
          <w:rFonts w:ascii="Arial" w:cs="Arial" w:eastAsia="Arial" w:hAnsi="Arial"/>
          <w:sz w:val="18"/>
          <w:szCs w:val="18"/>
          <w:color w:val="010035"/>
          <w:vertAlign w:val="subscript"/>
        </w:rPr>
      </w:pPr>
      <w:r>
        <w:rPr>
          <w:rFonts w:ascii="Arial" w:cs="Arial" w:eastAsia="Arial" w:hAnsi="Arial"/>
          <w:sz w:val="12"/>
          <w:szCs w:val="12"/>
          <w:b w:val="1"/>
          <w:bCs w:val="1"/>
          <w:color w:val="010035"/>
        </w:rPr>
        <w:t>No Option Trading or Short Selling of Our Securities</w:t>
      </w:r>
      <w:r>
        <w:rPr>
          <w:rFonts w:ascii="Arial" w:cs="Arial" w:eastAsia="Arial" w:hAnsi="Arial"/>
          <w:sz w:val="12"/>
          <w:szCs w:val="12"/>
          <w:color w:val="010035"/>
        </w:rPr>
        <w:t>. Our insider</w:t>
      </w:r>
      <w:r>
        <w:rPr>
          <w:rFonts w:ascii="Arial" w:cs="Arial" w:eastAsia="Arial" w:hAnsi="Arial"/>
          <w:sz w:val="12"/>
          <w:szCs w:val="12"/>
          <w:b w:val="1"/>
          <w:bCs w:val="1"/>
          <w:color w:val="010035"/>
        </w:rPr>
        <w:t xml:space="preserve"> </w:t>
      </w:r>
      <w:r>
        <w:rPr>
          <w:rFonts w:ascii="Arial" w:cs="Arial" w:eastAsia="Arial" w:hAnsi="Arial"/>
          <w:sz w:val="12"/>
          <w:szCs w:val="12"/>
          <w:color w:val="010035"/>
        </w:rPr>
        <w:t>trading policy prohibits our directors and officers from trading in options,</w:t>
      </w:r>
    </w:p>
    <w:p>
      <w:pPr>
        <w:ind w:left="560" w:hanging="248"/>
        <w:spacing w:after="0" w:line="182" w:lineRule="auto"/>
        <w:tabs>
          <w:tab w:leader="none" w:pos="560" w:val="left"/>
        </w:tabs>
        <w:numPr>
          <w:ilvl w:val="0"/>
          <w:numId w:val="19"/>
        </w:numPr>
        <w:rPr>
          <w:rFonts w:ascii="Arial" w:cs="Arial" w:eastAsia="Arial" w:hAnsi="Arial"/>
          <w:sz w:val="22"/>
          <w:szCs w:val="22"/>
          <w:color w:val="010035"/>
          <w:vertAlign w:val="subscript"/>
        </w:rPr>
      </w:pPr>
      <w:r>
        <w:rPr>
          <w:rFonts w:ascii="Arial" w:cs="Arial" w:eastAsia="Arial" w:hAnsi="Arial"/>
          <w:sz w:val="11"/>
          <w:szCs w:val="11"/>
          <w:color w:val="010035"/>
        </w:rPr>
        <w:t>warrants, puts and calls or similar instruments on Company securities or sell Company securities “short.”</w:t>
      </w:r>
    </w:p>
    <w:p>
      <w:pPr>
        <w:spacing w:after="0" w:line="132" w:lineRule="exact"/>
        <w:rPr>
          <w:rFonts w:ascii="Arial" w:cs="Arial" w:eastAsia="Arial" w:hAnsi="Arial"/>
          <w:sz w:val="22"/>
          <w:szCs w:val="22"/>
          <w:color w:val="010035"/>
          <w:vertAlign w:val="subscript"/>
        </w:rPr>
      </w:pPr>
    </w:p>
    <w:p>
      <w:pPr>
        <w:ind w:left="560" w:right="40"/>
        <w:spacing w:after="0" w:line="226" w:lineRule="auto"/>
        <w:rPr>
          <w:rFonts w:ascii="Arial" w:cs="Arial" w:eastAsia="Arial" w:hAnsi="Arial"/>
          <w:sz w:val="22"/>
          <w:szCs w:val="22"/>
          <w:color w:val="010035"/>
          <w:vertAlign w:val="subscript"/>
        </w:rPr>
      </w:pPr>
      <w:r>
        <w:rPr>
          <w:rFonts w:ascii="Arial" w:cs="Arial" w:eastAsia="Arial" w:hAnsi="Arial"/>
          <w:sz w:val="13"/>
          <w:szCs w:val="13"/>
          <w:b w:val="1"/>
          <w:bCs w:val="1"/>
          <w:color w:val="010035"/>
        </w:rPr>
        <w:t>No Pledging of Our Securities</w:t>
      </w:r>
      <w:r>
        <w:rPr>
          <w:rFonts w:ascii="Arial" w:cs="Arial" w:eastAsia="Arial" w:hAnsi="Arial"/>
          <w:sz w:val="13"/>
          <w:szCs w:val="13"/>
          <w:color w:val="010035"/>
        </w:rPr>
        <w:t>. Our insider trading policy prohibits our</w:t>
      </w:r>
      <w:r>
        <w:rPr>
          <w:rFonts w:ascii="Arial" w:cs="Arial" w:eastAsia="Arial" w:hAnsi="Arial"/>
          <w:sz w:val="13"/>
          <w:szCs w:val="13"/>
          <w:b w:val="1"/>
          <w:bCs w:val="1"/>
          <w:color w:val="010035"/>
        </w:rPr>
        <w:t xml:space="preserve"> </w:t>
      </w:r>
      <w:r>
        <w:rPr>
          <w:rFonts w:ascii="Arial" w:cs="Arial" w:eastAsia="Arial" w:hAnsi="Arial"/>
          <w:sz w:val="13"/>
          <w:szCs w:val="13"/>
          <w:color w:val="010035"/>
        </w:rPr>
        <w:t>directors and officers from purchasing our securities on margin or</w:t>
      </w:r>
    </w:p>
    <w:p>
      <w:pPr>
        <w:ind w:left="560" w:hanging="248"/>
        <w:spacing w:after="0" w:line="189" w:lineRule="auto"/>
        <w:tabs>
          <w:tab w:leader="none" w:pos="560" w:val="left"/>
        </w:tabs>
        <w:numPr>
          <w:ilvl w:val="0"/>
          <w:numId w:val="19"/>
        </w:numPr>
        <w:rPr>
          <w:rFonts w:ascii="Arial" w:cs="Arial" w:eastAsia="Arial" w:hAnsi="Arial"/>
          <w:sz w:val="17"/>
          <w:szCs w:val="17"/>
          <w:color w:val="010035"/>
          <w:vertAlign w:val="superscript"/>
        </w:rPr>
      </w:pPr>
      <w:r>
        <w:rPr>
          <w:rFonts w:ascii="Arial" w:cs="Arial" w:eastAsia="Arial" w:hAnsi="Arial"/>
          <w:sz w:val="10"/>
          <w:szCs w:val="10"/>
          <w:color w:val="010035"/>
        </w:rPr>
        <w:t>pledging our securities as collateral for margin or other loans.</w:t>
      </w:r>
    </w:p>
    <w:p>
      <w:pPr>
        <w:spacing w:after="0" w:line="143" w:lineRule="exact"/>
        <w:rPr>
          <w:rFonts w:ascii="Arial" w:cs="Arial" w:eastAsia="Arial" w:hAnsi="Arial"/>
          <w:sz w:val="17"/>
          <w:szCs w:val="17"/>
          <w:color w:val="010035"/>
          <w:vertAlign w:val="superscript"/>
        </w:rPr>
      </w:pPr>
    </w:p>
    <w:p>
      <w:pPr>
        <w:ind w:left="560" w:right="60"/>
        <w:spacing w:after="0" w:line="234" w:lineRule="auto"/>
        <w:rPr>
          <w:rFonts w:ascii="Arial" w:cs="Arial" w:eastAsia="Arial" w:hAnsi="Arial"/>
          <w:sz w:val="17"/>
          <w:szCs w:val="17"/>
          <w:color w:val="010035"/>
          <w:vertAlign w:val="superscript"/>
        </w:rPr>
      </w:pPr>
      <w:r>
        <w:rPr>
          <w:rFonts w:ascii="Arial" w:cs="Arial" w:eastAsia="Arial" w:hAnsi="Arial"/>
          <w:sz w:val="12"/>
          <w:szCs w:val="12"/>
          <w:b w:val="1"/>
          <w:bCs w:val="1"/>
          <w:color w:val="010035"/>
        </w:rPr>
        <w:t>No Significant Related Party Transactions</w:t>
      </w:r>
      <w:r>
        <w:rPr>
          <w:rFonts w:ascii="Arial" w:cs="Arial" w:eastAsia="Arial" w:hAnsi="Arial"/>
          <w:sz w:val="12"/>
          <w:szCs w:val="12"/>
          <w:color w:val="010035"/>
        </w:rPr>
        <w:t>. We do not currently have</w:t>
      </w:r>
      <w:r>
        <w:rPr>
          <w:rFonts w:ascii="Arial" w:cs="Arial" w:eastAsia="Arial" w:hAnsi="Arial"/>
          <w:sz w:val="12"/>
          <w:szCs w:val="12"/>
          <w:b w:val="1"/>
          <w:bCs w:val="1"/>
          <w:color w:val="010035"/>
        </w:rPr>
        <w:t xml:space="preserve"> </w:t>
      </w:r>
      <w:r>
        <w:rPr>
          <w:rFonts w:ascii="Arial" w:cs="Arial" w:eastAsia="Arial" w:hAnsi="Arial"/>
          <w:sz w:val="12"/>
          <w:szCs w:val="12"/>
          <w:color w:val="010035"/>
        </w:rPr>
        <w:t>any significant related party transactions. In addition, no immediate</w:t>
      </w:r>
    </w:p>
    <w:p>
      <w:pPr>
        <w:ind w:left="560" w:right="320" w:hanging="248"/>
        <w:spacing w:after="0" w:line="182" w:lineRule="auto"/>
        <w:tabs>
          <w:tab w:leader="none" w:pos="560" w:val="left"/>
        </w:tabs>
        <w:numPr>
          <w:ilvl w:val="0"/>
          <w:numId w:val="19"/>
        </w:numPr>
        <w:rPr>
          <w:rFonts w:ascii="Arial" w:cs="Arial" w:eastAsia="Arial" w:hAnsi="Arial"/>
          <w:sz w:val="22"/>
          <w:szCs w:val="22"/>
          <w:color w:val="010035"/>
          <w:vertAlign w:val="subscript"/>
        </w:rPr>
      </w:pPr>
      <w:r>
        <w:rPr>
          <w:rFonts w:ascii="Arial" w:cs="Arial" w:eastAsia="Arial" w:hAnsi="Arial"/>
          <w:sz w:val="11"/>
          <w:szCs w:val="11"/>
          <w:color w:val="010035"/>
        </w:rPr>
        <w:t>family relationships exist between any of our directors or executive officers and any of our other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146685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-1207135</wp:posOffset>
            </wp:positionV>
            <wp:extent cx="5966460" cy="4457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6460" cy="445770"/>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-701040</wp:posOffset>
            </wp:positionV>
            <wp:extent cx="14605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-401320</wp:posOffset>
            </wp:positionV>
            <wp:extent cx="2974340" cy="4375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974340"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20"/>
        <w:spacing w:after="0" w:line="233" w:lineRule="auto"/>
        <w:rPr>
          <w:sz w:val="20"/>
          <w:szCs w:val="20"/>
          <w:color w:val="auto"/>
        </w:rPr>
      </w:pPr>
      <w:r>
        <w:rPr>
          <w:rFonts w:ascii="Arial" w:cs="Arial" w:eastAsia="Arial" w:hAnsi="Arial"/>
          <w:sz w:val="13"/>
          <w:szCs w:val="13"/>
          <w:b w:val="1"/>
          <w:bCs w:val="1"/>
          <w:color w:val="010035"/>
        </w:rPr>
        <w:t>No Gross-Up Payments to Cover Excise Taxes</w:t>
      </w:r>
      <w:r>
        <w:rPr>
          <w:rFonts w:ascii="Arial" w:cs="Arial" w:eastAsia="Arial" w:hAnsi="Arial"/>
          <w:sz w:val="13"/>
          <w:szCs w:val="13"/>
          <w:color w:val="010035"/>
        </w:rPr>
        <w:t>. We do not provide tax</w:t>
      </w:r>
      <w:r>
        <w:rPr>
          <w:rFonts w:ascii="Arial" w:cs="Arial" w:eastAsia="Arial" w:hAnsi="Arial"/>
          <w:sz w:val="13"/>
          <w:szCs w:val="13"/>
          <w:b w:val="1"/>
          <w:bCs w:val="1"/>
          <w:color w:val="010035"/>
        </w:rPr>
        <w:t xml:space="preserve"> </w:t>
      </w:r>
      <w:r>
        <w:rPr>
          <w:rFonts w:ascii="Arial" w:cs="Arial" w:eastAsia="Arial" w:hAnsi="Arial"/>
          <w:sz w:val="13"/>
          <w:szCs w:val="13"/>
          <w:color w:val="010035"/>
        </w:rPr>
        <w:t>gross-ups to our officers in connection with a change in control severance or other compensation, benefits or executive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-212725</wp:posOffset>
            </wp:positionV>
            <wp:extent cx="146050" cy="146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179" w:lineRule="exact"/>
        <w:rPr>
          <w:sz w:val="20"/>
          <w:szCs w:val="20"/>
          <w:color w:val="auto"/>
        </w:rPr>
      </w:pPr>
    </w:p>
    <w:p>
      <w:pPr>
        <w:ind w:right="240"/>
        <w:spacing w:after="0" w:line="233" w:lineRule="auto"/>
        <w:rPr>
          <w:sz w:val="20"/>
          <w:szCs w:val="20"/>
          <w:color w:val="auto"/>
        </w:rPr>
      </w:pPr>
      <w:r>
        <w:rPr>
          <w:rFonts w:ascii="Arial" w:cs="Arial" w:eastAsia="Arial" w:hAnsi="Arial"/>
          <w:sz w:val="13"/>
          <w:szCs w:val="13"/>
          <w:b w:val="1"/>
          <w:bCs w:val="1"/>
          <w:color w:val="010035"/>
        </w:rPr>
        <w:t>No Hedging of Our Securities</w:t>
      </w:r>
      <w:r>
        <w:rPr>
          <w:rFonts w:ascii="Arial" w:cs="Arial" w:eastAsia="Arial" w:hAnsi="Arial"/>
          <w:sz w:val="13"/>
          <w:szCs w:val="13"/>
          <w:color w:val="010035"/>
        </w:rPr>
        <w:t>. Our insider trading policy prohibits our</w:t>
      </w:r>
      <w:r>
        <w:rPr>
          <w:rFonts w:ascii="Arial" w:cs="Arial" w:eastAsia="Arial" w:hAnsi="Arial"/>
          <w:sz w:val="13"/>
          <w:szCs w:val="13"/>
          <w:b w:val="1"/>
          <w:bCs w:val="1"/>
          <w:color w:val="010035"/>
        </w:rPr>
        <w:t xml:space="preserve"> </w:t>
      </w:r>
      <w:r>
        <w:rPr>
          <w:rFonts w:ascii="Arial" w:cs="Arial" w:eastAsia="Arial" w:hAnsi="Arial"/>
          <w:sz w:val="13"/>
          <w:szCs w:val="13"/>
          <w:color w:val="010035"/>
        </w:rPr>
        <w:t>directors and officers from engaging in any hedging or monetization transactions involving our securities.</w:t>
      </w:r>
    </w:p>
    <w:p>
      <w:pPr>
        <w:spacing w:after="0" w:line="199" w:lineRule="exact"/>
        <w:rPr>
          <w:sz w:val="20"/>
          <w:szCs w:val="20"/>
          <w:color w:val="auto"/>
        </w:rPr>
      </w:pPr>
    </w:p>
    <w:p>
      <w:pPr>
        <w:ind w:right="160"/>
        <w:spacing w:after="0" w:line="233" w:lineRule="auto"/>
        <w:rPr>
          <w:sz w:val="20"/>
          <w:szCs w:val="20"/>
          <w:color w:val="auto"/>
        </w:rPr>
      </w:pPr>
      <w:r>
        <w:rPr>
          <w:rFonts w:ascii="Arial" w:cs="Arial" w:eastAsia="Arial" w:hAnsi="Arial"/>
          <w:sz w:val="13"/>
          <w:szCs w:val="13"/>
          <w:b w:val="1"/>
          <w:bCs w:val="1"/>
          <w:color w:val="010035"/>
        </w:rPr>
        <w:t>No Single-Trigger Change in Control Severance Rights</w:t>
      </w:r>
      <w:r>
        <w:rPr>
          <w:rFonts w:ascii="Arial" w:cs="Arial" w:eastAsia="Arial" w:hAnsi="Arial"/>
          <w:sz w:val="13"/>
          <w:szCs w:val="13"/>
          <w:color w:val="010035"/>
        </w:rPr>
        <w:t>. Acceleration</w:t>
      </w:r>
      <w:r>
        <w:rPr>
          <w:rFonts w:ascii="Arial" w:cs="Arial" w:eastAsia="Arial" w:hAnsi="Arial"/>
          <w:sz w:val="13"/>
          <w:szCs w:val="13"/>
          <w:b w:val="1"/>
          <w:bCs w:val="1"/>
          <w:color w:val="010035"/>
        </w:rPr>
        <w:t xml:space="preserve"> </w:t>
      </w:r>
      <w:r>
        <w:rPr>
          <w:rFonts w:ascii="Arial" w:cs="Arial" w:eastAsia="Arial" w:hAnsi="Arial"/>
          <w:sz w:val="13"/>
          <w:szCs w:val="13"/>
          <w:color w:val="010035"/>
        </w:rPr>
        <w:t>of equity vesting is provided only upon a combination of a change in control and a qualified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-212725</wp:posOffset>
            </wp:positionV>
            <wp:extent cx="14605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ectPr>
          <w:pgSz w:w="11900" w:h="16838" w:orient="portrait"/>
          <w:cols w:equalWidth="0" w:num="2">
            <w:col w:w="4580" w:space="640"/>
            <w:col w:w="4180"/>
          </w:cols>
          <w:pgMar w:left="1240" w:top="114" w:right="12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Cybersecurity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 full Board acknowledges cybersecurity as one of the core enterprise risks facing the Company. The Audit Committee of the Board is responsible for ultimate oversight of cybersecurity threats, policies, standards, and practices. The Committee receives regular presentations and reports from the Cybersecurity Committee, the Company’s Chief Technology Officer, Chief Information Security Officer and other members of the management team on evolving cyber related risks, which include detail on evolving standards, vulnerability assessments, third-party and independent reviews, the threat environment, including supply chain and AI-related risks, technological trends and information security with respect to PENN’s peers.</w:t>
      </w:r>
    </w:p>
    <w:p>
      <w:pPr>
        <w:spacing w:after="0" w:line="241"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A key part of PENN’s strategy for managing risks from cybersecurity threats is the assessment and testing of the Company’s processes and practices. To this end, on a regular basis, PENN engages third parties to perform assessments of existing cybersecurity measures, including information security maturity assessments, audits and independent reviews of the information security control environment and operating effectiveness, with notable assessment results reported to the Audit Committee and Board, when appropriate. The Board and Audit Committee are also informed of any identified cybersecurity incidents that meet established reporting thresholds and subsequent incident follow ups as appropriate.</w:t>
      </w:r>
    </w:p>
    <w:p>
      <w:pPr>
        <w:spacing w:after="0" w:line="241"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As a part of the Audit Committee’s efforts to continue evolving its oversight of PENN’s cybersecurity systems, processes and plans, PENN engaged a third-party consultant to conduct a comprehensive assessment against the National Institute of Standards and Technology (“NIST”) Cybersecurity Framework 2.0 in 2025 to assess the Company’s overall cybersecurity maturity posture. The Company IT and Security teams also participated in a tabletop cybersecurity exercise in 2025 intended to test PENN’s existing cybersecurity response plans and resiliency, as well as to inform the Audit Committee and Cybersecurity Committee’s ongoing annual risk oversight review and to identify potential incident response preparedness plan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104140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0"/>
          <w:szCs w:val="30"/>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-293370</wp:posOffset>
            </wp:positionV>
            <wp:extent cx="5829300" cy="3003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Corporate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384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6460" cy="384873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right="240"/>
        <w:spacing w:after="0" w:line="310" w:lineRule="auto"/>
        <w:rPr>
          <w:sz w:val="20"/>
          <w:szCs w:val="20"/>
          <w:color w:val="auto"/>
        </w:rPr>
      </w:pPr>
      <w:r>
        <w:rPr>
          <w:rFonts w:ascii="Arial" w:cs="Arial" w:eastAsia="Arial" w:hAnsi="Arial"/>
          <w:sz w:val="19"/>
          <w:szCs w:val="19"/>
          <w:b w:val="1"/>
          <w:bCs w:val="1"/>
          <w:color w:val="010035"/>
        </w:rPr>
        <w:t>CORPORATE GOVERNANCE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010035"/>
        </w:rPr>
        <w:t>The Board has adopted and regularly reviews Corporate Governance Guidelines (the “Corporate Governance Guidelines”) that are intended to provide a structure which permits our Board and management to effectively pursue the Company’s objectives for the benefit of its shareholders and other constituencies. The Corporate Governance Guidelines include policies and procedures relating to, among other items, the role, structure and composition of the Board; Board procedures and leadership; risk oversight; use of outside consultants; and conflicts of interest. The Board and the Nominating and Corporate Governance Committee regularly consider the efficacy of the Corporate Governance Guidelines and the policies referenced therein.</w:t>
      </w:r>
    </w:p>
    <w:p>
      <w:pPr>
        <w:spacing w:after="0" w:line="200" w:lineRule="exact"/>
        <w:rPr>
          <w:sz w:val="20"/>
          <w:szCs w:val="20"/>
          <w:color w:val="auto"/>
        </w:rPr>
      </w:pPr>
    </w:p>
    <w:p>
      <w:pPr>
        <w:sectPr>
          <w:pgSz w:w="11900" w:h="16838" w:orient="portrait"/>
          <w:cols w:equalWidth="0" w:num="2">
            <w:col w:w="1840" w:space="720"/>
            <w:col w:w="6800"/>
          </w:cols>
          <w:pgMar w:left="1240" w:top="114"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10035"/>
        </w:rPr>
        <w:t>CODE OF</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10035"/>
        </w:rPr>
        <w:t>BUSINESS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10035"/>
        </w:rPr>
        <w:t>CONDUCT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010035"/>
        </w:rPr>
        <w:t>The Board has adopted and regularly reviews the Company’s Code of Business Conduct (the “Code of Conduct”), which applies to all directors and employees of the Company, including its principal executive officer, principal financial officer and principal accounting officer. The Code of Conduct is designed to, among other things, promote ethical behavior, deter wrongdoing, address potential conflicts of interest, and encourage both compliance with applicable laws and full and accurate reporting in the Company’s filings with the SEC. The Code of Conduct also provides for a 24-hour hotline that any employee, patron, vendor or other third party can use to report, anonymously if they so choose, any suspected fraud, financial impropriety or other alleged wrongdoing. These reports are promptly investigated and receive the highest level of management attention, with particular focus from the Company’s Chief Compliance Officer; Vice President, Internal Audit; Chief Human Resources Officer and Legal Department, as appropriate. Subsequently, senior management provides investigation summaries to the Compliance Committee and the Audit Committee.</w:t>
      </w:r>
    </w:p>
    <w:p>
      <w:pPr>
        <w:spacing w:after="0" w:line="200" w:lineRule="exact"/>
        <w:rPr>
          <w:sz w:val="20"/>
          <w:szCs w:val="20"/>
          <w:color w:val="auto"/>
        </w:rPr>
      </w:pPr>
    </w:p>
    <w:p>
      <w:pPr>
        <w:sectPr>
          <w:pgSz w:w="11900" w:h="16838" w:orient="portrait"/>
          <w:cols w:equalWidth="0" w:num="2">
            <w:col w:w="1840" w:space="720"/>
            <w:col w:w="6800"/>
          </w:cols>
          <w:pgMar w:left="1240" w:top="114" w:right="1299" w:bottom="1440" w:gutter="0" w:footer="0" w:header="0"/>
          <w:type w:val="continuous"/>
        </w:sectPr>
      </w:pPr>
    </w:p>
    <w:p>
      <w:pPr>
        <w:spacing w:after="0" w:line="374" w:lineRule="exact"/>
        <w:rPr>
          <w:sz w:val="20"/>
          <w:szCs w:val="20"/>
          <w:color w:val="auto"/>
        </w:rPr>
      </w:pPr>
    </w:p>
    <w:p>
      <w:pPr>
        <w:ind w:left="200"/>
        <w:spacing w:after="0" w:line="295" w:lineRule="auto"/>
        <w:rPr>
          <w:sz w:val="20"/>
          <w:szCs w:val="20"/>
          <w:color w:val="auto"/>
        </w:rPr>
      </w:pPr>
      <w:r>
        <w:rPr>
          <w:rFonts w:ascii="Arial" w:cs="Arial" w:eastAsia="Arial" w:hAnsi="Arial"/>
          <w:sz w:val="19"/>
          <w:szCs w:val="19"/>
          <w:b w:val="1"/>
          <w:bCs w:val="1"/>
          <w:color w:val="010035"/>
        </w:rPr>
        <w:t>WHERE TO FIND OUR CORPORATE GOVERNANCE DOCUMENTS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010035"/>
        </w:rPr>
        <w:t>Please visit our website to view or obtain copies of our Corporate Governance Guidelines, committee charters and Code of Business Conduct. The information found on, or accessible through, our website or any other referenced website is not incorporated into, and does not form a part of, this Proxy Statement or any other report or document we file with or furnish to the SEC. You may also obtain, free of charge, a copy of our Corporate Governance Guidelines, committee charters and Code of Business Conduct by directing your request in writing to Secretary, PENN Entertainment, Inc., 825 Berkshire Boulevard, Wyomissing, PA 19610. Additional information relating to the corporate governance of our Company is also set forth below and included in other sections of this Proxy Statement.  </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69439A"/>
        </w:rPr>
        <w:t>www.pennentertainment.com/corp/investors/corporate-governance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100330</wp:posOffset>
            </wp:positionV>
            <wp:extent cx="59664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640"/>
            <w:col w:w="6800"/>
          </w:cols>
          <w:pgMar w:left="1240" w:top="114" w:right="129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The Board has determined that all the directors, other than Mr. Snowden, are independent under the Nasdaq Rules. In determining the independence of the directors and director nominees, the Board reviewed and considered all relationships between each director (and any member of his or her immediate family) and the Company in light of the Nasdaq independence criteria. The Board also previously determined that Barbara Shattuck Kohn and Saul Reibstein, who each served on the Board until the 2025 Annual Meeting of Shareholders, and Ron Naples, who retired from the Board in April 2025, were independent.</w:t>
      </w:r>
    </w:p>
    <w:p>
      <w:pPr>
        <w:spacing w:after="0" w:line="73" w:lineRule="exact"/>
        <w:rPr>
          <w:sz w:val="20"/>
          <w:szCs w:val="20"/>
          <w:color w:val="auto"/>
        </w:rPr>
      </w:pPr>
    </w:p>
    <w:p>
      <w:pPr>
        <w:ind w:right="300"/>
        <w:spacing w:after="0" w:line="263" w:lineRule="auto"/>
        <w:rPr>
          <w:sz w:val="20"/>
          <w:szCs w:val="20"/>
          <w:color w:val="auto"/>
        </w:rPr>
      </w:pPr>
      <w:r>
        <w:rPr>
          <w:rFonts w:ascii="Arial" w:cs="Arial" w:eastAsia="Arial" w:hAnsi="Arial"/>
          <w:sz w:val="14"/>
          <w:szCs w:val="14"/>
          <w:color w:val="auto"/>
        </w:rPr>
        <w:t>Notably, the Board’s Audit Committee, Compensation Committee and the Nominating and Corporate Governance Committee are comprised exclusively of independent directors. The independent Board directors meet in executive session without the presence of management or non-independent directors on a regular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98425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Board and Committee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Board and Committee evaluations play a critical role in ensuring the effective functioning of our Board of Directors. The Board believes it is important to evaluate Board, Committee and director performance, and to solicit and act upon feedback received from each member of our Board. To this end, the Board and each Committee conduct a comprehensive annual self-evaluation process that is overseen by the Nominating and Corporate Governance Committee. The process for reviewing and taking action based on the Board and Committee annual evaluations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252095</wp:posOffset>
            </wp:positionV>
            <wp:extent cx="5940425" cy="51949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40425"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Director Candidate Qualification and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 xml:space="preserve">The Nominating and Corporate Governance Committee considers candidates for Board membership suggested by, among others, its members, other Board members, management and the recommendation of its independent search firm. The Nominating and Corporate Governance Committee will also consider recommendations of nominees for directors by shareholders (for information relating to the nominations of directors by our shareholders, please see “Director Nominations by Shareholders” on page </w:t>
      </w:r>
      <w:r>
        <w:rPr>
          <w:rFonts w:ascii="Arial" w:cs="Arial" w:eastAsia="Arial" w:hAnsi="Arial"/>
          <w:sz w:val="14"/>
          <w:szCs w:val="14"/>
          <w:u w:val="single" w:color="auto"/>
          <w:color w:val="0000EE"/>
        </w:rPr>
        <w:t>111</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144145</wp:posOffset>
            </wp:positionV>
            <wp:extent cx="5940425" cy="61461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40425" cy="614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Director Candidate Qualification and Selection Process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During the candidate review process, the Nominating and Corporate Governance Committee and its delegates conduct interviews with the potential nominee. In addition, the Nominating and Corporate Governance Committee will also submit the candidate to a background investigation overseen by the Company’s Chief Compliance Officer, in coordination with the Compliance Committee, to evaluate whether the candidate is suitable to serve on the Board of a highly regulated, multi -jurisdictional company subject to gaming regulatory oversight and operating under privileged gaming licenses and registrations. A successful candidate will also be required to submit to applicable gaming regulatory suitability investigations, which include providing detailed financial and personal history information customarily requested by the Company’s gaming regulators. Certain of our jurisdictions, each of which is important to our operations, require directors to obtain regulatory approvals before they are permitted to vote on Board matters. The licensing process is extremely time intensive and historically has taken a year or longer to complete. For example, Messrs. Hartnett and Ruisanchez were appointed to the Board in June 2025 but could only begin exercising their voting rights in April 2026, following receipt of all necessary regulatory approvals. Ms. Ace and Messrs. Fox and Schiavolin, who were appointed to the Board in February 2026, do not yet exercise their voting rights as members of the Board. References in this proxy statement to the unanimous recommendation of the Board refer to only those members of the Board who currently exercise their voting rights.</w:t>
      </w:r>
    </w:p>
    <w:p>
      <w:pPr>
        <w:spacing w:after="0" w:line="80" w:lineRule="exact"/>
        <w:rPr>
          <w:sz w:val="20"/>
          <w:szCs w:val="20"/>
          <w:color w:val="auto"/>
        </w:rPr>
      </w:pPr>
    </w:p>
    <w:p>
      <w:pPr>
        <w:jc w:val="both"/>
        <w:ind w:right="580"/>
        <w:spacing w:after="0" w:line="263" w:lineRule="auto"/>
        <w:rPr>
          <w:sz w:val="20"/>
          <w:szCs w:val="20"/>
          <w:color w:val="auto"/>
        </w:rPr>
      </w:pPr>
      <w:r>
        <w:rPr>
          <w:rFonts w:ascii="Arial" w:cs="Arial" w:eastAsia="Arial" w:hAnsi="Arial"/>
          <w:sz w:val="14"/>
          <w:szCs w:val="14"/>
          <w:color w:val="auto"/>
        </w:rPr>
        <w:t>Our Board and Committee evaluation process has resulted in regular Board refreshment, five of our ten independent directors having been appointed since our 2025 Annual Meeting, bringing extensive finance, human capital and talent management, gaming, strategy, corporate governance and technology experience to effectively oversee our next phase of growth and execution of our refocused digital strategy.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4540" w:type="dxa"/>
            <w:vAlign w:val="bottom"/>
            <w:shd w:val="clear" w:color="auto" w:fill="DED8EC"/>
          </w:tcPr>
          <w:p>
            <w:pPr>
              <w:spacing w:after="0"/>
              <w:rPr>
                <w:sz w:val="20"/>
                <w:szCs w:val="20"/>
                <w:color w:val="auto"/>
              </w:rPr>
            </w:pPr>
            <w:r>
              <w:rPr>
                <w:rFonts w:ascii="Arial" w:cs="Arial" w:eastAsia="Arial" w:hAnsi="Arial"/>
                <w:sz w:val="22"/>
                <w:szCs w:val="22"/>
                <w:b w:val="1"/>
                <w:bCs w:val="1"/>
                <w:color w:val="010035"/>
              </w:rPr>
              <w:t>  2021</w:t>
            </w:r>
          </w:p>
        </w:tc>
        <w:tc>
          <w:tcPr>
            <w:tcW w:w="4860" w:type="dxa"/>
            <w:vAlign w:val="bottom"/>
            <w:shd w:val="clear" w:color="auto" w:fill="DED8EC"/>
          </w:tcPr>
          <w:p>
            <w:pPr>
              <w:jc w:val="right"/>
              <w:ind w:right="4092"/>
              <w:spacing w:after="0"/>
              <w:rPr>
                <w:sz w:val="20"/>
                <w:szCs w:val="20"/>
                <w:color w:val="auto"/>
              </w:rPr>
            </w:pPr>
            <w:r>
              <w:rPr>
                <w:rFonts w:ascii="Arial" w:cs="Arial" w:eastAsia="Arial" w:hAnsi="Arial"/>
                <w:sz w:val="22"/>
                <w:szCs w:val="22"/>
                <w:b w:val="1"/>
                <w:bCs w:val="1"/>
                <w:color w:val="010035"/>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642620" cy="540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2620" cy="540385"/>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8255</wp:posOffset>
            </wp:positionV>
            <wp:extent cx="643255" cy="5403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3255" cy="54038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57"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69439A"/>
        </w:rPr>
        <w:t>Vimla Black-Gupta</w:t>
      </w:r>
    </w:p>
    <w:p>
      <w:pPr>
        <w:spacing w:after="0" w:line="12" w:lineRule="exact"/>
        <w:rPr>
          <w:sz w:val="20"/>
          <w:szCs w:val="20"/>
          <w:color w:val="auto"/>
        </w:rPr>
      </w:pPr>
    </w:p>
    <w:p>
      <w:pPr>
        <w:ind w:left="1300" w:right="840"/>
        <w:spacing w:after="0" w:line="241" w:lineRule="auto"/>
        <w:rPr>
          <w:sz w:val="20"/>
          <w:szCs w:val="20"/>
          <w:color w:val="auto"/>
        </w:rPr>
      </w:pPr>
      <w:r>
        <w:rPr>
          <w:rFonts w:ascii="Arial" w:cs="Arial" w:eastAsia="Arial" w:hAnsi="Arial"/>
          <w:sz w:val="12"/>
          <w:szCs w:val="12"/>
          <w:color w:val="auto"/>
        </w:rPr>
        <w:t>Global marketing leader with consumer innovation and business growth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422910</wp:posOffset>
            </wp:positionV>
            <wp:extent cx="5897880" cy="2057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9788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Anuj Dhanda</w:t>
      </w:r>
    </w:p>
    <w:p>
      <w:pPr>
        <w:spacing w:after="0" w:line="12" w:lineRule="exact"/>
        <w:rPr>
          <w:sz w:val="20"/>
          <w:szCs w:val="20"/>
          <w:color w:val="auto"/>
        </w:rPr>
      </w:pPr>
    </w:p>
    <w:p>
      <w:pPr>
        <w:ind w:right="120"/>
        <w:spacing w:after="0" w:line="241" w:lineRule="auto"/>
        <w:rPr>
          <w:sz w:val="20"/>
          <w:szCs w:val="20"/>
          <w:color w:val="auto"/>
        </w:rPr>
      </w:pPr>
      <w:r>
        <w:rPr>
          <w:rFonts w:ascii="Arial" w:cs="Arial" w:eastAsia="Arial" w:hAnsi="Arial"/>
          <w:sz w:val="12"/>
          <w:szCs w:val="12"/>
          <w:color w:val="auto"/>
        </w:rPr>
        <w:t>Digital technology executive with extensive AI, cybersecurity and consumer innovation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422910</wp:posOffset>
            </wp:positionV>
            <wp:extent cx="68580" cy="431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3340"/>
          </w:cols>
          <w:pgMar w:left="1240" w:top="114" w:right="125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010035"/>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-105410</wp:posOffset>
            </wp:positionV>
            <wp:extent cx="68580" cy="162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65405</wp:posOffset>
            </wp:positionV>
            <wp:extent cx="642620" cy="5397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2620" cy="53975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65405</wp:posOffset>
            </wp:positionV>
            <wp:extent cx="643255" cy="5397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69439A"/>
        </w:rPr>
        <w:t>Johnny Hartnett</w:t>
      </w:r>
    </w:p>
    <w:p>
      <w:pPr>
        <w:spacing w:after="0" w:line="12" w:lineRule="exact"/>
        <w:rPr>
          <w:sz w:val="20"/>
          <w:szCs w:val="20"/>
          <w:color w:val="auto"/>
        </w:rPr>
      </w:pPr>
    </w:p>
    <w:p>
      <w:pPr>
        <w:ind w:left="1300" w:right="800"/>
        <w:spacing w:after="0" w:line="241" w:lineRule="auto"/>
        <w:rPr>
          <w:sz w:val="20"/>
          <w:szCs w:val="20"/>
          <w:color w:val="auto"/>
        </w:rPr>
      </w:pPr>
      <w:r>
        <w:rPr>
          <w:rFonts w:ascii="Arial" w:cs="Arial" w:eastAsia="Arial" w:hAnsi="Arial"/>
          <w:sz w:val="12"/>
          <w:szCs w:val="12"/>
          <w:color w:val="auto"/>
        </w:rPr>
        <w:t>Entertainment, gaming and online sports betting executive with a track record of developing globally reaching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337185</wp:posOffset>
            </wp:positionV>
            <wp:extent cx="5888990" cy="2057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8899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Carlos Ruisanchez</w:t>
      </w:r>
    </w:p>
    <w:p>
      <w:pPr>
        <w:spacing w:after="0" w:line="12" w:lineRule="exact"/>
        <w:rPr>
          <w:sz w:val="20"/>
          <w:szCs w:val="20"/>
          <w:color w:val="auto"/>
        </w:rPr>
      </w:pPr>
    </w:p>
    <w:p>
      <w:pPr>
        <w:ind w:right="340"/>
        <w:spacing w:after="0" w:line="241" w:lineRule="auto"/>
        <w:rPr>
          <w:sz w:val="20"/>
          <w:szCs w:val="20"/>
          <w:color w:val="auto"/>
        </w:rPr>
      </w:pPr>
      <w:r>
        <w:rPr>
          <w:rFonts w:ascii="Arial" w:cs="Arial" w:eastAsia="Arial" w:hAnsi="Arial"/>
          <w:sz w:val="12"/>
          <w:szCs w:val="12"/>
          <w:color w:val="auto"/>
        </w:rPr>
        <w:t>Finance leader with a proven ability to scale casino, gaming, lodging and leisure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337185</wp:posOffset>
            </wp:positionV>
            <wp:extent cx="76835" cy="431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3340"/>
          </w:cols>
          <w:pgMar w:left="1240" w:top="114" w:right="12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010035"/>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642620" cy="5397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2620" cy="53975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28575</wp:posOffset>
            </wp:positionV>
            <wp:extent cx="643255" cy="5397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5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69439A"/>
        </w:rPr>
        <w:t>Heather Ace</w:t>
      </w:r>
    </w:p>
    <w:p>
      <w:pPr>
        <w:spacing w:after="0" w:line="12" w:lineRule="exact"/>
        <w:rPr>
          <w:sz w:val="20"/>
          <w:szCs w:val="20"/>
          <w:color w:val="auto"/>
        </w:rPr>
      </w:pPr>
    </w:p>
    <w:p>
      <w:pPr>
        <w:ind w:left="1220" w:right="700"/>
        <w:spacing w:after="0" w:line="265" w:lineRule="auto"/>
        <w:rPr>
          <w:sz w:val="20"/>
          <w:szCs w:val="20"/>
          <w:color w:val="auto"/>
        </w:rPr>
      </w:pPr>
      <w:r>
        <w:rPr>
          <w:rFonts w:ascii="Arial" w:cs="Arial" w:eastAsia="Arial" w:hAnsi="Arial"/>
          <w:sz w:val="11"/>
          <w:szCs w:val="11"/>
          <w:color w:val="auto"/>
        </w:rPr>
        <w:t>Human capital and talent management leader with strong legal, risk oversight and enterprise transformation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Jeffrey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-164465</wp:posOffset>
            </wp:positionV>
            <wp:extent cx="643255" cy="5397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ind w:right="680"/>
        <w:spacing w:after="0" w:line="270" w:lineRule="auto"/>
        <w:rPr>
          <w:sz w:val="20"/>
          <w:szCs w:val="20"/>
          <w:color w:val="auto"/>
        </w:rPr>
      </w:pPr>
      <w:r>
        <w:rPr>
          <w:rFonts w:ascii="Arial" w:cs="Arial" w:eastAsia="Arial" w:hAnsi="Arial"/>
          <w:sz w:val="11"/>
          <w:szCs w:val="11"/>
          <w:color w:val="auto"/>
        </w:rPr>
        <w:t>Strategic operations executive with deep technology, capital markets and financial knowledge.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69439A"/>
        </w:rPr>
        <w:t>Fabio Schiavolin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-335915</wp:posOffset>
            </wp:positionV>
            <wp:extent cx="76835" cy="1631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163195"/>
                    </a:xfrm>
                    <a:prstGeom prst="rect">
                      <a:avLst/>
                    </a:prstGeom>
                    <a:noFill/>
                  </pic:spPr>
                </pic:pic>
              </a:graphicData>
            </a:graphic>
          </wp:anchor>
        </w:drawing>
      </w:r>
    </w:p>
    <w:p>
      <w:pPr>
        <w:ind w:right="220"/>
        <w:spacing w:after="0" w:line="263" w:lineRule="auto"/>
        <w:rPr>
          <w:sz w:val="20"/>
          <w:szCs w:val="20"/>
          <w:color w:val="auto"/>
        </w:rPr>
      </w:pPr>
      <w:r>
        <w:rPr>
          <w:rFonts w:ascii="Arial" w:cs="Arial" w:eastAsia="Arial" w:hAnsi="Arial"/>
          <w:sz w:val="11"/>
          <w:szCs w:val="11"/>
          <w:color w:val="auto"/>
        </w:rPr>
        <w:t>International gaming markets, sports betting, and omnichannel expert with extensive understanding of customer loyalty and industry dynamics.</w:t>
      </w:r>
    </w:p>
    <w:p>
      <w:pPr>
        <w:spacing w:after="0" w:line="200" w:lineRule="exact"/>
        <w:rPr>
          <w:sz w:val="20"/>
          <w:szCs w:val="20"/>
          <w:color w:val="auto"/>
        </w:rPr>
      </w:pPr>
    </w:p>
    <w:p>
      <w:pPr>
        <w:sectPr>
          <w:pgSz w:w="11900" w:h="16838" w:orient="portrait"/>
          <w:cols w:equalWidth="0" w:num="3">
            <w:col w:w="3640" w:space="720"/>
            <w:col w:w="2420" w:space="720"/>
            <w:col w:w="1900"/>
          </w:cols>
          <w:pgMar w:left="1240" w:top="114" w:right="125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180"/>
        <w:spacing w:after="0" w:line="256" w:lineRule="auto"/>
        <w:rPr>
          <w:sz w:val="20"/>
          <w:szCs w:val="20"/>
          <w:color w:val="auto"/>
        </w:rPr>
      </w:pPr>
      <w:r>
        <w:rPr>
          <w:rFonts w:ascii="Arial" w:cs="Arial" w:eastAsia="Arial" w:hAnsi="Arial"/>
          <w:sz w:val="14"/>
          <w:szCs w:val="14"/>
          <w:color w:val="auto"/>
        </w:rPr>
        <w:t>On February 22, 2026, PENN entered into a cooperation agreement (the “Cooperation Agreement”) with HG Vora Capital Management, LLC and certain related parties (collectively, “HG Vora”), pursuant to which the Board took all action necessary to appoint (i) Heather Ace as a Class II director with a term expiring at the Company’s 2028 Annual Meeting of Shareholders, (ii) Jeffrey Fox as a Class II director with a term expiring at the Company’s 2028 Annual Meeting of Shareholders, and (iii) Fabio Schiavolin as a Class III director with a term expiring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92710</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Cooperation Agreement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280"/>
        <w:spacing w:after="0" w:line="251" w:lineRule="auto"/>
        <w:rPr>
          <w:sz w:val="20"/>
          <w:szCs w:val="20"/>
          <w:color w:val="auto"/>
        </w:rPr>
      </w:pPr>
      <w:r>
        <w:rPr>
          <w:rFonts w:ascii="Arial" w:cs="Arial" w:eastAsia="Arial" w:hAnsi="Arial"/>
          <w:sz w:val="14"/>
          <w:szCs w:val="14"/>
          <w:color w:val="auto"/>
        </w:rPr>
        <w:t>The Cooperation Agreement further provides that the Company will use its reasonable best efforts to cause the election of Mr. Schiavolin at the Annual Meeting, including by listing Mr. Schiavolin in the proxy card, recommending that the Company’s shareholders vote in favor of</w:t>
      </w:r>
    </w:p>
    <w:p>
      <w:pPr>
        <w:spacing w:after="0" w:line="1" w:lineRule="exact"/>
        <w:rPr>
          <w:sz w:val="20"/>
          <w:szCs w:val="20"/>
          <w:color w:val="auto"/>
        </w:rPr>
      </w:pPr>
    </w:p>
    <w:p>
      <w:pPr>
        <w:ind w:right="500"/>
        <w:spacing w:after="0" w:line="264" w:lineRule="auto"/>
        <w:rPr>
          <w:sz w:val="20"/>
          <w:szCs w:val="20"/>
          <w:color w:val="auto"/>
        </w:rPr>
      </w:pPr>
      <w:r>
        <w:rPr>
          <w:rFonts w:ascii="Arial" w:cs="Arial" w:eastAsia="Arial" w:hAnsi="Arial"/>
          <w:sz w:val="14"/>
          <w:szCs w:val="14"/>
          <w:color w:val="auto"/>
        </w:rPr>
        <w:t>Mr. Schiavolin’s election and otherwise supporting him for election in a manner no less rigorous and favorable than the manner in which the Company supports its other nominees in the aggregate.</w:t>
      </w:r>
    </w:p>
    <w:p>
      <w:pPr>
        <w:spacing w:after="0" w:line="64" w:lineRule="exact"/>
        <w:rPr>
          <w:sz w:val="20"/>
          <w:szCs w:val="20"/>
          <w:color w:val="auto"/>
        </w:rPr>
      </w:pPr>
    </w:p>
    <w:p>
      <w:pPr>
        <w:ind w:right="420"/>
        <w:spacing w:after="0" w:line="285" w:lineRule="auto"/>
        <w:rPr>
          <w:sz w:val="20"/>
          <w:szCs w:val="20"/>
          <w:color w:val="auto"/>
        </w:rPr>
      </w:pPr>
      <w:r>
        <w:rPr>
          <w:rFonts w:ascii="Arial" w:cs="Arial" w:eastAsia="Arial" w:hAnsi="Arial"/>
          <w:sz w:val="14"/>
          <w:szCs w:val="14"/>
          <w:color w:val="auto"/>
        </w:rPr>
        <w:t>The Company also agreed to not decrease the number of directors classified as Class II to fewer than four directors until after the date of the Company’s 2028 Annual Meeting of Shareholders.</w:t>
      </w:r>
    </w:p>
    <w:p>
      <w:pPr>
        <w:spacing w:after="0" w:line="5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Pursuant to the Cooperation Agreement, HG Vora agreed to abide by certain customary standstill restrictions, and the Company and HG Vora have also agreed to certain non-disparagement obligations, in each case which remain in effect until the forty-five days prior to the deadline for the submission of shareholder nominations of directors and business proposals for the Company’s 2028 Annual Meeting of Shareholders. The Cooperation Agreement also contains certain customary voting commitments by HG Vora, as well as other customary provisions.</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The Company’s governing documents allow the roles of Board Chair and Chief Executive Officer to be filled by the same or different individuals. This approach allows the Board flexibility to determine whether the two roles should be separated or combined based on the Company’s evolving needs at a given time and the Board’s assessment of the Company’s current leadership.</w:t>
      </w:r>
    </w:p>
    <w:p>
      <w:pPr>
        <w:spacing w:after="0" w:line="65"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color w:val="auto"/>
        </w:rPr>
        <w:t>The Board will periodically consider the advantages of having an independent Board Chair or a combined Board Chair and CEO and is open to different structures as circumstances may warrant.</w:t>
      </w:r>
    </w:p>
    <w:p>
      <w:pPr>
        <w:spacing w:after="0" w:line="50"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The roles of our Board Chair and CEO have been split for over ten years. Mr. Snowden, our CEO and President, is responsible for the general management and operation of the business, providing guidance and oversight to senior management and formulating the strategic direction of the Company. The Board Chair is responsible for the content, quality and timeliness of information provided to our Board, consults with the full Board, which includes our CEO, and sets Board meeting agendas and presides over meetings, which we believe promotes a clear delineation of responsibilities between the Board and management.</w:t>
      </w:r>
    </w:p>
    <w:p>
      <w:pPr>
        <w:spacing w:after="0" w:line="73"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David Handler, who is an independent director, has served as our Board Chair since June 2019. Mr. Handler joined our Board in 1994 and is a partner at Tidal Partners, an independent financial advisory firm that provides M&amp;A and strategic advisory services focused on the technology industry. The Board believes that Mr. Handler is best suited to serve as Board Chair because of his considerable investment banking and capital markets experience, including a focus on mergers and acquisitions and other significant transactions (including many in the technology sector), which complements his seasoned expertise in and exposure to the gaming industry. Mr. Handler’s background has been an invaluable asset to the Company, particularly in connection with evaluating potential acquisitions and financing opportunities and in assessing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104140</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Board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Board prioritizes facilitating a boardroom dynamic and culture that supports a number of priority areas,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231775</wp:posOffset>
            </wp:positionV>
            <wp:extent cx="5756275" cy="34328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56275" cy="343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60" w:right="800"/>
        <w:spacing w:after="0" w:line="263" w:lineRule="auto"/>
        <w:rPr>
          <w:sz w:val="20"/>
          <w:szCs w:val="20"/>
          <w:color w:val="auto"/>
        </w:rPr>
      </w:pPr>
      <w:r>
        <w:rPr>
          <w:rFonts w:ascii="Arial" w:cs="Arial" w:eastAsia="Arial" w:hAnsi="Arial"/>
          <w:sz w:val="14"/>
          <w:szCs w:val="14"/>
          <w:b w:val="1"/>
          <w:bCs w:val="1"/>
          <w:color w:val="010035"/>
        </w:rPr>
        <w:t xml:space="preserve">Active Director Refreshment: </w:t>
      </w:r>
      <w:r>
        <w:rPr>
          <w:rFonts w:ascii="Arial" w:cs="Arial" w:eastAsia="Arial" w:hAnsi="Arial"/>
          <w:sz w:val="14"/>
          <w:szCs w:val="14"/>
          <w:color w:val="010035"/>
        </w:rPr>
        <w:t>The Board maintains an active practice of refreshing the Board with new perspectives that</w:t>
      </w:r>
      <w:r>
        <w:rPr>
          <w:rFonts w:ascii="Arial" w:cs="Arial" w:eastAsia="Arial" w:hAnsi="Arial"/>
          <w:sz w:val="14"/>
          <w:szCs w:val="14"/>
          <w:b w:val="1"/>
          <w:bCs w:val="1"/>
          <w:color w:val="010035"/>
        </w:rPr>
        <w:t xml:space="preserve"> </w:t>
      </w:r>
      <w:r>
        <w:rPr>
          <w:rFonts w:ascii="Arial" w:cs="Arial" w:eastAsia="Arial" w:hAnsi="Arial"/>
          <w:sz w:val="14"/>
          <w:szCs w:val="14"/>
          <w:color w:val="010035"/>
        </w:rPr>
        <w:t>support its oversight of the Company’s evolving growth and strategy. The Board maintains a comprehensive onboarding process for new directors and an active commitment to continuing education for all directors.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60" w:right="680"/>
        <w:spacing w:after="0" w:line="252" w:lineRule="auto"/>
        <w:rPr>
          <w:sz w:val="20"/>
          <w:szCs w:val="20"/>
          <w:color w:val="auto"/>
        </w:rPr>
      </w:pPr>
      <w:r>
        <w:rPr>
          <w:rFonts w:ascii="Arial" w:cs="Arial" w:eastAsia="Arial" w:hAnsi="Arial"/>
          <w:sz w:val="14"/>
          <w:szCs w:val="14"/>
          <w:b w:val="1"/>
          <w:bCs w:val="1"/>
          <w:color w:val="010035"/>
        </w:rPr>
        <w:t xml:space="preserve">Board Independence: </w:t>
      </w:r>
      <w:r>
        <w:rPr>
          <w:rFonts w:ascii="Arial" w:cs="Arial" w:eastAsia="Arial" w:hAnsi="Arial"/>
          <w:sz w:val="14"/>
          <w:szCs w:val="14"/>
          <w:color w:val="010035"/>
        </w:rPr>
        <w:t>The Board maintains an independent Board Chair to underscore its prioritization of independence in</w:t>
      </w:r>
      <w:r>
        <w:rPr>
          <w:rFonts w:ascii="Arial" w:cs="Arial" w:eastAsia="Arial" w:hAnsi="Arial"/>
          <w:sz w:val="14"/>
          <w:szCs w:val="14"/>
          <w:b w:val="1"/>
          <w:bCs w:val="1"/>
          <w:color w:val="010035"/>
        </w:rPr>
        <w:t xml:space="preserve"> </w:t>
      </w:r>
      <w:r>
        <w:rPr>
          <w:rFonts w:ascii="Arial" w:cs="Arial" w:eastAsia="Arial" w:hAnsi="Arial"/>
          <w:sz w:val="14"/>
          <w:szCs w:val="14"/>
          <w:color w:val="010035"/>
        </w:rPr>
        <w:t>its members and leadership and to facilitate effective evaluations and oversight of Company risks. All directors on the Board are independent except for our CEO, who the Board believes provides critical operational and strategic business perspectives to Board discussions. This structure also supports the Board’s priority of overseeing an ongoing talent management and succession planning process.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0" w:right="620"/>
        <w:spacing w:after="0" w:line="256" w:lineRule="auto"/>
        <w:rPr>
          <w:sz w:val="20"/>
          <w:szCs w:val="20"/>
          <w:color w:val="auto"/>
        </w:rPr>
      </w:pPr>
      <w:r>
        <w:rPr>
          <w:rFonts w:ascii="Arial" w:cs="Arial" w:eastAsia="Arial" w:hAnsi="Arial"/>
          <w:sz w:val="14"/>
          <w:szCs w:val="14"/>
          <w:b w:val="1"/>
          <w:bCs w:val="1"/>
          <w:color w:val="010035"/>
        </w:rPr>
        <w:t xml:space="preserve">Alignment with Shareholder Interests: </w:t>
      </w:r>
      <w:r>
        <w:rPr>
          <w:rFonts w:ascii="Arial" w:cs="Arial" w:eastAsia="Arial" w:hAnsi="Arial"/>
          <w:sz w:val="14"/>
          <w:szCs w:val="14"/>
          <w:color w:val="010035"/>
        </w:rPr>
        <w:t>The Board maintains open and active dialogue with all of PENN’s stakeholders and</w:t>
      </w:r>
      <w:r>
        <w:rPr>
          <w:rFonts w:ascii="Arial" w:cs="Arial" w:eastAsia="Arial" w:hAnsi="Arial"/>
          <w:sz w:val="14"/>
          <w:szCs w:val="14"/>
          <w:b w:val="1"/>
          <w:bCs w:val="1"/>
          <w:color w:val="010035"/>
        </w:rPr>
        <w:t xml:space="preserve"> </w:t>
      </w:r>
      <w:r>
        <w:rPr>
          <w:rFonts w:ascii="Arial" w:cs="Arial" w:eastAsia="Arial" w:hAnsi="Arial"/>
          <w:sz w:val="14"/>
          <w:szCs w:val="14"/>
          <w:color w:val="010035"/>
        </w:rPr>
        <w:t>amongst each other to help ensure continued evolution and to meet leading governance standards, including shareholder aligned provisions such as robust stock ownership guidelines, a clawback policy that extends beyond Dodd-Frank requirements, annual ‘Say-on-Pay’ vote and semi-annual shareholder engagement program.</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60" w:right="880"/>
        <w:spacing w:after="0" w:line="263" w:lineRule="auto"/>
        <w:rPr>
          <w:sz w:val="20"/>
          <w:szCs w:val="20"/>
          <w:color w:val="auto"/>
        </w:rPr>
      </w:pPr>
      <w:r>
        <w:rPr>
          <w:rFonts w:ascii="Arial" w:cs="Arial" w:eastAsia="Arial" w:hAnsi="Arial"/>
          <w:sz w:val="14"/>
          <w:szCs w:val="14"/>
          <w:b w:val="1"/>
          <w:bCs w:val="1"/>
          <w:color w:val="010035"/>
        </w:rPr>
        <w:t xml:space="preserve">Risk Management: </w:t>
      </w:r>
      <w:r>
        <w:rPr>
          <w:rFonts w:ascii="Arial" w:cs="Arial" w:eastAsia="Arial" w:hAnsi="Arial"/>
          <w:sz w:val="14"/>
          <w:szCs w:val="14"/>
          <w:color w:val="010035"/>
        </w:rPr>
        <w:t>The committees of the Board meet throughout the year to provide comprehensive oversight of the</w:t>
      </w:r>
      <w:r>
        <w:rPr>
          <w:rFonts w:ascii="Arial" w:cs="Arial" w:eastAsia="Arial" w:hAnsi="Arial"/>
          <w:sz w:val="14"/>
          <w:szCs w:val="14"/>
          <w:b w:val="1"/>
          <w:bCs w:val="1"/>
          <w:color w:val="010035"/>
        </w:rPr>
        <w:t xml:space="preserve"> </w:t>
      </w:r>
      <w:r>
        <w:rPr>
          <w:rFonts w:ascii="Arial" w:cs="Arial" w:eastAsia="Arial" w:hAnsi="Arial"/>
          <w:sz w:val="14"/>
          <w:szCs w:val="14"/>
          <w:color w:val="010035"/>
        </w:rPr>
        <w:t>financial, strategic, regulatory and operational risks facing PENN. Additional details on specific risk oversight priorities for each committee are detailed below.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5400" w:type="dxa"/>
            <w:vAlign w:val="bottom"/>
          </w:tcPr>
          <w:p>
            <w:pPr>
              <w:spacing w:after="0"/>
              <w:rPr>
                <w:sz w:val="20"/>
                <w:szCs w:val="20"/>
                <w:color w:val="auto"/>
              </w:rPr>
            </w:pPr>
            <w:r>
              <w:rPr>
                <w:rFonts w:ascii="Arial" w:cs="Arial" w:eastAsia="Arial" w:hAnsi="Arial"/>
                <w:sz w:val="22"/>
                <w:szCs w:val="22"/>
                <w:b w:val="1"/>
                <w:bCs w:val="1"/>
                <w:color w:val="69439A"/>
              </w:rPr>
              <w:t>2025 Board and Committee Meetings</w:t>
            </w:r>
          </w:p>
        </w:tc>
        <w:tc>
          <w:tcPr>
            <w:tcW w:w="3780" w:type="dxa"/>
            <w:vAlign w:val="bottom"/>
            <w:shd w:val="clear" w:color="auto" w:fill="69439A"/>
          </w:tcPr>
          <w:p>
            <w:pPr>
              <w:ind w:left="100"/>
              <w:spacing w:after="0"/>
              <w:rPr>
                <w:sz w:val="20"/>
                <w:szCs w:val="20"/>
                <w:color w:val="auto"/>
              </w:rPr>
            </w:pPr>
            <w:r>
              <w:rPr>
                <w:rFonts w:ascii="Arial" w:cs="Arial" w:eastAsia="Arial" w:hAnsi="Arial"/>
                <w:sz w:val="22"/>
                <w:szCs w:val="22"/>
                <w:b w:val="1"/>
                <w:bCs w:val="1"/>
                <w:color w:val="FFFFFF"/>
                <w:w w:val="87"/>
              </w:rPr>
              <w:t>  BOARD MEETINGS HELD IN 2025: 35</w:t>
            </w:r>
          </w:p>
        </w:tc>
        <w:tc>
          <w:tcPr>
            <w:tcW w:w="220" w:type="dxa"/>
            <w:vAlign w:val="bottom"/>
          </w:tcPr>
          <w:p>
            <w:pPr>
              <w:spacing w:after="0"/>
              <w:rPr>
                <w:sz w:val="24"/>
                <w:szCs w:val="24"/>
                <w:color w:val="auto"/>
              </w:rPr>
            </w:pPr>
          </w:p>
        </w:tc>
      </w:tr>
      <w:tr>
        <w:trPr>
          <w:trHeight w:val="27"/>
        </w:trPr>
        <w:tc>
          <w:tcPr>
            <w:tcW w:w="5400" w:type="dxa"/>
            <w:vAlign w:val="bottom"/>
            <w:tcBorders>
              <w:bottom w:val="single" w:sz="8" w:color="69439A"/>
            </w:tcBorders>
          </w:tcPr>
          <w:p>
            <w:pPr>
              <w:spacing w:after="0"/>
              <w:rPr>
                <w:sz w:val="2"/>
                <w:szCs w:val="2"/>
                <w:color w:val="auto"/>
              </w:rPr>
            </w:pPr>
          </w:p>
        </w:tc>
        <w:tc>
          <w:tcPr>
            <w:tcW w:w="3780" w:type="dxa"/>
            <w:vAlign w:val="bottom"/>
            <w:tcBorders>
              <w:bottom w:val="single" w:sz="8" w:color="69439A"/>
            </w:tcBorders>
            <w:shd w:val="clear" w:color="auto" w:fill="69439A"/>
          </w:tcPr>
          <w:p>
            <w:pPr>
              <w:spacing w:after="0"/>
              <w:rPr>
                <w:sz w:val="2"/>
                <w:szCs w:val="2"/>
                <w:color w:val="auto"/>
              </w:rPr>
            </w:pPr>
          </w:p>
        </w:tc>
        <w:tc>
          <w:tcPr>
            <w:tcW w:w="220" w:type="dxa"/>
            <w:vAlign w:val="bottom"/>
            <w:tcBorders>
              <w:bottom w:val="single" w:sz="8" w:color="69439A"/>
            </w:tcBorders>
          </w:tcPr>
          <w:p>
            <w:pPr>
              <w:spacing w:after="0"/>
              <w:rPr>
                <w:sz w:val="2"/>
                <w:szCs w:val="2"/>
                <w:color w:val="auto"/>
              </w:rPr>
            </w:pPr>
          </w:p>
        </w:tc>
      </w:tr>
    </w:tbl>
    <w:p>
      <w:pPr>
        <w:spacing w:after="0" w:line="207" w:lineRule="exact"/>
        <w:rPr>
          <w:sz w:val="20"/>
          <w:szCs w:val="20"/>
          <w:color w:val="auto"/>
        </w:rPr>
      </w:pPr>
    </w:p>
    <w:p>
      <w:pPr>
        <w:ind w:right="260"/>
        <w:spacing w:after="0" w:line="256" w:lineRule="auto"/>
        <w:rPr>
          <w:sz w:val="20"/>
          <w:szCs w:val="20"/>
          <w:color w:val="auto"/>
        </w:rPr>
      </w:pPr>
      <w:r>
        <w:rPr>
          <w:rFonts w:ascii="Arial" w:cs="Arial" w:eastAsia="Arial" w:hAnsi="Arial"/>
          <w:sz w:val="14"/>
          <w:szCs w:val="14"/>
          <w:color w:val="auto"/>
        </w:rPr>
        <w:t>Each member of the Board contributes a substantial amount of time and effort to serve as a Board and Committee member. In addition to Board and Committee meetings, our Board of Directors and its Committees act by written consent from time to time as appropriate. Further, Board members are encouraged to, and regularly do, engage in informal discussions with each other and members of management, and they are provided with periodic management reports and updates. The independent directors meet periodically in executive session.</w:t>
      </w:r>
    </w:p>
    <w:p>
      <w:pPr>
        <w:spacing w:after="0" w:line="69"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During the year ended December 31, 2025, our Board held 35 meetings, with each of the Company’s directors attending at least 75% of the meetings of the Board and Committees of the Board of which he or she was a member. The Company encourages directors to attend shareholder meetings, and all but one of the incumbent directors then serving on the Board attended the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The Board maintains four standing Committees: the Audit Committee, the Compensation Committee, the Nominating and Corporate Governance Committee and the Compliance Committee. Members serve on these committees until their resignation or as otherwise determined by our Board. The specific duties and operation of each Committee are described in more detail below. The Board has determined that each director serving on the Audit Committee, the Compensation Committee and the Nominating and Corporate Governance Committee is independent under the Nasdaq Rules and the applicable rules and regulations of the SEC. The Compliance Committee also includes two independent non-director subject matter experts who provide extensive gaming regulatory experience, one of whom serves as Compliance Committee Chair. Each of the Audit Committee, Compensation Committee and Nominating and Corporate Governance Committee operates under a written charter adopted by the Board that is reviewed annually and is available at https://www.pennentertainment.com/corp/investors/corporate-governance.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below reflects the composition of each Committee as of the Record Date of this Proxy Statement.</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In addition to being independent as noted above, the Board has determined that Jane Scaccetti also meets the financial literacy requirements under the Nasdaq Rules and is an “audit committee financial expert” within the meaning of the rules and regulations of the SEC. In addition, Ms. Scaccetti has practiced as a certified public accountant since 1977 and has significant experience as an Audit Committee member on several public-company boards, which makes her particularly well qualified to serve as Chair.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459"/>
        </w:trPr>
        <w:tc>
          <w:tcPr>
            <w:tcW w:w="6560" w:type="dxa"/>
            <w:vAlign w:val="bottom"/>
            <w:shd w:val="clear" w:color="auto" w:fill="010035"/>
          </w:tcPr>
          <w:p>
            <w:pPr>
              <w:ind w:left="320"/>
              <w:spacing w:after="0"/>
              <w:rPr>
                <w:sz w:val="20"/>
                <w:szCs w:val="20"/>
                <w:color w:val="auto"/>
              </w:rPr>
            </w:pPr>
            <w:r>
              <w:rPr>
                <w:rFonts w:ascii="Arial" w:cs="Arial" w:eastAsia="Arial" w:hAnsi="Arial"/>
                <w:sz w:val="22"/>
                <w:szCs w:val="22"/>
                <w:b w:val="1"/>
                <w:bCs w:val="1"/>
                <w:color w:val="FFFFFF"/>
              </w:rPr>
              <w:t>AUDIT COMMITTEE MEMBERS</w:t>
            </w:r>
          </w:p>
        </w:tc>
        <w:tc>
          <w:tcPr>
            <w:tcW w:w="2840" w:type="dxa"/>
            <w:vAlign w:val="bottom"/>
            <w:shd w:val="clear" w:color="auto" w:fill="69439A"/>
          </w:tcPr>
          <w:p>
            <w:pPr>
              <w:ind w:left="120"/>
              <w:spacing w:after="0"/>
              <w:rPr>
                <w:sz w:val="20"/>
                <w:szCs w:val="20"/>
                <w:color w:val="auto"/>
              </w:rPr>
            </w:pPr>
            <w:r>
              <w:rPr>
                <w:rFonts w:ascii="Arial" w:cs="Arial" w:eastAsia="Arial" w:hAnsi="Arial"/>
                <w:sz w:val="22"/>
                <w:szCs w:val="22"/>
                <w:b w:val="1"/>
                <w:bCs w:val="1"/>
                <w:color w:val="FFFFFF"/>
                <w:w w:val="93"/>
              </w:rPr>
              <w:t>MEETINGS HELD IN 2025: 6</w:t>
            </w:r>
          </w:p>
        </w:tc>
      </w:tr>
      <w:tr>
        <w:trPr>
          <w:trHeight w:val="108"/>
        </w:trPr>
        <w:tc>
          <w:tcPr>
            <w:tcW w:w="6560" w:type="dxa"/>
            <w:vAlign w:val="bottom"/>
            <w:shd w:val="clear" w:color="auto" w:fill="010035"/>
          </w:tcPr>
          <w:p>
            <w:pPr>
              <w:spacing w:after="0"/>
              <w:rPr>
                <w:sz w:val="9"/>
                <w:szCs w:val="9"/>
                <w:color w:val="auto"/>
              </w:rPr>
            </w:pPr>
          </w:p>
        </w:tc>
        <w:tc>
          <w:tcPr>
            <w:tcW w:w="2840" w:type="dxa"/>
            <w:vAlign w:val="bottom"/>
            <w:shd w:val="clear" w:color="auto" w:fill="69439A"/>
          </w:tcPr>
          <w:p>
            <w:pPr>
              <w:spacing w:after="0"/>
              <w:rPr>
                <w:sz w:val="9"/>
                <w:szCs w:val="9"/>
                <w:color w:val="auto"/>
              </w:rPr>
            </w:pPr>
          </w:p>
        </w:tc>
      </w:tr>
      <w:tr>
        <w:trPr>
          <w:trHeight w:val="176"/>
        </w:trPr>
        <w:tc>
          <w:tcPr>
            <w:tcW w:w="6560" w:type="dxa"/>
            <w:vAlign w:val="bottom"/>
            <w:shd w:val="clear" w:color="auto" w:fill="DED8EC"/>
          </w:tcPr>
          <w:p>
            <w:pPr>
              <w:spacing w:after="0"/>
              <w:rPr>
                <w:sz w:val="15"/>
                <w:szCs w:val="15"/>
                <w:color w:val="auto"/>
              </w:rPr>
            </w:pPr>
          </w:p>
        </w:tc>
        <w:tc>
          <w:tcPr>
            <w:tcW w:w="2840" w:type="dxa"/>
            <w:vAlign w:val="bottom"/>
            <w:shd w:val="clear" w:color="auto" w:fill="DED8E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5134610" cy="14916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34610" cy="1491615"/>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1673"/>
        </w:trPr>
        <w:tc>
          <w:tcPr>
            <w:tcW w:w="2240" w:type="dxa"/>
            <w:vAlign w:val="bottom"/>
            <w:shd w:val="clear" w:color="auto" w:fill="DED8EC"/>
          </w:tcPr>
          <w:p>
            <w:pPr>
              <w:ind w:left="660"/>
              <w:spacing w:after="0"/>
              <w:rPr>
                <w:sz w:val="20"/>
                <w:szCs w:val="20"/>
                <w:color w:val="auto"/>
              </w:rPr>
            </w:pPr>
            <w:r>
              <w:rPr>
                <w:rFonts w:ascii="Arial" w:cs="Arial" w:eastAsia="Arial" w:hAnsi="Arial"/>
                <w:sz w:val="14"/>
                <w:szCs w:val="14"/>
                <w:color w:val="auto"/>
              </w:rPr>
              <w:t> </w:t>
            </w:r>
          </w:p>
        </w:tc>
        <w:tc>
          <w:tcPr>
            <w:tcW w:w="300" w:type="dxa"/>
            <w:vAlign w:val="bottom"/>
            <w:shd w:val="clear" w:color="auto" w:fill="DED8EC"/>
          </w:tcPr>
          <w:p>
            <w:pPr>
              <w:ind w:left="40"/>
              <w:spacing w:after="0"/>
              <w:rPr>
                <w:sz w:val="20"/>
                <w:szCs w:val="20"/>
                <w:color w:val="auto"/>
              </w:rPr>
            </w:pPr>
            <w:r>
              <w:rPr>
                <w:rFonts w:ascii="Arial" w:cs="Arial" w:eastAsia="Arial" w:hAnsi="Arial"/>
                <w:sz w:val="14"/>
                <w:szCs w:val="14"/>
                <w:color w:val="auto"/>
              </w:rPr>
              <w:t> </w:t>
            </w:r>
          </w:p>
        </w:tc>
        <w:tc>
          <w:tcPr>
            <w:tcW w:w="1760" w:type="dxa"/>
            <w:vAlign w:val="bottom"/>
            <w:shd w:val="clear" w:color="auto" w:fill="DED8EC"/>
          </w:tcPr>
          <w:p>
            <w:pPr>
              <w:spacing w:after="0"/>
              <w:rPr>
                <w:sz w:val="24"/>
                <w:szCs w:val="24"/>
                <w:color w:val="auto"/>
              </w:rPr>
            </w:pPr>
          </w:p>
        </w:tc>
        <w:tc>
          <w:tcPr>
            <w:tcW w:w="3800" w:type="dxa"/>
            <w:vAlign w:val="bottom"/>
            <w:shd w:val="clear" w:color="auto" w:fill="DED8EC"/>
          </w:tcPr>
          <w:p>
            <w:pPr>
              <w:ind w:left="260"/>
              <w:spacing w:after="0"/>
              <w:rPr>
                <w:sz w:val="20"/>
                <w:szCs w:val="20"/>
                <w:color w:val="auto"/>
              </w:rPr>
            </w:pPr>
            <w:r>
              <w:rPr>
                <w:rFonts w:ascii="Arial" w:cs="Arial" w:eastAsia="Arial" w:hAnsi="Arial"/>
                <w:sz w:val="14"/>
                <w:szCs w:val="14"/>
                <w:color w:val="auto"/>
              </w:rPr>
              <w:t xml:space="preserve">  </w:t>
            </w:r>
          </w:p>
        </w:tc>
      </w:tr>
      <w:tr>
        <w:trPr>
          <w:trHeight w:val="174"/>
        </w:trPr>
        <w:tc>
          <w:tcPr>
            <w:tcW w:w="2240" w:type="dxa"/>
            <w:vAlign w:val="bottom"/>
            <w:shd w:val="clear" w:color="auto" w:fill="DED8EC"/>
          </w:tcPr>
          <w:p>
            <w:pPr>
              <w:jc w:val="center"/>
              <w:spacing w:after="0"/>
              <w:rPr>
                <w:sz w:val="20"/>
                <w:szCs w:val="20"/>
                <w:color w:val="auto"/>
              </w:rPr>
            </w:pPr>
            <w:r>
              <w:rPr>
                <w:rFonts w:ascii="Arial" w:cs="Arial" w:eastAsia="Arial" w:hAnsi="Arial"/>
                <w:sz w:val="14"/>
                <w:szCs w:val="14"/>
                <w:b w:val="1"/>
                <w:bCs w:val="1"/>
                <w:color w:val="auto"/>
              </w:rPr>
              <w:t>Jane Scaccetti</w:t>
            </w:r>
          </w:p>
        </w:tc>
        <w:tc>
          <w:tcPr>
            <w:tcW w:w="300" w:type="dxa"/>
            <w:vAlign w:val="bottom"/>
            <w:shd w:val="clear" w:color="auto" w:fill="DED8EC"/>
          </w:tcPr>
          <w:p>
            <w:pPr>
              <w:spacing w:after="0"/>
              <w:rPr>
                <w:sz w:val="15"/>
                <w:szCs w:val="15"/>
                <w:color w:val="auto"/>
              </w:rPr>
            </w:pPr>
          </w:p>
        </w:tc>
        <w:tc>
          <w:tcPr>
            <w:tcW w:w="1760" w:type="dxa"/>
            <w:vAlign w:val="bottom"/>
            <w:shd w:val="clear" w:color="auto" w:fill="DED8EC"/>
          </w:tcPr>
          <w:p>
            <w:pPr>
              <w:jc w:val="center"/>
              <w:spacing w:after="0"/>
              <w:rPr>
                <w:sz w:val="20"/>
                <w:szCs w:val="20"/>
                <w:color w:val="auto"/>
              </w:rPr>
            </w:pPr>
            <w:r>
              <w:rPr>
                <w:rFonts w:ascii="Arial" w:cs="Arial" w:eastAsia="Arial" w:hAnsi="Arial"/>
                <w:sz w:val="14"/>
                <w:szCs w:val="14"/>
                <w:b w:val="1"/>
                <w:bCs w:val="1"/>
                <w:color w:val="auto"/>
              </w:rPr>
              <w:t>Vimla Black-Gupta</w:t>
            </w:r>
          </w:p>
        </w:tc>
        <w:tc>
          <w:tcPr>
            <w:tcW w:w="3800" w:type="dxa"/>
            <w:vAlign w:val="bottom"/>
            <w:shd w:val="clear" w:color="auto" w:fill="DED8EC"/>
          </w:tcPr>
          <w:p>
            <w:pPr>
              <w:jc w:val="center"/>
              <w:ind w:right="1008"/>
              <w:spacing w:after="0"/>
              <w:rPr>
                <w:sz w:val="20"/>
                <w:szCs w:val="20"/>
                <w:color w:val="auto"/>
              </w:rPr>
            </w:pPr>
            <w:r>
              <w:rPr>
                <w:rFonts w:ascii="Arial" w:cs="Arial" w:eastAsia="Arial" w:hAnsi="Arial"/>
                <w:sz w:val="14"/>
                <w:szCs w:val="14"/>
                <w:b w:val="1"/>
                <w:bCs w:val="1"/>
                <w:color w:val="auto"/>
              </w:rPr>
              <w:t>Anuj Dhanda</w:t>
            </w:r>
          </w:p>
        </w:tc>
      </w:tr>
      <w:tr>
        <w:trPr>
          <w:trHeight w:val="171"/>
        </w:trPr>
        <w:tc>
          <w:tcPr>
            <w:tcW w:w="2240" w:type="dxa"/>
            <w:vAlign w:val="bottom"/>
            <w:shd w:val="clear" w:color="auto" w:fill="DED8EC"/>
          </w:tcPr>
          <w:p>
            <w:pPr>
              <w:jc w:val="center"/>
              <w:spacing w:after="0"/>
              <w:rPr>
                <w:sz w:val="20"/>
                <w:szCs w:val="20"/>
                <w:color w:val="auto"/>
              </w:rPr>
            </w:pPr>
            <w:r>
              <w:rPr>
                <w:rFonts w:ascii="Arial" w:cs="Arial" w:eastAsia="Arial" w:hAnsi="Arial"/>
                <w:sz w:val="14"/>
                <w:szCs w:val="14"/>
                <w:color w:val="auto"/>
              </w:rPr>
              <w:t>Chair</w:t>
            </w:r>
          </w:p>
        </w:tc>
        <w:tc>
          <w:tcPr>
            <w:tcW w:w="300" w:type="dxa"/>
            <w:vAlign w:val="bottom"/>
            <w:shd w:val="clear" w:color="auto" w:fill="DED8EC"/>
          </w:tcPr>
          <w:p>
            <w:pPr>
              <w:spacing w:after="0"/>
              <w:rPr>
                <w:sz w:val="14"/>
                <w:szCs w:val="14"/>
                <w:color w:val="auto"/>
              </w:rPr>
            </w:pPr>
          </w:p>
        </w:tc>
        <w:tc>
          <w:tcPr>
            <w:tcW w:w="1760" w:type="dxa"/>
            <w:vAlign w:val="bottom"/>
            <w:shd w:val="clear" w:color="auto" w:fill="DED8EC"/>
          </w:tcPr>
          <w:p>
            <w:pPr>
              <w:jc w:val="center"/>
              <w:spacing w:after="0"/>
              <w:rPr>
                <w:sz w:val="20"/>
                <w:szCs w:val="20"/>
                <w:color w:val="auto"/>
              </w:rPr>
            </w:pPr>
            <w:r>
              <w:rPr>
                <w:rFonts w:ascii="Arial" w:cs="Arial" w:eastAsia="Arial" w:hAnsi="Arial"/>
                <w:sz w:val="14"/>
                <w:szCs w:val="14"/>
                <w:color w:val="auto"/>
              </w:rPr>
              <w:t>Member</w:t>
            </w:r>
          </w:p>
        </w:tc>
        <w:tc>
          <w:tcPr>
            <w:tcW w:w="3800" w:type="dxa"/>
            <w:vAlign w:val="bottom"/>
            <w:shd w:val="clear" w:color="auto" w:fill="DED8EC"/>
          </w:tcPr>
          <w:p>
            <w:pPr>
              <w:jc w:val="center"/>
              <w:ind w:right="968"/>
              <w:spacing w:after="0"/>
              <w:rPr>
                <w:sz w:val="20"/>
                <w:szCs w:val="20"/>
                <w:color w:val="auto"/>
              </w:rPr>
            </w:pPr>
            <w:r>
              <w:rPr>
                <w:rFonts w:ascii="Arial" w:cs="Arial" w:eastAsia="Arial" w:hAnsi="Arial"/>
                <w:sz w:val="14"/>
                <w:szCs w:val="14"/>
                <w:color w:val="auto"/>
              </w:rPr>
              <w:t>Member</w:t>
            </w:r>
          </w:p>
        </w:tc>
      </w:tr>
      <w:tr>
        <w:trPr>
          <w:trHeight w:val="135"/>
        </w:trPr>
        <w:tc>
          <w:tcPr>
            <w:tcW w:w="2240" w:type="dxa"/>
            <w:vAlign w:val="bottom"/>
            <w:shd w:val="clear" w:color="auto" w:fill="DED8EC"/>
          </w:tcPr>
          <w:p>
            <w:pPr>
              <w:spacing w:after="0"/>
              <w:rPr>
                <w:sz w:val="11"/>
                <w:szCs w:val="11"/>
                <w:color w:val="auto"/>
              </w:rPr>
            </w:pPr>
          </w:p>
        </w:tc>
        <w:tc>
          <w:tcPr>
            <w:tcW w:w="300" w:type="dxa"/>
            <w:vAlign w:val="bottom"/>
            <w:shd w:val="clear" w:color="auto" w:fill="DED8EC"/>
          </w:tcPr>
          <w:p>
            <w:pPr>
              <w:spacing w:after="0"/>
              <w:rPr>
                <w:sz w:val="11"/>
                <w:szCs w:val="11"/>
                <w:color w:val="auto"/>
              </w:rPr>
            </w:pPr>
          </w:p>
        </w:tc>
        <w:tc>
          <w:tcPr>
            <w:tcW w:w="1760" w:type="dxa"/>
            <w:vAlign w:val="bottom"/>
            <w:shd w:val="clear" w:color="auto" w:fill="DED8EC"/>
          </w:tcPr>
          <w:p>
            <w:pPr>
              <w:spacing w:after="0"/>
              <w:rPr>
                <w:sz w:val="11"/>
                <w:szCs w:val="11"/>
                <w:color w:val="auto"/>
              </w:rPr>
            </w:pPr>
          </w:p>
        </w:tc>
        <w:tc>
          <w:tcPr>
            <w:tcW w:w="3800" w:type="dxa"/>
            <w:vAlign w:val="bottom"/>
            <w:shd w:val="clear" w:color="auto" w:fill="DED8EC"/>
          </w:tcPr>
          <w:p>
            <w:pPr>
              <w:spacing w:after="0"/>
              <w:rPr>
                <w:sz w:val="11"/>
                <w:szCs w:val="1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Responsibilities:</w:t>
      </w:r>
    </w:p>
    <w:p>
      <w:pPr>
        <w:spacing w:after="0" w:line="55" w:lineRule="exact"/>
        <w:rPr>
          <w:sz w:val="20"/>
          <w:szCs w:val="20"/>
          <w:color w:val="auto"/>
        </w:rPr>
      </w:pPr>
    </w:p>
    <w:p>
      <w:pPr>
        <w:ind w:left="300" w:hanging="78"/>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Serving as an independent and objective party to monitor the Company’s financial reporting process and internal controls system;</w:t>
      </w:r>
    </w:p>
    <w:p>
      <w:pPr>
        <w:spacing w:after="0" w:line="41" w:lineRule="exact"/>
        <w:rPr>
          <w:rFonts w:ascii="Arial" w:cs="Arial" w:eastAsia="Arial" w:hAnsi="Arial"/>
          <w:sz w:val="14"/>
          <w:szCs w:val="14"/>
          <w:color w:val="auto"/>
        </w:rPr>
      </w:pPr>
    </w:p>
    <w:p>
      <w:pPr>
        <w:ind w:left="300" w:right="1220" w:hanging="78"/>
        <w:spacing w:after="0" w:line="271"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Reviewing and appraising the audit efforts of the Company’s independent auditors and internal auditors and monitoring their independence;</w:t>
      </w:r>
    </w:p>
    <w:p>
      <w:pPr>
        <w:ind w:left="300" w:right="560" w:hanging="78"/>
        <w:spacing w:after="0" w:line="271"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Maintaining free and open communication with and among the independent auditors, the internal auditors, and the financial and senior management of the Company and the Board;</w:t>
      </w:r>
    </w:p>
    <w:p>
      <w:pPr>
        <w:ind w:left="300" w:hanging="78"/>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Reviewing and pre-approving all conflicts of interest and related-person transactions involving Board members or executive officers; and</w:t>
      </w:r>
    </w:p>
    <w:p>
      <w:pPr>
        <w:spacing w:after="0" w:line="29" w:lineRule="exact"/>
        <w:rPr>
          <w:rFonts w:ascii="Arial" w:cs="Arial" w:eastAsia="Arial" w:hAnsi="Arial"/>
          <w:sz w:val="14"/>
          <w:szCs w:val="14"/>
          <w:color w:val="auto"/>
        </w:rPr>
      </w:pPr>
    </w:p>
    <w:p>
      <w:pPr>
        <w:ind w:left="300" w:right="780" w:hanging="78"/>
        <w:spacing w:after="0" w:line="283"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Engaging with the Chief Technology Officer, the Chief Information Security Officer and broader Cybersecurity Committee to discuss cybersecurity risks and potential adjustments to cybersecurity policies, standards and processes.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Focus Areas in 2025/2026:</w:t>
      </w:r>
    </w:p>
    <w:p>
      <w:pPr>
        <w:spacing w:after="0" w:line="42" w:lineRule="exact"/>
        <w:rPr>
          <w:sz w:val="20"/>
          <w:szCs w:val="20"/>
          <w:color w:val="auto"/>
        </w:rPr>
      </w:pPr>
    </w:p>
    <w:p>
      <w:pPr>
        <w:ind w:left="300" w:right="940" w:hanging="78"/>
        <w:spacing w:after="0" w:line="271"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Oversight of the Company’s strategic deployment of artificial intelligence (AI) across the business, including governance and risk monitoring;</w:t>
      </w:r>
    </w:p>
    <w:p>
      <w:pPr>
        <w:ind w:left="300" w:hanging="78"/>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Strengthening cybersecurity resilience and incident preparedness;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Audit Committee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69214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84" w:lineRule="exact"/>
        <w:rPr>
          <w:sz w:val="20"/>
          <w:szCs w:val="20"/>
          <w:color w:val="auto"/>
        </w:rPr>
      </w:pPr>
    </w:p>
    <w:p>
      <w:pPr>
        <w:ind w:left="300" w:hanging="78"/>
        <w:spacing w:after="0"/>
        <w:tabs>
          <w:tab w:leader="none" w:pos="300" w:val="left"/>
        </w:tabs>
        <w:numPr>
          <w:ilvl w:val="0"/>
          <w:numId w:val="22"/>
        </w:numPr>
        <w:rPr>
          <w:rFonts w:ascii="Arial" w:cs="Arial" w:eastAsia="Arial" w:hAnsi="Arial"/>
          <w:sz w:val="14"/>
          <w:szCs w:val="14"/>
          <w:color w:val="69439A"/>
        </w:rPr>
      </w:pPr>
      <w:r>
        <w:rPr>
          <w:rFonts w:ascii="Arial" w:cs="Arial" w:eastAsia="Arial" w:hAnsi="Arial"/>
          <w:sz w:val="14"/>
          <w:szCs w:val="14"/>
          <w:color w:val="auto"/>
        </w:rPr>
        <w:t>Oversight of financial reporting integrity and compliance including the Company’s enterprise risk management (ERM) program; and</w:t>
      </w:r>
    </w:p>
    <w:p>
      <w:pPr>
        <w:spacing w:after="0" w:line="41" w:lineRule="exact"/>
        <w:rPr>
          <w:rFonts w:ascii="Arial" w:cs="Arial" w:eastAsia="Arial" w:hAnsi="Arial"/>
          <w:sz w:val="14"/>
          <w:szCs w:val="14"/>
          <w:color w:val="69439A"/>
        </w:rPr>
      </w:pPr>
    </w:p>
    <w:p>
      <w:pPr>
        <w:ind w:left="300" w:right="700" w:hanging="78"/>
        <w:spacing w:after="0" w:line="285" w:lineRule="auto"/>
        <w:tabs>
          <w:tab w:leader="none" w:pos="300" w:val="left"/>
        </w:tabs>
        <w:numPr>
          <w:ilvl w:val="0"/>
          <w:numId w:val="22"/>
        </w:numPr>
        <w:rPr>
          <w:rFonts w:ascii="Arial" w:cs="Arial" w:eastAsia="Arial" w:hAnsi="Arial"/>
          <w:sz w:val="14"/>
          <w:szCs w:val="14"/>
          <w:color w:val="69439A"/>
        </w:rPr>
      </w:pPr>
      <w:r>
        <w:rPr>
          <w:rFonts w:ascii="Arial" w:cs="Arial" w:eastAsia="Arial" w:hAnsi="Arial"/>
          <w:sz w:val="14"/>
          <w:szCs w:val="14"/>
          <w:color w:val="auto"/>
        </w:rPr>
        <w:t>Enhancement of the Company’s ERM framework addressing enterprise risk assessments, changes in risk profile, and key mitigation activities.</w:t>
      </w:r>
    </w:p>
    <w:p>
      <w:pPr>
        <w:spacing w:after="0" w:line="50"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In discharging its oversight role, the Audit Committee is empowered to investigate any matter brought to its attention or that it believes warrants investigation. The Audit Committee may at any time engage, at the expense of the Company, independent counsel or other advisors as it deems necessary to carry out its duties. The Audit Committee operates under a written charter adopted by the Board of Directors that is reviewed annually and is available at https://www.pennentertainment.com/corp/investors/corporate-governance.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128905" cy="3600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8905" cy="36004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123190</wp:posOffset>
            </wp:positionV>
            <wp:extent cx="68580" cy="3600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3600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shd w:val="clear" w:color="auto" w:fill="010035"/>
          </w:tcPr>
          <w:p>
            <w:pPr>
              <w:spacing w:after="0"/>
              <w:rPr>
                <w:sz w:val="18"/>
                <w:szCs w:val="18"/>
                <w:color w:val="auto"/>
              </w:rPr>
            </w:pPr>
          </w:p>
        </w:tc>
        <w:tc>
          <w:tcPr>
            <w:tcW w:w="6360" w:type="dxa"/>
            <w:vAlign w:val="bottom"/>
            <w:vMerge w:val="restart"/>
            <w:shd w:val="clear" w:color="auto" w:fill="010035"/>
          </w:tcPr>
          <w:p>
            <w:pPr>
              <w:ind w:left="120"/>
              <w:spacing w:after="0"/>
              <w:rPr>
                <w:sz w:val="20"/>
                <w:szCs w:val="20"/>
                <w:color w:val="auto"/>
              </w:rPr>
            </w:pPr>
            <w:r>
              <w:rPr>
                <w:rFonts w:ascii="Arial" w:cs="Arial" w:eastAsia="Arial" w:hAnsi="Arial"/>
                <w:sz w:val="22"/>
                <w:szCs w:val="22"/>
                <w:b w:val="1"/>
                <w:bCs w:val="1"/>
                <w:color w:val="FFFFFF"/>
              </w:rPr>
              <w:t>COMPENSATION COMMITTEE MEMBERS</w:t>
            </w:r>
          </w:p>
        </w:tc>
        <w:tc>
          <w:tcPr>
            <w:tcW w:w="120" w:type="dxa"/>
            <w:vAlign w:val="bottom"/>
            <w:shd w:val="clear" w:color="auto" w:fill="69439A"/>
          </w:tcPr>
          <w:p>
            <w:pPr>
              <w:spacing w:after="0"/>
              <w:rPr>
                <w:sz w:val="18"/>
                <w:szCs w:val="18"/>
                <w:color w:val="auto"/>
              </w:rPr>
            </w:pPr>
          </w:p>
        </w:tc>
        <w:tc>
          <w:tcPr>
            <w:tcW w:w="2720" w:type="dxa"/>
            <w:vAlign w:val="bottom"/>
            <w:vMerge w:val="restart"/>
            <w:shd w:val="clear" w:color="auto" w:fill="69439A"/>
          </w:tcPr>
          <w:p>
            <w:pPr>
              <w:spacing w:after="0"/>
              <w:rPr>
                <w:sz w:val="20"/>
                <w:szCs w:val="20"/>
                <w:color w:val="auto"/>
              </w:rPr>
            </w:pPr>
            <w:r>
              <w:rPr>
                <w:rFonts w:ascii="Arial" w:cs="Arial" w:eastAsia="Arial" w:hAnsi="Arial"/>
                <w:sz w:val="22"/>
                <w:szCs w:val="22"/>
                <w:b w:val="1"/>
                <w:bCs w:val="1"/>
                <w:color w:val="FFFFFF"/>
                <w:w w:val="93"/>
              </w:rPr>
              <w:t>MEETINGS HELD IN 2025: 9</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6360" w:type="dxa"/>
            <w:vAlign w:val="bottom"/>
            <w:vMerge w:val="continue"/>
            <w:shd w:val="clear" w:color="auto" w:fill="010035"/>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vMerge w:val="continue"/>
            <w:shd w:val="clear" w:color="auto" w:fill="69439A"/>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-153670</wp:posOffset>
            </wp:positionV>
            <wp:extent cx="5700395" cy="2228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8"/>
        </w:trPr>
        <w:tc>
          <w:tcPr>
            <w:tcW w:w="520" w:type="dxa"/>
            <w:vAlign w:val="bottom"/>
          </w:tcPr>
          <w:p>
            <w:pPr>
              <w:spacing w:after="0"/>
              <w:rPr>
                <w:sz w:val="7"/>
                <w:szCs w:val="7"/>
                <w:color w:val="auto"/>
              </w:rPr>
            </w:pPr>
          </w:p>
        </w:tc>
        <w:tc>
          <w:tcPr>
            <w:tcW w:w="1890" w:type="dxa"/>
            <w:vAlign w:val="bottom"/>
          </w:tcPr>
          <w:p>
            <w:pPr>
              <w:spacing w:after="0"/>
              <w:rPr>
                <w:sz w:val="7"/>
                <w:szCs w:val="7"/>
                <w:color w:val="auto"/>
              </w:rPr>
            </w:pPr>
          </w:p>
        </w:tc>
        <w:tc>
          <w:tcPr>
            <w:tcW w:w="29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shd w:val="clear" w:color="auto" w:fill="010035"/>
          </w:tcPr>
          <w:p>
            <w:pPr>
              <w:spacing w:after="0"/>
              <w:rPr>
                <w:sz w:val="7"/>
                <w:szCs w:val="7"/>
                <w:color w:val="auto"/>
              </w:rPr>
            </w:pPr>
          </w:p>
        </w:tc>
        <w:tc>
          <w:tcPr>
            <w:tcW w:w="2620" w:type="dxa"/>
            <w:vAlign w:val="bottom"/>
          </w:tcPr>
          <w:p>
            <w:pPr>
              <w:spacing w:after="0"/>
              <w:rPr>
                <w:sz w:val="7"/>
                <w:szCs w:val="7"/>
                <w:color w:val="auto"/>
              </w:rPr>
            </w:pPr>
          </w:p>
        </w:tc>
        <w:tc>
          <w:tcPr>
            <w:tcW w:w="220" w:type="dxa"/>
            <w:vAlign w:val="bottom"/>
            <w:shd w:val="clear" w:color="auto" w:fill="69439A"/>
          </w:tcPr>
          <w:p>
            <w:pPr>
              <w:spacing w:after="0"/>
              <w:rPr>
                <w:sz w:val="7"/>
                <w:szCs w:val="7"/>
                <w:color w:val="auto"/>
              </w:rPr>
            </w:pPr>
          </w:p>
        </w:tc>
      </w:tr>
      <w:tr>
        <w:trPr>
          <w:trHeight w:val="1855"/>
        </w:trPr>
        <w:tc>
          <w:tcPr>
            <w:tcW w:w="520" w:type="dxa"/>
            <w:vAlign w:val="bottom"/>
            <w:shd w:val="clear" w:color="auto" w:fill="DED8EC"/>
          </w:tcPr>
          <w:p>
            <w:pPr>
              <w:ind w:left="280"/>
              <w:spacing w:after="0"/>
              <w:rPr>
                <w:sz w:val="20"/>
                <w:szCs w:val="20"/>
                <w:color w:val="auto"/>
              </w:rPr>
            </w:pPr>
            <w:r>
              <w:rPr>
                <w:rFonts w:ascii="Arial" w:cs="Arial" w:eastAsia="Arial" w:hAnsi="Arial"/>
                <w:sz w:val="14"/>
                <w:szCs w:val="14"/>
                <w:color w:val="auto"/>
              </w:rPr>
              <w:t> </w:t>
            </w:r>
          </w:p>
        </w:tc>
        <w:tc>
          <w:tcPr>
            <w:tcW w:w="1890" w:type="dxa"/>
            <w:vAlign w:val="bottom"/>
            <w:shd w:val="clear" w:color="auto" w:fill="DED8EC"/>
          </w:tcPr>
          <w:p>
            <w:pPr>
              <w:spacing w:after="0"/>
              <w:rPr>
                <w:sz w:val="24"/>
                <w:szCs w:val="24"/>
                <w:color w:val="auto"/>
              </w:rPr>
            </w:pPr>
          </w:p>
        </w:tc>
        <w:tc>
          <w:tcPr>
            <w:tcW w:w="290" w:type="dxa"/>
            <w:vAlign w:val="bottom"/>
            <w:shd w:val="clear" w:color="auto" w:fill="DED8EC"/>
          </w:tcPr>
          <w:p>
            <w:pPr>
              <w:ind w:left="30"/>
              <w:spacing w:after="0"/>
              <w:rPr>
                <w:sz w:val="20"/>
                <w:szCs w:val="20"/>
                <w:color w:val="auto"/>
              </w:rPr>
            </w:pPr>
            <w:r>
              <w:rPr>
                <w:rFonts w:ascii="Arial" w:cs="Arial" w:eastAsia="Arial" w:hAnsi="Arial"/>
                <w:sz w:val="14"/>
                <w:szCs w:val="14"/>
                <w:color w:val="auto"/>
              </w:rPr>
              <w:t> </w:t>
            </w:r>
          </w:p>
        </w:tc>
        <w:tc>
          <w:tcPr>
            <w:tcW w:w="1760" w:type="dxa"/>
            <w:vAlign w:val="bottom"/>
            <w:shd w:val="clear" w:color="auto" w:fill="DED8EC"/>
          </w:tcPr>
          <w:p>
            <w:pPr>
              <w:spacing w:after="0"/>
              <w:rPr>
                <w:sz w:val="24"/>
                <w:szCs w:val="24"/>
                <w:color w:val="auto"/>
              </w:rPr>
            </w:pPr>
          </w:p>
        </w:tc>
        <w:tc>
          <w:tcPr>
            <w:tcW w:w="2000" w:type="dxa"/>
            <w:vAlign w:val="bottom"/>
            <w:shd w:val="clear" w:color="auto" w:fill="DED8EC"/>
          </w:tcPr>
          <w:p>
            <w:pPr>
              <w:ind w:left="260"/>
              <w:spacing w:after="0"/>
              <w:rPr>
                <w:sz w:val="20"/>
                <w:szCs w:val="20"/>
                <w:color w:val="auto"/>
              </w:rPr>
            </w:pPr>
            <w:r>
              <w:rPr>
                <w:rFonts w:ascii="Arial" w:cs="Arial" w:eastAsia="Arial" w:hAnsi="Arial"/>
                <w:sz w:val="14"/>
                <w:szCs w:val="14"/>
                <w:color w:val="auto"/>
              </w:rPr>
              <w:t> </w:t>
            </w:r>
          </w:p>
        </w:tc>
        <w:tc>
          <w:tcPr>
            <w:tcW w:w="100" w:type="dxa"/>
            <w:vAlign w:val="bottom"/>
            <w:shd w:val="clear" w:color="auto" w:fill="DED8EC"/>
          </w:tcPr>
          <w:p>
            <w:pPr>
              <w:spacing w:after="0"/>
              <w:rPr>
                <w:sz w:val="24"/>
                <w:szCs w:val="24"/>
                <w:color w:val="auto"/>
              </w:rPr>
            </w:pPr>
          </w:p>
        </w:tc>
        <w:tc>
          <w:tcPr>
            <w:tcW w:w="2840" w:type="dxa"/>
            <w:vAlign w:val="bottom"/>
            <w:gridSpan w:val="2"/>
            <w:shd w:val="clear" w:color="auto" w:fill="DED8EC"/>
          </w:tcPr>
          <w:p>
            <w:pPr>
              <w:ind w:left="420"/>
              <w:spacing w:after="0"/>
              <w:rPr>
                <w:sz w:val="20"/>
                <w:szCs w:val="20"/>
                <w:color w:val="auto"/>
              </w:rPr>
            </w:pPr>
            <w:r>
              <w:rPr>
                <w:rFonts w:ascii="Arial" w:cs="Arial" w:eastAsia="Arial" w:hAnsi="Arial"/>
                <w:sz w:val="14"/>
                <w:szCs w:val="14"/>
                <w:color w:val="auto"/>
              </w:rPr>
              <w:t xml:space="preserve">  </w:t>
            </w:r>
          </w:p>
        </w:tc>
      </w:tr>
      <w:tr>
        <w:trPr>
          <w:trHeight w:val="188"/>
        </w:trPr>
        <w:tc>
          <w:tcPr>
            <w:tcW w:w="520" w:type="dxa"/>
            <w:vAlign w:val="bottom"/>
            <w:shd w:val="clear" w:color="auto" w:fill="DED8EC"/>
          </w:tcPr>
          <w:p>
            <w:pPr>
              <w:spacing w:after="0"/>
              <w:rPr>
                <w:sz w:val="16"/>
                <w:szCs w:val="16"/>
                <w:color w:val="auto"/>
              </w:rPr>
            </w:pPr>
          </w:p>
        </w:tc>
        <w:tc>
          <w:tcPr>
            <w:tcW w:w="1890" w:type="dxa"/>
            <w:vAlign w:val="bottom"/>
            <w:shd w:val="clear" w:color="auto" w:fill="DED8EC"/>
          </w:tcPr>
          <w:p>
            <w:pPr>
              <w:jc w:val="center"/>
              <w:ind w:right="278"/>
              <w:spacing w:after="0"/>
              <w:rPr>
                <w:sz w:val="20"/>
                <w:szCs w:val="20"/>
                <w:color w:val="auto"/>
              </w:rPr>
            </w:pPr>
            <w:r>
              <w:rPr>
                <w:rFonts w:ascii="Arial" w:cs="Arial" w:eastAsia="Arial" w:hAnsi="Arial"/>
                <w:sz w:val="14"/>
                <w:szCs w:val="14"/>
                <w:b w:val="1"/>
                <w:bCs w:val="1"/>
                <w:color w:val="auto"/>
              </w:rPr>
              <w:t>Marla Kaplowitz</w:t>
            </w:r>
          </w:p>
        </w:tc>
        <w:tc>
          <w:tcPr>
            <w:tcW w:w="290" w:type="dxa"/>
            <w:vAlign w:val="bottom"/>
            <w:shd w:val="clear" w:color="auto" w:fill="DED8EC"/>
          </w:tcPr>
          <w:p>
            <w:pPr>
              <w:spacing w:after="0"/>
              <w:rPr>
                <w:sz w:val="16"/>
                <w:szCs w:val="16"/>
                <w:color w:val="auto"/>
              </w:rPr>
            </w:pPr>
          </w:p>
        </w:tc>
        <w:tc>
          <w:tcPr>
            <w:tcW w:w="1760" w:type="dxa"/>
            <w:vAlign w:val="bottom"/>
            <w:shd w:val="clear" w:color="auto" w:fill="DED8EC"/>
          </w:tcPr>
          <w:p>
            <w:pPr>
              <w:jc w:val="center"/>
              <w:spacing w:after="0"/>
              <w:rPr>
                <w:sz w:val="20"/>
                <w:szCs w:val="20"/>
                <w:color w:val="auto"/>
              </w:rPr>
            </w:pPr>
            <w:r>
              <w:rPr>
                <w:rFonts w:ascii="Arial" w:cs="Arial" w:eastAsia="Arial" w:hAnsi="Arial"/>
                <w:sz w:val="14"/>
                <w:szCs w:val="14"/>
                <w:b w:val="1"/>
                <w:bCs w:val="1"/>
                <w:color w:val="auto"/>
              </w:rPr>
              <w:t>Vimla Black-Gupta</w:t>
            </w:r>
          </w:p>
        </w:tc>
        <w:tc>
          <w:tcPr>
            <w:tcW w:w="2000" w:type="dxa"/>
            <w:vAlign w:val="bottom"/>
            <w:shd w:val="clear" w:color="auto" w:fill="DED8EC"/>
          </w:tcPr>
          <w:p>
            <w:pPr>
              <w:jc w:val="center"/>
              <w:ind w:left="648"/>
              <w:spacing w:after="0"/>
              <w:rPr>
                <w:sz w:val="20"/>
                <w:szCs w:val="20"/>
                <w:color w:val="auto"/>
              </w:rPr>
            </w:pPr>
            <w:r>
              <w:rPr>
                <w:rFonts w:ascii="Arial" w:cs="Arial" w:eastAsia="Arial" w:hAnsi="Arial"/>
                <w:sz w:val="14"/>
                <w:szCs w:val="14"/>
                <w:b w:val="1"/>
                <w:bCs w:val="1"/>
                <w:color w:val="auto"/>
              </w:rPr>
              <w:t>David Handler</w:t>
            </w:r>
          </w:p>
        </w:tc>
        <w:tc>
          <w:tcPr>
            <w:tcW w:w="100" w:type="dxa"/>
            <w:vAlign w:val="bottom"/>
            <w:shd w:val="clear" w:color="auto" w:fill="DED8EC"/>
          </w:tcPr>
          <w:p>
            <w:pPr>
              <w:spacing w:after="0"/>
              <w:rPr>
                <w:sz w:val="16"/>
                <w:szCs w:val="16"/>
                <w:color w:val="auto"/>
              </w:rPr>
            </w:pPr>
          </w:p>
        </w:tc>
        <w:tc>
          <w:tcPr>
            <w:tcW w:w="2840" w:type="dxa"/>
            <w:vAlign w:val="bottom"/>
            <w:gridSpan w:val="2"/>
            <w:shd w:val="clear" w:color="auto" w:fill="DED8EC"/>
          </w:tcPr>
          <w:p>
            <w:pPr>
              <w:jc w:val="center"/>
              <w:ind w:left="168"/>
              <w:spacing w:after="0"/>
              <w:rPr>
                <w:sz w:val="20"/>
                <w:szCs w:val="20"/>
                <w:color w:val="auto"/>
              </w:rPr>
            </w:pPr>
            <w:r>
              <w:rPr>
                <w:rFonts w:ascii="Arial" w:cs="Arial" w:eastAsia="Arial" w:hAnsi="Arial"/>
                <w:sz w:val="14"/>
                <w:szCs w:val="14"/>
                <w:b w:val="1"/>
                <w:bCs w:val="1"/>
                <w:color w:val="auto"/>
              </w:rPr>
              <w:t>Jane Scaccetti</w:t>
            </w:r>
          </w:p>
        </w:tc>
      </w:tr>
      <w:tr>
        <w:trPr>
          <w:trHeight w:val="171"/>
        </w:trPr>
        <w:tc>
          <w:tcPr>
            <w:tcW w:w="520" w:type="dxa"/>
            <w:vAlign w:val="bottom"/>
            <w:shd w:val="clear" w:color="auto" w:fill="DED8EC"/>
          </w:tcPr>
          <w:p>
            <w:pPr>
              <w:spacing w:after="0"/>
              <w:rPr>
                <w:sz w:val="14"/>
                <w:szCs w:val="14"/>
                <w:color w:val="auto"/>
              </w:rPr>
            </w:pPr>
          </w:p>
        </w:tc>
        <w:tc>
          <w:tcPr>
            <w:tcW w:w="1890" w:type="dxa"/>
            <w:vAlign w:val="bottom"/>
            <w:shd w:val="clear" w:color="auto" w:fill="DED8EC"/>
          </w:tcPr>
          <w:p>
            <w:pPr>
              <w:jc w:val="center"/>
              <w:ind w:right="278"/>
              <w:spacing w:after="0"/>
              <w:rPr>
                <w:sz w:val="20"/>
                <w:szCs w:val="20"/>
                <w:color w:val="auto"/>
              </w:rPr>
            </w:pPr>
            <w:r>
              <w:rPr>
                <w:rFonts w:ascii="Arial" w:cs="Arial" w:eastAsia="Arial" w:hAnsi="Arial"/>
                <w:sz w:val="14"/>
                <w:szCs w:val="14"/>
                <w:color w:val="auto"/>
              </w:rPr>
              <w:t>Chair</w:t>
            </w:r>
          </w:p>
        </w:tc>
        <w:tc>
          <w:tcPr>
            <w:tcW w:w="290" w:type="dxa"/>
            <w:vAlign w:val="bottom"/>
            <w:shd w:val="clear" w:color="auto" w:fill="DED8EC"/>
          </w:tcPr>
          <w:p>
            <w:pPr>
              <w:spacing w:after="0"/>
              <w:rPr>
                <w:sz w:val="14"/>
                <w:szCs w:val="14"/>
                <w:color w:val="auto"/>
              </w:rPr>
            </w:pPr>
          </w:p>
        </w:tc>
        <w:tc>
          <w:tcPr>
            <w:tcW w:w="1760" w:type="dxa"/>
            <w:vAlign w:val="bottom"/>
            <w:shd w:val="clear" w:color="auto" w:fill="DED8EC"/>
          </w:tcPr>
          <w:p>
            <w:pPr>
              <w:jc w:val="center"/>
              <w:spacing w:after="0"/>
              <w:rPr>
                <w:sz w:val="20"/>
                <w:szCs w:val="20"/>
                <w:color w:val="auto"/>
              </w:rPr>
            </w:pPr>
            <w:r>
              <w:rPr>
                <w:rFonts w:ascii="Arial" w:cs="Arial" w:eastAsia="Arial" w:hAnsi="Arial"/>
                <w:sz w:val="14"/>
                <w:szCs w:val="14"/>
                <w:color w:val="auto"/>
              </w:rPr>
              <w:t>Member</w:t>
            </w:r>
          </w:p>
        </w:tc>
        <w:tc>
          <w:tcPr>
            <w:tcW w:w="2000" w:type="dxa"/>
            <w:vAlign w:val="bottom"/>
            <w:shd w:val="clear" w:color="auto" w:fill="DED8EC"/>
          </w:tcPr>
          <w:p>
            <w:pPr>
              <w:jc w:val="center"/>
              <w:ind w:left="648"/>
              <w:spacing w:after="0"/>
              <w:rPr>
                <w:sz w:val="20"/>
                <w:szCs w:val="20"/>
                <w:color w:val="auto"/>
              </w:rPr>
            </w:pPr>
            <w:r>
              <w:rPr>
                <w:rFonts w:ascii="Arial" w:cs="Arial" w:eastAsia="Arial" w:hAnsi="Arial"/>
                <w:sz w:val="14"/>
                <w:szCs w:val="14"/>
                <w:color w:val="auto"/>
              </w:rPr>
              <w:t>Member</w:t>
            </w:r>
          </w:p>
        </w:tc>
        <w:tc>
          <w:tcPr>
            <w:tcW w:w="100" w:type="dxa"/>
            <w:vAlign w:val="bottom"/>
            <w:shd w:val="clear" w:color="auto" w:fill="DED8EC"/>
          </w:tcPr>
          <w:p>
            <w:pPr>
              <w:spacing w:after="0"/>
              <w:rPr>
                <w:sz w:val="14"/>
                <w:szCs w:val="14"/>
                <w:color w:val="auto"/>
              </w:rPr>
            </w:pPr>
          </w:p>
        </w:tc>
        <w:tc>
          <w:tcPr>
            <w:tcW w:w="2840" w:type="dxa"/>
            <w:vAlign w:val="bottom"/>
            <w:gridSpan w:val="2"/>
            <w:shd w:val="clear" w:color="auto" w:fill="DED8EC"/>
          </w:tcPr>
          <w:p>
            <w:pPr>
              <w:jc w:val="center"/>
              <w:ind w:left="168"/>
              <w:spacing w:after="0"/>
              <w:rPr>
                <w:sz w:val="20"/>
                <w:szCs w:val="20"/>
                <w:color w:val="auto"/>
              </w:rPr>
            </w:pPr>
            <w:r>
              <w:rPr>
                <w:rFonts w:ascii="Arial" w:cs="Arial" w:eastAsia="Arial" w:hAnsi="Arial"/>
                <w:sz w:val="14"/>
                <w:szCs w:val="14"/>
                <w:color w:val="auto"/>
              </w:rPr>
              <w:t>Member</w:t>
            </w:r>
          </w:p>
        </w:tc>
      </w:tr>
      <w:tr>
        <w:trPr>
          <w:trHeight w:val="135"/>
        </w:trPr>
        <w:tc>
          <w:tcPr>
            <w:tcW w:w="520" w:type="dxa"/>
            <w:vAlign w:val="bottom"/>
            <w:shd w:val="clear" w:color="auto" w:fill="DED8EC"/>
          </w:tcPr>
          <w:p>
            <w:pPr>
              <w:spacing w:after="0"/>
              <w:rPr>
                <w:sz w:val="11"/>
                <w:szCs w:val="11"/>
                <w:color w:val="auto"/>
              </w:rPr>
            </w:pPr>
          </w:p>
        </w:tc>
        <w:tc>
          <w:tcPr>
            <w:tcW w:w="1890" w:type="dxa"/>
            <w:vAlign w:val="bottom"/>
            <w:shd w:val="clear" w:color="auto" w:fill="DED8EC"/>
          </w:tcPr>
          <w:p>
            <w:pPr>
              <w:spacing w:after="0"/>
              <w:rPr>
                <w:sz w:val="11"/>
                <w:szCs w:val="11"/>
                <w:color w:val="auto"/>
              </w:rPr>
            </w:pPr>
          </w:p>
        </w:tc>
        <w:tc>
          <w:tcPr>
            <w:tcW w:w="290" w:type="dxa"/>
            <w:vAlign w:val="bottom"/>
            <w:shd w:val="clear" w:color="auto" w:fill="DED8EC"/>
          </w:tcPr>
          <w:p>
            <w:pPr>
              <w:spacing w:after="0"/>
              <w:rPr>
                <w:sz w:val="11"/>
                <w:szCs w:val="11"/>
                <w:color w:val="auto"/>
              </w:rPr>
            </w:pPr>
          </w:p>
        </w:tc>
        <w:tc>
          <w:tcPr>
            <w:tcW w:w="1760" w:type="dxa"/>
            <w:vAlign w:val="bottom"/>
            <w:shd w:val="clear" w:color="auto" w:fill="DED8EC"/>
          </w:tcPr>
          <w:p>
            <w:pPr>
              <w:spacing w:after="0"/>
              <w:rPr>
                <w:sz w:val="11"/>
                <w:szCs w:val="11"/>
                <w:color w:val="auto"/>
              </w:rPr>
            </w:pPr>
          </w:p>
        </w:tc>
        <w:tc>
          <w:tcPr>
            <w:tcW w:w="2000" w:type="dxa"/>
            <w:vAlign w:val="bottom"/>
            <w:shd w:val="clear" w:color="auto" w:fill="DED8EC"/>
          </w:tcPr>
          <w:p>
            <w:pPr>
              <w:spacing w:after="0"/>
              <w:rPr>
                <w:sz w:val="11"/>
                <w:szCs w:val="11"/>
                <w:color w:val="auto"/>
              </w:rPr>
            </w:pPr>
          </w:p>
        </w:tc>
        <w:tc>
          <w:tcPr>
            <w:tcW w:w="100" w:type="dxa"/>
            <w:vAlign w:val="bottom"/>
            <w:shd w:val="clear" w:color="auto" w:fill="DED8EC"/>
          </w:tcPr>
          <w:p>
            <w:pPr>
              <w:spacing w:after="0"/>
              <w:rPr>
                <w:sz w:val="11"/>
                <w:szCs w:val="11"/>
                <w:color w:val="auto"/>
              </w:rPr>
            </w:pPr>
          </w:p>
        </w:tc>
        <w:tc>
          <w:tcPr>
            <w:tcW w:w="2620" w:type="dxa"/>
            <w:vAlign w:val="bottom"/>
            <w:shd w:val="clear" w:color="auto" w:fill="DED8EC"/>
          </w:tcPr>
          <w:p>
            <w:pPr>
              <w:spacing w:after="0"/>
              <w:rPr>
                <w:sz w:val="11"/>
                <w:szCs w:val="11"/>
                <w:color w:val="auto"/>
              </w:rPr>
            </w:pPr>
          </w:p>
        </w:tc>
        <w:tc>
          <w:tcPr>
            <w:tcW w:w="220" w:type="dxa"/>
            <w:vAlign w:val="bottom"/>
            <w:shd w:val="clear" w:color="auto" w:fill="DED8E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-1379855</wp:posOffset>
            </wp:positionV>
            <wp:extent cx="5709285" cy="9512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09285" cy="951230"/>
                    </a:xfrm>
                    <a:prstGeom prst="rect">
                      <a:avLst/>
                    </a:prstGeom>
                    <a:noFill/>
                  </pic:spPr>
                </pic:pic>
              </a:graphicData>
            </a:graphic>
          </wp:anchor>
        </w:drawing>
      </w:r>
    </w:p>
    <w:p>
      <w:pPr>
        <w:spacing w:after="0" w:line="173"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In addition to being independent as noted above, each member of the Compensation Committee is also a non-employee director according to Rule 16b-3 of the Exchange Act.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Responsibilities:</w:t>
      </w:r>
    </w:p>
    <w:p>
      <w:pPr>
        <w:spacing w:after="0" w:line="42" w:lineRule="exact"/>
        <w:rPr>
          <w:sz w:val="20"/>
          <w:szCs w:val="20"/>
          <w:color w:val="auto"/>
        </w:rPr>
      </w:pPr>
    </w:p>
    <w:p>
      <w:pPr>
        <w:ind w:left="300" w:right="340" w:hanging="78"/>
        <w:spacing w:after="0" w:line="271" w:lineRule="auto"/>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Annually evaluating the performance of all executive officers and approving – and for the CEO, recommending to the Board for approval – all executive officer compensation designs and levels, employment agreements and separation agreements;</w:t>
      </w:r>
    </w:p>
    <w:p>
      <w:pPr>
        <w:ind w:left="300" w:hanging="78"/>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Reviewing and recommending for Board approval the performance criteria, goals and objectives of short- and long- term incentive plans;</w:t>
      </w:r>
    </w:p>
    <w:p>
      <w:pPr>
        <w:spacing w:after="0" w:line="29" w:lineRule="exact"/>
        <w:rPr>
          <w:rFonts w:ascii="Arial" w:cs="Arial" w:eastAsia="Arial" w:hAnsi="Arial"/>
          <w:sz w:val="14"/>
          <w:szCs w:val="14"/>
          <w:color w:val="auto"/>
        </w:rPr>
      </w:pPr>
    </w:p>
    <w:p>
      <w:pPr>
        <w:ind w:left="300" w:right="820" w:hanging="78"/>
        <w:spacing w:after="0" w:line="270" w:lineRule="auto"/>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Reviewing executive compensation programs annually to determine whether they are properly coordinated and are achieving their intended purposes;</w:t>
      </w:r>
    </w:p>
    <w:p>
      <w:pPr>
        <w:spacing w:after="0" w:line="1" w:lineRule="exact"/>
        <w:rPr>
          <w:rFonts w:ascii="Arial" w:cs="Arial" w:eastAsia="Arial" w:hAnsi="Arial"/>
          <w:sz w:val="14"/>
          <w:szCs w:val="14"/>
          <w:color w:val="auto"/>
        </w:rPr>
      </w:pPr>
    </w:p>
    <w:p>
      <w:pPr>
        <w:ind w:left="300" w:hanging="78"/>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Assessing the Company’s leadership succession planning program;</w:t>
      </w:r>
    </w:p>
    <w:p>
      <w:pPr>
        <w:spacing w:after="0" w:line="41" w:lineRule="exact"/>
        <w:rPr>
          <w:rFonts w:ascii="Arial" w:cs="Arial" w:eastAsia="Arial" w:hAnsi="Arial"/>
          <w:sz w:val="14"/>
          <w:szCs w:val="14"/>
          <w:color w:val="auto"/>
        </w:rPr>
      </w:pPr>
    </w:p>
    <w:p>
      <w:pPr>
        <w:ind w:left="300" w:hanging="78"/>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Approving the incentive awards that the CEO may grant to employees other than executive officers;</w:t>
      </w:r>
    </w:p>
    <w:p>
      <w:pPr>
        <w:spacing w:after="0" w:line="29" w:lineRule="exact"/>
        <w:rPr>
          <w:rFonts w:ascii="Arial" w:cs="Arial" w:eastAsia="Arial" w:hAnsi="Arial"/>
          <w:sz w:val="14"/>
          <w:szCs w:val="14"/>
          <w:color w:val="auto"/>
        </w:rPr>
      </w:pPr>
    </w:p>
    <w:p>
      <w:pPr>
        <w:ind w:left="300" w:hanging="78"/>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Monitoring trends and best practices in executive compensation;</w:t>
      </w:r>
    </w:p>
    <w:p>
      <w:pPr>
        <w:spacing w:after="0" w:line="40" w:lineRule="exact"/>
        <w:rPr>
          <w:rFonts w:ascii="Arial" w:cs="Arial" w:eastAsia="Arial" w:hAnsi="Arial"/>
          <w:sz w:val="14"/>
          <w:szCs w:val="14"/>
          <w:color w:val="auto"/>
        </w:rPr>
      </w:pPr>
    </w:p>
    <w:p>
      <w:pPr>
        <w:ind w:left="300" w:hanging="78"/>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Periodically reviewing executive compensation administration policies;</w:t>
      </w:r>
    </w:p>
    <w:p>
      <w:pPr>
        <w:spacing w:after="0" w:line="41" w:lineRule="exact"/>
        <w:rPr>
          <w:rFonts w:ascii="Arial" w:cs="Arial" w:eastAsia="Arial" w:hAnsi="Arial"/>
          <w:sz w:val="14"/>
          <w:szCs w:val="14"/>
          <w:color w:val="auto"/>
        </w:rPr>
      </w:pPr>
    </w:p>
    <w:p>
      <w:pPr>
        <w:ind w:left="300" w:hanging="78"/>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Confirming that the Company’s compensation programs do not introduce risks that could result in material harm to the Company;</w:t>
      </w:r>
    </w:p>
    <w:p>
      <w:pPr>
        <w:spacing w:after="0" w:line="29" w:lineRule="exact"/>
        <w:rPr>
          <w:rFonts w:ascii="Arial" w:cs="Arial" w:eastAsia="Arial" w:hAnsi="Arial"/>
          <w:sz w:val="14"/>
          <w:szCs w:val="14"/>
          <w:color w:val="auto"/>
        </w:rPr>
      </w:pPr>
    </w:p>
    <w:p>
      <w:pPr>
        <w:ind w:left="300" w:hanging="78"/>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Recommending director compensation to the Board; and</w:t>
      </w:r>
    </w:p>
    <w:p>
      <w:pPr>
        <w:spacing w:after="0" w:line="40" w:lineRule="exact"/>
        <w:rPr>
          <w:rFonts w:ascii="Arial" w:cs="Arial" w:eastAsia="Arial" w:hAnsi="Arial"/>
          <w:sz w:val="14"/>
          <w:szCs w:val="14"/>
          <w:color w:val="auto"/>
        </w:rPr>
      </w:pPr>
    </w:p>
    <w:p>
      <w:pPr>
        <w:ind w:left="300" w:hanging="78"/>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Formulating and administering the Company’s stock ownership guidelines.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Focus Areas in 2025/2026:</w:t>
      </w:r>
    </w:p>
    <w:p>
      <w:pPr>
        <w:spacing w:after="0" w:line="42" w:lineRule="exact"/>
        <w:rPr>
          <w:sz w:val="20"/>
          <w:szCs w:val="20"/>
          <w:color w:val="auto"/>
        </w:rPr>
      </w:pPr>
    </w:p>
    <w:p>
      <w:pPr>
        <w:ind w:left="300" w:right="540" w:hanging="78"/>
        <w:spacing w:after="0" w:line="261"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Selection and onboarding of a new independent compensation consultant following a comprehensive RFP process, with a focus on bringing a fresh, objective perspective to executive compensation design and supporting the development of responsiveness actions in connection with the 2025 Say-on-Pay vote;</w:t>
      </w:r>
    </w:p>
    <w:p>
      <w:pPr>
        <w:spacing w:after="0" w:line="1" w:lineRule="exact"/>
        <w:rPr>
          <w:rFonts w:ascii="Arial" w:cs="Arial" w:eastAsia="Arial" w:hAnsi="Arial"/>
          <w:sz w:val="14"/>
          <w:szCs w:val="14"/>
          <w:color w:val="auto"/>
        </w:rPr>
      </w:pPr>
    </w:p>
    <w:p>
      <w:pPr>
        <w:ind w:left="300" w:hanging="78"/>
        <w:spacing w:after="0"/>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Peer group update to reflect the realigned strategic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Compensation Committee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6921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84" w:lineRule="exact"/>
        <w:rPr>
          <w:sz w:val="20"/>
          <w:szCs w:val="20"/>
          <w:color w:val="auto"/>
        </w:rPr>
      </w:pPr>
    </w:p>
    <w:p>
      <w:pPr>
        <w:ind w:left="300" w:right="820" w:hanging="78"/>
        <w:spacing w:after="0" w:line="271"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Led the redesign of the go-forward 2026 LTI program to more effectively support and reinforce the Company’s focus on disciplined execution, driving profitable growth, increasing free cash flow and enhancing shareholder returns;</w:t>
      </w:r>
    </w:p>
    <w:p>
      <w:pPr>
        <w:ind w:left="300" w:right="520" w:hanging="78"/>
        <w:spacing w:after="0" w:line="262"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Oversight and participation in shareholder engagement matters concerning executive compensation and implementation of appropriate shareholder responsiveness actions as it relates to executive compensation governance, program design and payouts;</w:t>
      </w:r>
    </w:p>
    <w:p>
      <w:pPr>
        <w:ind w:left="300" w:right="880" w:hanging="78"/>
        <w:spacing w:after="0" w:line="270"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Review of the executive target compensation opportunities to support competitiveness of the Company’s executive compensation program and alignment with performance and strategic objectives; and</w:t>
      </w:r>
    </w:p>
    <w:p>
      <w:pPr>
        <w:spacing w:after="0" w:line="1" w:lineRule="exact"/>
        <w:rPr>
          <w:rFonts w:ascii="Arial" w:cs="Arial" w:eastAsia="Arial" w:hAnsi="Arial"/>
          <w:sz w:val="14"/>
          <w:szCs w:val="14"/>
          <w:color w:val="auto"/>
        </w:rPr>
      </w:pPr>
    </w:p>
    <w:p>
      <w:pPr>
        <w:ind w:left="300" w:hanging="78"/>
        <w:spacing w:after="0"/>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Continued focus on the competitiveness and effectiveness of the compensation program to attract, motivate and retain top talent.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Additional details can be found in the Compensation Discussion and Analysis section of this Proxy Statement.</w:t>
      </w:r>
    </w:p>
    <w:p>
      <w:pPr>
        <w:spacing w:after="0" w:line="109"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The CEO provides the Compensation Committee with performance assessments and compensation recommendations for each executive officer of the Company (other than himself). The Compensation Committee considers the CEO’s recommendations with the assistance of the independent compensation consultant and sets the compensation of those non-CEO executive officers based on its deliberations. The Compensation Committee regularly meets in executive session regarding executive performance and compensation, including establishing recommendations to the Board regarding the CEO’s compensation. The Compensation Committee operates under a written charter adopted by the Board of Directors that is reviewed annually and is available at https://www.pennentertainment.com/corp/investors/corporate-governance.</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514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6460" cy="514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0" w:lineRule="exact"/>
        <w:rPr>
          <w:sz w:val="20"/>
          <w:szCs w:val="20"/>
          <w:color w:val="auto"/>
        </w:rPr>
      </w:pPr>
    </w:p>
    <w:p>
      <w:pPr>
        <w:ind w:left="320" w:right="200"/>
        <w:spacing w:after="0" w:line="183" w:lineRule="auto"/>
        <w:rPr>
          <w:sz w:val="20"/>
          <w:szCs w:val="20"/>
          <w:color w:val="auto"/>
        </w:rPr>
      </w:pPr>
      <w:r>
        <w:rPr>
          <w:rFonts w:ascii="Arial" w:cs="Arial" w:eastAsia="Arial" w:hAnsi="Arial"/>
          <w:sz w:val="20"/>
          <w:szCs w:val="20"/>
          <w:b w:val="1"/>
          <w:bCs w:val="1"/>
          <w:color w:val="FFFFFF"/>
        </w:rPr>
        <w:t xml:space="preserve">NOMINATING AND CORPORATE GOVERNANCE COMMITTEE </w:t>
      </w:r>
      <w:r>
        <w:rPr>
          <w:rFonts w:ascii="Arial" w:cs="Arial" w:eastAsia="Arial" w:hAnsi="Arial"/>
          <w:sz w:val="39"/>
          <w:szCs w:val="39"/>
          <w:b w:val="1"/>
          <w:bCs w:val="1"/>
          <w:color w:val="FFFFFF"/>
          <w:vertAlign w:val="subscript"/>
        </w:rPr>
        <w:t>MEETINGS HELD IN 2025: 5</w:t>
      </w:r>
      <w:r>
        <w:rPr>
          <w:rFonts w:ascii="Arial" w:cs="Arial" w:eastAsia="Arial" w:hAnsi="Arial"/>
          <w:sz w:val="20"/>
          <w:szCs w:val="20"/>
          <w:b w:val="1"/>
          <w:bCs w:val="1"/>
          <w:color w:val="FFFFFF"/>
        </w:rPr>
        <w:t xml:space="preserve"> MEMBERS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6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shd w:val="clear" w:color="auto" w:fill="010035"/>
          </w:tcPr>
          <w:p>
            <w:pPr>
              <w:spacing w:after="0"/>
              <w:rPr>
                <w:sz w:val="7"/>
                <w:szCs w:val="7"/>
                <w:color w:val="auto"/>
              </w:rPr>
            </w:pPr>
          </w:p>
        </w:tc>
        <w:tc>
          <w:tcPr>
            <w:tcW w:w="2620" w:type="dxa"/>
            <w:vAlign w:val="bottom"/>
          </w:tcPr>
          <w:p>
            <w:pPr>
              <w:spacing w:after="0"/>
              <w:rPr>
                <w:sz w:val="7"/>
                <w:szCs w:val="7"/>
                <w:color w:val="auto"/>
              </w:rPr>
            </w:pPr>
          </w:p>
        </w:tc>
        <w:tc>
          <w:tcPr>
            <w:tcW w:w="220" w:type="dxa"/>
            <w:vAlign w:val="bottom"/>
            <w:shd w:val="clear" w:color="auto" w:fill="69439A"/>
          </w:tcPr>
          <w:p>
            <w:pPr>
              <w:spacing w:after="0"/>
              <w:rPr>
                <w:sz w:val="7"/>
                <w:szCs w:val="7"/>
                <w:color w:val="auto"/>
              </w:rPr>
            </w:pPr>
          </w:p>
        </w:tc>
      </w:tr>
      <w:tr>
        <w:trPr>
          <w:trHeight w:val="1836"/>
        </w:trPr>
        <w:tc>
          <w:tcPr>
            <w:tcW w:w="600" w:type="dxa"/>
            <w:vAlign w:val="bottom"/>
            <w:shd w:val="clear" w:color="auto" w:fill="DED8EC"/>
          </w:tcPr>
          <w:p>
            <w:pPr>
              <w:ind w:left="400"/>
              <w:spacing w:after="0"/>
              <w:rPr>
                <w:sz w:val="20"/>
                <w:szCs w:val="20"/>
                <w:color w:val="auto"/>
              </w:rPr>
            </w:pPr>
            <w:r>
              <w:rPr>
                <w:rFonts w:ascii="Arial" w:cs="Arial" w:eastAsia="Arial" w:hAnsi="Arial"/>
                <w:sz w:val="14"/>
                <w:szCs w:val="14"/>
                <w:color w:val="auto"/>
              </w:rPr>
              <w:t> </w:t>
            </w:r>
          </w:p>
        </w:tc>
        <w:tc>
          <w:tcPr>
            <w:tcW w:w="1860" w:type="dxa"/>
            <w:vAlign w:val="bottom"/>
            <w:shd w:val="clear" w:color="auto" w:fill="DED8EC"/>
          </w:tcPr>
          <w:p>
            <w:pPr>
              <w:spacing w:after="0"/>
              <w:rPr>
                <w:sz w:val="24"/>
                <w:szCs w:val="24"/>
                <w:color w:val="auto"/>
              </w:rPr>
            </w:pPr>
          </w:p>
        </w:tc>
        <w:tc>
          <w:tcPr>
            <w:tcW w:w="320" w:type="dxa"/>
            <w:vAlign w:val="bottom"/>
            <w:shd w:val="clear" w:color="auto" w:fill="DED8EC"/>
          </w:tcPr>
          <w:p>
            <w:pPr>
              <w:ind w:left="80"/>
              <w:spacing w:after="0"/>
              <w:rPr>
                <w:sz w:val="20"/>
                <w:szCs w:val="20"/>
                <w:color w:val="auto"/>
              </w:rPr>
            </w:pPr>
            <w:r>
              <w:rPr>
                <w:rFonts w:ascii="Arial" w:cs="Arial" w:eastAsia="Arial" w:hAnsi="Arial"/>
                <w:sz w:val="14"/>
                <w:szCs w:val="14"/>
                <w:color w:val="auto"/>
              </w:rPr>
              <w:t> </w:t>
            </w:r>
          </w:p>
        </w:tc>
        <w:tc>
          <w:tcPr>
            <w:tcW w:w="1740" w:type="dxa"/>
            <w:vAlign w:val="bottom"/>
            <w:shd w:val="clear" w:color="auto" w:fill="DED8EC"/>
          </w:tcPr>
          <w:p>
            <w:pPr>
              <w:spacing w:after="0"/>
              <w:rPr>
                <w:sz w:val="24"/>
                <w:szCs w:val="24"/>
                <w:color w:val="auto"/>
              </w:rPr>
            </w:pPr>
          </w:p>
        </w:tc>
        <w:tc>
          <w:tcPr>
            <w:tcW w:w="1940" w:type="dxa"/>
            <w:vAlign w:val="bottom"/>
            <w:shd w:val="clear" w:color="auto" w:fill="DED8EC"/>
          </w:tcPr>
          <w:p>
            <w:pPr>
              <w:ind w:left="280"/>
              <w:spacing w:after="0"/>
              <w:rPr>
                <w:sz w:val="20"/>
                <w:szCs w:val="20"/>
                <w:color w:val="auto"/>
              </w:rPr>
            </w:pPr>
            <w:r>
              <w:rPr>
                <w:rFonts w:ascii="Arial" w:cs="Arial" w:eastAsia="Arial" w:hAnsi="Arial"/>
                <w:sz w:val="14"/>
                <w:szCs w:val="14"/>
                <w:color w:val="auto"/>
              </w:rPr>
              <w:t> </w:t>
            </w:r>
          </w:p>
        </w:tc>
        <w:tc>
          <w:tcPr>
            <w:tcW w:w="100" w:type="dxa"/>
            <w:vAlign w:val="bottom"/>
            <w:shd w:val="clear" w:color="auto" w:fill="DED8EC"/>
          </w:tcPr>
          <w:p>
            <w:pPr>
              <w:spacing w:after="0"/>
              <w:rPr>
                <w:sz w:val="24"/>
                <w:szCs w:val="24"/>
                <w:color w:val="auto"/>
              </w:rPr>
            </w:pPr>
          </w:p>
        </w:tc>
        <w:tc>
          <w:tcPr>
            <w:tcW w:w="2840" w:type="dxa"/>
            <w:vAlign w:val="bottom"/>
            <w:gridSpan w:val="2"/>
            <w:shd w:val="clear" w:color="auto" w:fill="DED8EC"/>
          </w:tcPr>
          <w:p>
            <w:pPr>
              <w:ind w:left="480"/>
              <w:spacing w:after="0"/>
              <w:rPr>
                <w:sz w:val="20"/>
                <w:szCs w:val="20"/>
                <w:color w:val="auto"/>
              </w:rPr>
            </w:pPr>
            <w:r>
              <w:rPr>
                <w:rFonts w:ascii="Arial" w:cs="Arial" w:eastAsia="Arial" w:hAnsi="Arial"/>
                <w:sz w:val="14"/>
                <w:szCs w:val="14"/>
                <w:color w:val="auto"/>
              </w:rPr>
              <w:t xml:space="preserve">  </w:t>
            </w:r>
          </w:p>
        </w:tc>
      </w:tr>
      <w:tr>
        <w:trPr>
          <w:trHeight w:val="166"/>
        </w:trPr>
        <w:tc>
          <w:tcPr>
            <w:tcW w:w="600" w:type="dxa"/>
            <w:vAlign w:val="bottom"/>
            <w:shd w:val="clear" w:color="auto" w:fill="DED8EC"/>
          </w:tcPr>
          <w:p>
            <w:pPr>
              <w:spacing w:after="0"/>
              <w:rPr>
                <w:sz w:val="14"/>
                <w:szCs w:val="14"/>
                <w:color w:val="auto"/>
              </w:rPr>
            </w:pPr>
          </w:p>
        </w:tc>
        <w:tc>
          <w:tcPr>
            <w:tcW w:w="1860" w:type="dxa"/>
            <w:vAlign w:val="bottom"/>
            <w:shd w:val="clear" w:color="auto" w:fill="DED8EC"/>
          </w:tcPr>
          <w:p>
            <w:pPr>
              <w:jc w:val="center"/>
              <w:ind w:right="388"/>
              <w:spacing w:after="0"/>
              <w:rPr>
                <w:sz w:val="20"/>
                <w:szCs w:val="20"/>
                <w:color w:val="auto"/>
              </w:rPr>
            </w:pPr>
            <w:r>
              <w:rPr>
                <w:rFonts w:ascii="Arial" w:cs="Arial" w:eastAsia="Arial" w:hAnsi="Arial"/>
                <w:sz w:val="14"/>
                <w:szCs w:val="14"/>
                <w:b w:val="1"/>
                <w:bCs w:val="1"/>
                <w:color w:val="auto"/>
              </w:rPr>
              <w:t>Marla Kaplowitz</w:t>
            </w:r>
          </w:p>
        </w:tc>
        <w:tc>
          <w:tcPr>
            <w:tcW w:w="320" w:type="dxa"/>
            <w:vAlign w:val="bottom"/>
            <w:shd w:val="clear" w:color="auto" w:fill="DED8EC"/>
          </w:tcPr>
          <w:p>
            <w:pPr>
              <w:spacing w:after="0"/>
              <w:rPr>
                <w:sz w:val="14"/>
                <w:szCs w:val="14"/>
                <w:color w:val="auto"/>
              </w:rPr>
            </w:pPr>
          </w:p>
        </w:tc>
        <w:tc>
          <w:tcPr>
            <w:tcW w:w="1740" w:type="dxa"/>
            <w:vAlign w:val="bottom"/>
            <w:shd w:val="clear" w:color="auto" w:fill="DED8EC"/>
          </w:tcPr>
          <w:p>
            <w:pPr>
              <w:jc w:val="center"/>
              <w:ind w:right="8"/>
              <w:spacing w:after="0"/>
              <w:rPr>
                <w:sz w:val="20"/>
                <w:szCs w:val="20"/>
                <w:color w:val="auto"/>
              </w:rPr>
            </w:pPr>
            <w:r>
              <w:rPr>
                <w:rFonts w:ascii="Arial" w:cs="Arial" w:eastAsia="Arial" w:hAnsi="Arial"/>
                <w:sz w:val="14"/>
                <w:szCs w:val="14"/>
                <w:b w:val="1"/>
                <w:bCs w:val="1"/>
                <w:color w:val="auto"/>
              </w:rPr>
              <w:t>Vimla Black-Gupta</w:t>
            </w:r>
          </w:p>
        </w:tc>
        <w:tc>
          <w:tcPr>
            <w:tcW w:w="1940" w:type="dxa"/>
            <w:vAlign w:val="bottom"/>
            <w:shd w:val="clear" w:color="auto" w:fill="DED8EC"/>
          </w:tcPr>
          <w:p>
            <w:pPr>
              <w:jc w:val="center"/>
              <w:ind w:left="708"/>
              <w:spacing w:after="0"/>
              <w:rPr>
                <w:sz w:val="20"/>
                <w:szCs w:val="20"/>
                <w:color w:val="auto"/>
              </w:rPr>
            </w:pPr>
            <w:r>
              <w:rPr>
                <w:rFonts w:ascii="Arial" w:cs="Arial" w:eastAsia="Arial" w:hAnsi="Arial"/>
                <w:sz w:val="14"/>
                <w:szCs w:val="14"/>
                <w:b w:val="1"/>
                <w:bCs w:val="1"/>
                <w:color w:val="auto"/>
              </w:rPr>
              <w:t>David Handler</w:t>
            </w:r>
          </w:p>
        </w:tc>
        <w:tc>
          <w:tcPr>
            <w:tcW w:w="100" w:type="dxa"/>
            <w:vAlign w:val="bottom"/>
            <w:shd w:val="clear" w:color="auto" w:fill="DED8EC"/>
          </w:tcPr>
          <w:p>
            <w:pPr>
              <w:spacing w:after="0"/>
              <w:rPr>
                <w:sz w:val="14"/>
                <w:szCs w:val="14"/>
                <w:color w:val="auto"/>
              </w:rPr>
            </w:pPr>
          </w:p>
        </w:tc>
        <w:tc>
          <w:tcPr>
            <w:tcW w:w="2840" w:type="dxa"/>
            <w:vAlign w:val="bottom"/>
            <w:gridSpan w:val="2"/>
            <w:shd w:val="clear" w:color="auto" w:fill="DED8EC"/>
          </w:tcPr>
          <w:p>
            <w:pPr>
              <w:jc w:val="center"/>
              <w:ind w:left="248"/>
              <w:spacing w:after="0"/>
              <w:rPr>
                <w:sz w:val="20"/>
                <w:szCs w:val="20"/>
                <w:color w:val="auto"/>
              </w:rPr>
            </w:pPr>
            <w:r>
              <w:rPr>
                <w:rFonts w:ascii="Arial" w:cs="Arial" w:eastAsia="Arial" w:hAnsi="Arial"/>
                <w:sz w:val="14"/>
                <w:szCs w:val="14"/>
                <w:b w:val="1"/>
                <w:bCs w:val="1"/>
                <w:color w:val="auto"/>
              </w:rPr>
              <w:t>Jane Scaccetti</w:t>
            </w:r>
          </w:p>
        </w:tc>
      </w:tr>
      <w:tr>
        <w:trPr>
          <w:trHeight w:val="171"/>
        </w:trPr>
        <w:tc>
          <w:tcPr>
            <w:tcW w:w="600" w:type="dxa"/>
            <w:vAlign w:val="bottom"/>
            <w:shd w:val="clear" w:color="auto" w:fill="DED8EC"/>
          </w:tcPr>
          <w:p>
            <w:pPr>
              <w:spacing w:after="0"/>
              <w:rPr>
                <w:sz w:val="14"/>
                <w:szCs w:val="14"/>
                <w:color w:val="auto"/>
              </w:rPr>
            </w:pPr>
          </w:p>
        </w:tc>
        <w:tc>
          <w:tcPr>
            <w:tcW w:w="1860" w:type="dxa"/>
            <w:vAlign w:val="bottom"/>
            <w:shd w:val="clear" w:color="auto" w:fill="DED8EC"/>
          </w:tcPr>
          <w:p>
            <w:pPr>
              <w:jc w:val="center"/>
              <w:ind w:right="408"/>
              <w:spacing w:after="0"/>
              <w:rPr>
                <w:sz w:val="20"/>
                <w:szCs w:val="20"/>
                <w:color w:val="auto"/>
              </w:rPr>
            </w:pPr>
            <w:r>
              <w:rPr>
                <w:rFonts w:ascii="Arial" w:cs="Arial" w:eastAsia="Arial" w:hAnsi="Arial"/>
                <w:sz w:val="14"/>
                <w:szCs w:val="14"/>
                <w:color w:val="auto"/>
              </w:rPr>
              <w:t>Chair</w:t>
            </w:r>
          </w:p>
        </w:tc>
        <w:tc>
          <w:tcPr>
            <w:tcW w:w="320" w:type="dxa"/>
            <w:vAlign w:val="bottom"/>
            <w:shd w:val="clear" w:color="auto" w:fill="DED8EC"/>
          </w:tcPr>
          <w:p>
            <w:pPr>
              <w:spacing w:after="0"/>
              <w:rPr>
                <w:sz w:val="14"/>
                <w:szCs w:val="14"/>
                <w:color w:val="auto"/>
              </w:rPr>
            </w:pPr>
          </w:p>
        </w:tc>
        <w:tc>
          <w:tcPr>
            <w:tcW w:w="1740" w:type="dxa"/>
            <w:vAlign w:val="bottom"/>
            <w:shd w:val="clear" w:color="auto" w:fill="DED8EC"/>
          </w:tcPr>
          <w:p>
            <w:pPr>
              <w:jc w:val="center"/>
              <w:ind w:right="8"/>
              <w:spacing w:after="0"/>
              <w:rPr>
                <w:sz w:val="20"/>
                <w:szCs w:val="20"/>
                <w:color w:val="auto"/>
              </w:rPr>
            </w:pPr>
            <w:r>
              <w:rPr>
                <w:rFonts w:ascii="Arial" w:cs="Arial" w:eastAsia="Arial" w:hAnsi="Arial"/>
                <w:sz w:val="14"/>
                <w:szCs w:val="14"/>
                <w:color w:val="auto"/>
              </w:rPr>
              <w:t>Member</w:t>
            </w:r>
          </w:p>
        </w:tc>
        <w:tc>
          <w:tcPr>
            <w:tcW w:w="1940" w:type="dxa"/>
            <w:vAlign w:val="bottom"/>
            <w:shd w:val="clear" w:color="auto" w:fill="DED8EC"/>
          </w:tcPr>
          <w:p>
            <w:pPr>
              <w:jc w:val="center"/>
              <w:ind w:left="708"/>
              <w:spacing w:after="0"/>
              <w:rPr>
                <w:sz w:val="20"/>
                <w:szCs w:val="20"/>
                <w:color w:val="auto"/>
              </w:rPr>
            </w:pPr>
            <w:r>
              <w:rPr>
                <w:rFonts w:ascii="Arial" w:cs="Arial" w:eastAsia="Arial" w:hAnsi="Arial"/>
                <w:sz w:val="14"/>
                <w:szCs w:val="14"/>
                <w:color w:val="auto"/>
              </w:rPr>
              <w:t>Member</w:t>
            </w:r>
          </w:p>
        </w:tc>
        <w:tc>
          <w:tcPr>
            <w:tcW w:w="100" w:type="dxa"/>
            <w:vAlign w:val="bottom"/>
            <w:shd w:val="clear" w:color="auto" w:fill="DED8EC"/>
          </w:tcPr>
          <w:p>
            <w:pPr>
              <w:spacing w:after="0"/>
              <w:rPr>
                <w:sz w:val="14"/>
                <w:szCs w:val="14"/>
                <w:color w:val="auto"/>
              </w:rPr>
            </w:pPr>
          </w:p>
        </w:tc>
        <w:tc>
          <w:tcPr>
            <w:tcW w:w="2840" w:type="dxa"/>
            <w:vAlign w:val="bottom"/>
            <w:gridSpan w:val="2"/>
            <w:shd w:val="clear" w:color="auto" w:fill="DED8EC"/>
          </w:tcPr>
          <w:p>
            <w:pPr>
              <w:jc w:val="center"/>
              <w:ind w:left="248"/>
              <w:spacing w:after="0"/>
              <w:rPr>
                <w:sz w:val="20"/>
                <w:szCs w:val="20"/>
                <w:color w:val="auto"/>
              </w:rPr>
            </w:pPr>
            <w:r>
              <w:rPr>
                <w:rFonts w:ascii="Arial" w:cs="Arial" w:eastAsia="Arial" w:hAnsi="Arial"/>
                <w:sz w:val="14"/>
                <w:szCs w:val="14"/>
                <w:color w:val="auto"/>
              </w:rPr>
              <w:t>Member</w:t>
            </w:r>
          </w:p>
        </w:tc>
      </w:tr>
      <w:tr>
        <w:trPr>
          <w:trHeight w:val="135"/>
        </w:trPr>
        <w:tc>
          <w:tcPr>
            <w:tcW w:w="600" w:type="dxa"/>
            <w:vAlign w:val="bottom"/>
            <w:shd w:val="clear" w:color="auto" w:fill="DED8EC"/>
          </w:tcPr>
          <w:p>
            <w:pPr>
              <w:spacing w:after="0"/>
              <w:rPr>
                <w:sz w:val="11"/>
                <w:szCs w:val="11"/>
                <w:color w:val="auto"/>
              </w:rPr>
            </w:pPr>
          </w:p>
        </w:tc>
        <w:tc>
          <w:tcPr>
            <w:tcW w:w="1860" w:type="dxa"/>
            <w:vAlign w:val="bottom"/>
            <w:shd w:val="clear" w:color="auto" w:fill="DED8EC"/>
          </w:tcPr>
          <w:p>
            <w:pPr>
              <w:spacing w:after="0"/>
              <w:rPr>
                <w:sz w:val="11"/>
                <w:szCs w:val="11"/>
                <w:color w:val="auto"/>
              </w:rPr>
            </w:pPr>
          </w:p>
        </w:tc>
        <w:tc>
          <w:tcPr>
            <w:tcW w:w="320" w:type="dxa"/>
            <w:vAlign w:val="bottom"/>
            <w:shd w:val="clear" w:color="auto" w:fill="DED8EC"/>
          </w:tcPr>
          <w:p>
            <w:pPr>
              <w:spacing w:after="0"/>
              <w:rPr>
                <w:sz w:val="11"/>
                <w:szCs w:val="11"/>
                <w:color w:val="auto"/>
              </w:rPr>
            </w:pPr>
          </w:p>
        </w:tc>
        <w:tc>
          <w:tcPr>
            <w:tcW w:w="1740" w:type="dxa"/>
            <w:vAlign w:val="bottom"/>
            <w:shd w:val="clear" w:color="auto" w:fill="DED8EC"/>
          </w:tcPr>
          <w:p>
            <w:pPr>
              <w:spacing w:after="0"/>
              <w:rPr>
                <w:sz w:val="11"/>
                <w:szCs w:val="11"/>
                <w:color w:val="auto"/>
              </w:rPr>
            </w:pPr>
          </w:p>
        </w:tc>
        <w:tc>
          <w:tcPr>
            <w:tcW w:w="1940" w:type="dxa"/>
            <w:vAlign w:val="bottom"/>
            <w:shd w:val="clear" w:color="auto" w:fill="DED8EC"/>
          </w:tcPr>
          <w:p>
            <w:pPr>
              <w:spacing w:after="0"/>
              <w:rPr>
                <w:sz w:val="11"/>
                <w:szCs w:val="11"/>
                <w:color w:val="auto"/>
              </w:rPr>
            </w:pPr>
          </w:p>
        </w:tc>
        <w:tc>
          <w:tcPr>
            <w:tcW w:w="100" w:type="dxa"/>
            <w:vAlign w:val="bottom"/>
            <w:shd w:val="clear" w:color="auto" w:fill="DED8EC"/>
          </w:tcPr>
          <w:p>
            <w:pPr>
              <w:spacing w:after="0"/>
              <w:rPr>
                <w:sz w:val="11"/>
                <w:szCs w:val="11"/>
                <w:color w:val="auto"/>
              </w:rPr>
            </w:pPr>
          </w:p>
        </w:tc>
        <w:tc>
          <w:tcPr>
            <w:tcW w:w="2620" w:type="dxa"/>
            <w:vAlign w:val="bottom"/>
            <w:shd w:val="clear" w:color="auto" w:fill="DED8EC"/>
          </w:tcPr>
          <w:p>
            <w:pPr>
              <w:spacing w:after="0"/>
              <w:rPr>
                <w:sz w:val="11"/>
                <w:szCs w:val="11"/>
                <w:color w:val="auto"/>
              </w:rPr>
            </w:pPr>
          </w:p>
        </w:tc>
        <w:tc>
          <w:tcPr>
            <w:tcW w:w="220" w:type="dxa"/>
            <w:vAlign w:val="bottom"/>
            <w:shd w:val="clear" w:color="auto" w:fill="DED8E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-1353820</wp:posOffset>
            </wp:positionV>
            <wp:extent cx="5709285" cy="9512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09285" cy="951230"/>
                    </a:xfrm>
                    <a:prstGeom prst="rect">
                      <a:avLst/>
                    </a:prstGeom>
                    <a:noFill/>
                  </pic:spPr>
                </pic:pic>
              </a:graphicData>
            </a:graphic>
          </wp:anchor>
        </w:drawing>
      </w:r>
    </w:p>
    <w:p>
      <w:pPr>
        <w:spacing w:after="0" w:line="187"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The Nominating and Corporate Governance Committee carries out responsibilities delegated by the Board relating to the Company’s director nomination processes and procedures, develops and maintains the Company’s corporate governance policies, oversees the Company’s Corporate Responsibility Committee and develops and maintains corporate social responsibility policies, and performs other matters as required by applicable laws, rules and regulations. The Nominating and Corporate Governance Committee operates under a written charter adopted by the Board of Directors that is reviewed annually and is available at https://www.pennentertainment.com/corp/investors/corporate-governance.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Responsibilities:</w:t>
      </w:r>
    </w:p>
    <w:p>
      <w:pPr>
        <w:spacing w:after="0" w:line="42" w:lineRule="exact"/>
        <w:rPr>
          <w:sz w:val="20"/>
          <w:szCs w:val="20"/>
          <w:color w:val="auto"/>
        </w:rPr>
      </w:pPr>
    </w:p>
    <w:p>
      <w:pPr>
        <w:ind w:left="300" w:hanging="78"/>
        <w:spacing w:after="0"/>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Identifying and recommending, for the Board’s selection, director nominees, including candidates recommended by shareholders;</w:t>
      </w:r>
    </w:p>
    <w:p>
      <w:pPr>
        <w:spacing w:after="0" w:line="41" w:lineRule="exact"/>
        <w:rPr>
          <w:rFonts w:ascii="Arial" w:cs="Arial" w:eastAsia="Arial" w:hAnsi="Arial"/>
          <w:sz w:val="14"/>
          <w:szCs w:val="14"/>
          <w:color w:val="auto"/>
        </w:rPr>
      </w:pPr>
    </w:p>
    <w:p>
      <w:pPr>
        <w:ind w:left="300" w:right="400" w:hanging="78"/>
        <w:spacing w:after="0" w:line="262" w:lineRule="auto"/>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Overseeing regular self-evaluations of the Board, its Committees, and its directors and making recommendations for improvement based on collected feedback;</w:t>
      </w:r>
    </w:p>
    <w:p>
      <w:pPr>
        <w:ind w:left="300" w:hanging="78"/>
        <w:spacing w:after="0"/>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Overseeing non-financial business risks, including human capital, sustainability and social responsibility initiatives;</w:t>
      </w:r>
    </w:p>
    <w:p>
      <w:pPr>
        <w:spacing w:after="0" w:line="40" w:lineRule="exact"/>
        <w:rPr>
          <w:rFonts w:ascii="Arial" w:cs="Arial" w:eastAsia="Arial" w:hAnsi="Arial"/>
          <w:sz w:val="14"/>
          <w:szCs w:val="14"/>
          <w:color w:val="auto"/>
        </w:rPr>
      </w:pPr>
    </w:p>
    <w:p>
      <w:pPr>
        <w:ind w:left="300" w:hanging="78"/>
        <w:spacing w:after="0"/>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Annually reviewing the Company’s corporate governance principles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Nominating and Corporate Governance Committee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6921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84" w:lineRule="exact"/>
        <w:rPr>
          <w:sz w:val="20"/>
          <w:szCs w:val="20"/>
          <w:color w:val="auto"/>
        </w:rPr>
      </w:pPr>
    </w:p>
    <w:p>
      <w:pPr>
        <w:ind w:left="300" w:hanging="78"/>
        <w:spacing w:after="0"/>
        <w:tabs>
          <w:tab w:leader="none" w:pos="300" w:val="left"/>
        </w:tabs>
        <w:numPr>
          <w:ilvl w:val="0"/>
          <w:numId w:val="27"/>
        </w:numPr>
        <w:rPr>
          <w:rFonts w:ascii="Arial" w:cs="Arial" w:eastAsia="Arial" w:hAnsi="Arial"/>
          <w:sz w:val="14"/>
          <w:szCs w:val="14"/>
          <w:color w:val="69439A"/>
        </w:rPr>
      </w:pPr>
      <w:r>
        <w:rPr>
          <w:rFonts w:ascii="Arial" w:cs="Arial" w:eastAsia="Arial" w:hAnsi="Arial"/>
          <w:sz w:val="14"/>
          <w:szCs w:val="14"/>
          <w:color w:val="auto"/>
        </w:rPr>
        <w:t>Reviewing and recommending the appropriate structure, composition and size of the Board and its Committees;</w:t>
      </w:r>
    </w:p>
    <w:p>
      <w:pPr>
        <w:spacing w:after="0" w:line="41" w:lineRule="exact"/>
        <w:rPr>
          <w:rFonts w:ascii="Arial" w:cs="Arial" w:eastAsia="Arial" w:hAnsi="Arial"/>
          <w:sz w:val="14"/>
          <w:szCs w:val="14"/>
          <w:color w:val="69439A"/>
        </w:rPr>
      </w:pPr>
    </w:p>
    <w:p>
      <w:pPr>
        <w:ind w:left="300" w:hanging="78"/>
        <w:spacing w:after="0"/>
        <w:tabs>
          <w:tab w:leader="none" w:pos="300" w:val="left"/>
        </w:tabs>
        <w:numPr>
          <w:ilvl w:val="0"/>
          <w:numId w:val="27"/>
        </w:numPr>
        <w:rPr>
          <w:rFonts w:ascii="Arial" w:cs="Arial" w:eastAsia="Arial" w:hAnsi="Arial"/>
          <w:sz w:val="14"/>
          <w:szCs w:val="14"/>
          <w:color w:val="69439A"/>
        </w:rPr>
      </w:pPr>
      <w:r>
        <w:rPr>
          <w:rFonts w:ascii="Arial" w:cs="Arial" w:eastAsia="Arial" w:hAnsi="Arial"/>
          <w:sz w:val="14"/>
          <w:szCs w:val="14"/>
          <w:color w:val="auto"/>
        </w:rPr>
        <w:t>Considering the Board’s leadership structure, including the separation of the Board Chair and CEO roles;</w:t>
      </w:r>
    </w:p>
    <w:p>
      <w:pPr>
        <w:spacing w:after="0" w:line="29" w:lineRule="exact"/>
        <w:rPr>
          <w:rFonts w:ascii="Arial" w:cs="Arial" w:eastAsia="Arial" w:hAnsi="Arial"/>
          <w:sz w:val="14"/>
          <w:szCs w:val="14"/>
          <w:color w:val="69439A"/>
        </w:rPr>
      </w:pPr>
    </w:p>
    <w:p>
      <w:pPr>
        <w:ind w:left="300" w:hanging="78"/>
        <w:spacing w:after="0"/>
        <w:tabs>
          <w:tab w:leader="none" w:pos="300" w:val="left"/>
        </w:tabs>
        <w:numPr>
          <w:ilvl w:val="0"/>
          <w:numId w:val="27"/>
        </w:numPr>
        <w:rPr>
          <w:rFonts w:ascii="Arial" w:cs="Arial" w:eastAsia="Arial" w:hAnsi="Arial"/>
          <w:sz w:val="14"/>
          <w:szCs w:val="14"/>
          <w:color w:val="69439A"/>
        </w:rPr>
      </w:pPr>
      <w:r>
        <w:rPr>
          <w:rFonts w:ascii="Arial" w:cs="Arial" w:eastAsia="Arial" w:hAnsi="Arial"/>
          <w:sz w:val="14"/>
          <w:szCs w:val="14"/>
          <w:color w:val="auto"/>
        </w:rPr>
        <w:t>Overseeing the Company's culture and talent strategy;</w:t>
      </w:r>
    </w:p>
    <w:p>
      <w:pPr>
        <w:spacing w:after="0" w:line="40" w:lineRule="exact"/>
        <w:rPr>
          <w:rFonts w:ascii="Arial" w:cs="Arial" w:eastAsia="Arial" w:hAnsi="Arial"/>
          <w:sz w:val="14"/>
          <w:szCs w:val="14"/>
          <w:color w:val="69439A"/>
        </w:rPr>
      </w:pPr>
    </w:p>
    <w:p>
      <w:pPr>
        <w:ind w:left="300" w:right="1180" w:hanging="78"/>
        <w:spacing w:after="0" w:line="271" w:lineRule="auto"/>
        <w:tabs>
          <w:tab w:leader="none" w:pos="300" w:val="left"/>
        </w:tabs>
        <w:numPr>
          <w:ilvl w:val="0"/>
          <w:numId w:val="27"/>
        </w:numPr>
        <w:rPr>
          <w:rFonts w:ascii="Arial" w:cs="Arial" w:eastAsia="Arial" w:hAnsi="Arial"/>
          <w:sz w:val="14"/>
          <w:szCs w:val="14"/>
          <w:color w:val="69439A"/>
        </w:rPr>
      </w:pPr>
      <w:r>
        <w:rPr>
          <w:rFonts w:ascii="Arial" w:cs="Arial" w:eastAsia="Arial" w:hAnsi="Arial"/>
          <w:sz w:val="14"/>
          <w:szCs w:val="14"/>
          <w:color w:val="auto"/>
        </w:rPr>
        <w:t>Making recommendations on the eligibility criteria for new Board and Committee members, including the skills, expertise and independence that should be represented on the Board and its Committees; and</w:t>
      </w:r>
    </w:p>
    <w:p>
      <w:pPr>
        <w:ind w:left="300" w:hanging="78"/>
        <w:spacing w:after="0"/>
        <w:tabs>
          <w:tab w:leader="none" w:pos="300" w:val="left"/>
        </w:tabs>
        <w:numPr>
          <w:ilvl w:val="0"/>
          <w:numId w:val="27"/>
        </w:numPr>
        <w:rPr>
          <w:rFonts w:ascii="Arial" w:cs="Arial" w:eastAsia="Arial" w:hAnsi="Arial"/>
          <w:sz w:val="14"/>
          <w:szCs w:val="14"/>
          <w:color w:val="69439A"/>
        </w:rPr>
      </w:pPr>
      <w:r>
        <w:rPr>
          <w:rFonts w:ascii="Arial" w:cs="Arial" w:eastAsia="Arial" w:hAnsi="Arial"/>
          <w:sz w:val="14"/>
          <w:szCs w:val="14"/>
          <w:color w:val="auto"/>
        </w:rPr>
        <w:t>Overseeing the Company’s orientation programs for new directors and continuing education programs for all directors.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Focus Areas in 2025/2026:</w:t>
      </w:r>
    </w:p>
    <w:p>
      <w:pPr>
        <w:spacing w:after="0" w:line="35" w:lineRule="exact"/>
        <w:rPr>
          <w:sz w:val="20"/>
          <w:szCs w:val="20"/>
          <w:color w:val="auto"/>
        </w:rPr>
      </w:pPr>
    </w:p>
    <w:p>
      <w:pPr>
        <w:ind w:left="300" w:right="420" w:hanging="78"/>
        <w:spacing w:after="0" w:line="253"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Assessed Board and Committee composition to help ensure an appropriate mix of skills, qualifications, and backgrounds to best oversee the Company’s businesses and long-term growth strategy, including overseeing the search process, candidate evaluation, appointment and onboarding of Johnny Hartnett and Carlos Ruisanchez in June 2025 and Heather Ace, Jeffrey Fox and Fabio Schiavolin in February 2026.</w:t>
      </w:r>
    </w:p>
    <w:p>
      <w:pPr>
        <w:spacing w:after="0" w:line="172" w:lineRule="exact"/>
        <w:rPr>
          <w:rFonts w:ascii="Arial" w:cs="Arial" w:eastAsia="Arial" w:hAnsi="Arial"/>
          <w:sz w:val="14"/>
          <w:szCs w:val="14"/>
          <w:color w:val="auto"/>
        </w:rPr>
      </w:pPr>
    </w:p>
    <w:p>
      <w:pPr>
        <w:ind w:left="300" w:right="460" w:hanging="78"/>
        <w:spacing w:after="0" w:line="252"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connection with this comprehensive search process, the Nominating and Corporate Governance Committee considered input from an independent third-party search firm, the independent directors of the Board, senior management and shareholders. Candidates were evaluated based on a range of criteria, including relevant industry experience, financial and operational expertise, leadership qualities, suitability for gaming licensure, independence and the ability to contribute to the Board’s oversight of the Company’s strategic priorities and long-term value creation objectives.</w:t>
      </w:r>
    </w:p>
    <w:p>
      <w:pPr>
        <w:spacing w:after="0" w:line="5" w:lineRule="exact"/>
        <w:rPr>
          <w:rFonts w:ascii="Arial" w:cs="Arial" w:eastAsia="Arial" w:hAnsi="Arial"/>
          <w:sz w:val="14"/>
          <w:szCs w:val="14"/>
          <w:color w:val="auto"/>
        </w:rPr>
      </w:pPr>
    </w:p>
    <w:p>
      <w:pPr>
        <w:ind w:left="300" w:right="540" w:hanging="78"/>
        <w:spacing w:after="0" w:line="255"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Led implementation of director onboarding and education enhancement efforts, including creating centralized resources for directors to access continuing education opportunities and expanded the annual Board self-evaluation review process to gauge effectiveness of ongoing director education initiatives;</w:t>
      </w:r>
    </w:p>
    <w:p>
      <w:pPr>
        <w:spacing w:after="0" w:line="1" w:lineRule="exact"/>
        <w:rPr>
          <w:rFonts w:ascii="Arial" w:cs="Arial" w:eastAsia="Arial" w:hAnsi="Arial"/>
          <w:sz w:val="14"/>
          <w:szCs w:val="14"/>
          <w:color w:val="auto"/>
        </w:rPr>
      </w:pPr>
    </w:p>
    <w:p>
      <w:pPr>
        <w:ind w:left="300" w:right="780" w:hanging="78"/>
        <w:spacing w:after="0" w:line="270"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Oversaw the annual Board and Committee evaluation process, in collaboration with an independent third-party evaluation firm, and development of appropriate enhancements and actions based on evaluation results; and</w:t>
      </w:r>
    </w:p>
    <w:p>
      <w:pPr>
        <w:spacing w:after="0" w:line="1" w:lineRule="exact"/>
        <w:rPr>
          <w:rFonts w:ascii="Arial" w:cs="Arial" w:eastAsia="Arial" w:hAnsi="Arial"/>
          <w:sz w:val="14"/>
          <w:szCs w:val="14"/>
          <w:color w:val="auto"/>
        </w:rPr>
      </w:pPr>
    </w:p>
    <w:p>
      <w:pPr>
        <w:ind w:left="300" w:right="320" w:hanging="78"/>
        <w:spacing w:after="0" w:line="285"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Reviewed recent corporate governance developments to help ensure alignment of the Company’s practices with evolving governance and regulatory landscape and oversaw the enhancement of the Board’s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80010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459"/>
        </w:trPr>
        <w:tc>
          <w:tcPr>
            <w:tcW w:w="4420" w:type="dxa"/>
            <w:vAlign w:val="bottom"/>
            <w:gridSpan w:val="2"/>
            <w:shd w:val="clear" w:color="auto" w:fill="010035"/>
          </w:tcPr>
          <w:p>
            <w:pPr>
              <w:ind w:left="320"/>
              <w:spacing w:after="0"/>
              <w:rPr>
                <w:sz w:val="20"/>
                <w:szCs w:val="20"/>
                <w:color w:val="auto"/>
              </w:rPr>
            </w:pPr>
            <w:r>
              <w:rPr>
                <w:rFonts w:ascii="Arial" w:cs="Arial" w:eastAsia="Arial" w:hAnsi="Arial"/>
                <w:sz w:val="22"/>
                <w:szCs w:val="22"/>
                <w:b w:val="1"/>
                <w:bCs w:val="1"/>
                <w:color w:val="FFFFFF"/>
              </w:rPr>
              <w:t>COMPLIANCE COMMITTEE MEMBERS</w:t>
            </w:r>
          </w:p>
        </w:tc>
        <w:tc>
          <w:tcPr>
            <w:tcW w:w="2140" w:type="dxa"/>
            <w:vAlign w:val="bottom"/>
            <w:shd w:val="clear" w:color="auto" w:fill="010035"/>
          </w:tcPr>
          <w:p>
            <w:pPr>
              <w:spacing w:after="0"/>
              <w:rPr>
                <w:sz w:val="24"/>
                <w:szCs w:val="24"/>
                <w:color w:val="auto"/>
              </w:rPr>
            </w:pPr>
          </w:p>
        </w:tc>
        <w:tc>
          <w:tcPr>
            <w:tcW w:w="120" w:type="dxa"/>
            <w:vAlign w:val="bottom"/>
            <w:shd w:val="clear" w:color="auto" w:fill="69439A"/>
          </w:tcPr>
          <w:p>
            <w:pPr>
              <w:spacing w:after="0"/>
              <w:rPr>
                <w:sz w:val="24"/>
                <w:szCs w:val="24"/>
                <w:color w:val="auto"/>
              </w:rPr>
            </w:pPr>
          </w:p>
        </w:tc>
        <w:tc>
          <w:tcPr>
            <w:tcW w:w="2720" w:type="dxa"/>
            <w:vAlign w:val="bottom"/>
            <w:shd w:val="clear" w:color="auto" w:fill="69439A"/>
          </w:tcPr>
          <w:p>
            <w:pPr>
              <w:spacing w:after="0"/>
              <w:rPr>
                <w:sz w:val="20"/>
                <w:szCs w:val="20"/>
                <w:color w:val="auto"/>
              </w:rPr>
            </w:pPr>
            <w:r>
              <w:rPr>
                <w:rFonts w:ascii="Arial" w:cs="Arial" w:eastAsia="Arial" w:hAnsi="Arial"/>
                <w:sz w:val="22"/>
                <w:szCs w:val="22"/>
                <w:b w:val="1"/>
                <w:bCs w:val="1"/>
                <w:color w:val="FFFFFF"/>
                <w:w w:val="93"/>
              </w:rPr>
              <w:t>MEETINGS HELD IN 2025: 4</w:t>
            </w:r>
          </w:p>
        </w:tc>
      </w:tr>
      <w:tr>
        <w:trPr>
          <w:trHeight w:val="108"/>
        </w:trPr>
        <w:tc>
          <w:tcPr>
            <w:tcW w:w="2410" w:type="dxa"/>
            <w:vAlign w:val="bottom"/>
            <w:shd w:val="clear" w:color="auto" w:fill="010035"/>
          </w:tcPr>
          <w:p>
            <w:pPr>
              <w:spacing w:after="0"/>
              <w:rPr>
                <w:sz w:val="9"/>
                <w:szCs w:val="9"/>
                <w:color w:val="auto"/>
              </w:rPr>
            </w:pPr>
          </w:p>
        </w:tc>
        <w:tc>
          <w:tcPr>
            <w:tcW w:w="2010" w:type="dxa"/>
            <w:vAlign w:val="bottom"/>
            <w:shd w:val="clear" w:color="auto" w:fill="010035"/>
          </w:tcPr>
          <w:p>
            <w:pPr>
              <w:spacing w:after="0"/>
              <w:rPr>
                <w:sz w:val="9"/>
                <w:szCs w:val="9"/>
                <w:color w:val="auto"/>
              </w:rPr>
            </w:pPr>
          </w:p>
        </w:tc>
        <w:tc>
          <w:tcPr>
            <w:tcW w:w="2140" w:type="dxa"/>
            <w:vAlign w:val="bottom"/>
            <w:shd w:val="clear" w:color="auto" w:fill="010035"/>
          </w:tcPr>
          <w:p>
            <w:pPr>
              <w:spacing w:after="0"/>
              <w:rPr>
                <w:sz w:val="9"/>
                <w:szCs w:val="9"/>
                <w:color w:val="auto"/>
              </w:rPr>
            </w:pPr>
          </w:p>
        </w:tc>
        <w:tc>
          <w:tcPr>
            <w:tcW w:w="120" w:type="dxa"/>
            <w:vAlign w:val="bottom"/>
            <w:shd w:val="clear" w:color="auto" w:fill="69439A"/>
          </w:tcPr>
          <w:p>
            <w:pPr>
              <w:spacing w:after="0"/>
              <w:rPr>
                <w:sz w:val="9"/>
                <w:szCs w:val="9"/>
                <w:color w:val="auto"/>
              </w:rPr>
            </w:pPr>
          </w:p>
        </w:tc>
        <w:tc>
          <w:tcPr>
            <w:tcW w:w="2720" w:type="dxa"/>
            <w:vAlign w:val="bottom"/>
            <w:shd w:val="clear" w:color="auto" w:fill="69439A"/>
          </w:tcPr>
          <w:p>
            <w:pPr>
              <w:spacing w:after="0"/>
              <w:rPr>
                <w:sz w:val="9"/>
                <w:szCs w:val="9"/>
                <w:color w:val="auto"/>
              </w:rPr>
            </w:pPr>
          </w:p>
        </w:tc>
      </w:tr>
      <w:tr>
        <w:trPr>
          <w:trHeight w:val="1814"/>
        </w:trPr>
        <w:tc>
          <w:tcPr>
            <w:tcW w:w="2410" w:type="dxa"/>
            <w:vAlign w:val="bottom"/>
            <w:shd w:val="clear" w:color="auto" w:fill="DED8EC"/>
          </w:tcPr>
          <w:p>
            <w:pPr>
              <w:ind w:left="280"/>
              <w:spacing w:after="0"/>
              <w:rPr>
                <w:sz w:val="20"/>
                <w:szCs w:val="20"/>
                <w:color w:val="auto"/>
              </w:rPr>
            </w:pPr>
            <w:r>
              <w:rPr>
                <w:rFonts w:ascii="Arial" w:cs="Arial" w:eastAsia="Arial" w:hAnsi="Arial"/>
                <w:sz w:val="14"/>
                <w:szCs w:val="14"/>
                <w:color w:val="auto"/>
              </w:rPr>
              <w:t> </w:t>
            </w:r>
          </w:p>
        </w:tc>
        <w:tc>
          <w:tcPr>
            <w:tcW w:w="2010" w:type="dxa"/>
            <w:vAlign w:val="bottom"/>
            <w:shd w:val="clear" w:color="auto" w:fill="DED8EC"/>
          </w:tcPr>
          <w:p>
            <w:pPr>
              <w:ind w:left="30"/>
              <w:spacing w:after="0"/>
              <w:rPr>
                <w:sz w:val="20"/>
                <w:szCs w:val="20"/>
                <w:color w:val="auto"/>
              </w:rPr>
            </w:pPr>
            <w:r>
              <w:rPr>
                <w:rFonts w:ascii="Arial" w:cs="Arial" w:eastAsia="Arial" w:hAnsi="Arial"/>
                <w:sz w:val="14"/>
                <w:szCs w:val="14"/>
                <w:color w:val="auto"/>
              </w:rPr>
              <w:t> </w:t>
            </w:r>
          </w:p>
        </w:tc>
        <w:tc>
          <w:tcPr>
            <w:tcW w:w="2260" w:type="dxa"/>
            <w:vAlign w:val="bottom"/>
            <w:gridSpan w:val="2"/>
            <w:shd w:val="clear" w:color="auto" w:fill="DED8EC"/>
          </w:tcPr>
          <w:p>
            <w:pPr>
              <w:ind w:left="300"/>
              <w:spacing w:after="0"/>
              <w:rPr>
                <w:sz w:val="20"/>
                <w:szCs w:val="20"/>
                <w:color w:val="auto"/>
              </w:rPr>
            </w:pPr>
            <w:r>
              <w:rPr>
                <w:rFonts w:ascii="Arial" w:cs="Arial" w:eastAsia="Arial" w:hAnsi="Arial"/>
                <w:sz w:val="14"/>
                <w:szCs w:val="14"/>
                <w:color w:val="auto"/>
              </w:rPr>
              <w:t> </w:t>
            </w:r>
          </w:p>
        </w:tc>
        <w:tc>
          <w:tcPr>
            <w:tcW w:w="2720" w:type="dxa"/>
            <w:vAlign w:val="bottom"/>
            <w:shd w:val="clear" w:color="auto" w:fill="DED8EC"/>
          </w:tcPr>
          <w:p>
            <w:pPr>
              <w:ind w:left="300"/>
              <w:spacing w:after="0"/>
              <w:rPr>
                <w:sz w:val="20"/>
                <w:szCs w:val="20"/>
                <w:color w:val="auto"/>
              </w:rPr>
            </w:pPr>
            <w:r>
              <w:rPr>
                <w:rFonts w:ascii="Arial" w:cs="Arial" w:eastAsia="Arial" w:hAnsi="Arial"/>
                <w:sz w:val="14"/>
                <w:szCs w:val="14"/>
                <w:color w:val="auto"/>
              </w:rPr>
              <w:t xml:space="preserve">  </w:t>
            </w:r>
          </w:p>
        </w:tc>
      </w:tr>
      <w:tr>
        <w:trPr>
          <w:trHeight w:val="188"/>
        </w:trPr>
        <w:tc>
          <w:tcPr>
            <w:tcW w:w="2410" w:type="dxa"/>
            <w:vAlign w:val="bottom"/>
            <w:shd w:val="clear" w:color="auto" w:fill="DED8EC"/>
          </w:tcPr>
          <w:p>
            <w:pPr>
              <w:ind w:left="640"/>
              <w:spacing w:after="0"/>
              <w:rPr>
                <w:sz w:val="20"/>
                <w:szCs w:val="20"/>
                <w:color w:val="auto"/>
              </w:rPr>
            </w:pPr>
            <w:r>
              <w:rPr>
                <w:rFonts w:ascii="Arial" w:cs="Arial" w:eastAsia="Arial" w:hAnsi="Arial"/>
                <w:sz w:val="14"/>
                <w:szCs w:val="14"/>
                <w:b w:val="1"/>
                <w:bCs w:val="1"/>
                <w:color w:val="auto"/>
              </w:rPr>
              <w:t>Thomas Auriemma</w:t>
            </w:r>
          </w:p>
        </w:tc>
        <w:tc>
          <w:tcPr>
            <w:tcW w:w="2010" w:type="dxa"/>
            <w:vAlign w:val="bottom"/>
            <w:shd w:val="clear" w:color="auto" w:fill="DED8EC"/>
          </w:tcPr>
          <w:p>
            <w:pPr>
              <w:jc w:val="center"/>
              <w:ind w:left="198"/>
              <w:spacing w:after="0"/>
              <w:rPr>
                <w:sz w:val="20"/>
                <w:szCs w:val="20"/>
                <w:color w:val="auto"/>
              </w:rPr>
            </w:pPr>
            <w:r>
              <w:rPr>
                <w:rFonts w:ascii="Arial" w:cs="Arial" w:eastAsia="Arial" w:hAnsi="Arial"/>
                <w:sz w:val="14"/>
                <w:szCs w:val="14"/>
                <w:b w:val="1"/>
                <w:bCs w:val="1"/>
                <w:color w:val="auto"/>
              </w:rPr>
              <w:t>Johnny Hartnett</w:t>
            </w:r>
          </w:p>
        </w:tc>
        <w:tc>
          <w:tcPr>
            <w:tcW w:w="2260" w:type="dxa"/>
            <w:vAlign w:val="bottom"/>
            <w:gridSpan w:val="2"/>
            <w:shd w:val="clear" w:color="auto" w:fill="DED8EC"/>
          </w:tcPr>
          <w:p>
            <w:pPr>
              <w:jc w:val="center"/>
              <w:ind w:left="488"/>
              <w:spacing w:after="0"/>
              <w:rPr>
                <w:sz w:val="20"/>
                <w:szCs w:val="20"/>
                <w:color w:val="auto"/>
              </w:rPr>
            </w:pPr>
            <w:r>
              <w:rPr>
                <w:rFonts w:ascii="Arial" w:cs="Arial" w:eastAsia="Arial" w:hAnsi="Arial"/>
                <w:sz w:val="14"/>
                <w:szCs w:val="14"/>
                <w:b w:val="1"/>
                <w:bCs w:val="1"/>
                <w:color w:val="auto"/>
              </w:rPr>
              <w:t>Ronnie Jones</w:t>
            </w:r>
          </w:p>
        </w:tc>
        <w:tc>
          <w:tcPr>
            <w:tcW w:w="2720" w:type="dxa"/>
            <w:vAlign w:val="bottom"/>
            <w:shd w:val="clear" w:color="auto" w:fill="DED8EC"/>
          </w:tcPr>
          <w:p>
            <w:pPr>
              <w:jc w:val="center"/>
              <w:ind w:left="39"/>
              <w:spacing w:after="0"/>
              <w:rPr>
                <w:sz w:val="20"/>
                <w:szCs w:val="20"/>
                <w:color w:val="auto"/>
              </w:rPr>
            </w:pPr>
            <w:r>
              <w:rPr>
                <w:rFonts w:ascii="Arial" w:cs="Arial" w:eastAsia="Arial" w:hAnsi="Arial"/>
                <w:sz w:val="14"/>
                <w:szCs w:val="14"/>
                <w:b w:val="1"/>
                <w:bCs w:val="1"/>
                <w:color w:val="auto"/>
              </w:rPr>
              <w:t>Carlos Ruisanchez</w:t>
            </w:r>
          </w:p>
        </w:tc>
      </w:tr>
      <w:tr>
        <w:trPr>
          <w:trHeight w:val="162"/>
        </w:trPr>
        <w:tc>
          <w:tcPr>
            <w:tcW w:w="2410" w:type="dxa"/>
            <w:vAlign w:val="bottom"/>
            <w:shd w:val="clear" w:color="auto" w:fill="DED8EC"/>
          </w:tcPr>
          <w:p>
            <w:pPr>
              <w:ind w:left="240"/>
              <w:spacing w:after="0"/>
              <w:rPr>
                <w:sz w:val="20"/>
                <w:szCs w:val="20"/>
                <w:color w:val="auto"/>
              </w:rPr>
            </w:pPr>
            <w:r>
              <w:rPr>
                <w:rFonts w:ascii="Arial" w:cs="Arial" w:eastAsia="Arial" w:hAnsi="Arial"/>
                <w:sz w:val="14"/>
                <w:szCs w:val="14"/>
                <w:color w:val="auto"/>
              </w:rPr>
              <w:t>Independent, Non-Director Chair</w:t>
            </w:r>
          </w:p>
        </w:tc>
        <w:tc>
          <w:tcPr>
            <w:tcW w:w="2010" w:type="dxa"/>
            <w:vAlign w:val="bottom"/>
            <w:shd w:val="clear" w:color="auto" w:fill="DED8EC"/>
          </w:tcPr>
          <w:p>
            <w:pPr>
              <w:jc w:val="center"/>
              <w:ind w:left="218"/>
              <w:spacing w:after="0"/>
              <w:rPr>
                <w:sz w:val="20"/>
                <w:szCs w:val="20"/>
                <w:color w:val="auto"/>
              </w:rPr>
            </w:pPr>
            <w:r>
              <w:rPr>
                <w:rFonts w:ascii="Arial" w:cs="Arial" w:eastAsia="Arial" w:hAnsi="Arial"/>
                <w:sz w:val="14"/>
                <w:szCs w:val="14"/>
                <w:color w:val="auto"/>
              </w:rPr>
              <w:t>Member</w:t>
            </w:r>
          </w:p>
        </w:tc>
        <w:tc>
          <w:tcPr>
            <w:tcW w:w="2260" w:type="dxa"/>
            <w:vAlign w:val="bottom"/>
            <w:gridSpan w:val="2"/>
            <w:shd w:val="clear" w:color="auto" w:fill="DED8EC"/>
          </w:tcPr>
          <w:p>
            <w:pPr>
              <w:jc w:val="center"/>
              <w:ind w:left="488"/>
              <w:spacing w:after="0"/>
              <w:rPr>
                <w:sz w:val="20"/>
                <w:szCs w:val="20"/>
                <w:color w:val="auto"/>
              </w:rPr>
            </w:pPr>
            <w:r>
              <w:rPr>
                <w:rFonts w:ascii="Arial" w:cs="Arial" w:eastAsia="Arial" w:hAnsi="Arial"/>
                <w:sz w:val="14"/>
                <w:szCs w:val="14"/>
                <w:color w:val="auto"/>
              </w:rPr>
              <w:t>Independent, Non-Director</w:t>
            </w:r>
          </w:p>
        </w:tc>
        <w:tc>
          <w:tcPr>
            <w:tcW w:w="2720" w:type="dxa"/>
            <w:vAlign w:val="bottom"/>
            <w:shd w:val="clear" w:color="auto" w:fill="DED8EC"/>
          </w:tcPr>
          <w:p>
            <w:pPr>
              <w:jc w:val="center"/>
              <w:ind w:left="39"/>
              <w:spacing w:after="0"/>
              <w:rPr>
                <w:sz w:val="20"/>
                <w:szCs w:val="20"/>
                <w:color w:val="auto"/>
              </w:rPr>
            </w:pPr>
            <w:r>
              <w:rPr>
                <w:rFonts w:ascii="Arial" w:cs="Arial" w:eastAsia="Arial" w:hAnsi="Arial"/>
                <w:sz w:val="14"/>
                <w:szCs w:val="14"/>
                <w:color w:val="auto"/>
              </w:rPr>
              <w:t>Member</w:t>
            </w:r>
          </w:p>
        </w:tc>
      </w:tr>
      <w:tr>
        <w:trPr>
          <w:trHeight w:val="171"/>
        </w:trPr>
        <w:tc>
          <w:tcPr>
            <w:tcW w:w="2410" w:type="dxa"/>
            <w:vAlign w:val="bottom"/>
            <w:shd w:val="clear" w:color="auto" w:fill="DED8EC"/>
          </w:tcPr>
          <w:p>
            <w:pPr>
              <w:spacing w:after="0"/>
              <w:rPr>
                <w:sz w:val="14"/>
                <w:szCs w:val="14"/>
                <w:color w:val="auto"/>
              </w:rPr>
            </w:pPr>
          </w:p>
        </w:tc>
        <w:tc>
          <w:tcPr>
            <w:tcW w:w="2010" w:type="dxa"/>
            <w:vAlign w:val="bottom"/>
            <w:shd w:val="clear" w:color="auto" w:fill="DED8EC"/>
          </w:tcPr>
          <w:p>
            <w:pPr>
              <w:spacing w:after="0"/>
              <w:rPr>
                <w:sz w:val="14"/>
                <w:szCs w:val="14"/>
                <w:color w:val="auto"/>
              </w:rPr>
            </w:pPr>
          </w:p>
        </w:tc>
        <w:tc>
          <w:tcPr>
            <w:tcW w:w="2260" w:type="dxa"/>
            <w:vAlign w:val="bottom"/>
            <w:gridSpan w:val="2"/>
            <w:shd w:val="clear" w:color="auto" w:fill="DED8EC"/>
          </w:tcPr>
          <w:p>
            <w:pPr>
              <w:jc w:val="center"/>
              <w:ind w:left="468"/>
              <w:spacing w:after="0"/>
              <w:rPr>
                <w:sz w:val="20"/>
                <w:szCs w:val="20"/>
                <w:color w:val="auto"/>
              </w:rPr>
            </w:pPr>
            <w:r>
              <w:rPr>
                <w:rFonts w:ascii="Arial" w:cs="Arial" w:eastAsia="Arial" w:hAnsi="Arial"/>
                <w:sz w:val="14"/>
                <w:szCs w:val="14"/>
                <w:color w:val="auto"/>
              </w:rPr>
              <w:t>Member</w:t>
            </w:r>
          </w:p>
        </w:tc>
        <w:tc>
          <w:tcPr>
            <w:tcW w:w="2720" w:type="dxa"/>
            <w:vAlign w:val="bottom"/>
            <w:shd w:val="clear" w:color="auto" w:fill="DED8EC"/>
          </w:tcPr>
          <w:p>
            <w:pPr>
              <w:spacing w:after="0"/>
              <w:rPr>
                <w:sz w:val="14"/>
                <w:szCs w:val="14"/>
                <w:color w:val="auto"/>
              </w:rPr>
            </w:pPr>
          </w:p>
        </w:tc>
      </w:tr>
      <w:tr>
        <w:trPr>
          <w:trHeight w:val="135"/>
        </w:trPr>
        <w:tc>
          <w:tcPr>
            <w:tcW w:w="2410" w:type="dxa"/>
            <w:vAlign w:val="bottom"/>
            <w:shd w:val="clear" w:color="auto" w:fill="DED8EC"/>
          </w:tcPr>
          <w:p>
            <w:pPr>
              <w:spacing w:after="0"/>
              <w:rPr>
                <w:sz w:val="11"/>
                <w:szCs w:val="11"/>
                <w:color w:val="auto"/>
              </w:rPr>
            </w:pPr>
          </w:p>
        </w:tc>
        <w:tc>
          <w:tcPr>
            <w:tcW w:w="2010" w:type="dxa"/>
            <w:vAlign w:val="bottom"/>
            <w:shd w:val="clear" w:color="auto" w:fill="DED8EC"/>
          </w:tcPr>
          <w:p>
            <w:pPr>
              <w:spacing w:after="0"/>
              <w:rPr>
                <w:sz w:val="11"/>
                <w:szCs w:val="11"/>
                <w:color w:val="auto"/>
              </w:rPr>
            </w:pPr>
          </w:p>
        </w:tc>
        <w:tc>
          <w:tcPr>
            <w:tcW w:w="2140" w:type="dxa"/>
            <w:vAlign w:val="bottom"/>
            <w:shd w:val="clear" w:color="auto" w:fill="DED8EC"/>
          </w:tcPr>
          <w:p>
            <w:pPr>
              <w:spacing w:after="0"/>
              <w:rPr>
                <w:sz w:val="11"/>
                <w:szCs w:val="11"/>
                <w:color w:val="auto"/>
              </w:rPr>
            </w:pPr>
          </w:p>
        </w:tc>
        <w:tc>
          <w:tcPr>
            <w:tcW w:w="120" w:type="dxa"/>
            <w:vAlign w:val="bottom"/>
            <w:shd w:val="clear" w:color="auto" w:fill="DED8EC"/>
          </w:tcPr>
          <w:p>
            <w:pPr>
              <w:spacing w:after="0"/>
              <w:rPr>
                <w:sz w:val="11"/>
                <w:szCs w:val="11"/>
                <w:color w:val="auto"/>
              </w:rPr>
            </w:pPr>
          </w:p>
        </w:tc>
        <w:tc>
          <w:tcPr>
            <w:tcW w:w="2720" w:type="dxa"/>
            <w:vAlign w:val="bottom"/>
            <w:shd w:val="clear" w:color="auto" w:fill="DED8E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-1456690</wp:posOffset>
            </wp:positionV>
            <wp:extent cx="5683250" cy="925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683250" cy="925830"/>
                    </a:xfrm>
                    <a:prstGeom prst="rect">
                      <a:avLst/>
                    </a:prstGeom>
                    <a:noFill/>
                  </pic:spPr>
                </pic:pic>
              </a:graphicData>
            </a:graphic>
          </wp:anchor>
        </w:drawing>
      </w:r>
    </w:p>
    <w:p>
      <w:pPr>
        <w:spacing w:after="0" w:line="187"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The Compliance Committee is chaired by an independent non-director member, Thomas N. Auriemma, who is joined on the Committee by a second independent non-director member, Ronnie Jones, and by two independent members of our Board. Mr. Auriemma is the Company’s former Vice President, Chief Compliance Officer, previously served as Director of the Division of Gaming Enforcement in New Jersey, and has over 30 years of experience as a gaming regulator in the State of New Jersey. Mr. Jones has over 40 years of experience in public service, including as Chair of the Louisiana Gaming Control Board and with the Gaming Enforcement Division of the Louisiana State Police. In 2025, the Company reestablished its prior practice of having two non-director members with gaming regulatory experience on its Compliance Committee. Recognizing the highly regulated nature of the Company’s operating environment and the significant number of licenses it holds, their subject matter expertise is invaluable to the Company’s efforts to ensure adherence to the highest legal, regulatory, professional, and ethical standards.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Responsibilities:</w:t>
      </w:r>
    </w:p>
    <w:p>
      <w:pPr>
        <w:spacing w:after="0" w:line="42" w:lineRule="exact"/>
        <w:rPr>
          <w:sz w:val="20"/>
          <w:szCs w:val="20"/>
          <w:color w:val="auto"/>
        </w:rPr>
      </w:pPr>
    </w:p>
    <w:p>
      <w:pPr>
        <w:ind w:left="300" w:hanging="78"/>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Assessing the adequacy of the Company’s compliance policies and procedures;</w:t>
      </w:r>
    </w:p>
    <w:p>
      <w:pPr>
        <w:spacing w:after="0" w:line="41" w:lineRule="exact"/>
        <w:rPr>
          <w:rFonts w:ascii="Arial" w:cs="Arial" w:eastAsia="Arial" w:hAnsi="Arial"/>
          <w:sz w:val="14"/>
          <w:szCs w:val="14"/>
          <w:color w:val="auto"/>
        </w:rPr>
      </w:pPr>
    </w:p>
    <w:p>
      <w:pPr>
        <w:ind w:left="300" w:hanging="78"/>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Assessing the effectiveness of the Company’s compliance efforts, particularly training on and implementation of compliance procedures;</w:t>
      </w:r>
    </w:p>
    <w:p>
      <w:pPr>
        <w:spacing w:after="0" w:line="29" w:lineRule="exact"/>
        <w:rPr>
          <w:rFonts w:ascii="Arial" w:cs="Arial" w:eastAsia="Arial" w:hAnsi="Arial"/>
          <w:sz w:val="14"/>
          <w:szCs w:val="14"/>
          <w:color w:val="auto"/>
        </w:rPr>
      </w:pPr>
    </w:p>
    <w:p>
      <w:pPr>
        <w:ind w:left="300" w:hanging="78"/>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Monitoring audits and investigations conducted or overseen by the Company’s compliance personnel;</w:t>
      </w:r>
    </w:p>
    <w:p>
      <w:pPr>
        <w:spacing w:after="0" w:line="40" w:lineRule="exact"/>
        <w:rPr>
          <w:rFonts w:ascii="Arial" w:cs="Arial" w:eastAsia="Arial" w:hAnsi="Arial"/>
          <w:sz w:val="14"/>
          <w:szCs w:val="14"/>
          <w:color w:val="auto"/>
        </w:rPr>
      </w:pPr>
    </w:p>
    <w:p>
      <w:pPr>
        <w:ind w:left="300" w:hanging="78"/>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Monitoring any administrative investigations of and disciplinary actions against the Company or its executives;</w:t>
      </w:r>
    </w:p>
    <w:p>
      <w:pPr>
        <w:spacing w:after="0" w:line="41" w:lineRule="exact"/>
        <w:rPr>
          <w:rFonts w:ascii="Arial" w:cs="Arial" w:eastAsia="Arial" w:hAnsi="Arial"/>
          <w:sz w:val="14"/>
          <w:szCs w:val="14"/>
          <w:color w:val="auto"/>
        </w:rPr>
      </w:pPr>
    </w:p>
    <w:p>
      <w:pPr>
        <w:ind w:left="300" w:hanging="78"/>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Reporting to the Board on any matters of concern regarding the Company’s regulatory compliance program; and</w:t>
      </w:r>
    </w:p>
    <w:p>
      <w:pPr>
        <w:spacing w:after="0" w:line="29" w:lineRule="exact"/>
        <w:rPr>
          <w:rFonts w:ascii="Arial" w:cs="Arial" w:eastAsia="Arial" w:hAnsi="Arial"/>
          <w:sz w:val="14"/>
          <w:szCs w:val="14"/>
          <w:color w:val="auto"/>
        </w:rPr>
      </w:pPr>
    </w:p>
    <w:p>
      <w:pPr>
        <w:ind w:left="300" w:hanging="78"/>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Evaluating new directors for compliance with suitability standards.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Focus Areas in 2025/2026:</w:t>
      </w:r>
    </w:p>
    <w:p>
      <w:pPr>
        <w:spacing w:after="0" w:line="35" w:lineRule="exact"/>
        <w:rPr>
          <w:sz w:val="20"/>
          <w:szCs w:val="20"/>
          <w:color w:val="auto"/>
        </w:rPr>
      </w:pPr>
    </w:p>
    <w:p>
      <w:pPr>
        <w:ind w:left="300" w:right="540" w:hanging="78"/>
        <w:spacing w:after="0" w:line="266" w:lineRule="auto"/>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Oversaw enhancements to the Company’s anti-money laundering policies and compliance review and reporting plan to ensure that the Company’s compliance systems continue to evolve to meet best practices;</w:t>
      </w:r>
    </w:p>
    <w:p>
      <w:pPr>
        <w:ind w:left="300" w:right="640" w:hanging="78"/>
        <w:spacing w:after="0" w:line="271" w:lineRule="auto"/>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Assessed recent high profile industry enforcement actions against industry peers and discussed with the Board and management the implications of those actions on the industry; and</w:t>
      </w:r>
    </w:p>
    <w:p>
      <w:pPr>
        <w:ind w:left="300" w:right="660" w:hanging="78"/>
        <w:spacing w:after="0" w:line="285" w:lineRule="auto"/>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Reviewed and discussed with management the regulatory implications of gaming products such as so-called “skill games,” prediction markets, and sweepstakes casinos.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80010</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Risk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jc w:val="both"/>
        <w:ind w:right="460"/>
        <w:spacing w:after="0" w:line="256" w:lineRule="auto"/>
        <w:rPr>
          <w:sz w:val="20"/>
          <w:szCs w:val="20"/>
          <w:color w:val="auto"/>
        </w:rPr>
      </w:pPr>
      <w:r>
        <w:rPr>
          <w:rFonts w:ascii="Arial" w:cs="Arial" w:eastAsia="Arial" w:hAnsi="Arial"/>
          <w:sz w:val="14"/>
          <w:szCs w:val="14"/>
          <w:color w:val="auto"/>
        </w:rPr>
        <w:t>The Board recognizes that a prudent level of risk taking is necessary to implement the Company’s strategy. As such, the Board (as part of its meetings and through its Committees as described below) provides oversight with respect to the Company’s enterprise risk assessment and enterprise risk management activities, which are designed to identify, prioritize, assess, monitor, and mitigate the various risks that have the potential to significantly impact the Company.</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Where appropriate, the Board has delegated responsibility with respect to oversight of certain key risk areas to various Board and management committees. The Board’s Committees each report to the full Board at least four times a year with updates on their areas of designated risk oversight responsibilities. Management is responsible for establishing and supervising day-to-day risk management processes and reporting to the Board and its Committees, as necessary.</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38919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66460" cy="389191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10035"/>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83" w:right="160" w:hanging="283"/>
        <w:spacing w:after="0" w:line="263" w:lineRule="auto"/>
        <w:tabs>
          <w:tab w:leader="none" w:pos="152" w:val="left"/>
        </w:tabs>
        <w:numPr>
          <w:ilvl w:val="0"/>
          <w:numId w:val="31"/>
        </w:numPr>
        <w:rPr>
          <w:rFonts w:ascii="Arial" w:cs="Arial" w:eastAsia="Arial" w:hAnsi="Arial"/>
          <w:sz w:val="14"/>
          <w:szCs w:val="14"/>
          <w:color w:val="010035"/>
        </w:rPr>
      </w:pPr>
      <w:r>
        <w:rPr>
          <w:rFonts w:ascii="Arial" w:cs="Arial" w:eastAsia="Arial" w:hAnsi="Arial"/>
          <w:sz w:val="14"/>
          <w:szCs w:val="14"/>
          <w:color w:val="010035"/>
        </w:rPr>
        <w:t>•  Oversees integrity of financial statements and financial disclosures, effectiveness of internal controls, the internal audit function, the external independent auditor, compliance with legal and regulatory requirements, information and cybersecurity, and exposure to major financial risks.</w:t>
      </w:r>
    </w:p>
    <w:p>
      <w:pPr>
        <w:spacing w:after="0" w:line="64" w:lineRule="exact"/>
        <w:rPr>
          <w:rFonts w:ascii="Arial" w:cs="Arial" w:eastAsia="Arial" w:hAnsi="Arial"/>
          <w:sz w:val="14"/>
          <w:szCs w:val="14"/>
          <w:color w:val="010035"/>
        </w:rPr>
      </w:pPr>
    </w:p>
    <w:p>
      <w:pPr>
        <w:ind w:left="143" w:hanging="143"/>
        <w:spacing w:after="0"/>
        <w:tabs>
          <w:tab w:leader="none" w:pos="143" w:val="left"/>
        </w:tabs>
        <w:numPr>
          <w:ilvl w:val="0"/>
          <w:numId w:val="31"/>
        </w:numPr>
        <w:rPr>
          <w:rFonts w:ascii="Arial" w:cs="Arial" w:eastAsia="Arial" w:hAnsi="Arial"/>
          <w:sz w:val="14"/>
          <w:szCs w:val="14"/>
          <w:color w:val="010035"/>
        </w:rPr>
      </w:pPr>
      <w:r>
        <w:rPr>
          <w:rFonts w:ascii="Arial" w:cs="Arial" w:eastAsia="Arial" w:hAnsi="Arial"/>
          <w:sz w:val="14"/>
          <w:szCs w:val="14"/>
          <w:color w:val="010035"/>
        </w:rPr>
        <w:t>•  Responsible for overseeing the Company’s Enterprise Risk Management program.</w:t>
      </w:r>
    </w:p>
    <w:p>
      <w:pPr>
        <w:spacing w:after="0" w:line="109" w:lineRule="exact"/>
        <w:rPr>
          <w:rFonts w:ascii="Arial" w:cs="Arial" w:eastAsia="Arial" w:hAnsi="Arial"/>
          <w:sz w:val="14"/>
          <w:szCs w:val="14"/>
          <w:color w:val="010035"/>
        </w:rPr>
      </w:pPr>
    </w:p>
    <w:p>
      <w:pPr>
        <w:ind w:left="283" w:right="600" w:hanging="283"/>
        <w:spacing w:after="0" w:line="285" w:lineRule="auto"/>
        <w:tabs>
          <w:tab w:leader="none" w:pos="152" w:val="left"/>
        </w:tabs>
        <w:numPr>
          <w:ilvl w:val="0"/>
          <w:numId w:val="31"/>
        </w:numPr>
        <w:rPr>
          <w:rFonts w:ascii="Arial" w:cs="Arial" w:eastAsia="Arial" w:hAnsi="Arial"/>
          <w:sz w:val="14"/>
          <w:szCs w:val="14"/>
          <w:color w:val="010035"/>
        </w:rPr>
      </w:pPr>
      <w:r>
        <w:rPr>
          <w:rFonts w:ascii="Arial" w:cs="Arial" w:eastAsia="Arial" w:hAnsi="Arial"/>
          <w:sz w:val="14"/>
          <w:szCs w:val="14"/>
          <w:color w:val="010035"/>
        </w:rPr>
        <w:t>•  Receives regular updates from the Company’s Chief Technology Officer and Chief Information Security Officer on cybersecurity matters.</w:t>
      </w:r>
    </w:p>
    <w:p>
      <w:pPr>
        <w:spacing w:after="0" w:line="200" w:lineRule="exact"/>
        <w:rPr>
          <w:sz w:val="20"/>
          <w:szCs w:val="20"/>
          <w:color w:val="auto"/>
        </w:rPr>
      </w:pPr>
    </w:p>
    <w:p>
      <w:pPr>
        <w:sectPr>
          <w:pgSz w:w="11900" w:h="16838" w:orient="portrait"/>
          <w:cols w:equalWidth="0" w:num="2">
            <w:col w:w="2000" w:space="557"/>
            <w:col w:w="6843"/>
          </w:cols>
          <w:pgMar w:left="1240" w:top="114" w:right="125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200" w:right="57"/>
        <w:spacing w:after="0" w:line="353" w:lineRule="auto"/>
        <w:rPr>
          <w:sz w:val="20"/>
          <w:szCs w:val="20"/>
          <w:color w:val="auto"/>
        </w:rPr>
      </w:pPr>
      <w:r>
        <w:rPr>
          <w:rFonts w:ascii="Arial" w:cs="Arial" w:eastAsia="Arial" w:hAnsi="Arial"/>
          <w:sz w:val="19"/>
          <w:szCs w:val="19"/>
          <w:b w:val="1"/>
          <w:bCs w:val="1"/>
          <w:color w:val="010035"/>
        </w:rPr>
        <w:t>COMPENSATION COMMITTEE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283" w:right="540" w:hanging="283"/>
        <w:spacing w:after="0" w:line="263" w:lineRule="auto"/>
        <w:tabs>
          <w:tab w:leader="none" w:pos="152" w:val="left"/>
        </w:tabs>
        <w:numPr>
          <w:ilvl w:val="0"/>
          <w:numId w:val="32"/>
        </w:numPr>
        <w:rPr>
          <w:rFonts w:ascii="Arial" w:cs="Arial" w:eastAsia="Arial" w:hAnsi="Arial"/>
          <w:sz w:val="14"/>
          <w:szCs w:val="14"/>
          <w:color w:val="010035"/>
        </w:rPr>
      </w:pPr>
      <w:r>
        <w:rPr>
          <w:rFonts w:ascii="Arial" w:cs="Arial" w:eastAsia="Arial" w:hAnsi="Arial"/>
          <w:sz w:val="14"/>
          <w:szCs w:val="14"/>
          <w:color w:val="010035"/>
        </w:rPr>
        <w:t>•  Oversees risks related to compensation programs, executive compensation matters, talent management, and, in coordination with the Board, succession planning for the CEO and senior management.</w:t>
      </w:r>
    </w:p>
    <w:p>
      <w:pPr>
        <w:spacing w:after="0" w:line="64" w:lineRule="exact"/>
        <w:rPr>
          <w:rFonts w:ascii="Arial" w:cs="Arial" w:eastAsia="Arial" w:hAnsi="Arial"/>
          <w:sz w:val="14"/>
          <w:szCs w:val="14"/>
          <w:color w:val="010035"/>
        </w:rPr>
      </w:pPr>
    </w:p>
    <w:p>
      <w:pPr>
        <w:ind w:left="283" w:right="660" w:hanging="283"/>
        <w:spacing w:after="0" w:line="285" w:lineRule="auto"/>
        <w:tabs>
          <w:tab w:leader="none" w:pos="152" w:val="left"/>
        </w:tabs>
        <w:numPr>
          <w:ilvl w:val="0"/>
          <w:numId w:val="32"/>
        </w:numPr>
        <w:rPr>
          <w:rFonts w:ascii="Arial" w:cs="Arial" w:eastAsia="Arial" w:hAnsi="Arial"/>
          <w:sz w:val="14"/>
          <w:szCs w:val="14"/>
          <w:color w:val="010035"/>
        </w:rPr>
      </w:pPr>
      <w:r>
        <w:rPr>
          <w:rFonts w:ascii="Arial" w:cs="Arial" w:eastAsia="Arial" w:hAnsi="Arial"/>
          <w:sz w:val="14"/>
          <w:szCs w:val="14"/>
          <w:color w:val="010035"/>
        </w:rPr>
        <w:t xml:space="preserve">•  A discussion of the compensation risk assessment process undertaken by the Compensation Committee is described on pages </w:t>
      </w:r>
      <w:r>
        <w:rPr>
          <w:rFonts w:ascii="Arial" w:cs="Arial" w:eastAsia="Arial" w:hAnsi="Arial"/>
          <w:sz w:val="14"/>
          <w:szCs w:val="14"/>
          <w:u w:val="single" w:color="auto"/>
          <w:color w:val="0000EE"/>
        </w:rPr>
        <w:t>74</w:t>
      </w:r>
      <w:r>
        <w:rPr>
          <w:rFonts w:ascii="Arial" w:cs="Arial" w:eastAsia="Arial" w:hAnsi="Arial"/>
          <w:sz w:val="14"/>
          <w:szCs w:val="14"/>
          <w:color w:val="010035"/>
        </w:rPr>
        <w:t>-</w:t>
      </w:r>
      <w:r>
        <w:rPr>
          <w:rFonts w:ascii="Arial" w:cs="Arial" w:eastAsia="Arial" w:hAnsi="Arial"/>
          <w:sz w:val="14"/>
          <w:szCs w:val="14"/>
          <w:u w:val="single" w:color="auto"/>
          <w:color w:val="0000EE"/>
        </w:rPr>
        <w:t>75</w:t>
      </w:r>
      <w:r>
        <w:rPr>
          <w:rFonts w:ascii="Arial" w:cs="Arial" w:eastAsia="Arial" w:hAnsi="Arial"/>
          <w:sz w:val="14"/>
          <w:szCs w:val="14"/>
          <w:color w:val="010035"/>
        </w:rPr>
        <w:t>.</w:t>
      </w:r>
    </w:p>
    <w:p>
      <w:pPr>
        <w:spacing w:after="0" w:line="200" w:lineRule="exact"/>
        <w:rPr>
          <w:sz w:val="20"/>
          <w:szCs w:val="20"/>
          <w:color w:val="auto"/>
        </w:rPr>
      </w:pPr>
    </w:p>
    <w:p>
      <w:pPr>
        <w:sectPr>
          <w:pgSz w:w="11900" w:h="16838" w:orient="portrait"/>
          <w:cols w:equalWidth="0" w:num="2">
            <w:col w:w="1837" w:space="720"/>
            <w:col w:w="6843"/>
          </w:cols>
          <w:pgMar w:left="1240" w:top="114" w:right="1259" w:bottom="1440" w:gutter="0" w:footer="0" w:header="0"/>
          <w:type w:val="continuous"/>
        </w:sectPr>
      </w:pPr>
    </w:p>
    <w:p>
      <w:pPr>
        <w:spacing w:after="0" w:line="195" w:lineRule="exact"/>
        <w:rPr>
          <w:sz w:val="20"/>
          <w:szCs w:val="20"/>
          <w:color w:val="auto"/>
        </w:rPr>
      </w:pPr>
    </w:p>
    <w:p>
      <w:pPr>
        <w:ind w:left="200" w:right="217"/>
        <w:spacing w:after="0" w:line="295" w:lineRule="auto"/>
        <w:rPr>
          <w:sz w:val="20"/>
          <w:szCs w:val="20"/>
          <w:color w:val="auto"/>
        </w:rPr>
      </w:pPr>
      <w:r>
        <w:rPr>
          <w:rFonts w:ascii="Arial" w:cs="Arial" w:eastAsia="Arial" w:hAnsi="Arial"/>
          <w:sz w:val="19"/>
          <w:szCs w:val="19"/>
          <w:b w:val="1"/>
          <w:bCs w:val="1"/>
          <w:color w:val="010035"/>
        </w:rPr>
        <w:t>NOMINATING &amp; CORPORATE GOVERNANCE COMMITTEE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283" w:right="240" w:hanging="283"/>
        <w:spacing w:after="0" w:line="285" w:lineRule="auto"/>
        <w:tabs>
          <w:tab w:leader="none" w:pos="152" w:val="left"/>
        </w:tabs>
        <w:numPr>
          <w:ilvl w:val="0"/>
          <w:numId w:val="33"/>
        </w:numPr>
        <w:rPr>
          <w:rFonts w:ascii="Arial" w:cs="Arial" w:eastAsia="Arial" w:hAnsi="Arial"/>
          <w:sz w:val="14"/>
          <w:szCs w:val="14"/>
          <w:color w:val="010035"/>
        </w:rPr>
      </w:pPr>
      <w:r>
        <w:rPr>
          <w:rFonts w:ascii="Arial" w:cs="Arial" w:eastAsia="Arial" w:hAnsi="Arial"/>
          <w:sz w:val="14"/>
          <w:szCs w:val="14"/>
          <w:color w:val="010035"/>
        </w:rPr>
        <w:t>•  Oversees risks associated with Board structure and director succession planning, including balance of Board composition and expertise, as well as other governance policies and practices.</w:t>
      </w:r>
    </w:p>
    <w:p>
      <w:pPr>
        <w:spacing w:after="0" w:line="49" w:lineRule="exact"/>
        <w:rPr>
          <w:rFonts w:ascii="Arial" w:cs="Arial" w:eastAsia="Arial" w:hAnsi="Arial"/>
          <w:sz w:val="14"/>
          <w:szCs w:val="14"/>
          <w:color w:val="010035"/>
        </w:rPr>
      </w:pPr>
    </w:p>
    <w:p>
      <w:pPr>
        <w:ind w:left="283" w:right="340" w:hanging="283"/>
        <w:spacing w:after="0" w:line="285" w:lineRule="auto"/>
        <w:tabs>
          <w:tab w:leader="none" w:pos="152" w:val="left"/>
        </w:tabs>
        <w:numPr>
          <w:ilvl w:val="0"/>
          <w:numId w:val="33"/>
        </w:numPr>
        <w:rPr>
          <w:rFonts w:ascii="Arial" w:cs="Arial" w:eastAsia="Arial" w:hAnsi="Arial"/>
          <w:sz w:val="14"/>
          <w:szCs w:val="14"/>
          <w:color w:val="010035"/>
        </w:rPr>
      </w:pPr>
      <w:r>
        <w:rPr>
          <w:rFonts w:ascii="Arial" w:cs="Arial" w:eastAsia="Arial" w:hAnsi="Arial"/>
          <w:sz w:val="14"/>
          <w:szCs w:val="14"/>
          <w:color w:val="010035"/>
        </w:rPr>
        <w:t>•  Oversees and receives regular reports from the Chairs of the Company's Corporate Responsibility Committee and the PENN Way Council.</w:t>
      </w:r>
    </w:p>
    <w:p>
      <w:pPr>
        <w:spacing w:after="0" w:line="440" w:lineRule="exact"/>
        <w:rPr>
          <w:sz w:val="20"/>
          <w:szCs w:val="20"/>
          <w:color w:val="auto"/>
        </w:rPr>
      </w:pPr>
    </w:p>
    <w:p>
      <w:pPr>
        <w:sectPr>
          <w:pgSz w:w="11900" w:h="16838" w:orient="portrait"/>
          <w:cols w:equalWidth="0" w:num="2">
            <w:col w:w="1837" w:space="720"/>
            <w:col w:w="6843"/>
          </w:cols>
          <w:pgMar w:left="1240" w:top="114" w:right="1259" w:bottom="1440" w:gutter="0" w:footer="0" w:header="0"/>
          <w:type w:val="continuous"/>
        </w:sectPr>
      </w:pPr>
    </w:p>
    <w:p>
      <w:pPr>
        <w:spacing w:after="0" w:line="386" w:lineRule="exact"/>
        <w:rPr>
          <w:sz w:val="20"/>
          <w:szCs w:val="20"/>
          <w:color w:val="auto"/>
        </w:rPr>
      </w:pPr>
    </w:p>
    <w:p>
      <w:pPr>
        <w:ind w:left="200" w:right="317"/>
        <w:spacing w:after="0" w:line="353" w:lineRule="auto"/>
        <w:rPr>
          <w:sz w:val="20"/>
          <w:szCs w:val="20"/>
          <w:color w:val="auto"/>
        </w:rPr>
      </w:pPr>
      <w:r>
        <w:rPr>
          <w:rFonts w:ascii="Arial" w:cs="Arial" w:eastAsia="Arial" w:hAnsi="Arial"/>
          <w:sz w:val="19"/>
          <w:szCs w:val="19"/>
          <w:b w:val="1"/>
          <w:bCs w:val="1"/>
          <w:color w:val="010035"/>
        </w:rPr>
        <w:t>COMPLIANCE COMMITTEE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83" w:right="220" w:hanging="283"/>
        <w:spacing w:after="0" w:line="263" w:lineRule="auto"/>
        <w:tabs>
          <w:tab w:leader="none" w:pos="152" w:val="left"/>
        </w:tabs>
        <w:numPr>
          <w:ilvl w:val="0"/>
          <w:numId w:val="34"/>
        </w:numPr>
        <w:rPr>
          <w:rFonts w:ascii="Arial" w:cs="Arial" w:eastAsia="Arial" w:hAnsi="Arial"/>
          <w:sz w:val="14"/>
          <w:szCs w:val="14"/>
          <w:color w:val="010035"/>
        </w:rPr>
      </w:pPr>
      <w:r>
        <w:rPr>
          <w:rFonts w:ascii="Arial" w:cs="Arial" w:eastAsia="Arial" w:hAnsi="Arial"/>
          <w:sz w:val="14"/>
          <w:szCs w:val="14"/>
          <w:color w:val="010035"/>
        </w:rPr>
        <w:t>•  Oversees risks associated with the Company’s compliance with various gaming regulatory laws and regulations and the adequacy and effectiveness of the Company’s gaming regulatory compliance efforts, as well as the Company’s anonymous whistle-blower hotline.</w:t>
      </w:r>
    </w:p>
    <w:p>
      <w:pPr>
        <w:spacing w:after="0" w:line="64" w:lineRule="exact"/>
        <w:rPr>
          <w:rFonts w:ascii="Arial" w:cs="Arial" w:eastAsia="Arial" w:hAnsi="Arial"/>
          <w:sz w:val="14"/>
          <w:szCs w:val="14"/>
          <w:color w:val="010035"/>
        </w:rPr>
      </w:pPr>
    </w:p>
    <w:p>
      <w:pPr>
        <w:ind w:left="283" w:right="180" w:hanging="283"/>
        <w:spacing w:after="0" w:line="285" w:lineRule="auto"/>
        <w:tabs>
          <w:tab w:leader="none" w:pos="152" w:val="left"/>
        </w:tabs>
        <w:numPr>
          <w:ilvl w:val="0"/>
          <w:numId w:val="34"/>
        </w:numPr>
        <w:rPr>
          <w:rFonts w:ascii="Arial" w:cs="Arial" w:eastAsia="Arial" w:hAnsi="Arial"/>
          <w:sz w:val="14"/>
          <w:szCs w:val="14"/>
          <w:color w:val="010035"/>
        </w:rPr>
      </w:pPr>
      <w:r>
        <w:rPr>
          <w:rFonts w:ascii="Arial" w:cs="Arial" w:eastAsia="Arial" w:hAnsi="Arial"/>
          <w:sz w:val="14"/>
          <w:szCs w:val="14"/>
          <w:color w:val="010035"/>
        </w:rPr>
        <w:t>•  Receives quarterly reports from the Chief Compliance Officer and the Chief Legal Officer on material Compliance Committee and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106045</wp:posOffset>
            </wp:positionV>
            <wp:extent cx="59664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226060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837" w:space="720"/>
            <w:col w:w="6843"/>
          </w:cols>
          <w:pgMar w:left="1240" w:top="114" w:right="1259" w:bottom="1440" w:gutter="0" w:footer="0" w:header="0"/>
          <w:type w:val="continuous"/>
        </w:sectPr>
      </w:pPr>
    </w:p>
    <w:bookmarkStart w:id="47" w:name="page48"/>
    <w:bookmarkEnd w:id="47"/>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102870</wp:posOffset>
            </wp:positionV>
            <wp:extent cx="4423410" cy="1117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ind w:left="800"/>
        <w:spacing w:after="0"/>
        <w:tabs>
          <w:tab w:leader="none" w:pos="12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6350</wp:posOffset>
            </wp:positionV>
            <wp:extent cx="5966460" cy="1968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ind w:left="800"/>
        <w:spacing w:after="0"/>
        <w:rPr>
          <w:sz w:val="20"/>
          <w:szCs w:val="20"/>
          <w:color w:val="auto"/>
        </w:rPr>
      </w:pPr>
      <w:r>
        <w:rPr>
          <w:sz w:val="1"/>
          <w:szCs w:val="1"/>
          <w:color w:val="auto"/>
        </w:rPr>
        <w:drawing>
          <wp:inline distT="0" distB="0" distL="0" distR="0">
            <wp:extent cx="137160" cy="45720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-295910</wp:posOffset>
            </wp:positionV>
            <wp:extent cx="5829300" cy="3003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Management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54" w:lineRule="exact"/>
        <w:rPr>
          <w:sz w:val="20"/>
          <w:szCs w:val="20"/>
          <w:color w:val="auto"/>
        </w:rPr>
      </w:pPr>
    </w:p>
    <w:tbl>
      <w:tblPr>
        <w:tblLayout w:type="fixed"/>
        <w:tblInd w:w="800" w:type="dxa"/>
        <w:tblCellMar>
          <w:top w:w="0" w:type="dxa"/>
          <w:left w:w="0" w:type="dxa"/>
          <w:bottom w:w="0" w:type="dxa"/>
          <w:right w:w="0" w:type="dxa"/>
        </w:tblCellMar>
      </w:tblPr>
      <w:tr>
        <w:trPr>
          <w:trHeight w:val="444"/>
        </w:trPr>
        <w:tc>
          <w:tcPr>
            <w:tcW w:w="120" w:type="dxa"/>
            <w:vAlign w:val="bottom"/>
            <w:tcBorders>
              <w:top w:val="single" w:sz="8" w:color="69439A"/>
            </w:tcBorders>
            <w:shd w:val="clear" w:color="auto" w:fill="DED8EC"/>
          </w:tcPr>
          <w:p>
            <w:pPr>
              <w:spacing w:after="0"/>
              <w:rPr>
                <w:sz w:val="24"/>
                <w:szCs w:val="24"/>
                <w:color w:val="auto"/>
              </w:rPr>
            </w:pPr>
          </w:p>
        </w:tc>
        <w:tc>
          <w:tcPr>
            <w:tcW w:w="2440" w:type="dxa"/>
            <w:vAlign w:val="bottom"/>
            <w:tcBorders>
              <w:top w:val="single" w:sz="8" w:color="69439A"/>
            </w:tcBorders>
            <w:vMerge w:val="restart"/>
            <w:shd w:val="clear" w:color="auto" w:fill="DED8EC"/>
          </w:tcPr>
          <w:p>
            <w:pPr>
              <w:ind w:left="40"/>
              <w:spacing w:after="0"/>
              <w:rPr>
                <w:sz w:val="20"/>
                <w:szCs w:val="20"/>
                <w:color w:val="auto"/>
              </w:rPr>
            </w:pPr>
            <w:r>
              <w:rPr>
                <w:rFonts w:ascii="Arial" w:cs="Arial" w:eastAsia="Arial" w:hAnsi="Arial"/>
                <w:sz w:val="22"/>
                <w:szCs w:val="22"/>
                <w:b w:val="1"/>
                <w:bCs w:val="1"/>
                <w:color w:val="010035"/>
              </w:rPr>
              <w:t>CYBERSECURITY</w:t>
            </w:r>
          </w:p>
        </w:tc>
        <w:tc>
          <w:tcPr>
            <w:tcW w:w="3260" w:type="dxa"/>
            <w:vAlign w:val="bottom"/>
            <w:tcBorders>
              <w:top w:val="single" w:sz="8" w:color="69439A"/>
            </w:tcBorders>
            <w:shd w:val="clear" w:color="auto" w:fill="DED8EC"/>
          </w:tcPr>
          <w:p>
            <w:pPr>
              <w:spacing w:after="0"/>
              <w:rPr>
                <w:sz w:val="24"/>
                <w:szCs w:val="24"/>
                <w:color w:val="auto"/>
              </w:rPr>
            </w:pPr>
          </w:p>
        </w:tc>
        <w:tc>
          <w:tcPr>
            <w:tcW w:w="3580" w:type="dxa"/>
            <w:vAlign w:val="bottom"/>
            <w:tcBorders>
              <w:top w:val="single" w:sz="8" w:color="69439A"/>
            </w:tcBorders>
            <w:shd w:val="clear" w:color="auto" w:fill="DED8EC"/>
          </w:tcPr>
          <w:p>
            <w:pPr>
              <w:ind w:left="580"/>
              <w:spacing w:after="0"/>
              <w:rPr>
                <w:sz w:val="20"/>
                <w:szCs w:val="20"/>
                <w:color w:val="auto"/>
              </w:rPr>
            </w:pPr>
            <w:r>
              <w:rPr>
                <w:rFonts w:ascii="Arial" w:cs="Arial" w:eastAsia="Arial" w:hAnsi="Arial"/>
                <w:sz w:val="22"/>
                <w:szCs w:val="22"/>
                <w:b w:val="1"/>
                <w:bCs w:val="1"/>
                <w:color w:val="010035"/>
              </w:rPr>
              <w:t>CORPORATE</w:t>
            </w:r>
          </w:p>
        </w:tc>
        <w:tc>
          <w:tcPr>
            <w:tcW w:w="0" w:type="dxa"/>
            <w:vAlign w:val="bottom"/>
          </w:tcPr>
          <w:p>
            <w:pPr>
              <w:spacing w:after="0"/>
              <w:rPr>
                <w:sz w:val="1"/>
                <w:szCs w:val="1"/>
                <w:color w:val="auto"/>
              </w:rPr>
            </w:pPr>
          </w:p>
        </w:tc>
      </w:tr>
      <w:tr>
        <w:trPr>
          <w:trHeight w:val="122"/>
        </w:trPr>
        <w:tc>
          <w:tcPr>
            <w:tcW w:w="120" w:type="dxa"/>
            <w:vAlign w:val="bottom"/>
            <w:shd w:val="clear" w:color="auto" w:fill="DED8EC"/>
          </w:tcPr>
          <w:p>
            <w:pPr>
              <w:spacing w:after="0"/>
              <w:rPr>
                <w:sz w:val="10"/>
                <w:szCs w:val="10"/>
                <w:color w:val="auto"/>
              </w:rPr>
            </w:pPr>
          </w:p>
        </w:tc>
        <w:tc>
          <w:tcPr>
            <w:tcW w:w="2440" w:type="dxa"/>
            <w:vAlign w:val="bottom"/>
            <w:vMerge w:val="continue"/>
            <w:shd w:val="clear" w:color="auto" w:fill="DED8EC"/>
          </w:tcPr>
          <w:p>
            <w:pPr>
              <w:spacing w:after="0"/>
              <w:rPr>
                <w:sz w:val="10"/>
                <w:szCs w:val="10"/>
                <w:color w:val="auto"/>
              </w:rPr>
            </w:pPr>
          </w:p>
        </w:tc>
        <w:tc>
          <w:tcPr>
            <w:tcW w:w="3260" w:type="dxa"/>
            <w:vAlign w:val="bottom"/>
            <w:vMerge w:val="restart"/>
            <w:shd w:val="clear" w:color="auto" w:fill="DED8EC"/>
          </w:tcPr>
          <w:p>
            <w:pPr>
              <w:ind w:left="700"/>
              <w:spacing w:after="0" w:line="243" w:lineRule="exact"/>
              <w:rPr>
                <w:sz w:val="20"/>
                <w:szCs w:val="20"/>
                <w:color w:val="auto"/>
              </w:rPr>
            </w:pPr>
            <w:r>
              <w:rPr>
                <w:rFonts w:ascii="Arial" w:cs="Arial" w:eastAsia="Arial" w:hAnsi="Arial"/>
                <w:sz w:val="22"/>
                <w:szCs w:val="22"/>
                <w:b w:val="1"/>
                <w:bCs w:val="1"/>
                <w:color w:val="010035"/>
              </w:rPr>
              <w:t>PENN WAY COUNCIL</w:t>
            </w:r>
          </w:p>
        </w:tc>
        <w:tc>
          <w:tcPr>
            <w:tcW w:w="3580" w:type="dxa"/>
            <w:vAlign w:val="bottom"/>
            <w:vMerge w:val="restart"/>
            <w:shd w:val="clear" w:color="auto" w:fill="DED8EC"/>
          </w:tcPr>
          <w:p>
            <w:pPr>
              <w:ind w:left="580"/>
              <w:spacing w:after="0" w:line="243" w:lineRule="exact"/>
              <w:rPr>
                <w:sz w:val="20"/>
                <w:szCs w:val="20"/>
                <w:color w:val="auto"/>
              </w:rPr>
            </w:pPr>
            <w:r>
              <w:rPr>
                <w:rFonts w:ascii="Arial" w:cs="Arial" w:eastAsia="Arial" w:hAnsi="Arial"/>
                <w:sz w:val="22"/>
                <w:szCs w:val="22"/>
                <w:b w:val="1"/>
                <w:bCs w:val="1"/>
                <w:color w:val="010035"/>
              </w:rPr>
              <w:t>RESPONSIBILITY</w:t>
            </w:r>
          </w:p>
        </w:tc>
        <w:tc>
          <w:tcPr>
            <w:tcW w:w="0" w:type="dxa"/>
            <w:vAlign w:val="bottom"/>
          </w:tcPr>
          <w:p>
            <w:pPr>
              <w:spacing w:after="0"/>
              <w:rPr>
                <w:sz w:val="1"/>
                <w:szCs w:val="1"/>
                <w:color w:val="auto"/>
              </w:rPr>
            </w:pPr>
          </w:p>
        </w:tc>
      </w:tr>
      <w:tr>
        <w:trPr>
          <w:trHeight w:val="122"/>
        </w:trPr>
        <w:tc>
          <w:tcPr>
            <w:tcW w:w="120" w:type="dxa"/>
            <w:vAlign w:val="bottom"/>
            <w:shd w:val="clear" w:color="auto" w:fill="DED8EC"/>
          </w:tcPr>
          <w:p>
            <w:pPr>
              <w:spacing w:after="0"/>
              <w:rPr>
                <w:sz w:val="10"/>
                <w:szCs w:val="10"/>
                <w:color w:val="auto"/>
              </w:rPr>
            </w:pPr>
          </w:p>
        </w:tc>
        <w:tc>
          <w:tcPr>
            <w:tcW w:w="2440" w:type="dxa"/>
            <w:vAlign w:val="bottom"/>
            <w:vMerge w:val="restart"/>
            <w:shd w:val="clear" w:color="auto" w:fill="DED8EC"/>
          </w:tcPr>
          <w:p>
            <w:pPr>
              <w:ind w:left="40"/>
              <w:spacing w:after="0"/>
              <w:rPr>
                <w:sz w:val="20"/>
                <w:szCs w:val="20"/>
                <w:color w:val="auto"/>
              </w:rPr>
            </w:pPr>
            <w:r>
              <w:rPr>
                <w:rFonts w:ascii="Arial" w:cs="Arial" w:eastAsia="Arial" w:hAnsi="Arial"/>
                <w:sz w:val="22"/>
                <w:szCs w:val="22"/>
                <w:b w:val="1"/>
                <w:bCs w:val="1"/>
                <w:color w:val="010035"/>
              </w:rPr>
              <w:t>COMMITTEE</w:t>
            </w:r>
          </w:p>
        </w:tc>
        <w:tc>
          <w:tcPr>
            <w:tcW w:w="3260" w:type="dxa"/>
            <w:vAlign w:val="bottom"/>
            <w:vMerge w:val="continue"/>
            <w:shd w:val="clear" w:color="auto" w:fill="DED8EC"/>
          </w:tcPr>
          <w:p>
            <w:pPr>
              <w:spacing w:after="0"/>
              <w:rPr>
                <w:sz w:val="10"/>
                <w:szCs w:val="10"/>
                <w:color w:val="auto"/>
              </w:rPr>
            </w:pPr>
          </w:p>
        </w:tc>
        <w:tc>
          <w:tcPr>
            <w:tcW w:w="3580" w:type="dxa"/>
            <w:vAlign w:val="bottom"/>
            <w:vMerge w:val="continue"/>
            <w:shd w:val="clear" w:color="auto" w:fill="DED8E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DED8EC"/>
          </w:tcPr>
          <w:p>
            <w:pPr>
              <w:spacing w:after="0"/>
              <w:rPr>
                <w:sz w:val="15"/>
                <w:szCs w:val="15"/>
                <w:color w:val="auto"/>
              </w:rPr>
            </w:pPr>
          </w:p>
        </w:tc>
        <w:tc>
          <w:tcPr>
            <w:tcW w:w="2440" w:type="dxa"/>
            <w:vAlign w:val="bottom"/>
            <w:vMerge w:val="continue"/>
            <w:shd w:val="clear" w:color="auto" w:fill="DED8EC"/>
          </w:tcPr>
          <w:p>
            <w:pPr>
              <w:spacing w:after="0"/>
              <w:rPr>
                <w:sz w:val="15"/>
                <w:szCs w:val="15"/>
                <w:color w:val="auto"/>
              </w:rPr>
            </w:pPr>
          </w:p>
        </w:tc>
        <w:tc>
          <w:tcPr>
            <w:tcW w:w="3260" w:type="dxa"/>
            <w:vAlign w:val="bottom"/>
            <w:shd w:val="clear" w:color="auto" w:fill="DED8EC"/>
          </w:tcPr>
          <w:p>
            <w:pPr>
              <w:spacing w:after="0"/>
              <w:rPr>
                <w:sz w:val="15"/>
                <w:szCs w:val="15"/>
                <w:color w:val="auto"/>
              </w:rPr>
            </w:pPr>
          </w:p>
        </w:tc>
        <w:tc>
          <w:tcPr>
            <w:tcW w:w="3580" w:type="dxa"/>
            <w:vAlign w:val="bottom"/>
            <w:vMerge w:val="restart"/>
            <w:shd w:val="clear" w:color="auto" w:fill="DED8EC"/>
          </w:tcPr>
          <w:p>
            <w:pPr>
              <w:ind w:left="580"/>
              <w:spacing w:after="0"/>
              <w:rPr>
                <w:sz w:val="20"/>
                <w:szCs w:val="20"/>
                <w:color w:val="auto"/>
              </w:rPr>
            </w:pPr>
            <w:r>
              <w:rPr>
                <w:rFonts w:ascii="Arial" w:cs="Arial" w:eastAsia="Arial" w:hAnsi="Arial"/>
                <w:sz w:val="22"/>
                <w:szCs w:val="22"/>
                <w:b w:val="1"/>
                <w:bCs w:val="1"/>
                <w:color w:val="010035"/>
              </w:rPr>
              <w:t>COMMITTEE</w:t>
            </w:r>
          </w:p>
        </w:tc>
        <w:tc>
          <w:tcPr>
            <w:tcW w:w="0" w:type="dxa"/>
            <w:vAlign w:val="bottom"/>
          </w:tcPr>
          <w:p>
            <w:pPr>
              <w:spacing w:after="0"/>
              <w:rPr>
                <w:sz w:val="1"/>
                <w:szCs w:val="1"/>
                <w:color w:val="auto"/>
              </w:rPr>
            </w:pPr>
          </w:p>
        </w:tc>
      </w:tr>
      <w:tr>
        <w:trPr>
          <w:trHeight w:val="122"/>
        </w:trPr>
        <w:tc>
          <w:tcPr>
            <w:tcW w:w="120" w:type="dxa"/>
            <w:vAlign w:val="bottom"/>
            <w:shd w:val="clear" w:color="auto" w:fill="DED8EC"/>
          </w:tcPr>
          <w:p>
            <w:pPr>
              <w:spacing w:after="0"/>
              <w:rPr>
                <w:sz w:val="10"/>
                <w:szCs w:val="10"/>
                <w:color w:val="auto"/>
              </w:rPr>
            </w:pPr>
          </w:p>
        </w:tc>
        <w:tc>
          <w:tcPr>
            <w:tcW w:w="2440" w:type="dxa"/>
            <w:vAlign w:val="bottom"/>
            <w:shd w:val="clear" w:color="auto" w:fill="DED8EC"/>
          </w:tcPr>
          <w:p>
            <w:pPr>
              <w:spacing w:after="0"/>
              <w:rPr>
                <w:sz w:val="10"/>
                <w:szCs w:val="10"/>
                <w:color w:val="auto"/>
              </w:rPr>
            </w:pPr>
          </w:p>
        </w:tc>
        <w:tc>
          <w:tcPr>
            <w:tcW w:w="3260" w:type="dxa"/>
            <w:vAlign w:val="bottom"/>
            <w:shd w:val="clear" w:color="auto" w:fill="DED8EC"/>
          </w:tcPr>
          <w:p>
            <w:pPr>
              <w:spacing w:after="0"/>
              <w:rPr>
                <w:sz w:val="10"/>
                <w:szCs w:val="10"/>
                <w:color w:val="auto"/>
              </w:rPr>
            </w:pPr>
          </w:p>
        </w:tc>
        <w:tc>
          <w:tcPr>
            <w:tcW w:w="3580" w:type="dxa"/>
            <w:vAlign w:val="bottom"/>
            <w:vMerge w:val="continue"/>
            <w:shd w:val="clear" w:color="auto" w:fill="DED8EC"/>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120" w:type="dxa"/>
            <w:vAlign w:val="bottom"/>
            <w:shd w:val="clear" w:color="auto" w:fill="DED8EC"/>
          </w:tcPr>
          <w:p>
            <w:pPr>
              <w:spacing w:after="0"/>
              <w:rPr>
                <w:sz w:val="3"/>
                <w:szCs w:val="3"/>
                <w:color w:val="auto"/>
              </w:rPr>
            </w:pPr>
          </w:p>
        </w:tc>
        <w:tc>
          <w:tcPr>
            <w:tcW w:w="2440" w:type="dxa"/>
            <w:vAlign w:val="bottom"/>
            <w:shd w:val="clear" w:color="auto" w:fill="DED8EC"/>
          </w:tcPr>
          <w:p>
            <w:pPr>
              <w:spacing w:after="0"/>
              <w:rPr>
                <w:sz w:val="3"/>
                <w:szCs w:val="3"/>
                <w:color w:val="auto"/>
              </w:rPr>
            </w:pPr>
          </w:p>
        </w:tc>
        <w:tc>
          <w:tcPr>
            <w:tcW w:w="3260" w:type="dxa"/>
            <w:vAlign w:val="bottom"/>
            <w:shd w:val="clear" w:color="auto" w:fill="DED8EC"/>
          </w:tcPr>
          <w:p>
            <w:pPr>
              <w:spacing w:after="0"/>
              <w:rPr>
                <w:sz w:val="3"/>
                <w:szCs w:val="3"/>
                <w:color w:val="auto"/>
              </w:rPr>
            </w:pPr>
          </w:p>
        </w:tc>
        <w:tc>
          <w:tcPr>
            <w:tcW w:w="3580" w:type="dxa"/>
            <w:vAlign w:val="bottom"/>
            <w:shd w:val="clear" w:color="auto" w:fill="DED8EC"/>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1020"/>
          </w:cols>
          <w:pgMar w:left="440" w:top="114" w:right="439" w:bottom="1440" w:gutter="0" w:footer="0" w:header="0"/>
        </w:sectPr>
      </w:pPr>
    </w:p>
    <w:p>
      <w:pPr>
        <w:ind w:left="960" w:right="80"/>
        <w:spacing w:after="0" w:line="244" w:lineRule="auto"/>
        <w:rPr>
          <w:sz w:val="20"/>
          <w:szCs w:val="20"/>
          <w:color w:val="auto"/>
        </w:rPr>
      </w:pPr>
      <w:r>
        <w:rPr>
          <w:rFonts w:ascii="Arial" w:cs="Arial" w:eastAsia="Arial" w:hAnsi="Arial"/>
          <w:sz w:val="14"/>
          <w:szCs w:val="14"/>
          <w:color w:val="010035"/>
        </w:rPr>
        <w:t>Focuses on information and cybersecurity risks and readiness and oversees a robust cybersecurity program, which employs security scanning and monitoring tools, regular gap and threat assessments and audits and enterprise-wide security awareness exercises and training, as well as the procurement of insurance for cyber events, including ransomware coverage.  </w:t>
      </w:r>
    </w:p>
    <w:p>
      <w:pPr>
        <w:spacing w:after="0" w:line="161" w:lineRule="exact"/>
        <w:rPr>
          <w:sz w:val="20"/>
          <w:szCs w:val="20"/>
          <w:color w:val="auto"/>
        </w:rPr>
      </w:pPr>
    </w:p>
    <w:p>
      <w:pPr>
        <w:ind w:left="960"/>
        <w:spacing w:after="0" w:line="246" w:lineRule="auto"/>
        <w:rPr>
          <w:sz w:val="20"/>
          <w:szCs w:val="20"/>
          <w:color w:val="auto"/>
        </w:rPr>
      </w:pPr>
      <w:r>
        <w:rPr>
          <w:rFonts w:ascii="Arial" w:cs="Arial" w:eastAsia="Arial" w:hAnsi="Arial"/>
          <w:sz w:val="14"/>
          <w:szCs w:val="14"/>
          <w:color w:val="010035"/>
        </w:rPr>
        <w:t>Chaired by the Chief Technology Officer, who engages with our Audit Committee and the Board directly in accordance with our Cyber Incident Response Policy, in the event the Company experiences any material cyber events.</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4"/>
          <w:szCs w:val="14"/>
          <w:color w:val="010035"/>
        </w:rPr>
        <w:t>Formed under the executive sponsorship of our CEO and comprised of senior management and team members from different levels of the organization to formalize and enhance the Company’s inclusion and belonging practices both within the Company and in our communities.  </w:t>
      </w:r>
    </w:p>
    <w:p>
      <w:pPr>
        <w:spacing w:after="0" w:line="164"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010035"/>
        </w:rPr>
        <w:t>Chaired by the Senior Vice President of Regional Operations, PENN Way Council provides regular reports to the CEO, the Board and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679450</wp:posOffset>
            </wp:positionV>
            <wp:extent cx="5966460" cy="1454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64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0"/>
        <w:spacing w:after="0" w:line="243" w:lineRule="auto"/>
        <w:rPr>
          <w:sz w:val="20"/>
          <w:szCs w:val="20"/>
          <w:color w:val="auto"/>
        </w:rPr>
      </w:pPr>
      <w:r>
        <w:rPr>
          <w:rFonts w:ascii="Arial" w:cs="Arial" w:eastAsia="Arial" w:hAnsi="Arial"/>
          <w:sz w:val="14"/>
          <w:szCs w:val="14"/>
          <w:color w:val="010035"/>
        </w:rPr>
        <w:t>Comprised of cross-functional management team members focused on developing and implementing policies and practices designed to foster a culture that attracts and retains qualified talent with skills, experiences and backgrounds that support the Company’s growth strategy, while reinforcing our longstanding commitment to being a trusted and valued member of our communities and a responsible environmental steward.  </w:t>
      </w:r>
    </w:p>
    <w:p>
      <w:pPr>
        <w:spacing w:after="0" w:line="328" w:lineRule="exact"/>
        <w:rPr>
          <w:sz w:val="20"/>
          <w:szCs w:val="20"/>
          <w:color w:val="auto"/>
        </w:rPr>
      </w:pPr>
    </w:p>
    <w:p>
      <w:pPr>
        <w:ind w:right="940"/>
        <w:spacing w:after="0" w:line="245" w:lineRule="auto"/>
        <w:rPr>
          <w:sz w:val="20"/>
          <w:szCs w:val="20"/>
          <w:color w:val="auto"/>
        </w:rPr>
      </w:pPr>
      <w:r>
        <w:rPr>
          <w:rFonts w:ascii="Arial" w:cs="Arial" w:eastAsia="Arial" w:hAnsi="Arial"/>
          <w:sz w:val="14"/>
          <w:szCs w:val="14"/>
          <w:color w:val="010035"/>
        </w:rPr>
        <w:t>Our Senior Vice President, Public Affairs &amp; Government Relations serves as Chair of the Corporate Responsibility Committee and provides regular quarterly reports to the Board and to the Nominating and Corporate Governance Committee at every regular meeting.</w:t>
      </w:r>
    </w:p>
    <w:p>
      <w:pPr>
        <w:spacing w:after="0" w:line="108" w:lineRule="exact"/>
        <w:rPr>
          <w:sz w:val="20"/>
          <w:szCs w:val="20"/>
          <w:color w:val="auto"/>
        </w:rPr>
      </w:pPr>
    </w:p>
    <w:p>
      <w:pPr>
        <w:sectPr>
          <w:pgSz w:w="11900" w:h="16838" w:orient="portrait"/>
          <w:cols w:equalWidth="0" w:num="3">
            <w:col w:w="3760" w:space="300"/>
            <w:col w:w="2840" w:space="300"/>
            <w:col w:w="3820"/>
          </w:cols>
          <w:pgMar w:left="440" w:top="114" w:right="439" w:bottom="1440" w:gutter="0" w:footer="0" w:header="0"/>
          <w:type w:val="continuous"/>
        </w:sectPr>
      </w:pPr>
    </w:p>
    <w:p>
      <w:pPr>
        <w:ind w:left="800"/>
        <w:spacing w:after="0"/>
        <w:tabs>
          <w:tab w:leader="none" w:pos="5600" w:val="left"/>
        </w:tabs>
        <w:rPr>
          <w:sz w:val="20"/>
          <w:szCs w:val="20"/>
          <w:color w:val="auto"/>
        </w:rPr>
      </w:pPr>
      <w:r>
        <w:rPr>
          <w:sz w:val="1"/>
          <w:szCs w:val="1"/>
          <w:color w:val="auto"/>
        </w:rPr>
        <w:drawing>
          <wp:inline distT="0" distB="0" distL="0" distR="0">
            <wp:extent cx="68580" cy="30861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308610"/>
                    </a:xfrm>
                    <a:prstGeom prst="rect">
                      <a:avLst/>
                    </a:prstGeom>
                    <a:noFill/>
                    <a:ln>
                      <a:noFill/>
                    </a:ln>
                  </pic:spPr>
                </pic:pic>
              </a:graphicData>
            </a:graphic>
          </wp:inline>
        </w:drawing>
      </w:r>
      <w:r>
        <w:rPr>
          <w:rFonts w:ascii="Arial" w:cs="Arial" w:eastAsia="Arial" w:hAnsi="Arial"/>
          <w:sz w:val="22"/>
          <w:szCs w:val="22"/>
          <w:b w:val="1"/>
          <w:bCs w:val="1"/>
          <w:color w:val="010035"/>
        </w:rPr>
        <w:t xml:space="preserve"> FRAUD RISK GOVERNANCE COMMITTEE</w:t>
      </w:r>
      <w:r>
        <w:rPr>
          <w:sz w:val="20"/>
          <w:szCs w:val="20"/>
          <w:color w:val="auto"/>
        </w:rPr>
        <w:tab/>
      </w:r>
      <w:r>
        <w:rPr>
          <w:rFonts w:ascii="Arial" w:cs="Arial" w:eastAsia="Arial" w:hAnsi="Arial"/>
          <w:sz w:val="19"/>
          <w:szCs w:val="19"/>
          <w:b w:val="1"/>
          <w:bCs w:val="1"/>
          <w:color w:val="010035"/>
        </w:rPr>
        <w:t>ENTERPRISE RISK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-196215</wp:posOffset>
            </wp:positionV>
            <wp:extent cx="5897880" cy="1968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97880" cy="19685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p>
      <w:pPr>
        <w:spacing w:after="0" w:line="58" w:lineRule="exact"/>
        <w:rPr>
          <w:sz w:val="20"/>
          <w:szCs w:val="20"/>
          <w:color w:val="auto"/>
        </w:rPr>
      </w:pPr>
    </w:p>
    <w:p>
      <w:pPr>
        <w:ind w:left="960" w:right="60"/>
        <w:spacing w:after="0" w:line="244" w:lineRule="auto"/>
        <w:rPr>
          <w:sz w:val="20"/>
          <w:szCs w:val="20"/>
          <w:color w:val="auto"/>
        </w:rPr>
      </w:pPr>
      <w:r>
        <w:rPr>
          <w:rFonts w:ascii="Arial" w:cs="Arial" w:eastAsia="Arial" w:hAnsi="Arial"/>
          <w:sz w:val="14"/>
          <w:szCs w:val="14"/>
          <w:color w:val="010035"/>
        </w:rPr>
        <w:t>The Fraud Risk Governance Committee (FRGC) is a management-level governance committee established to provide enterprise-wide oversight, coordination, and strategic direction for fraud risk management. The Committee oversees the identification, detection, investigation, and remediation of fraud across the organization and ensures timely escalation and transparent communication of fraud-related matters to executive leadership and the Audit Committee.  </w:t>
      </w:r>
    </w:p>
    <w:p>
      <w:pPr>
        <w:spacing w:after="0" w:line="164" w:lineRule="exact"/>
        <w:rPr>
          <w:sz w:val="20"/>
          <w:szCs w:val="20"/>
          <w:color w:val="auto"/>
        </w:rPr>
      </w:pPr>
    </w:p>
    <w:p>
      <w:pPr>
        <w:ind w:left="960"/>
        <w:spacing w:after="0" w:line="249" w:lineRule="auto"/>
        <w:rPr>
          <w:sz w:val="20"/>
          <w:szCs w:val="20"/>
          <w:color w:val="auto"/>
        </w:rPr>
      </w:pPr>
      <w:r>
        <w:rPr>
          <w:rFonts w:ascii="Arial" w:cs="Arial" w:eastAsia="Arial" w:hAnsi="Arial"/>
          <w:sz w:val="14"/>
          <w:szCs w:val="14"/>
          <w:color w:val="010035"/>
        </w:rPr>
        <w:t>The FRGC is composed of senior leaders from Operations, Finance and Accounting, Compliance, Legal, Information Security, Risk Management, and Internal Audit. Internal Audit serves in an advisory capacity while maintaining independence.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010035"/>
        </w:rPr>
        <w:t>The Enterprise Risk Management Committee oversees how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10035"/>
        </w:rPr>
        <w:t>Company identifies, assesses, manages and monitors risk across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10035"/>
        </w:rPr>
        <w:t>enterprise. The objective of the Committee is to ensure that key risks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10035"/>
        </w:rPr>
        <w:t>across the organization are effectively mitigated and aligned with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10035"/>
        </w:rPr>
        <w:t>Company’s strategic objectives.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10035"/>
        </w:rPr>
        <w:t> </w:t>
      </w:r>
    </w:p>
    <w:p>
      <w:pPr>
        <w:spacing w:after="0" w:line="1" w:lineRule="exact"/>
        <w:rPr>
          <w:sz w:val="20"/>
          <w:szCs w:val="20"/>
          <w:color w:val="auto"/>
        </w:rPr>
      </w:pPr>
    </w:p>
    <w:p>
      <w:pPr>
        <w:ind w:right="1140"/>
        <w:spacing w:after="0" w:line="252" w:lineRule="auto"/>
        <w:rPr>
          <w:sz w:val="20"/>
          <w:szCs w:val="20"/>
          <w:color w:val="auto"/>
        </w:rPr>
      </w:pPr>
      <w:r>
        <w:rPr>
          <w:rFonts w:ascii="Arial" w:cs="Arial" w:eastAsia="Arial" w:hAnsi="Arial"/>
          <w:sz w:val="14"/>
          <w:szCs w:val="14"/>
          <w:color w:val="010035"/>
        </w:rPr>
        <w:t>The Committee is composed of senior leaders from Finance, Legal and Internal Audit and provides quarterly updates to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377825</wp:posOffset>
            </wp:positionV>
            <wp:extent cx="5966460" cy="146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6460" cy="146050"/>
                    </a:xfrm>
                    <a:prstGeom prst="rect">
                      <a:avLst/>
                    </a:prstGeom>
                    <a:noFill/>
                  </pic:spPr>
                </pic:pic>
              </a:graphicData>
            </a:graphic>
          </wp:anchor>
        </w:drawing>
      </w:r>
    </w:p>
    <w:p>
      <w:pPr>
        <w:spacing w:after="0" w:line="601" w:lineRule="exact"/>
        <w:rPr>
          <w:sz w:val="20"/>
          <w:szCs w:val="20"/>
          <w:color w:val="auto"/>
        </w:rPr>
      </w:pPr>
    </w:p>
    <w:p>
      <w:pPr>
        <w:sectPr>
          <w:pgSz w:w="11900" w:h="16838" w:orient="portrait"/>
          <w:cols w:equalWidth="0" w:num="2">
            <w:col w:w="5340" w:space="280"/>
            <w:col w:w="5400"/>
          </w:cols>
          <w:pgMar w:left="440" w:top="114" w:right="439" w:bottom="1440" w:gutter="0" w:footer="0" w:header="0"/>
          <w:type w:val="continuous"/>
        </w:sectPr>
      </w:pPr>
    </w:p>
    <w:p>
      <w:pPr>
        <w:ind w:left="800"/>
        <w:spacing w:after="0"/>
        <w:rPr>
          <w:sz w:val="20"/>
          <w:szCs w:val="20"/>
          <w:color w:val="auto"/>
        </w:rPr>
      </w:pPr>
      <w:r>
        <w:rPr>
          <w:sz w:val="1"/>
          <w:szCs w:val="1"/>
          <w:color w:val="auto"/>
        </w:rPr>
        <w:drawing>
          <wp:inline distT="0" distB="0" distL="0" distR="0">
            <wp:extent cx="68580" cy="30861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308610"/>
                    </a:xfrm>
                    <a:prstGeom prst="rect">
                      <a:avLst/>
                    </a:prstGeom>
                    <a:noFill/>
                    <a:ln>
                      <a:noFill/>
                    </a:ln>
                  </pic:spPr>
                </pic:pic>
              </a:graphicData>
            </a:graphic>
          </wp:inline>
        </w:drawing>
      </w:r>
      <w:r>
        <w:rPr>
          <w:rFonts w:ascii="Arial" w:cs="Arial" w:eastAsia="Arial" w:hAnsi="Arial"/>
          <w:sz w:val="22"/>
          <w:szCs w:val="22"/>
          <w:b w:val="1"/>
          <w:bCs w:val="1"/>
          <w:color w:val="010035"/>
        </w:rPr>
        <w:t xml:space="preserve"> KEY RISK MANAGEMENT OVERSIGHT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-196215</wp:posOffset>
            </wp:positionV>
            <wp:extent cx="5897880" cy="1968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897880" cy="19685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ind w:left="960"/>
              <w:spacing w:after="0"/>
              <w:rPr>
                <w:sz w:val="20"/>
                <w:szCs w:val="20"/>
                <w:color w:val="auto"/>
              </w:rPr>
            </w:pPr>
            <w:r>
              <w:rPr>
                <w:rFonts w:ascii="Arial" w:cs="Arial" w:eastAsia="Arial" w:hAnsi="Arial"/>
                <w:sz w:val="14"/>
                <w:szCs w:val="14"/>
                <w:color w:val="010035"/>
              </w:rPr>
              <w:t>•  Market and macroeconomic environment</w:t>
            </w:r>
          </w:p>
        </w:tc>
        <w:tc>
          <w:tcPr>
            <w:tcW w:w="5740" w:type="dxa"/>
            <w:vAlign w:val="bottom"/>
          </w:tcPr>
          <w:p>
            <w:pPr>
              <w:ind w:left="340"/>
              <w:spacing w:after="0"/>
              <w:rPr>
                <w:sz w:val="20"/>
                <w:szCs w:val="20"/>
                <w:color w:val="auto"/>
              </w:rPr>
            </w:pPr>
            <w:r>
              <w:rPr>
                <w:rFonts w:ascii="Arial" w:cs="Arial" w:eastAsia="Arial" w:hAnsi="Arial"/>
                <w:sz w:val="14"/>
                <w:szCs w:val="14"/>
                <w:color w:val="010035"/>
              </w:rPr>
              <w:t>•  Human capital and talent development</w:t>
            </w:r>
          </w:p>
        </w:tc>
      </w:tr>
      <w:tr>
        <w:trPr>
          <w:trHeight w:val="162"/>
        </w:trPr>
        <w:tc>
          <w:tcPr>
            <w:tcW w:w="5280" w:type="dxa"/>
            <w:vAlign w:val="bottom"/>
          </w:tcPr>
          <w:p>
            <w:pPr>
              <w:ind w:left="960"/>
              <w:spacing w:after="0"/>
              <w:rPr>
                <w:sz w:val="20"/>
                <w:szCs w:val="20"/>
                <w:color w:val="auto"/>
              </w:rPr>
            </w:pPr>
            <w:r>
              <w:rPr>
                <w:rFonts w:ascii="Arial" w:cs="Arial" w:eastAsia="Arial" w:hAnsi="Arial"/>
                <w:sz w:val="14"/>
                <w:szCs w:val="14"/>
                <w:color w:val="010035"/>
              </w:rPr>
              <w:t>•  Gaming legislation, regulatory matters, compliance and legal</w:t>
            </w:r>
          </w:p>
        </w:tc>
        <w:tc>
          <w:tcPr>
            <w:tcW w:w="5740" w:type="dxa"/>
            <w:vAlign w:val="bottom"/>
          </w:tcPr>
          <w:p>
            <w:pPr>
              <w:ind w:left="340"/>
              <w:spacing w:after="0"/>
              <w:rPr>
                <w:sz w:val="20"/>
                <w:szCs w:val="20"/>
                <w:color w:val="auto"/>
              </w:rPr>
            </w:pPr>
            <w:r>
              <w:rPr>
                <w:rFonts w:ascii="Arial" w:cs="Arial" w:eastAsia="Arial" w:hAnsi="Arial"/>
                <w:sz w:val="14"/>
                <w:szCs w:val="14"/>
                <w:color w:val="010035"/>
              </w:rPr>
              <w:t>•  Board and executive succession</w:t>
            </w:r>
          </w:p>
        </w:tc>
      </w:tr>
      <w:tr>
        <w:trPr>
          <w:trHeight w:val="162"/>
        </w:trPr>
        <w:tc>
          <w:tcPr>
            <w:tcW w:w="5280" w:type="dxa"/>
            <w:vAlign w:val="bottom"/>
          </w:tcPr>
          <w:p>
            <w:pPr>
              <w:ind w:left="1100"/>
              <w:spacing w:after="0"/>
              <w:rPr>
                <w:sz w:val="20"/>
                <w:szCs w:val="20"/>
                <w:color w:val="auto"/>
              </w:rPr>
            </w:pPr>
            <w:r>
              <w:rPr>
                <w:rFonts w:ascii="Arial" w:cs="Arial" w:eastAsia="Arial" w:hAnsi="Arial"/>
                <w:sz w:val="14"/>
                <w:szCs w:val="14"/>
                <w:color w:val="010035"/>
              </w:rPr>
              <w:t>issues</w:t>
            </w:r>
          </w:p>
        </w:tc>
        <w:tc>
          <w:tcPr>
            <w:tcW w:w="5740" w:type="dxa"/>
            <w:vAlign w:val="bottom"/>
          </w:tcPr>
          <w:p>
            <w:pPr>
              <w:ind w:left="340"/>
              <w:spacing w:after="0"/>
              <w:rPr>
                <w:sz w:val="20"/>
                <w:szCs w:val="20"/>
                <w:color w:val="auto"/>
              </w:rPr>
            </w:pPr>
            <w:r>
              <w:rPr>
                <w:rFonts w:ascii="Arial" w:cs="Arial" w:eastAsia="Arial" w:hAnsi="Arial"/>
                <w:sz w:val="14"/>
                <w:szCs w:val="14"/>
                <w:color w:val="010035"/>
              </w:rPr>
              <w:t>•  Compensation matters</w:t>
            </w:r>
          </w:p>
        </w:tc>
      </w:tr>
      <w:tr>
        <w:trPr>
          <w:trHeight w:val="162"/>
        </w:trPr>
        <w:tc>
          <w:tcPr>
            <w:tcW w:w="5280" w:type="dxa"/>
            <w:vAlign w:val="bottom"/>
          </w:tcPr>
          <w:p>
            <w:pPr>
              <w:ind w:left="960"/>
              <w:spacing w:after="0"/>
              <w:rPr>
                <w:sz w:val="20"/>
                <w:szCs w:val="20"/>
                <w:color w:val="auto"/>
              </w:rPr>
            </w:pPr>
            <w:r>
              <w:rPr>
                <w:rFonts w:ascii="Arial" w:cs="Arial" w:eastAsia="Arial" w:hAnsi="Arial"/>
                <w:sz w:val="14"/>
                <w:szCs w:val="14"/>
                <w:color w:val="010035"/>
              </w:rPr>
              <w:t>•  Technology, information and cybersecurity</w:t>
            </w:r>
          </w:p>
        </w:tc>
        <w:tc>
          <w:tcPr>
            <w:tcW w:w="5740" w:type="dxa"/>
            <w:vAlign w:val="bottom"/>
          </w:tcPr>
          <w:p>
            <w:pPr>
              <w:ind w:left="340"/>
              <w:spacing w:after="0"/>
              <w:rPr>
                <w:sz w:val="20"/>
                <w:szCs w:val="20"/>
                <w:color w:val="auto"/>
              </w:rPr>
            </w:pPr>
            <w:r>
              <w:rPr>
                <w:rFonts w:ascii="Arial" w:cs="Arial" w:eastAsia="Arial" w:hAnsi="Arial"/>
                <w:sz w:val="14"/>
                <w:szCs w:val="14"/>
                <w:color w:val="010035"/>
              </w:rPr>
              <w:t>•  Financial reporting</w:t>
            </w:r>
          </w:p>
        </w:tc>
      </w:tr>
      <w:tr>
        <w:trPr>
          <w:trHeight w:val="162"/>
        </w:trPr>
        <w:tc>
          <w:tcPr>
            <w:tcW w:w="5280" w:type="dxa"/>
            <w:vAlign w:val="bottom"/>
          </w:tcPr>
          <w:p>
            <w:pPr>
              <w:ind w:left="960"/>
              <w:spacing w:after="0"/>
              <w:rPr>
                <w:sz w:val="20"/>
                <w:szCs w:val="20"/>
                <w:color w:val="auto"/>
              </w:rPr>
            </w:pPr>
            <w:r>
              <w:rPr>
                <w:rFonts w:ascii="Arial" w:cs="Arial" w:eastAsia="Arial" w:hAnsi="Arial"/>
                <w:sz w:val="14"/>
                <w:szCs w:val="14"/>
                <w:color w:val="010035"/>
              </w:rPr>
              <w:t>•  Business continuity</w:t>
            </w:r>
          </w:p>
        </w:tc>
        <w:tc>
          <w:tcPr>
            <w:tcW w:w="5740" w:type="dxa"/>
            <w:vAlign w:val="bottom"/>
          </w:tcPr>
          <w:p>
            <w:pPr>
              <w:ind w:left="340"/>
              <w:spacing w:after="0"/>
              <w:rPr>
                <w:sz w:val="20"/>
                <w:szCs w:val="20"/>
                <w:color w:val="auto"/>
              </w:rPr>
            </w:pPr>
            <w:r>
              <w:rPr>
                <w:rFonts w:ascii="Arial" w:cs="Arial" w:eastAsia="Arial" w:hAnsi="Arial"/>
                <w:sz w:val="14"/>
                <w:szCs w:val="14"/>
                <w:color w:val="010035"/>
              </w:rPr>
              <w:t>•  Business impact</w:t>
            </w:r>
          </w:p>
        </w:tc>
      </w:tr>
      <w:tr>
        <w:trPr>
          <w:trHeight w:val="190"/>
        </w:trPr>
        <w:tc>
          <w:tcPr>
            <w:tcW w:w="5280" w:type="dxa"/>
            <w:vAlign w:val="bottom"/>
          </w:tcPr>
          <w:p>
            <w:pPr>
              <w:ind w:left="960"/>
              <w:spacing w:after="0"/>
              <w:rPr>
                <w:sz w:val="20"/>
                <w:szCs w:val="20"/>
                <w:color w:val="auto"/>
              </w:rPr>
            </w:pPr>
            <w:r>
              <w:rPr>
                <w:rFonts w:ascii="Arial" w:cs="Arial" w:eastAsia="Arial" w:hAnsi="Arial"/>
                <w:sz w:val="14"/>
                <w:szCs w:val="14"/>
                <w:color w:val="010035"/>
              </w:rPr>
              <w:t>•  Capital allocation and capital markets</w:t>
            </w:r>
          </w:p>
        </w:tc>
        <w:tc>
          <w:tcPr>
            <w:tcW w:w="5740" w:type="dxa"/>
            <w:vAlign w:val="bottom"/>
          </w:tcPr>
          <w:p>
            <w:pPr>
              <w:ind w:left="340"/>
              <w:spacing w:after="0"/>
              <w:rPr>
                <w:sz w:val="20"/>
                <w:szCs w:val="20"/>
                <w:color w:val="auto"/>
              </w:rPr>
            </w:pPr>
            <w:r>
              <w:rPr>
                <w:rFonts w:ascii="Arial" w:cs="Arial" w:eastAsia="Arial" w:hAnsi="Arial"/>
                <w:sz w:val="14"/>
                <w:szCs w:val="14"/>
                <w:color w:val="010035"/>
              </w:rPr>
              <w:t>•  Regulatory compliance</w:t>
            </w:r>
          </w:p>
        </w:tc>
      </w:tr>
      <w:tr>
        <w:trPr>
          <w:trHeight w:val="326"/>
        </w:trPr>
        <w:tc>
          <w:tcPr>
            <w:tcW w:w="52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114" w:right="4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Executive Sessions of Non-Management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Pursuant to our Corporate Governance Guidelines and the Nasdaq Rules, the non-management directors regularly meet in executive session without management participation to promote open discussion among non-management directors. These executive sessions occur on a regular basis. The Board Chair, or, in the absence of a Board Chair, the non-management directors present will elect a Committee chair to preside at such sessions. If the group of non-management directors includes any directors who are not “independent” (as such term is defined from time to time under the Nasdaq Rules), an executive session of the independent directors shall be scheduled at least once per year. Currently, all of our non-management directors are independent.</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Board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In fulfilling its objectives, many of the direct oversight functions of the Board are performed by the Board’s Committees with support from both senior internal resources as well as independent outside advisors. For example, the Audit Committee receives frequent reports directly from the Company’s Chief Financial Officer; Chief Accounting Officer; Chief Legal Officer; Senior Vice Presidents, Regional Operations; Chief Compliance Officer; Vice President, Internal Audit; and the independent registered public accounting firm. The Audit Committee also has express authority to direct the Company’s internal audit staff. Additionally, the Company’s independent registered public accounting firm provides support through its annual audit and quarterly reviews of the Company’s financial statements. The Compliance Committee is structured in the same manner, receiving reports directly from the Company’s Chief Compliance Officer and other senior compliance staff, with regular access to other members of the Company’s senior management team.</w:t>
      </w:r>
    </w:p>
    <w:p>
      <w:pPr>
        <w:spacing w:after="0" w:line="78"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Both the Audit Committee and the Compliance Committee have substantial internal staff and outside resources to assist them in carrying out their responsibilities. As of December 31, 2025, the Company maintained a 66-person internal audit staff overseen by the Company’s Vice President, Internal Audit, who reports to the Audit Committee, and a 98-person compliance staff overseen by the Company’s Chief Compliance Officer, who provides frequent reports to the Compliance Committee. Additionally, the Company has retained Thomas N. Auriemma, a non-director member, as the independent Chair of the Compliance Committee, who is joined on the Committee by a second independent non-director member, Ronnie Jones. Mr. Auriemma is the Company’s former Vice President, Chief Compliance Officer and is also a former Director of the Division of Gaming Enforcement in New Jersey, with over 30 years of experience as a gaming regulator in the State of New Jersey. Mr. Jones has over 40 years of experience in public service, including as Chair of the Louisiana Gaming Control Board and with the Gaming Enforcement Division of the Louisiana State Police.</w:t>
      </w:r>
    </w:p>
    <w:p>
      <w:pPr>
        <w:spacing w:after="0" w:line="240"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Compensation Committee retains the services of compensation consultants and legal advisors to provide such advice and assistance as it deems appropriate in its sole discretion. The Compensation Committee has the sole responsibility to oversee the work of any of its advisors. The Compensation Committee approves the fees and retention terms of such compensation consultants and advisors, which are funded by the Company, and can terminate their services in their discretion. The Compensation Committee engaged an independent third-party executive compensation consultant for 2025, Exequity LLP (“Exequity”). Exequity provided advice and assistance to the Compensation Committee in carrying out its duties and responsibilities with respect to the Company’s executive compensation programs and non-employee director compensation. Following the 2025 Annual Meeting, in September 2025, the Compensation Committee retained Semler Brossy as its new compensation consultant to provide a fresh perspective on our executive compensation program and its alignment with leading market practices and our shareholder priorities.</w:t>
      </w:r>
    </w:p>
    <w:p>
      <w:pPr>
        <w:spacing w:after="0" w:line="240"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Prior to engaging Exequity and, subsequently, Semler Brossy, the Compensation Committee evaluated the independence of each compensation consultant. This review included consideration of any other services provided by each consultant to the Company, the Board of Directors or other Committees of the Board of Directors, as well as fees associated with such other activities. In 2025, the Compensation Committee determined that both Exequity and Semler Brossy were independent and that the retention of Exequity and Semler Brossy by the Compensation Committee did not present any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103505</wp:posOffset>
            </wp:positionV>
            <wp:extent cx="6995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Shareholder Outreach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The Board and management team value shareholder perspectives and in 2025 Company participants held over 240 meetings with shareholders through investor meetings, industry conferences and regularly scheduled post-earnings discussions. Company participants in these conversations included members from the senior management team as well as cross-functional representatives from operations, Interactive, legal, finance and investor relations.</w:t>
      </w:r>
    </w:p>
    <w:p>
      <w:pPr>
        <w:spacing w:after="0" w:line="69"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The Company holds quarterly conference calls in which management provides brief prepared remarks followed by an open forum for questions, during which the Company provides financial and other disclosure beyond that which is required by the SEC on matters such as management’s views on Company performance, industry trends and pending legislation. These regular, ongoing outreach efforts provide investors and prospective investors with constructive forums to discuss a wide variety of important subjects with management and provide useful feedback for management. This feedback is shared with both the Board and management in a timely manner.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423"/>
        </w:trPr>
        <w:tc>
          <w:tcPr>
            <w:tcW w:w="120" w:type="dxa"/>
            <w:vAlign w:val="bottom"/>
            <w:tcBorders>
              <w:top w:val="single" w:sz="8" w:color="69439A"/>
            </w:tcBorders>
            <w:shd w:val="clear" w:color="auto" w:fill="DED8EC"/>
          </w:tcPr>
          <w:p>
            <w:pPr>
              <w:spacing w:after="0"/>
              <w:rPr>
                <w:sz w:val="24"/>
                <w:szCs w:val="24"/>
                <w:color w:val="auto"/>
              </w:rPr>
            </w:pPr>
          </w:p>
        </w:tc>
        <w:tc>
          <w:tcPr>
            <w:tcW w:w="3600" w:type="dxa"/>
            <w:vAlign w:val="bottom"/>
            <w:tcBorders>
              <w:top w:val="single" w:sz="8" w:color="69439A"/>
            </w:tcBorders>
            <w:shd w:val="clear" w:color="auto" w:fill="DED8EC"/>
          </w:tcPr>
          <w:p>
            <w:pPr>
              <w:spacing w:after="0"/>
              <w:rPr>
                <w:sz w:val="24"/>
                <w:szCs w:val="24"/>
                <w:color w:val="auto"/>
              </w:rPr>
            </w:pPr>
          </w:p>
        </w:tc>
        <w:tc>
          <w:tcPr>
            <w:tcW w:w="2520" w:type="dxa"/>
            <w:vAlign w:val="bottom"/>
            <w:tcBorders>
              <w:top w:val="single" w:sz="8" w:color="69439A"/>
            </w:tcBorders>
            <w:vMerge w:val="restart"/>
            <w:shd w:val="clear" w:color="auto" w:fill="DED8EC"/>
          </w:tcPr>
          <w:p>
            <w:pPr>
              <w:ind w:left="100"/>
              <w:spacing w:after="0"/>
              <w:rPr>
                <w:sz w:val="20"/>
                <w:szCs w:val="20"/>
                <w:color w:val="auto"/>
              </w:rPr>
            </w:pPr>
            <w:r>
              <w:rPr>
                <w:rFonts w:ascii="Arial" w:cs="Arial" w:eastAsia="Arial" w:hAnsi="Arial"/>
                <w:sz w:val="86"/>
                <w:szCs w:val="86"/>
                <w:b w:val="1"/>
                <w:bCs w:val="1"/>
                <w:color w:val="69439A"/>
              </w:rPr>
              <w:t>240+</w:t>
            </w:r>
          </w:p>
        </w:tc>
        <w:tc>
          <w:tcPr>
            <w:tcW w:w="3160" w:type="dxa"/>
            <w:vAlign w:val="bottom"/>
            <w:tcBorders>
              <w:top w:val="single" w:sz="8" w:color="69439A"/>
            </w:tcBorders>
            <w:shd w:val="clear" w:color="auto" w:fill="DED8EC"/>
          </w:tcPr>
          <w:p>
            <w:pPr>
              <w:ind w:left="80"/>
              <w:spacing w:after="0"/>
              <w:rPr>
                <w:sz w:val="20"/>
                <w:szCs w:val="20"/>
                <w:color w:val="auto"/>
              </w:rPr>
            </w:pPr>
            <w:r>
              <w:rPr>
                <w:rFonts w:ascii="Arial" w:cs="Arial" w:eastAsia="Arial" w:hAnsi="Arial"/>
                <w:sz w:val="14"/>
                <w:szCs w:val="14"/>
                <w:b w:val="1"/>
                <w:bCs w:val="1"/>
                <w:color w:val="69439A"/>
              </w:rPr>
              <w:t>Engagement Formats</w:t>
            </w:r>
          </w:p>
        </w:tc>
        <w:tc>
          <w:tcPr>
            <w:tcW w:w="0" w:type="dxa"/>
            <w:vAlign w:val="bottom"/>
          </w:tcPr>
          <w:p>
            <w:pPr>
              <w:spacing w:after="0"/>
              <w:rPr>
                <w:sz w:val="1"/>
                <w:szCs w:val="1"/>
                <w:color w:val="auto"/>
              </w:rPr>
            </w:pPr>
          </w:p>
        </w:tc>
      </w:tr>
      <w:tr>
        <w:trPr>
          <w:trHeight w:val="162"/>
        </w:trPr>
        <w:tc>
          <w:tcPr>
            <w:tcW w:w="120" w:type="dxa"/>
            <w:vAlign w:val="bottom"/>
            <w:shd w:val="clear" w:color="auto" w:fill="DED8EC"/>
          </w:tcPr>
          <w:p>
            <w:pPr>
              <w:spacing w:after="0"/>
              <w:rPr>
                <w:sz w:val="14"/>
                <w:szCs w:val="14"/>
                <w:color w:val="auto"/>
              </w:rPr>
            </w:pPr>
          </w:p>
        </w:tc>
        <w:tc>
          <w:tcPr>
            <w:tcW w:w="3600" w:type="dxa"/>
            <w:vAlign w:val="bottom"/>
            <w:shd w:val="clear" w:color="auto" w:fill="DED8EC"/>
          </w:tcPr>
          <w:p>
            <w:pPr>
              <w:spacing w:after="0"/>
              <w:rPr>
                <w:sz w:val="14"/>
                <w:szCs w:val="14"/>
                <w:color w:val="auto"/>
              </w:rPr>
            </w:pPr>
          </w:p>
        </w:tc>
        <w:tc>
          <w:tcPr>
            <w:tcW w:w="2520" w:type="dxa"/>
            <w:vAlign w:val="bottom"/>
            <w:vMerge w:val="continue"/>
            <w:shd w:val="clear" w:color="auto" w:fill="DED8EC"/>
          </w:tcPr>
          <w:p>
            <w:pPr>
              <w:spacing w:after="0"/>
              <w:rPr>
                <w:sz w:val="14"/>
                <w:szCs w:val="14"/>
                <w:color w:val="auto"/>
              </w:rPr>
            </w:pPr>
          </w:p>
        </w:tc>
        <w:tc>
          <w:tcPr>
            <w:tcW w:w="3160" w:type="dxa"/>
            <w:vAlign w:val="bottom"/>
            <w:shd w:val="clear" w:color="auto" w:fill="DED8EC"/>
          </w:tcPr>
          <w:p>
            <w:pPr>
              <w:ind w:left="80"/>
              <w:spacing w:after="0"/>
              <w:rPr>
                <w:sz w:val="20"/>
                <w:szCs w:val="20"/>
                <w:color w:val="auto"/>
              </w:rPr>
            </w:pPr>
            <w:r>
              <w:rPr>
                <w:rFonts w:ascii="Arial" w:cs="Arial" w:eastAsia="Arial" w:hAnsi="Arial"/>
                <w:sz w:val="14"/>
                <w:szCs w:val="14"/>
                <w:color w:val="auto"/>
              </w:rPr>
              <w:t>•  Annual Meeting of Shareholders</w:t>
            </w:r>
          </w:p>
        </w:tc>
        <w:tc>
          <w:tcPr>
            <w:tcW w:w="0" w:type="dxa"/>
            <w:vAlign w:val="bottom"/>
          </w:tcPr>
          <w:p>
            <w:pPr>
              <w:spacing w:after="0"/>
              <w:rPr>
                <w:sz w:val="1"/>
                <w:szCs w:val="1"/>
                <w:color w:val="auto"/>
              </w:rPr>
            </w:pPr>
          </w:p>
        </w:tc>
      </w:tr>
      <w:tr>
        <w:trPr>
          <w:trHeight w:val="162"/>
        </w:trPr>
        <w:tc>
          <w:tcPr>
            <w:tcW w:w="120" w:type="dxa"/>
            <w:vAlign w:val="bottom"/>
            <w:shd w:val="clear" w:color="auto" w:fill="DED8EC"/>
          </w:tcPr>
          <w:p>
            <w:pPr>
              <w:spacing w:after="0"/>
              <w:rPr>
                <w:sz w:val="14"/>
                <w:szCs w:val="14"/>
                <w:color w:val="auto"/>
              </w:rPr>
            </w:pPr>
          </w:p>
        </w:tc>
        <w:tc>
          <w:tcPr>
            <w:tcW w:w="3600" w:type="dxa"/>
            <w:vAlign w:val="bottom"/>
            <w:vMerge w:val="restart"/>
            <w:shd w:val="clear" w:color="auto" w:fill="DED8EC"/>
          </w:tcPr>
          <w:p>
            <w:pPr>
              <w:ind w:left="80"/>
              <w:spacing w:after="0"/>
              <w:rPr>
                <w:sz w:val="20"/>
                <w:szCs w:val="20"/>
                <w:color w:val="auto"/>
              </w:rPr>
            </w:pPr>
            <w:r>
              <w:rPr>
                <w:rFonts w:ascii="Arial" w:cs="Arial" w:eastAsia="Arial" w:hAnsi="Arial"/>
                <w:sz w:val="22"/>
                <w:szCs w:val="22"/>
                <w:b w:val="1"/>
                <w:bCs w:val="1"/>
                <w:color w:val="010035"/>
                <w:w w:val="99"/>
              </w:rPr>
              <w:t>WE REGULARLY COMMUNICATE</w:t>
            </w:r>
          </w:p>
        </w:tc>
        <w:tc>
          <w:tcPr>
            <w:tcW w:w="2520" w:type="dxa"/>
            <w:vAlign w:val="bottom"/>
            <w:vMerge w:val="continue"/>
            <w:shd w:val="clear" w:color="auto" w:fill="DED8EC"/>
          </w:tcPr>
          <w:p>
            <w:pPr>
              <w:spacing w:after="0"/>
              <w:rPr>
                <w:sz w:val="14"/>
                <w:szCs w:val="14"/>
                <w:color w:val="auto"/>
              </w:rPr>
            </w:pPr>
          </w:p>
        </w:tc>
        <w:tc>
          <w:tcPr>
            <w:tcW w:w="3160" w:type="dxa"/>
            <w:vAlign w:val="bottom"/>
            <w:shd w:val="clear" w:color="auto" w:fill="DED8EC"/>
          </w:tcPr>
          <w:p>
            <w:pPr>
              <w:ind w:left="80"/>
              <w:spacing w:after="0"/>
              <w:rPr>
                <w:sz w:val="20"/>
                <w:szCs w:val="20"/>
                <w:color w:val="auto"/>
              </w:rPr>
            </w:pPr>
            <w:r>
              <w:rPr>
                <w:rFonts w:ascii="Arial" w:cs="Arial" w:eastAsia="Arial" w:hAnsi="Arial"/>
                <w:sz w:val="14"/>
                <w:szCs w:val="14"/>
                <w:color w:val="auto"/>
              </w:rPr>
              <w:t>•  Investor Conferences</w:t>
            </w:r>
          </w:p>
        </w:tc>
        <w:tc>
          <w:tcPr>
            <w:tcW w:w="0" w:type="dxa"/>
            <w:vAlign w:val="bottom"/>
          </w:tcPr>
          <w:p>
            <w:pPr>
              <w:spacing w:after="0"/>
              <w:rPr>
                <w:sz w:val="1"/>
                <w:szCs w:val="1"/>
                <w:color w:val="auto"/>
              </w:rPr>
            </w:pPr>
          </w:p>
        </w:tc>
      </w:tr>
      <w:tr>
        <w:trPr>
          <w:trHeight w:val="144"/>
        </w:trPr>
        <w:tc>
          <w:tcPr>
            <w:tcW w:w="120" w:type="dxa"/>
            <w:vAlign w:val="bottom"/>
            <w:shd w:val="clear" w:color="auto" w:fill="DED8EC"/>
          </w:tcPr>
          <w:p>
            <w:pPr>
              <w:spacing w:after="0"/>
              <w:rPr>
                <w:sz w:val="12"/>
                <w:szCs w:val="12"/>
                <w:color w:val="auto"/>
              </w:rPr>
            </w:pPr>
          </w:p>
        </w:tc>
        <w:tc>
          <w:tcPr>
            <w:tcW w:w="3600" w:type="dxa"/>
            <w:vAlign w:val="bottom"/>
            <w:vMerge w:val="continue"/>
            <w:shd w:val="clear" w:color="auto" w:fill="DED8EC"/>
          </w:tcPr>
          <w:p>
            <w:pPr>
              <w:spacing w:after="0"/>
              <w:rPr>
                <w:sz w:val="12"/>
                <w:szCs w:val="12"/>
                <w:color w:val="auto"/>
              </w:rPr>
            </w:pPr>
          </w:p>
        </w:tc>
        <w:tc>
          <w:tcPr>
            <w:tcW w:w="2520" w:type="dxa"/>
            <w:vAlign w:val="bottom"/>
            <w:vMerge w:val="continue"/>
            <w:shd w:val="clear" w:color="auto" w:fill="DED8EC"/>
          </w:tcPr>
          <w:p>
            <w:pPr>
              <w:spacing w:after="0"/>
              <w:rPr>
                <w:sz w:val="12"/>
                <w:szCs w:val="12"/>
                <w:color w:val="auto"/>
              </w:rPr>
            </w:pPr>
          </w:p>
        </w:tc>
        <w:tc>
          <w:tcPr>
            <w:tcW w:w="3160" w:type="dxa"/>
            <w:vAlign w:val="bottom"/>
            <w:shd w:val="clear" w:color="auto" w:fill="DED8EC"/>
          </w:tcPr>
          <w:p>
            <w:pPr>
              <w:ind w:left="80"/>
              <w:spacing w:after="0" w:line="145" w:lineRule="exact"/>
              <w:rPr>
                <w:sz w:val="20"/>
                <w:szCs w:val="20"/>
                <w:color w:val="auto"/>
              </w:rPr>
            </w:pPr>
            <w:r>
              <w:rPr>
                <w:rFonts w:ascii="Arial" w:cs="Arial" w:eastAsia="Arial" w:hAnsi="Arial"/>
                <w:sz w:val="14"/>
                <w:szCs w:val="14"/>
                <w:color w:val="auto"/>
              </w:rPr>
              <w:t>•  Individual and Group Investor Meetings</w:t>
            </w:r>
          </w:p>
        </w:tc>
        <w:tc>
          <w:tcPr>
            <w:tcW w:w="0" w:type="dxa"/>
            <w:vAlign w:val="bottom"/>
          </w:tcPr>
          <w:p>
            <w:pPr>
              <w:spacing w:after="0"/>
              <w:rPr>
                <w:sz w:val="1"/>
                <w:szCs w:val="1"/>
                <w:color w:val="auto"/>
              </w:rPr>
            </w:pPr>
          </w:p>
        </w:tc>
      </w:tr>
      <w:tr>
        <w:trPr>
          <w:trHeight w:val="189"/>
        </w:trPr>
        <w:tc>
          <w:tcPr>
            <w:tcW w:w="120" w:type="dxa"/>
            <w:vAlign w:val="bottom"/>
            <w:shd w:val="clear" w:color="auto" w:fill="DED8EC"/>
          </w:tcPr>
          <w:p>
            <w:pPr>
              <w:spacing w:after="0"/>
              <w:rPr>
                <w:sz w:val="16"/>
                <w:szCs w:val="16"/>
                <w:color w:val="auto"/>
              </w:rPr>
            </w:pPr>
          </w:p>
        </w:tc>
        <w:tc>
          <w:tcPr>
            <w:tcW w:w="3600" w:type="dxa"/>
            <w:vAlign w:val="bottom"/>
            <w:shd w:val="clear" w:color="auto" w:fill="DED8EC"/>
          </w:tcPr>
          <w:p>
            <w:pPr>
              <w:ind w:left="80"/>
              <w:spacing w:after="0" w:line="189" w:lineRule="exact"/>
              <w:rPr>
                <w:sz w:val="20"/>
                <w:szCs w:val="20"/>
                <w:color w:val="auto"/>
              </w:rPr>
            </w:pPr>
            <w:r>
              <w:rPr>
                <w:rFonts w:ascii="Arial" w:cs="Arial" w:eastAsia="Arial" w:hAnsi="Arial"/>
                <w:sz w:val="21"/>
                <w:szCs w:val="21"/>
                <w:b w:val="1"/>
                <w:bCs w:val="1"/>
                <w:color w:val="010035"/>
                <w:w w:val="94"/>
              </w:rPr>
              <w:t>WITH SHAREHOLDERS THROUGH A</w:t>
            </w:r>
          </w:p>
        </w:tc>
        <w:tc>
          <w:tcPr>
            <w:tcW w:w="2520" w:type="dxa"/>
            <w:vAlign w:val="bottom"/>
            <w:vMerge w:val="continue"/>
            <w:shd w:val="clear" w:color="auto" w:fill="DED8EC"/>
          </w:tcPr>
          <w:p>
            <w:pPr>
              <w:spacing w:after="0"/>
              <w:rPr>
                <w:sz w:val="16"/>
                <w:szCs w:val="16"/>
                <w:color w:val="auto"/>
              </w:rPr>
            </w:pPr>
          </w:p>
        </w:tc>
        <w:tc>
          <w:tcPr>
            <w:tcW w:w="3160" w:type="dxa"/>
            <w:vAlign w:val="bottom"/>
            <w:shd w:val="clear" w:color="auto" w:fill="DED8EC"/>
          </w:tcPr>
          <w:p>
            <w:pPr>
              <w:ind w:left="80"/>
              <w:spacing w:after="0"/>
              <w:rPr>
                <w:sz w:val="20"/>
                <w:szCs w:val="20"/>
                <w:color w:val="auto"/>
              </w:rPr>
            </w:pPr>
            <w:r>
              <w:rPr>
                <w:rFonts w:ascii="Arial" w:cs="Arial" w:eastAsia="Arial" w:hAnsi="Arial"/>
                <w:sz w:val="14"/>
                <w:szCs w:val="14"/>
                <w:color w:val="auto"/>
              </w:rPr>
              <w:t>•  Quarterly Earnings Presentations</w:t>
            </w:r>
          </w:p>
        </w:tc>
        <w:tc>
          <w:tcPr>
            <w:tcW w:w="0" w:type="dxa"/>
            <w:vAlign w:val="bottom"/>
          </w:tcPr>
          <w:p>
            <w:pPr>
              <w:spacing w:after="0"/>
              <w:rPr>
                <w:sz w:val="1"/>
                <w:szCs w:val="1"/>
                <w:color w:val="auto"/>
              </w:rPr>
            </w:pPr>
          </w:p>
        </w:tc>
      </w:tr>
      <w:tr>
        <w:trPr>
          <w:trHeight w:val="243"/>
        </w:trPr>
        <w:tc>
          <w:tcPr>
            <w:tcW w:w="120" w:type="dxa"/>
            <w:vAlign w:val="bottom"/>
            <w:shd w:val="clear" w:color="auto" w:fill="DED8EC"/>
          </w:tcPr>
          <w:p>
            <w:pPr>
              <w:spacing w:after="0"/>
              <w:rPr>
                <w:sz w:val="21"/>
                <w:szCs w:val="21"/>
                <w:color w:val="auto"/>
              </w:rPr>
            </w:pPr>
          </w:p>
        </w:tc>
        <w:tc>
          <w:tcPr>
            <w:tcW w:w="3600" w:type="dxa"/>
            <w:vAlign w:val="bottom"/>
            <w:shd w:val="clear" w:color="auto" w:fill="DED8EC"/>
          </w:tcPr>
          <w:p>
            <w:pPr>
              <w:ind w:left="80"/>
              <w:spacing w:after="0" w:line="243" w:lineRule="exact"/>
              <w:rPr>
                <w:sz w:val="20"/>
                <w:szCs w:val="20"/>
                <w:color w:val="auto"/>
              </w:rPr>
            </w:pPr>
            <w:r>
              <w:rPr>
                <w:rFonts w:ascii="Arial" w:cs="Arial" w:eastAsia="Arial" w:hAnsi="Arial"/>
                <w:sz w:val="22"/>
                <w:szCs w:val="22"/>
                <w:b w:val="1"/>
                <w:bCs w:val="1"/>
                <w:color w:val="010035"/>
                <w:w w:val="93"/>
              </w:rPr>
              <w:t>NUMBER OF RECURRING FORUMS</w:t>
            </w:r>
          </w:p>
        </w:tc>
        <w:tc>
          <w:tcPr>
            <w:tcW w:w="2520" w:type="dxa"/>
            <w:vAlign w:val="bottom"/>
            <w:vMerge w:val="continue"/>
            <w:shd w:val="clear" w:color="auto" w:fill="DED8EC"/>
          </w:tcPr>
          <w:p>
            <w:pPr>
              <w:spacing w:after="0"/>
              <w:rPr>
                <w:sz w:val="21"/>
                <w:szCs w:val="21"/>
                <w:color w:val="auto"/>
              </w:rPr>
            </w:pPr>
          </w:p>
        </w:tc>
        <w:tc>
          <w:tcPr>
            <w:tcW w:w="3160" w:type="dxa"/>
            <w:vAlign w:val="bottom"/>
            <w:shd w:val="clear" w:color="auto" w:fill="DED8EC"/>
          </w:tcPr>
          <w:p>
            <w:pPr>
              <w:ind w:left="80"/>
              <w:spacing w:after="0"/>
              <w:rPr>
                <w:sz w:val="20"/>
                <w:szCs w:val="20"/>
                <w:color w:val="auto"/>
              </w:rPr>
            </w:pPr>
            <w:r>
              <w:rPr>
                <w:rFonts w:ascii="Arial" w:cs="Arial" w:eastAsia="Arial" w:hAnsi="Arial"/>
                <w:sz w:val="14"/>
                <w:szCs w:val="14"/>
                <w:color w:val="auto"/>
              </w:rPr>
              <w:t>•  SEC Filings</w:t>
            </w:r>
          </w:p>
        </w:tc>
        <w:tc>
          <w:tcPr>
            <w:tcW w:w="0" w:type="dxa"/>
            <w:vAlign w:val="bottom"/>
          </w:tcPr>
          <w:p>
            <w:pPr>
              <w:spacing w:after="0"/>
              <w:rPr>
                <w:sz w:val="1"/>
                <w:szCs w:val="1"/>
                <w:color w:val="auto"/>
              </w:rPr>
            </w:pPr>
          </w:p>
        </w:tc>
      </w:tr>
      <w:tr>
        <w:trPr>
          <w:trHeight w:val="161"/>
        </w:trPr>
        <w:tc>
          <w:tcPr>
            <w:tcW w:w="120" w:type="dxa"/>
            <w:vAlign w:val="bottom"/>
            <w:shd w:val="clear" w:color="auto" w:fill="DED8EC"/>
          </w:tcPr>
          <w:p>
            <w:pPr>
              <w:spacing w:after="0"/>
              <w:rPr>
                <w:sz w:val="13"/>
                <w:szCs w:val="13"/>
                <w:color w:val="auto"/>
              </w:rPr>
            </w:pPr>
          </w:p>
        </w:tc>
        <w:tc>
          <w:tcPr>
            <w:tcW w:w="3600" w:type="dxa"/>
            <w:vAlign w:val="bottom"/>
            <w:shd w:val="clear" w:color="auto" w:fill="DED8EC"/>
          </w:tcPr>
          <w:p>
            <w:pPr>
              <w:spacing w:after="0"/>
              <w:rPr>
                <w:sz w:val="13"/>
                <w:szCs w:val="13"/>
                <w:color w:val="auto"/>
              </w:rPr>
            </w:pPr>
          </w:p>
        </w:tc>
        <w:tc>
          <w:tcPr>
            <w:tcW w:w="2520" w:type="dxa"/>
            <w:vAlign w:val="bottom"/>
            <w:shd w:val="clear" w:color="auto" w:fill="DED8EC"/>
          </w:tcPr>
          <w:p>
            <w:pPr>
              <w:ind w:left="100"/>
              <w:spacing w:after="0" w:line="161" w:lineRule="exact"/>
              <w:rPr>
                <w:sz w:val="20"/>
                <w:szCs w:val="20"/>
                <w:color w:val="auto"/>
              </w:rPr>
            </w:pPr>
            <w:r>
              <w:rPr>
                <w:rFonts w:ascii="Arial" w:cs="Arial" w:eastAsia="Arial" w:hAnsi="Arial"/>
                <w:sz w:val="18"/>
                <w:szCs w:val="18"/>
                <w:b w:val="1"/>
                <w:bCs w:val="1"/>
                <w:color w:val="auto"/>
              </w:rPr>
              <w:t>MEETINGS HELD WITH</w:t>
            </w:r>
          </w:p>
        </w:tc>
        <w:tc>
          <w:tcPr>
            <w:tcW w:w="3160" w:type="dxa"/>
            <w:vAlign w:val="bottom"/>
            <w:shd w:val="clear" w:color="auto" w:fill="DED8EC"/>
          </w:tcPr>
          <w:p>
            <w:pPr>
              <w:ind w:left="80"/>
              <w:spacing w:after="0"/>
              <w:rPr>
                <w:sz w:val="20"/>
                <w:szCs w:val="20"/>
                <w:color w:val="auto"/>
              </w:rPr>
            </w:pPr>
            <w:r>
              <w:rPr>
                <w:rFonts w:ascii="Arial" w:cs="Arial" w:eastAsia="Arial" w:hAnsi="Arial"/>
                <w:sz w:val="14"/>
                <w:szCs w:val="14"/>
                <w:color w:val="auto"/>
              </w:rPr>
              <w:t>•  Annual Report and Proxy Statement</w:t>
            </w:r>
          </w:p>
        </w:tc>
        <w:tc>
          <w:tcPr>
            <w:tcW w:w="0" w:type="dxa"/>
            <w:vAlign w:val="bottom"/>
          </w:tcPr>
          <w:p>
            <w:pPr>
              <w:spacing w:after="0"/>
              <w:rPr>
                <w:sz w:val="1"/>
                <w:szCs w:val="1"/>
                <w:color w:val="auto"/>
              </w:rPr>
            </w:pPr>
          </w:p>
        </w:tc>
      </w:tr>
      <w:tr>
        <w:trPr>
          <w:trHeight w:val="271"/>
        </w:trPr>
        <w:tc>
          <w:tcPr>
            <w:tcW w:w="120" w:type="dxa"/>
            <w:vAlign w:val="bottom"/>
            <w:tcBorders>
              <w:bottom w:val="single" w:sz="8" w:color="010035"/>
            </w:tcBorders>
            <w:shd w:val="clear" w:color="auto" w:fill="DED8EC"/>
          </w:tcPr>
          <w:p>
            <w:pPr>
              <w:spacing w:after="0"/>
              <w:rPr>
                <w:sz w:val="23"/>
                <w:szCs w:val="23"/>
                <w:color w:val="auto"/>
              </w:rPr>
            </w:pPr>
          </w:p>
        </w:tc>
        <w:tc>
          <w:tcPr>
            <w:tcW w:w="3600" w:type="dxa"/>
            <w:vAlign w:val="bottom"/>
            <w:tcBorders>
              <w:bottom w:val="single" w:sz="8" w:color="010035"/>
            </w:tcBorders>
            <w:shd w:val="clear" w:color="auto" w:fill="DED8EC"/>
          </w:tcPr>
          <w:p>
            <w:pPr>
              <w:spacing w:after="0"/>
              <w:rPr>
                <w:sz w:val="23"/>
                <w:szCs w:val="23"/>
                <w:color w:val="auto"/>
              </w:rPr>
            </w:pPr>
          </w:p>
        </w:tc>
        <w:tc>
          <w:tcPr>
            <w:tcW w:w="2520" w:type="dxa"/>
            <w:vAlign w:val="bottom"/>
            <w:tcBorders>
              <w:bottom w:val="single" w:sz="8" w:color="010035"/>
            </w:tcBorders>
            <w:shd w:val="clear" w:color="auto" w:fill="DED8EC"/>
          </w:tcPr>
          <w:p>
            <w:pPr>
              <w:ind w:left="100"/>
              <w:spacing w:after="0"/>
              <w:rPr>
                <w:sz w:val="20"/>
                <w:szCs w:val="20"/>
                <w:color w:val="auto"/>
              </w:rPr>
            </w:pPr>
            <w:r>
              <w:rPr>
                <w:rFonts w:ascii="Arial" w:cs="Arial" w:eastAsia="Arial" w:hAnsi="Arial"/>
                <w:sz w:val="22"/>
                <w:szCs w:val="22"/>
                <w:b w:val="1"/>
                <w:bCs w:val="1"/>
                <w:color w:val="auto"/>
                <w:w w:val="89"/>
              </w:rPr>
              <w:t>SHAREHOLDERS IN 2025</w:t>
            </w:r>
          </w:p>
        </w:tc>
        <w:tc>
          <w:tcPr>
            <w:tcW w:w="3160" w:type="dxa"/>
            <w:vAlign w:val="bottom"/>
            <w:tcBorders>
              <w:bottom w:val="single" w:sz="8" w:color="010035"/>
            </w:tcBorders>
            <w:shd w:val="clear" w:color="auto" w:fill="DED8EC"/>
          </w:tcPr>
          <w:p>
            <w:pPr>
              <w:spacing w:after="0"/>
              <w:rPr>
                <w:sz w:val="23"/>
                <w:szCs w:val="2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Stewardship-Focused Shareholder Engagement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80"/>
        <w:spacing w:after="0" w:line="248" w:lineRule="auto"/>
        <w:rPr>
          <w:sz w:val="20"/>
          <w:szCs w:val="20"/>
          <w:color w:val="auto"/>
        </w:rPr>
      </w:pPr>
      <w:r>
        <w:rPr>
          <w:rFonts w:ascii="Arial" w:cs="Arial" w:eastAsia="Arial" w:hAnsi="Arial"/>
          <w:sz w:val="14"/>
          <w:szCs w:val="14"/>
          <w:color w:val="auto"/>
        </w:rPr>
        <w:t>Our Board values shareholder feedback as a critical input in our annual corporate governance and executive compensation review process to promote transparency, develop a better understanding of shareholder perspectives, and support Board accountability. We maintain an active semi-annual, broad-based shareholder engagement program, which focuses on stewardship engagement and is led by our independent Board members. As part of these engagement efforts, we solicit shareholder insights and feedback on a range of topics, including strategic priorities, capital allocation, corporate governance, executive compensation, and sustainability initiatives, as well as on other topics of importance to our shareholders. Perspectives of our shareholders are shared with relevant Board and management Committees and the full Board. These perspectives in turn inform Board meeting agendas, as well as responsiveness actions when appropriate, throughout the year.</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Shareholder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728"/>
        </w:trPr>
        <w:tc>
          <w:tcPr>
            <w:tcW w:w="3160" w:type="dxa"/>
            <w:vAlign w:val="bottom"/>
            <w:tcBorders>
              <w:top w:val="single" w:sz="8" w:color="69439A"/>
            </w:tcBorders>
            <w:shd w:val="clear" w:color="auto" w:fill="DED8EC"/>
          </w:tcPr>
          <w:p>
            <w:pPr>
              <w:ind w:left="1080"/>
              <w:spacing w:after="0"/>
              <w:rPr>
                <w:sz w:val="20"/>
                <w:szCs w:val="20"/>
                <w:color w:val="auto"/>
              </w:rPr>
            </w:pPr>
            <w:r>
              <w:rPr>
                <w:rFonts w:ascii="Arial" w:cs="Arial" w:eastAsia="Arial" w:hAnsi="Arial"/>
                <w:sz w:val="22"/>
                <w:szCs w:val="22"/>
                <w:b w:val="1"/>
                <w:bCs w:val="1"/>
                <w:color w:val="010035"/>
              </w:rPr>
              <w:t>FALL</w:t>
            </w:r>
          </w:p>
        </w:tc>
        <w:tc>
          <w:tcPr>
            <w:tcW w:w="1640" w:type="dxa"/>
            <w:vAlign w:val="bottom"/>
            <w:tcBorders>
              <w:top w:val="single" w:sz="8" w:color="69439A"/>
            </w:tcBorders>
            <w:shd w:val="clear" w:color="auto" w:fill="DED8EC"/>
          </w:tcPr>
          <w:p>
            <w:pPr>
              <w:ind w:left="480"/>
              <w:spacing w:after="0"/>
              <w:rPr>
                <w:sz w:val="20"/>
                <w:szCs w:val="20"/>
                <w:color w:val="auto"/>
              </w:rPr>
            </w:pPr>
            <w:r>
              <w:rPr>
                <w:rFonts w:ascii="Arial" w:cs="Arial" w:eastAsia="Arial" w:hAnsi="Arial"/>
                <w:sz w:val="22"/>
                <w:szCs w:val="22"/>
                <w:b w:val="1"/>
                <w:bCs w:val="1"/>
                <w:color w:val="010035"/>
              </w:rPr>
              <w:t>WINTER</w:t>
            </w:r>
          </w:p>
        </w:tc>
        <w:tc>
          <w:tcPr>
            <w:tcW w:w="2200" w:type="dxa"/>
            <w:vAlign w:val="bottom"/>
            <w:tcBorders>
              <w:top w:val="single" w:sz="8" w:color="69439A"/>
            </w:tcBorders>
            <w:shd w:val="clear" w:color="auto" w:fill="DED8EC"/>
          </w:tcPr>
          <w:p>
            <w:pPr>
              <w:ind w:left="1060"/>
              <w:spacing w:after="0"/>
              <w:rPr>
                <w:sz w:val="20"/>
                <w:szCs w:val="20"/>
                <w:color w:val="auto"/>
              </w:rPr>
            </w:pPr>
            <w:r>
              <w:rPr>
                <w:rFonts w:ascii="Arial" w:cs="Arial" w:eastAsia="Arial" w:hAnsi="Arial"/>
                <w:sz w:val="22"/>
                <w:szCs w:val="22"/>
                <w:b w:val="1"/>
                <w:bCs w:val="1"/>
                <w:color w:val="010035"/>
              </w:rPr>
              <w:t>SPRING</w:t>
            </w:r>
          </w:p>
        </w:tc>
        <w:tc>
          <w:tcPr>
            <w:tcW w:w="2400" w:type="dxa"/>
            <w:vAlign w:val="bottom"/>
            <w:tcBorders>
              <w:top w:val="single" w:sz="8" w:color="69439A"/>
            </w:tcBorders>
            <w:shd w:val="clear" w:color="auto" w:fill="DED8EC"/>
          </w:tcPr>
          <w:p>
            <w:pPr>
              <w:ind w:left="1160"/>
              <w:spacing w:after="0"/>
              <w:rPr>
                <w:sz w:val="20"/>
                <w:szCs w:val="20"/>
                <w:color w:val="auto"/>
              </w:rPr>
            </w:pPr>
            <w:r>
              <w:rPr>
                <w:rFonts w:ascii="Arial" w:cs="Arial" w:eastAsia="Arial" w:hAnsi="Arial"/>
                <w:sz w:val="22"/>
                <w:szCs w:val="22"/>
                <w:b w:val="1"/>
                <w:bCs w:val="1"/>
                <w:color w:val="010035"/>
              </w:rPr>
              <w:t>SUMMER</w:t>
            </w:r>
          </w:p>
        </w:tc>
      </w:tr>
      <w:tr>
        <w:trPr>
          <w:trHeight w:val="365"/>
        </w:trPr>
        <w:tc>
          <w:tcPr>
            <w:tcW w:w="3160" w:type="dxa"/>
            <w:vAlign w:val="bottom"/>
            <w:shd w:val="clear" w:color="auto" w:fill="DED8EC"/>
          </w:tcPr>
          <w:p>
            <w:pPr>
              <w:ind w:left="2620"/>
              <w:spacing w:after="0"/>
              <w:rPr>
                <w:sz w:val="20"/>
                <w:szCs w:val="20"/>
                <w:color w:val="auto"/>
              </w:rPr>
            </w:pPr>
            <w:r>
              <w:rPr>
                <w:rFonts w:ascii="Arial" w:cs="Arial" w:eastAsia="Arial" w:hAnsi="Arial"/>
                <w:sz w:val="22"/>
                <w:szCs w:val="22"/>
                <w:b w:val="1"/>
                <w:bCs w:val="1"/>
                <w:color w:val="010035"/>
              </w:rPr>
              <w:t> </w:t>
            </w:r>
          </w:p>
        </w:tc>
        <w:tc>
          <w:tcPr>
            <w:tcW w:w="1640" w:type="dxa"/>
            <w:vAlign w:val="bottom"/>
            <w:shd w:val="clear" w:color="auto" w:fill="DED8EC"/>
          </w:tcPr>
          <w:p>
            <w:pPr>
              <w:spacing w:after="0"/>
              <w:rPr>
                <w:sz w:val="24"/>
                <w:szCs w:val="24"/>
                <w:color w:val="auto"/>
              </w:rPr>
            </w:pPr>
          </w:p>
        </w:tc>
        <w:tc>
          <w:tcPr>
            <w:tcW w:w="2200" w:type="dxa"/>
            <w:vAlign w:val="bottom"/>
            <w:shd w:val="clear" w:color="auto" w:fill="DED8EC"/>
          </w:tcPr>
          <w:p>
            <w:pPr>
              <w:ind w:left="360"/>
              <w:spacing w:after="0"/>
              <w:rPr>
                <w:sz w:val="20"/>
                <w:szCs w:val="20"/>
                <w:color w:val="auto"/>
              </w:rPr>
            </w:pPr>
            <w:r>
              <w:rPr>
                <w:rFonts w:ascii="Arial" w:cs="Arial" w:eastAsia="Arial" w:hAnsi="Arial"/>
                <w:sz w:val="22"/>
                <w:szCs w:val="22"/>
                <w:b w:val="1"/>
                <w:bCs w:val="1"/>
                <w:color w:val="010035"/>
              </w:rPr>
              <w:t> </w:t>
            </w:r>
          </w:p>
        </w:tc>
        <w:tc>
          <w:tcPr>
            <w:tcW w:w="2400" w:type="dxa"/>
            <w:vAlign w:val="bottom"/>
            <w:shd w:val="clear" w:color="auto" w:fill="DED8EC"/>
          </w:tcPr>
          <w:p>
            <w:pPr>
              <w:ind w:left="400"/>
              <w:spacing w:after="0"/>
              <w:rPr>
                <w:sz w:val="20"/>
                <w:szCs w:val="20"/>
                <w:color w:val="auto"/>
              </w:rPr>
            </w:pPr>
            <w:r>
              <w:rPr>
                <w:rFonts w:ascii="Arial" w:cs="Arial" w:eastAsia="Arial" w:hAnsi="Arial"/>
                <w:sz w:val="22"/>
                <w:szCs w:val="22"/>
                <w:b w:val="1"/>
                <w:bCs w:val="1"/>
                <w:color w:val="010035"/>
              </w:rPr>
              <w:t> </w:t>
            </w:r>
          </w:p>
        </w:tc>
      </w:tr>
      <w:tr>
        <w:trPr>
          <w:trHeight w:val="41"/>
        </w:trPr>
        <w:tc>
          <w:tcPr>
            <w:tcW w:w="3160" w:type="dxa"/>
            <w:vAlign w:val="bottom"/>
            <w:shd w:val="clear" w:color="auto" w:fill="DED8EC"/>
          </w:tcPr>
          <w:p>
            <w:pPr>
              <w:spacing w:after="0"/>
              <w:rPr>
                <w:sz w:val="3"/>
                <w:szCs w:val="3"/>
                <w:color w:val="auto"/>
              </w:rPr>
            </w:pPr>
          </w:p>
        </w:tc>
        <w:tc>
          <w:tcPr>
            <w:tcW w:w="1640" w:type="dxa"/>
            <w:vAlign w:val="bottom"/>
            <w:shd w:val="clear" w:color="auto" w:fill="DED8EC"/>
          </w:tcPr>
          <w:p>
            <w:pPr>
              <w:spacing w:after="0"/>
              <w:rPr>
                <w:sz w:val="3"/>
                <w:szCs w:val="3"/>
                <w:color w:val="auto"/>
              </w:rPr>
            </w:pPr>
          </w:p>
        </w:tc>
        <w:tc>
          <w:tcPr>
            <w:tcW w:w="2200" w:type="dxa"/>
            <w:vAlign w:val="bottom"/>
            <w:shd w:val="clear" w:color="auto" w:fill="DED8EC"/>
          </w:tcPr>
          <w:p>
            <w:pPr>
              <w:spacing w:after="0"/>
              <w:rPr>
                <w:sz w:val="3"/>
                <w:szCs w:val="3"/>
                <w:color w:val="auto"/>
              </w:rPr>
            </w:pPr>
          </w:p>
        </w:tc>
        <w:tc>
          <w:tcPr>
            <w:tcW w:w="2400" w:type="dxa"/>
            <w:vAlign w:val="bottom"/>
            <w:shd w:val="clear" w:color="auto" w:fill="DED8E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-574040</wp:posOffset>
            </wp:positionV>
            <wp:extent cx="471170" cy="4889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1170" cy="4889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-574040</wp:posOffset>
            </wp:positionV>
            <wp:extent cx="377190" cy="3683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77190" cy="368300"/>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-539750</wp:posOffset>
            </wp:positionV>
            <wp:extent cx="377190" cy="2997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77190" cy="29972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-574040</wp:posOffset>
            </wp:positionV>
            <wp:extent cx="368300" cy="3771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68300" cy="3771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166" w:lineRule="exact"/>
        <w:rPr>
          <w:sz w:val="20"/>
          <w:szCs w:val="20"/>
          <w:color w:val="auto"/>
        </w:rPr>
      </w:pPr>
    </w:p>
    <w:p>
      <w:pPr>
        <w:ind w:left="160"/>
        <w:spacing w:after="0" w:line="244" w:lineRule="auto"/>
        <w:rPr>
          <w:sz w:val="20"/>
          <w:szCs w:val="20"/>
          <w:color w:val="auto"/>
        </w:rPr>
      </w:pPr>
      <w:r>
        <w:rPr>
          <w:rFonts w:ascii="Arial" w:cs="Arial" w:eastAsia="Arial" w:hAnsi="Arial"/>
          <w:sz w:val="14"/>
          <w:szCs w:val="14"/>
          <w:color w:val="010035"/>
        </w:rPr>
        <w:t>Board-led off-season engagement with shareholders to obtain feedback following the Annual Meeting and provide updates on strategic business initiatives and governance priorities.  </w:t>
      </w:r>
    </w:p>
    <w:p>
      <w:pPr>
        <w:spacing w:after="0" w:line="164" w:lineRule="exact"/>
        <w:rPr>
          <w:sz w:val="20"/>
          <w:szCs w:val="20"/>
          <w:color w:val="auto"/>
        </w:rPr>
      </w:pPr>
    </w:p>
    <w:p>
      <w:pPr>
        <w:ind w:left="160" w:right="440"/>
        <w:spacing w:after="0" w:line="252" w:lineRule="auto"/>
        <w:rPr>
          <w:sz w:val="20"/>
          <w:szCs w:val="20"/>
          <w:color w:val="auto"/>
        </w:rPr>
      </w:pPr>
      <w:r>
        <w:rPr>
          <w:rFonts w:ascii="Arial" w:cs="Arial" w:eastAsia="Arial" w:hAnsi="Arial"/>
          <w:sz w:val="14"/>
          <w:szCs w:val="14"/>
          <w:color w:val="010035"/>
        </w:rPr>
        <w:t>Respond to shareholder inquiries and in-bound engagement requests.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Arial" w:cs="Arial" w:eastAsia="Arial" w:hAnsi="Arial"/>
                <w:sz w:val="14"/>
                <w:szCs w:val="14"/>
                <w:color w:val="010035"/>
              </w:rPr>
              <w:t>Review off-season shareholder</w:t>
            </w:r>
          </w:p>
        </w:tc>
        <w:tc>
          <w:tcPr>
            <w:tcW w:w="2200" w:type="dxa"/>
            <w:vAlign w:val="bottom"/>
          </w:tcPr>
          <w:p>
            <w:pPr>
              <w:ind w:left="240"/>
              <w:spacing w:after="0"/>
              <w:rPr>
                <w:sz w:val="20"/>
                <w:szCs w:val="20"/>
                <w:color w:val="auto"/>
              </w:rPr>
            </w:pPr>
            <w:r>
              <w:rPr>
                <w:rFonts w:ascii="Arial" w:cs="Arial" w:eastAsia="Arial" w:hAnsi="Arial"/>
                <w:sz w:val="14"/>
                <w:szCs w:val="14"/>
                <w:color w:val="010035"/>
              </w:rPr>
              <w:t>Publish Annual Report,</w:t>
            </w:r>
          </w:p>
        </w:tc>
        <w:tc>
          <w:tcPr>
            <w:tcW w:w="2100" w:type="dxa"/>
            <w:vAlign w:val="bottom"/>
          </w:tcPr>
          <w:p>
            <w:pPr>
              <w:ind w:left="280"/>
              <w:spacing w:after="0"/>
              <w:rPr>
                <w:sz w:val="20"/>
                <w:szCs w:val="20"/>
                <w:color w:val="auto"/>
              </w:rPr>
            </w:pPr>
            <w:r>
              <w:rPr>
                <w:rFonts w:ascii="Arial" w:cs="Arial" w:eastAsia="Arial" w:hAnsi="Arial"/>
                <w:sz w:val="14"/>
                <w:szCs w:val="14"/>
                <w:color w:val="010035"/>
              </w:rPr>
              <w:t>Review feedback and results</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010035"/>
              </w:rPr>
              <w:t>feedback with the full Board and</w:t>
            </w:r>
          </w:p>
        </w:tc>
        <w:tc>
          <w:tcPr>
            <w:tcW w:w="2200" w:type="dxa"/>
            <w:vAlign w:val="bottom"/>
          </w:tcPr>
          <w:p>
            <w:pPr>
              <w:ind w:left="240"/>
              <w:spacing w:after="0"/>
              <w:rPr>
                <w:sz w:val="20"/>
                <w:szCs w:val="20"/>
                <w:color w:val="auto"/>
              </w:rPr>
            </w:pPr>
            <w:r>
              <w:rPr>
                <w:rFonts w:ascii="Arial" w:cs="Arial" w:eastAsia="Arial" w:hAnsi="Arial"/>
                <w:sz w:val="14"/>
                <w:szCs w:val="14"/>
                <w:color w:val="010035"/>
              </w:rPr>
              <w:t>Proxy Statement and</w:t>
            </w:r>
          </w:p>
        </w:tc>
        <w:tc>
          <w:tcPr>
            <w:tcW w:w="2100" w:type="dxa"/>
            <w:vAlign w:val="bottom"/>
          </w:tcPr>
          <w:p>
            <w:pPr>
              <w:ind w:left="280"/>
              <w:spacing w:after="0"/>
              <w:rPr>
                <w:sz w:val="20"/>
                <w:szCs w:val="20"/>
                <w:color w:val="auto"/>
              </w:rPr>
            </w:pPr>
            <w:r>
              <w:rPr>
                <w:rFonts w:ascii="Arial" w:cs="Arial" w:eastAsia="Arial" w:hAnsi="Arial"/>
                <w:sz w:val="14"/>
                <w:szCs w:val="14"/>
                <w:color w:val="010035"/>
              </w:rPr>
              <w:t>from the Annual Meeting,</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010035"/>
              </w:rPr>
              <w:t>relevant committee to assess</w:t>
            </w:r>
          </w:p>
        </w:tc>
        <w:tc>
          <w:tcPr>
            <w:tcW w:w="2200" w:type="dxa"/>
            <w:vAlign w:val="bottom"/>
          </w:tcPr>
          <w:p>
            <w:pPr>
              <w:ind w:left="240"/>
              <w:spacing w:after="0"/>
              <w:rPr>
                <w:sz w:val="20"/>
                <w:szCs w:val="20"/>
                <w:color w:val="auto"/>
              </w:rPr>
            </w:pPr>
            <w:r>
              <w:rPr>
                <w:rFonts w:ascii="Arial" w:cs="Arial" w:eastAsia="Arial" w:hAnsi="Arial"/>
                <w:sz w:val="14"/>
                <w:szCs w:val="14"/>
                <w:color w:val="010035"/>
              </w:rPr>
              <w:t>Corporate Responsibility</w:t>
            </w:r>
          </w:p>
        </w:tc>
        <w:tc>
          <w:tcPr>
            <w:tcW w:w="2100" w:type="dxa"/>
            <w:vAlign w:val="bottom"/>
          </w:tcPr>
          <w:p>
            <w:pPr>
              <w:ind w:left="280"/>
              <w:spacing w:after="0"/>
              <w:rPr>
                <w:sz w:val="20"/>
                <w:szCs w:val="20"/>
                <w:color w:val="auto"/>
              </w:rPr>
            </w:pPr>
            <w:r>
              <w:rPr>
                <w:rFonts w:ascii="Arial" w:cs="Arial" w:eastAsia="Arial" w:hAnsi="Arial"/>
                <w:sz w:val="14"/>
                <w:szCs w:val="14"/>
                <w:color w:val="010035"/>
              </w:rPr>
              <w:t>corporate governance best</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010035"/>
              </w:rPr>
              <w:t>potential enhancements in the</w:t>
            </w:r>
          </w:p>
        </w:tc>
        <w:tc>
          <w:tcPr>
            <w:tcW w:w="2200" w:type="dxa"/>
            <w:vAlign w:val="bottom"/>
          </w:tcPr>
          <w:p>
            <w:pPr>
              <w:ind w:left="240"/>
              <w:spacing w:after="0"/>
              <w:rPr>
                <w:sz w:val="20"/>
                <w:szCs w:val="20"/>
                <w:color w:val="auto"/>
              </w:rPr>
            </w:pPr>
            <w:r>
              <w:rPr>
                <w:rFonts w:ascii="Arial" w:cs="Arial" w:eastAsia="Arial" w:hAnsi="Arial"/>
                <w:sz w:val="14"/>
                <w:szCs w:val="14"/>
                <w:color w:val="010035"/>
              </w:rPr>
              <w:t>Report.</w:t>
            </w:r>
          </w:p>
        </w:tc>
        <w:tc>
          <w:tcPr>
            <w:tcW w:w="2100" w:type="dxa"/>
            <w:vAlign w:val="bottom"/>
          </w:tcPr>
          <w:p>
            <w:pPr>
              <w:ind w:left="280"/>
              <w:spacing w:after="0"/>
              <w:rPr>
                <w:sz w:val="20"/>
                <w:szCs w:val="20"/>
                <w:color w:val="auto"/>
              </w:rPr>
            </w:pPr>
            <w:r>
              <w:rPr>
                <w:rFonts w:ascii="Arial" w:cs="Arial" w:eastAsia="Arial" w:hAnsi="Arial"/>
                <w:sz w:val="14"/>
                <w:szCs w:val="14"/>
                <w:color w:val="010035"/>
              </w:rPr>
              <w:t>practices, proxy season</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010035"/>
              </w:rPr>
              <w:t>areas of executive</w:t>
            </w:r>
          </w:p>
        </w:tc>
        <w:tc>
          <w:tcPr>
            <w:tcW w:w="2200" w:type="dxa"/>
            <w:vAlign w:val="bottom"/>
          </w:tcPr>
          <w:p>
            <w:pPr>
              <w:ind w:left="240"/>
              <w:spacing w:after="0"/>
              <w:rPr>
                <w:sz w:val="20"/>
                <w:szCs w:val="20"/>
                <w:color w:val="auto"/>
              </w:rPr>
            </w:pPr>
            <w:r>
              <w:rPr>
                <w:rFonts w:ascii="Arial" w:cs="Arial" w:eastAsia="Arial" w:hAnsi="Arial"/>
                <w:sz w:val="14"/>
                <w:szCs w:val="14"/>
                <w:color w:val="010035"/>
              </w:rPr>
              <w:t> </w:t>
            </w:r>
          </w:p>
        </w:tc>
        <w:tc>
          <w:tcPr>
            <w:tcW w:w="2100" w:type="dxa"/>
            <w:vAlign w:val="bottom"/>
          </w:tcPr>
          <w:p>
            <w:pPr>
              <w:ind w:left="280"/>
              <w:spacing w:after="0"/>
              <w:rPr>
                <w:sz w:val="20"/>
                <w:szCs w:val="20"/>
                <w:color w:val="auto"/>
              </w:rPr>
            </w:pPr>
            <w:r>
              <w:rPr>
                <w:rFonts w:ascii="Arial" w:cs="Arial" w:eastAsia="Arial" w:hAnsi="Arial"/>
                <w:sz w:val="14"/>
                <w:szCs w:val="14"/>
                <w:color w:val="010035"/>
              </w:rPr>
              <w:t>trends and regulatory</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010035"/>
              </w:rPr>
              <w:t>compensation, corporate</w:t>
            </w:r>
          </w:p>
        </w:tc>
        <w:tc>
          <w:tcPr>
            <w:tcW w:w="2200" w:type="dxa"/>
            <w:vAlign w:val="bottom"/>
          </w:tcPr>
          <w:p>
            <w:pPr>
              <w:ind w:left="240"/>
              <w:spacing w:after="0"/>
              <w:rPr>
                <w:sz w:val="20"/>
                <w:szCs w:val="20"/>
                <w:color w:val="auto"/>
              </w:rPr>
            </w:pPr>
            <w:r>
              <w:rPr>
                <w:rFonts w:ascii="Arial" w:cs="Arial" w:eastAsia="Arial" w:hAnsi="Arial"/>
                <w:sz w:val="14"/>
                <w:szCs w:val="14"/>
                <w:color w:val="010035"/>
              </w:rPr>
              <w:t>Board-led shareholder</w:t>
            </w:r>
          </w:p>
        </w:tc>
        <w:tc>
          <w:tcPr>
            <w:tcW w:w="2100" w:type="dxa"/>
            <w:vAlign w:val="bottom"/>
          </w:tcPr>
          <w:p>
            <w:pPr>
              <w:ind w:left="280"/>
              <w:spacing w:after="0"/>
              <w:rPr>
                <w:sz w:val="20"/>
                <w:szCs w:val="20"/>
                <w:color w:val="auto"/>
              </w:rPr>
            </w:pPr>
            <w:r>
              <w:rPr>
                <w:rFonts w:ascii="Arial" w:cs="Arial" w:eastAsia="Arial" w:hAnsi="Arial"/>
                <w:sz w:val="14"/>
                <w:szCs w:val="14"/>
                <w:color w:val="010035"/>
              </w:rPr>
              <w:t>developments with the full</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010035"/>
              </w:rPr>
              <w:t>governance and business</w:t>
            </w:r>
          </w:p>
        </w:tc>
        <w:tc>
          <w:tcPr>
            <w:tcW w:w="2200" w:type="dxa"/>
            <w:vAlign w:val="bottom"/>
          </w:tcPr>
          <w:p>
            <w:pPr>
              <w:ind w:left="240"/>
              <w:spacing w:after="0"/>
              <w:rPr>
                <w:sz w:val="20"/>
                <w:szCs w:val="20"/>
                <w:color w:val="auto"/>
              </w:rPr>
            </w:pPr>
            <w:r>
              <w:rPr>
                <w:rFonts w:ascii="Arial" w:cs="Arial" w:eastAsia="Arial" w:hAnsi="Arial"/>
                <w:sz w:val="14"/>
                <w:szCs w:val="14"/>
                <w:color w:val="010035"/>
              </w:rPr>
              <w:t>engagement to discuss</w:t>
            </w:r>
          </w:p>
        </w:tc>
        <w:tc>
          <w:tcPr>
            <w:tcW w:w="2100" w:type="dxa"/>
            <w:vAlign w:val="bottom"/>
          </w:tcPr>
          <w:p>
            <w:pPr>
              <w:ind w:left="280"/>
              <w:spacing w:after="0"/>
              <w:rPr>
                <w:sz w:val="20"/>
                <w:szCs w:val="20"/>
                <w:color w:val="auto"/>
              </w:rPr>
            </w:pPr>
            <w:r>
              <w:rPr>
                <w:rFonts w:ascii="Arial" w:cs="Arial" w:eastAsia="Arial" w:hAnsi="Arial"/>
                <w:sz w:val="14"/>
                <w:szCs w:val="14"/>
                <w:color w:val="010035"/>
              </w:rPr>
              <w:t>Board and relevant</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010035"/>
              </w:rPr>
              <w:t>strategy.</w:t>
            </w:r>
          </w:p>
        </w:tc>
        <w:tc>
          <w:tcPr>
            <w:tcW w:w="2200" w:type="dxa"/>
            <w:vAlign w:val="bottom"/>
          </w:tcPr>
          <w:p>
            <w:pPr>
              <w:ind w:left="240"/>
              <w:spacing w:after="0"/>
              <w:rPr>
                <w:sz w:val="20"/>
                <w:szCs w:val="20"/>
                <w:color w:val="auto"/>
              </w:rPr>
            </w:pPr>
            <w:r>
              <w:rPr>
                <w:rFonts w:ascii="Arial" w:cs="Arial" w:eastAsia="Arial" w:hAnsi="Arial"/>
                <w:sz w:val="14"/>
                <w:szCs w:val="14"/>
                <w:color w:val="010035"/>
              </w:rPr>
              <w:t>items on the Annual</w:t>
            </w:r>
          </w:p>
        </w:tc>
        <w:tc>
          <w:tcPr>
            <w:tcW w:w="2100" w:type="dxa"/>
            <w:vAlign w:val="bottom"/>
          </w:tcPr>
          <w:p>
            <w:pPr>
              <w:ind w:left="280"/>
              <w:spacing w:after="0"/>
              <w:rPr>
                <w:sz w:val="20"/>
                <w:szCs w:val="20"/>
                <w:color w:val="auto"/>
              </w:rPr>
            </w:pPr>
            <w:r>
              <w:rPr>
                <w:rFonts w:ascii="Arial" w:cs="Arial" w:eastAsia="Arial" w:hAnsi="Arial"/>
                <w:sz w:val="14"/>
                <w:szCs w:val="14"/>
                <w:color w:val="010035"/>
              </w:rPr>
              <w:t>Committee(s) to identify key</w:t>
            </w:r>
          </w:p>
        </w:tc>
      </w:tr>
      <w:tr>
        <w:trPr>
          <w:trHeight w:val="162"/>
        </w:trPr>
        <w:tc>
          <w:tcPr>
            <w:tcW w:w="2300" w:type="dxa"/>
            <w:vAlign w:val="bottom"/>
          </w:tcPr>
          <w:p>
            <w:pPr>
              <w:spacing w:after="0"/>
              <w:rPr>
                <w:sz w:val="14"/>
                <w:szCs w:val="14"/>
                <w:color w:val="auto"/>
              </w:rPr>
            </w:pPr>
          </w:p>
        </w:tc>
        <w:tc>
          <w:tcPr>
            <w:tcW w:w="2200" w:type="dxa"/>
            <w:vAlign w:val="bottom"/>
          </w:tcPr>
          <w:p>
            <w:pPr>
              <w:ind w:left="240"/>
              <w:spacing w:after="0"/>
              <w:rPr>
                <w:sz w:val="20"/>
                <w:szCs w:val="20"/>
                <w:color w:val="auto"/>
              </w:rPr>
            </w:pPr>
            <w:r>
              <w:rPr>
                <w:rFonts w:ascii="Arial" w:cs="Arial" w:eastAsia="Arial" w:hAnsi="Arial"/>
                <w:sz w:val="14"/>
                <w:szCs w:val="14"/>
                <w:color w:val="010035"/>
              </w:rPr>
              <w:t>Meeting agenda and other</w:t>
            </w:r>
          </w:p>
        </w:tc>
        <w:tc>
          <w:tcPr>
            <w:tcW w:w="2100" w:type="dxa"/>
            <w:vAlign w:val="bottom"/>
          </w:tcPr>
          <w:p>
            <w:pPr>
              <w:ind w:left="280"/>
              <w:spacing w:after="0"/>
              <w:rPr>
                <w:sz w:val="20"/>
                <w:szCs w:val="20"/>
                <w:color w:val="auto"/>
              </w:rPr>
            </w:pPr>
            <w:r>
              <w:rPr>
                <w:rFonts w:ascii="Arial" w:cs="Arial" w:eastAsia="Arial" w:hAnsi="Arial"/>
                <w:sz w:val="14"/>
                <w:szCs w:val="14"/>
                <w:color w:val="010035"/>
              </w:rPr>
              <w:t>engagement priority topics</w:t>
            </w:r>
          </w:p>
        </w:tc>
      </w:tr>
      <w:tr>
        <w:trPr>
          <w:trHeight w:val="190"/>
        </w:trPr>
        <w:tc>
          <w:tcPr>
            <w:tcW w:w="2300" w:type="dxa"/>
            <w:vAlign w:val="bottom"/>
          </w:tcPr>
          <w:p>
            <w:pPr>
              <w:spacing w:after="0"/>
              <w:rPr>
                <w:sz w:val="16"/>
                <w:szCs w:val="16"/>
                <w:color w:val="auto"/>
              </w:rPr>
            </w:pPr>
          </w:p>
        </w:tc>
        <w:tc>
          <w:tcPr>
            <w:tcW w:w="2200" w:type="dxa"/>
            <w:vAlign w:val="bottom"/>
          </w:tcPr>
          <w:p>
            <w:pPr>
              <w:ind w:left="240"/>
              <w:spacing w:after="0"/>
              <w:rPr>
                <w:sz w:val="20"/>
                <w:szCs w:val="20"/>
                <w:color w:val="auto"/>
              </w:rPr>
            </w:pPr>
            <w:r>
              <w:rPr>
                <w:rFonts w:ascii="Arial" w:cs="Arial" w:eastAsia="Arial" w:hAnsi="Arial"/>
                <w:sz w:val="14"/>
                <w:szCs w:val="14"/>
                <w:color w:val="010035"/>
              </w:rPr>
              <w:t>topics of interest.</w:t>
            </w:r>
          </w:p>
        </w:tc>
        <w:tc>
          <w:tcPr>
            <w:tcW w:w="2100" w:type="dxa"/>
            <w:vAlign w:val="bottom"/>
          </w:tcPr>
          <w:p>
            <w:pPr>
              <w:ind w:left="280"/>
              <w:spacing w:after="0"/>
              <w:rPr>
                <w:sz w:val="20"/>
                <w:szCs w:val="20"/>
                <w:color w:val="auto"/>
              </w:rPr>
            </w:pPr>
            <w:r>
              <w:rPr>
                <w:rFonts w:ascii="Arial" w:cs="Arial" w:eastAsia="Arial" w:hAnsi="Arial"/>
                <w:sz w:val="14"/>
                <w:szCs w:val="14"/>
                <w:color w:val="010035"/>
              </w:rPr>
              <w:t>and initiatives.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125095</wp:posOffset>
            </wp:positionV>
            <wp:extent cx="59664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245110</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140" w:space="480"/>
            <w:col w:w="6780"/>
          </w:cols>
          <w:pgMar w:left="1240" w:top="114" w:right="12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Shareholder Engagement Cycle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right="100"/>
        <w:spacing w:after="0" w:line="248" w:lineRule="auto"/>
        <w:rPr>
          <w:sz w:val="20"/>
          <w:szCs w:val="20"/>
          <w:color w:val="auto"/>
        </w:rPr>
      </w:pPr>
      <w:r>
        <w:rPr>
          <w:rFonts w:ascii="Arial" w:cs="Arial" w:eastAsia="Arial" w:hAnsi="Arial"/>
          <w:sz w:val="14"/>
          <w:szCs w:val="14"/>
          <w:color w:val="auto"/>
        </w:rPr>
        <w:t>Following the 2025 advisory ‘Say-on-Pay’ vote support of 35.49%, the Board prioritized PENN’s compensation program as a priority topic in its off-season engagement effort. Shareholders we met with in the 2025 off-season engagement effort expressed an appreciation for the Board’s active shareholder engagement practice and were complimentary of the recent program change to a three-year performance period for our long-term incentive program and the robust disclosure around the prior year’s mid-program adjustments, which they felt appropriately detailed the Committee’s rationale while maintaining pay-for-performance alignment. Shareholders also provided favorable feedback on our use of 80% financial metrics in our 2025 PSU program, up from 70% in 2024. Additional details related to our responsiveness to the 2025 ‘Say-on-Pay’ vote can be found in the ‘Compensation Discussion and Analysis’ section of this Proxy Statement.</w:t>
      </w:r>
    </w:p>
    <w:p>
      <w:pPr>
        <w:spacing w:after="0" w:line="77" w:lineRule="exact"/>
        <w:rPr>
          <w:sz w:val="20"/>
          <w:szCs w:val="20"/>
          <w:color w:val="auto"/>
        </w:rPr>
      </w:pPr>
    </w:p>
    <w:p>
      <w:pPr>
        <w:ind w:right="500"/>
        <w:spacing w:after="0" w:line="285" w:lineRule="auto"/>
        <w:rPr>
          <w:sz w:val="20"/>
          <w:szCs w:val="20"/>
          <w:color w:val="auto"/>
        </w:rPr>
      </w:pPr>
      <w:r>
        <w:rPr>
          <w:rFonts w:ascii="Arial" w:cs="Arial" w:eastAsia="Arial" w:hAnsi="Arial"/>
          <w:sz w:val="14"/>
          <w:szCs w:val="14"/>
          <w:color w:val="auto"/>
        </w:rPr>
        <w:t>Additional shareholder priority areas included the Company’s performance, business strategy, including its realigned digital strategy, and the Board’s refreshment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5966460" cy="4114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966460" cy="41148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3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10035"/>
        </w:rPr>
        <w:t>OUTREACH</w:t>
      </w:r>
    </w:p>
    <w:p>
      <w:pPr>
        <w:spacing w:after="0" w:line="40" w:lineRule="exact"/>
        <w:rPr>
          <w:sz w:val="20"/>
          <w:szCs w:val="20"/>
          <w:color w:val="auto"/>
        </w:rPr>
      </w:pPr>
    </w:p>
    <w:p>
      <w:pPr>
        <w:jc w:val="right"/>
        <w:ind w:left="200" w:right="560"/>
        <w:spacing w:after="0" w:line="182" w:lineRule="auto"/>
        <w:rPr>
          <w:sz w:val="20"/>
          <w:szCs w:val="20"/>
          <w:color w:val="auto"/>
        </w:rPr>
      </w:pPr>
      <w:r>
        <w:rPr>
          <w:rFonts w:ascii="Arial" w:cs="Arial" w:eastAsia="Arial" w:hAnsi="Arial"/>
          <w:sz w:val="68"/>
          <w:szCs w:val="68"/>
          <w:b w:val="1"/>
          <w:bCs w:val="1"/>
          <w:color w:val="69439A"/>
          <w:vertAlign w:val="subscript"/>
        </w:rPr>
        <w:t>48%</w:t>
      </w:r>
      <w:r>
        <w:rPr>
          <w:rFonts w:ascii="Arial" w:cs="Arial" w:eastAsia="Arial" w:hAnsi="Arial"/>
          <w:sz w:val="13"/>
          <w:szCs w:val="13"/>
          <w:color w:val="010035"/>
        </w:rPr>
        <w:t xml:space="preserve"> Contacted 17 shareholders</w:t>
      </w:r>
    </w:p>
    <w:p>
      <w:pPr>
        <w:ind w:left="2060"/>
        <w:spacing w:after="0" w:line="186" w:lineRule="auto"/>
        <w:rPr>
          <w:sz w:val="20"/>
          <w:szCs w:val="20"/>
          <w:color w:val="auto"/>
        </w:rPr>
      </w:pPr>
      <w:r>
        <w:rPr>
          <w:rFonts w:ascii="Arial" w:cs="Arial" w:eastAsia="Arial" w:hAnsi="Arial"/>
          <w:sz w:val="14"/>
          <w:szCs w:val="14"/>
          <w:color w:val="010035"/>
        </w:rPr>
        <w:t>representing ~48%</w:t>
      </w:r>
      <w:r>
        <w:rPr>
          <w:rFonts w:ascii="Arial" w:cs="Arial" w:eastAsia="Arial" w:hAnsi="Arial"/>
          <w:sz w:val="22"/>
          <w:szCs w:val="22"/>
          <w:color w:val="010035"/>
          <w:vertAlign w:val="superscript"/>
        </w:rPr>
        <w:t>*</w:t>
      </w:r>
      <w:r>
        <w:rPr>
          <w:rFonts w:ascii="Arial" w:cs="Arial" w:eastAsia="Arial" w:hAnsi="Arial"/>
          <w:sz w:val="14"/>
          <w:szCs w:val="14"/>
          <w:color w:val="010035"/>
        </w:rPr>
        <w:t xml:space="preserve"> of</w:t>
      </w:r>
    </w:p>
    <w:p>
      <w:pPr>
        <w:ind w:left="2060"/>
        <w:spacing w:after="0"/>
        <w:rPr>
          <w:sz w:val="20"/>
          <w:szCs w:val="20"/>
          <w:color w:val="auto"/>
        </w:rPr>
      </w:pPr>
      <w:r>
        <w:rPr>
          <w:rFonts w:ascii="Arial" w:cs="Arial" w:eastAsia="Arial" w:hAnsi="Arial"/>
          <w:sz w:val="14"/>
          <w:szCs w:val="14"/>
          <w:color w:val="010035"/>
        </w:rPr>
        <w:t>the Company’s</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4"/>
          <w:szCs w:val="14"/>
          <w:color w:val="010035"/>
        </w:rPr>
        <w:t>outstanding shares</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4"/>
          <w:szCs w:val="14"/>
          <w:color w:val="010035"/>
        </w:rPr>
        <w:t>during the off-season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1"/>
          <w:szCs w:val="11"/>
          <w:b w:val="1"/>
          <w:bCs w:val="1"/>
          <w:color w:val="010035"/>
        </w:rPr>
        <w:t>*  Outstanding share ownership calculated as of June 20, 2025</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010035"/>
        </w:rPr>
        <w:t>ENGAGED</w:t>
      </w:r>
    </w:p>
    <w:p>
      <w:pPr>
        <w:spacing w:after="0" w:line="200" w:lineRule="exact"/>
        <w:rPr>
          <w:sz w:val="20"/>
          <w:szCs w:val="20"/>
          <w:color w:val="auto"/>
        </w:rPr>
      </w:pPr>
    </w:p>
    <w:p>
      <w:pPr>
        <w:spacing w:after="0"/>
        <w:rPr>
          <w:sz w:val="20"/>
          <w:szCs w:val="20"/>
          <w:color w:val="auto"/>
        </w:rPr>
      </w:pPr>
      <w:r>
        <w:rPr>
          <w:rFonts w:ascii="Arial" w:cs="Arial" w:eastAsia="Arial" w:hAnsi="Arial"/>
          <w:sz w:val="84"/>
          <w:szCs w:val="84"/>
          <w:b w:val="1"/>
          <w:bCs w:val="1"/>
          <w:color w:val="69439A"/>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360680</wp:posOffset>
            </wp:positionV>
            <wp:extent cx="59664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20"/>
        <w:spacing w:after="0" w:line="248" w:lineRule="auto"/>
        <w:rPr>
          <w:sz w:val="20"/>
          <w:szCs w:val="20"/>
          <w:color w:val="auto"/>
        </w:rPr>
      </w:pPr>
      <w:r>
        <w:rPr>
          <w:rFonts w:ascii="Arial" w:cs="Arial" w:eastAsia="Arial" w:hAnsi="Arial"/>
          <w:sz w:val="14"/>
          <w:szCs w:val="14"/>
          <w:color w:val="010035"/>
        </w:rPr>
        <w:t>Engaged with 9 shareholders</w:t>
      </w:r>
    </w:p>
    <w:p>
      <w:pPr>
        <w:spacing w:after="0" w:line="222" w:lineRule="auto"/>
        <w:rPr>
          <w:sz w:val="20"/>
          <w:szCs w:val="20"/>
          <w:color w:val="auto"/>
        </w:rPr>
      </w:pPr>
      <w:r>
        <w:rPr>
          <w:rFonts w:ascii="Arial" w:cs="Arial" w:eastAsia="Arial" w:hAnsi="Arial"/>
          <w:sz w:val="14"/>
          <w:szCs w:val="14"/>
          <w:color w:val="010035"/>
        </w:rPr>
        <w:t>representing ~36%</w:t>
      </w:r>
      <w:r>
        <w:rPr>
          <w:rFonts w:ascii="Arial" w:cs="Arial" w:eastAsia="Arial" w:hAnsi="Arial"/>
          <w:sz w:val="23"/>
          <w:szCs w:val="23"/>
          <w:color w:val="010035"/>
          <w:vertAlign w:val="superscript"/>
        </w:rPr>
        <w:t>*</w:t>
      </w:r>
      <w:r>
        <w:rPr>
          <w:rFonts w:ascii="Arial" w:cs="Arial" w:eastAsia="Arial" w:hAnsi="Arial"/>
          <w:sz w:val="14"/>
          <w:szCs w:val="14"/>
          <w:color w:val="010035"/>
        </w:rPr>
        <w:t xml:space="preserve"> of the Company’s outstanding shares during the off-season</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010035"/>
        </w:rPr>
        <w:t>DIRECTOR LED</w:t>
      </w:r>
    </w:p>
    <w:p>
      <w:pPr>
        <w:spacing w:after="0" w:line="293"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010035"/>
        </w:rPr>
        <w:t>Engagement efforts led by our Independent Board Chair, Compensation Committee Chair and Nominating and Corporate Governance Committee Chair</w:t>
      </w:r>
    </w:p>
    <w:p>
      <w:pPr>
        <w:spacing w:after="0" w:line="517" w:lineRule="exact"/>
        <w:rPr>
          <w:sz w:val="20"/>
          <w:szCs w:val="20"/>
          <w:color w:val="auto"/>
        </w:rPr>
      </w:pPr>
    </w:p>
    <w:p>
      <w:pPr>
        <w:sectPr>
          <w:pgSz w:w="11900" w:h="16838" w:orient="portrait"/>
          <w:cols w:equalWidth="0" w:num="4">
            <w:col w:w="3480" w:space="300"/>
            <w:col w:w="1700" w:space="160"/>
            <w:col w:w="1420" w:space="320"/>
            <w:col w:w="2020"/>
          </w:cols>
          <w:pgMar w:left="1240" w:top="114" w:right="1259" w:bottom="1440" w:gutter="0" w:footer="0" w:header="0"/>
          <w:type w:val="continuous"/>
        </w:sectPr>
      </w:pPr>
    </w:p>
    <w:p>
      <w:pPr>
        <w:spacing w:after="0" w:line="137"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Board strives to maintain the highest standards of excellence in governance practices and, as such, is committed to continuing its track record of implementing responsiveness actions that address shareholder priorities and feedback while promoting long-term shareholder value and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5966460" cy="25971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966460" cy="259715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10035"/>
        </w:rPr>
        <w:t>RECENT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10035"/>
        </w:rPr>
        <w:t>GOVERNANCE</w:t>
      </w:r>
    </w:p>
    <w:p>
      <w:pPr>
        <w:ind w:left="240"/>
        <w:spacing w:after="0"/>
        <w:rPr>
          <w:sz w:val="20"/>
          <w:szCs w:val="20"/>
          <w:color w:val="auto"/>
        </w:rPr>
      </w:pPr>
      <w:r>
        <w:rPr>
          <w:rFonts w:ascii="Arial" w:cs="Arial" w:eastAsia="Arial" w:hAnsi="Arial"/>
          <w:sz w:val="16"/>
          <w:szCs w:val="16"/>
          <w:b w:val="1"/>
          <w:bCs w:val="1"/>
          <w:color w:val="010035"/>
        </w:rPr>
        <w:t>ENHANCEMENTS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10035"/>
        </w:rPr>
        <w:t>(2024-2026)</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120" w:hanging="106"/>
        <w:spacing w:after="0" w:line="229" w:lineRule="auto"/>
        <w:rPr>
          <w:sz w:val="20"/>
          <w:szCs w:val="20"/>
          <w:color w:val="auto"/>
        </w:rPr>
      </w:pPr>
      <w:r>
        <w:rPr>
          <w:rFonts w:ascii="Arial" w:cs="Arial" w:eastAsia="Arial" w:hAnsi="Arial"/>
          <w:sz w:val="13"/>
          <w:szCs w:val="13"/>
          <w:color w:val="010035"/>
        </w:rPr>
        <w:t xml:space="preserve">•  As a testament to the Board’s commitment to </w:t>
      </w:r>
      <w:r>
        <w:rPr>
          <w:rFonts w:ascii="Arial" w:cs="Arial" w:eastAsia="Arial" w:hAnsi="Arial"/>
          <w:sz w:val="13"/>
          <w:szCs w:val="13"/>
          <w:b w:val="1"/>
          <w:bCs w:val="1"/>
          <w:color w:val="010035"/>
        </w:rPr>
        <w:t>strong Board refreshment,</w:t>
      </w:r>
      <w:r>
        <w:rPr>
          <w:rFonts w:ascii="Arial" w:cs="Arial" w:eastAsia="Arial" w:hAnsi="Arial"/>
          <w:sz w:val="13"/>
          <w:szCs w:val="13"/>
          <w:color w:val="010035"/>
        </w:rPr>
        <w:t xml:space="preserve"> 7 out of 11 directors have been appointed to the Board since 2021, including three new directors appointed to the Board in February 2026, Heather Ace, Jeffrey Fox and Fabio Schiavolin, enhancing Board skills and expertise in global gaming, technology, digital infrastructure, finance and human resources experience.</w:t>
      </w:r>
    </w:p>
    <w:p>
      <w:pPr>
        <w:spacing w:after="0" w:line="37" w:lineRule="exact"/>
        <w:rPr>
          <w:sz w:val="20"/>
          <w:szCs w:val="20"/>
          <w:color w:val="auto"/>
        </w:rPr>
      </w:pPr>
    </w:p>
    <w:p>
      <w:pPr>
        <w:ind w:right="120" w:hanging="106"/>
        <w:spacing w:after="0" w:line="225" w:lineRule="auto"/>
        <w:rPr>
          <w:sz w:val="20"/>
          <w:szCs w:val="20"/>
          <w:color w:val="auto"/>
        </w:rPr>
      </w:pPr>
      <w:r>
        <w:rPr>
          <w:rFonts w:ascii="Arial" w:cs="Arial" w:eastAsia="Arial" w:hAnsi="Arial"/>
          <w:sz w:val="13"/>
          <w:szCs w:val="13"/>
          <w:color w:val="010035"/>
        </w:rPr>
        <w:t xml:space="preserve">•  Throughout 2025 and 2026, the Board and Compensation Committee adopted a number of changes to </w:t>
      </w:r>
      <w:r>
        <w:rPr>
          <w:rFonts w:ascii="Arial" w:cs="Arial" w:eastAsia="Arial" w:hAnsi="Arial"/>
          <w:sz w:val="13"/>
          <w:szCs w:val="13"/>
          <w:b w:val="1"/>
          <w:bCs w:val="1"/>
          <w:color w:val="010035"/>
        </w:rPr>
        <w:t>executive compensation</w:t>
      </w:r>
      <w:r>
        <w:rPr>
          <w:rFonts w:ascii="Arial" w:cs="Arial" w:eastAsia="Arial" w:hAnsi="Arial"/>
          <w:sz w:val="13"/>
          <w:szCs w:val="13"/>
          <w:color w:val="010035"/>
        </w:rPr>
        <w:t xml:space="preserve"> </w:t>
      </w:r>
      <w:r>
        <w:rPr>
          <w:rFonts w:ascii="Arial" w:cs="Arial" w:eastAsia="Arial" w:hAnsi="Arial"/>
          <w:sz w:val="13"/>
          <w:szCs w:val="13"/>
          <w:b w:val="1"/>
          <w:bCs w:val="1"/>
          <w:color w:val="010035"/>
        </w:rPr>
        <w:t xml:space="preserve">program design and governance practices in response </w:t>
      </w:r>
      <w:r>
        <w:rPr>
          <w:rFonts w:ascii="Arial" w:cs="Arial" w:eastAsia="Arial" w:hAnsi="Arial"/>
          <w:sz w:val="13"/>
          <w:szCs w:val="13"/>
          <w:color w:val="010035"/>
        </w:rPr>
        <w:t>to shareholder feedback. Changes include significant enhancements</w:t>
      </w:r>
      <w:r>
        <w:rPr>
          <w:rFonts w:ascii="Arial" w:cs="Arial" w:eastAsia="Arial" w:hAnsi="Arial"/>
          <w:sz w:val="13"/>
          <w:szCs w:val="13"/>
          <w:b w:val="1"/>
          <w:bCs w:val="1"/>
          <w:color w:val="010035"/>
        </w:rPr>
        <w:t xml:space="preserve"> </w:t>
      </w:r>
      <w:r>
        <w:rPr>
          <w:rFonts w:ascii="Arial" w:cs="Arial" w:eastAsia="Arial" w:hAnsi="Arial"/>
          <w:sz w:val="13"/>
          <w:szCs w:val="13"/>
          <w:color w:val="010035"/>
        </w:rPr>
        <w:t xml:space="preserve">to the long-term incentive plan design, adoption of a refreshed compensation peer group for 2026 and a reduction in total 2026 CEO pay, which was made with the support and agreement of CEO Jay Snowden. For full detail on the Compensation Committee’s changes, please refer to the expanded compensation focused shareholder engagement disclosure in the Compensation Discussion and Analysis on page </w:t>
      </w:r>
      <w:r>
        <w:rPr>
          <w:rFonts w:ascii="Arial" w:cs="Arial" w:eastAsia="Arial" w:hAnsi="Arial"/>
          <w:sz w:val="13"/>
          <w:szCs w:val="13"/>
          <w:u w:val="single" w:color="auto"/>
          <w:color w:val="0000EE"/>
        </w:rPr>
        <w:t>53</w:t>
      </w:r>
      <w:r>
        <w:rPr>
          <w:rFonts w:ascii="Arial" w:cs="Arial" w:eastAsia="Arial" w:hAnsi="Arial"/>
          <w:sz w:val="13"/>
          <w:szCs w:val="13"/>
          <w:color w:val="010035"/>
        </w:rPr>
        <w:t>.</w:t>
      </w:r>
    </w:p>
    <w:p>
      <w:pPr>
        <w:spacing w:after="0" w:line="37" w:lineRule="exact"/>
        <w:rPr>
          <w:sz w:val="20"/>
          <w:szCs w:val="20"/>
          <w:color w:val="auto"/>
        </w:rPr>
      </w:pPr>
    </w:p>
    <w:p>
      <w:pPr>
        <w:ind w:right="520" w:hanging="106"/>
        <w:spacing w:after="0" w:line="243" w:lineRule="auto"/>
        <w:rPr>
          <w:sz w:val="20"/>
          <w:szCs w:val="20"/>
          <w:color w:val="auto"/>
        </w:rPr>
      </w:pPr>
      <w:r>
        <w:rPr>
          <w:rFonts w:ascii="Arial" w:cs="Arial" w:eastAsia="Arial" w:hAnsi="Arial"/>
          <w:sz w:val="13"/>
          <w:szCs w:val="13"/>
          <w:color w:val="010035"/>
        </w:rPr>
        <w:t xml:space="preserve">•  </w:t>
      </w:r>
      <w:r>
        <w:rPr>
          <w:rFonts w:ascii="Arial" w:cs="Arial" w:eastAsia="Arial" w:hAnsi="Arial"/>
          <w:sz w:val="13"/>
          <w:szCs w:val="13"/>
          <w:b w:val="1"/>
          <w:bCs w:val="1"/>
          <w:color w:val="010035"/>
        </w:rPr>
        <w:t>Updated Company bylaws</w:t>
      </w:r>
      <w:r>
        <w:rPr>
          <w:rFonts w:ascii="Arial" w:cs="Arial" w:eastAsia="Arial" w:hAnsi="Arial"/>
          <w:sz w:val="13"/>
          <w:szCs w:val="13"/>
          <w:color w:val="010035"/>
        </w:rPr>
        <w:t xml:space="preserve"> in 2025 to disclose a condition imposed on one of our gaming licenses by a gaming regulatory authority with respect to the nomination of directors and shareholder proposals by unlicensed shareholders.</w:t>
      </w:r>
    </w:p>
    <w:p>
      <w:pPr>
        <w:spacing w:after="0" w:line="48" w:lineRule="exact"/>
        <w:rPr>
          <w:sz w:val="20"/>
          <w:szCs w:val="20"/>
          <w:color w:val="auto"/>
        </w:rPr>
      </w:pPr>
    </w:p>
    <w:p>
      <w:pPr>
        <w:jc w:val="both"/>
        <w:ind w:right="100" w:hanging="106"/>
        <w:spacing w:after="0" w:line="229" w:lineRule="auto"/>
        <w:rPr>
          <w:sz w:val="20"/>
          <w:szCs w:val="20"/>
          <w:color w:val="auto"/>
        </w:rPr>
      </w:pPr>
      <w:r>
        <w:rPr>
          <w:rFonts w:ascii="Arial" w:cs="Arial" w:eastAsia="Arial" w:hAnsi="Arial"/>
          <w:sz w:val="13"/>
          <w:szCs w:val="13"/>
          <w:color w:val="010035"/>
        </w:rPr>
        <w:t xml:space="preserve">•  In 2025, updated </w:t>
      </w:r>
      <w:r>
        <w:rPr>
          <w:rFonts w:ascii="Arial" w:cs="Arial" w:eastAsia="Arial" w:hAnsi="Arial"/>
          <w:sz w:val="13"/>
          <w:szCs w:val="13"/>
          <w:b w:val="1"/>
          <w:bCs w:val="1"/>
          <w:color w:val="010035"/>
        </w:rPr>
        <w:t>clawback policy</w:t>
      </w:r>
      <w:r>
        <w:rPr>
          <w:rFonts w:ascii="Arial" w:cs="Arial" w:eastAsia="Arial" w:hAnsi="Arial"/>
          <w:sz w:val="13"/>
          <w:szCs w:val="13"/>
          <w:color w:val="010035"/>
        </w:rPr>
        <w:t xml:space="preserve"> to expand application to time-based equity awards, in addition to performance-based incentive awards, updated </w:t>
      </w:r>
      <w:r>
        <w:rPr>
          <w:rFonts w:ascii="Arial" w:cs="Arial" w:eastAsia="Arial" w:hAnsi="Arial"/>
          <w:sz w:val="13"/>
          <w:szCs w:val="13"/>
          <w:b w:val="1"/>
          <w:bCs w:val="1"/>
          <w:color w:val="010035"/>
        </w:rPr>
        <w:t>stock ownership guidelines</w:t>
      </w:r>
      <w:r>
        <w:rPr>
          <w:rFonts w:ascii="Arial" w:cs="Arial" w:eastAsia="Arial" w:hAnsi="Arial"/>
          <w:sz w:val="13"/>
          <w:szCs w:val="13"/>
          <w:color w:val="010035"/>
        </w:rPr>
        <w:t xml:space="preserve"> to clarify that cash-settled awards do not count towards ownership and revised the </w:t>
      </w:r>
      <w:r>
        <w:rPr>
          <w:rFonts w:ascii="Arial" w:cs="Arial" w:eastAsia="Arial" w:hAnsi="Arial"/>
          <w:sz w:val="13"/>
          <w:szCs w:val="13"/>
          <w:b w:val="1"/>
          <w:bCs w:val="1"/>
          <w:color w:val="010035"/>
        </w:rPr>
        <w:t xml:space="preserve">annual equity grant practice to independent directors </w:t>
      </w:r>
      <w:r>
        <w:rPr>
          <w:rFonts w:ascii="Arial" w:cs="Arial" w:eastAsia="Arial" w:hAnsi="Arial"/>
          <w:sz w:val="13"/>
          <w:szCs w:val="13"/>
          <w:color w:val="010035"/>
        </w:rPr>
        <w:t>to solely be comprised of shares of restricted stock (starting in 2026), as</w:t>
      </w:r>
      <w:r>
        <w:rPr>
          <w:rFonts w:ascii="Arial" w:cs="Arial" w:eastAsia="Arial" w:hAnsi="Arial"/>
          <w:sz w:val="13"/>
          <w:szCs w:val="13"/>
          <w:b w:val="1"/>
          <w:bCs w:val="1"/>
          <w:color w:val="010035"/>
        </w:rPr>
        <w:t xml:space="preserve"> </w:t>
      </w:r>
      <w:r>
        <w:rPr>
          <w:rFonts w:ascii="Arial" w:cs="Arial" w:eastAsia="Arial" w:hAnsi="Arial"/>
          <w:sz w:val="13"/>
          <w:szCs w:val="13"/>
          <w:color w:val="010035"/>
        </w:rPr>
        <w:t>opposed to the previously available option of cash-settled phantom stock units.</w:t>
      </w:r>
    </w:p>
    <w:p>
      <w:pPr>
        <w:spacing w:after="0" w:line="37" w:lineRule="exact"/>
        <w:rPr>
          <w:sz w:val="20"/>
          <w:szCs w:val="20"/>
          <w:color w:val="auto"/>
        </w:rPr>
      </w:pPr>
    </w:p>
    <w:p>
      <w:pPr>
        <w:ind w:right="320" w:hanging="106"/>
        <w:spacing w:after="0" w:line="226" w:lineRule="auto"/>
        <w:rPr>
          <w:sz w:val="20"/>
          <w:szCs w:val="20"/>
          <w:color w:val="auto"/>
        </w:rPr>
      </w:pPr>
      <w:r>
        <w:rPr>
          <w:rFonts w:ascii="Arial" w:cs="Arial" w:eastAsia="Arial" w:hAnsi="Arial"/>
          <w:sz w:val="13"/>
          <w:szCs w:val="13"/>
          <w:color w:val="010035"/>
        </w:rPr>
        <w:t xml:space="preserve">•  In 2024, the Board engaged a third-party consultant to conduct a comprehensive </w:t>
      </w:r>
      <w:r>
        <w:rPr>
          <w:rFonts w:ascii="Arial" w:cs="Arial" w:eastAsia="Arial" w:hAnsi="Arial"/>
          <w:sz w:val="13"/>
          <w:szCs w:val="13"/>
          <w:b w:val="1"/>
          <w:bCs w:val="1"/>
          <w:color w:val="010035"/>
        </w:rPr>
        <w:t>cyber preparedness and vulnerabilities</w:t>
      </w:r>
      <w:r>
        <w:rPr>
          <w:rFonts w:ascii="Arial" w:cs="Arial" w:eastAsia="Arial" w:hAnsi="Arial"/>
          <w:sz w:val="13"/>
          <w:szCs w:val="13"/>
          <w:color w:val="010035"/>
        </w:rPr>
        <w:t xml:space="preserve"> </w:t>
      </w:r>
      <w:r>
        <w:rPr>
          <w:rFonts w:ascii="Arial" w:cs="Arial" w:eastAsia="Arial" w:hAnsi="Arial"/>
          <w:sz w:val="13"/>
          <w:szCs w:val="13"/>
          <w:b w:val="1"/>
          <w:bCs w:val="1"/>
          <w:color w:val="010035"/>
        </w:rPr>
        <w:t xml:space="preserve">assessment </w:t>
      </w:r>
      <w:r>
        <w:rPr>
          <w:rFonts w:ascii="Arial" w:cs="Arial" w:eastAsia="Arial" w:hAnsi="Arial"/>
          <w:sz w:val="13"/>
          <w:szCs w:val="13"/>
          <w:color w:val="010035"/>
        </w:rPr>
        <w:t>by testing PENN’s existing cyber response plan readiness and resiliency. Results from this exercise informed the</w:t>
      </w:r>
      <w:r>
        <w:rPr>
          <w:rFonts w:ascii="Arial" w:cs="Arial" w:eastAsia="Arial" w:hAnsi="Arial"/>
          <w:sz w:val="13"/>
          <w:szCs w:val="13"/>
          <w:b w:val="1"/>
          <w:bCs w:val="1"/>
          <w:color w:val="010035"/>
        </w:rPr>
        <w:t xml:space="preserve"> </w:t>
      </w:r>
      <w:r>
        <w:rPr>
          <w:rFonts w:ascii="Arial" w:cs="Arial" w:eastAsia="Arial" w:hAnsi="Arial"/>
          <w:sz w:val="13"/>
          <w:szCs w:val="13"/>
          <w:color w:val="010035"/>
        </w:rPr>
        <w:t>Audit Committee’s ongoing annual risk oversight review and to inform potential incident response preparedness plan improvements. In 2025, the Audit Committee revised its charter to reflect its risk oversight responsibilities as it relates to cybersecurity.</w:t>
      </w:r>
    </w:p>
    <w:p>
      <w:pPr>
        <w:spacing w:after="0" w:line="39" w:lineRule="exact"/>
        <w:rPr>
          <w:sz w:val="20"/>
          <w:szCs w:val="20"/>
          <w:color w:val="auto"/>
        </w:rPr>
      </w:pPr>
    </w:p>
    <w:p>
      <w:pPr>
        <w:ind w:right="120" w:hanging="106"/>
        <w:spacing w:after="0" w:line="229" w:lineRule="auto"/>
        <w:rPr>
          <w:sz w:val="20"/>
          <w:szCs w:val="20"/>
          <w:color w:val="auto"/>
        </w:rPr>
      </w:pPr>
      <w:r>
        <w:rPr>
          <w:rFonts w:ascii="Arial" w:cs="Arial" w:eastAsia="Arial" w:hAnsi="Arial"/>
          <w:sz w:val="13"/>
          <w:szCs w:val="13"/>
          <w:color w:val="010035"/>
        </w:rPr>
        <w:t xml:space="preserve">•  Established a formal </w:t>
      </w:r>
      <w:r>
        <w:rPr>
          <w:rFonts w:ascii="Arial" w:cs="Arial" w:eastAsia="Arial" w:hAnsi="Arial"/>
          <w:sz w:val="13"/>
          <w:szCs w:val="13"/>
          <w:b w:val="1"/>
          <w:bCs w:val="1"/>
          <w:color w:val="010035"/>
        </w:rPr>
        <w:t>Enterprise Risk Management</w:t>
      </w:r>
      <w:r>
        <w:rPr>
          <w:rFonts w:ascii="Arial" w:cs="Arial" w:eastAsia="Arial" w:hAnsi="Arial"/>
          <w:sz w:val="13"/>
          <w:szCs w:val="13"/>
          <w:color w:val="010035"/>
        </w:rPr>
        <w:t xml:space="preserve"> (ERM) committee in 2024 to help assess, monitor and mitigate the Company’s key risks. Beginning in Q1 2025, the Audit Committee began receiving quarterly formal ERM reports, with updates on the Company’s risk assessments, program changes, risk profile and key mitigation efforts as a part of the Board’s broader effort to continuously enhance its ERM oversight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34925</wp:posOffset>
            </wp:positionV>
            <wp:extent cx="59664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163195</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620" w:space="440"/>
            <w:col w:w="7340"/>
          </w:cols>
          <w:pgMar w:left="1240" w:top="114" w:right="12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How to Contact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jc w:val="both"/>
        <w:ind w:right="60"/>
        <w:spacing w:after="0" w:line="256" w:lineRule="auto"/>
        <w:rPr>
          <w:sz w:val="20"/>
          <w:szCs w:val="20"/>
          <w:color w:val="auto"/>
        </w:rPr>
      </w:pPr>
      <w:r>
        <w:rPr>
          <w:rFonts w:ascii="Arial" w:cs="Arial" w:eastAsia="Arial" w:hAnsi="Arial"/>
          <w:sz w:val="14"/>
          <w:szCs w:val="14"/>
          <w:color w:val="auto"/>
        </w:rPr>
        <w:t>Shareholders who wish to contact our Board can do so by writing to PENN Entertainment, Inc., 825 Berkshire Boulevard, Suite 200, Wyomissing, PA 19610, Attention: Secretary. The Secretary of the Company reviews all such correspondence and forwards to the Board a summary of all such correspondence and copies of all correspondence that, in the opinion of the Secretary, deal with functions of the Board or Committees of the Board or that the Secretary otherwise determines requires the attention of our Board.</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Succession Planning for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Our Board, in coordination with our Compensation Committee, carefully oversees CEO and senior management succession planning. Our CEO, in consultation with our Senior Vice President, Chief Human Resources Officer, provides the Board with recommendations on, evaluations of, and potential successors to, the CEO and other members of senior management. Our Board reviews potential internal candidates with our CEO, including the qualifications, experience and development priorities for these individuals. Further, our Board periodically reviews the overall composition of our senior management team’s qualifications, tenure and experience and regularly interacts with senior leaders to inform independent assessment of talent development readiness. The Company’s talent management program, which seeks to develop, hire and retain talent below the senior management level, is led by our Senior Vice President, Chief Human Resources Officer, and is complementary to the Board’s succession planning.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Review and Approval of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Pursuant to the terms of its charter, the Company’s Audit Committee reviews all potential conflicts of interest and related person transactions. Any such matters that the Audit Committee determines are actual conflicts of interest or related person transactions are further subject to Audit Committee pre-approval. For purposes of the Audit Committee’s review, related-person transactions are transactions, arrangements or relationships where the Company is a participant and in which an executive officer, a director or an owner of 5% or greater of the Company’s common stock (or any immediate family member of the foregoing persons) has a direct or indirect material interest. The Company’s Code of Conduct has a broad definition of conflict of interest, which includes related person transactions, and requires employees to report potential conflicts to the Chief Compliance Officer. All potential conflicts of interest involving an executive officer, director or 5% or greater shareholder of the Company are communicated by the Chief Compliance Officer (or other members of Company management) to the Vice President of Internal Audit. The Vice President of Internal Audit then consults with members of the compliance, legal and finance staffs to determine whether the proposed transaction represents a conflict of interest or a related-person transaction that must be presented to the Audit Committee. For transactions determined to require Audit Committee review, the Vice President of Internal Audit collaborates with members of the legal and finance staffs to prepare and present the transaction to the Audit Committee. In terms of standards applied by the Audit Committee in reviewing related person transactions, a director will not participate in the review of transactions in which such director or his or her immediate family member has an interest. The Audit Committee will only approve related person transactions that are consistent with the best interests of the Company and its shareholders, based on a review of (i) the benefits to the Company of the transaction and (ii) the terms of the transaction and the terms available to or from unrelated third parties, as applicable.</w:t>
      </w:r>
    </w:p>
    <w:p>
      <w:pPr>
        <w:spacing w:after="0" w:line="245"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The Company has several policies which require the review of related-person transactions, including the Audit Committee Charter, the Code of Conduct and the Corporate Governance Guidelines. In addition, certain of the procedures followed in considering related-person transactions are based on past practice and the advice of counsel. The Company currently leases two executive office buildings from affiliates of its chairman emeritus of the Board of Directors. Rent expense was $1.1 million for the year ended December 31, 2025. Since January 1, 2025, there have been no additional related person transactions and none are currently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103505</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320"/>
        <w:spacing w:after="0" w:line="252" w:lineRule="auto"/>
        <w:rPr>
          <w:sz w:val="20"/>
          <w:szCs w:val="20"/>
          <w:color w:val="auto"/>
        </w:rPr>
      </w:pPr>
      <w:r>
        <w:rPr>
          <w:rFonts w:ascii="Arial" w:cs="Arial" w:eastAsia="Arial" w:hAnsi="Arial"/>
          <w:sz w:val="14"/>
          <w:szCs w:val="14"/>
          <w:color w:val="auto"/>
        </w:rPr>
        <w:t>The Company pays fees to each director who is not an employee of the Company. During the year ended December 31, 2025, the annual compensation for each non-employee director consisted of an annual retainer of $70,000, plus an additional $10,000 for service on each of the Audit Committee, the Compensation Committee and the Compliance Committee, as applicable, and $5,000 for service on the Nominating and Corporate Governance Committee. The Chair of the Audit Committee receives an additional $15,000 annual retainer, and the Chairs of the Compensation Committee and the Nominating and Corporate Governance Committee each receive a supplemental $10,000 annual retainer.</w:t>
      </w:r>
    </w:p>
    <w:p>
      <w:pPr>
        <w:spacing w:after="0" w:line="73"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For 2025, each non-employee director had the opportunity to elect to receive his or her annual retainer in the form of either cash or shares of restricted stock, with forfeiture restrictions for restricted stock lapsing on the first anniversary of the date of grant. In 2025, each non-employee director other than the Board Chair received a grant of cash settled restricted stock units or restricted stock at his or her election with a grant value of $250,000, and the Board Chair received a grant of restricted stock with a grant value of $375,000. Each award of cash settled restricted stock units or shares of restricted stock vests on the first anniversary of the date of grant. Beginning in 2026, the Board and Compensation Committee determined that the annual equity grant made to all non-employee directors will be comprised solely of shares of restricted stock, as opposed to the historical practice of allowing directors to elect to receive either shares of restricted stock or cash-settled restricted stock units.</w:t>
      </w:r>
    </w:p>
    <w:p>
      <w:pPr>
        <w:spacing w:after="0" w:line="77"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b w:val="1"/>
          <w:bCs w:val="1"/>
          <w:color w:val="auto"/>
        </w:rPr>
        <w:t xml:space="preserve">Director Stock Ownership Guidelines. </w:t>
      </w:r>
      <w:r>
        <w:rPr>
          <w:rFonts w:ascii="Arial" w:cs="Arial" w:eastAsia="Arial" w:hAnsi="Arial"/>
          <w:sz w:val="14"/>
          <w:szCs w:val="14"/>
          <w:color w:val="auto"/>
        </w:rPr>
        <w:t>We believe that equity ownership supports the alignment of director interests with those of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shareholders. To this end, the Compensation Committee has established stock ownership guidelines which provide that each non-employee director should own shares with a value equal to at least five times the current annual cash retainer amount, within five years from the date they joined the Board. All of our non-employee directors either currently meet our director stock ownership guidelines or we expect that they will meet the guidelines within five years of becoming a director. The Company’s Chief Legal Officer monitors compliance with these guidelines on an annual basis and apprises the Compensation Committee no less than annually regarding the same.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with respect to all compensation awarded to the Company’s non-employee directors for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2080" w:type="dxa"/>
            <w:vAlign w:val="bottom"/>
            <w:tcBorders>
              <w:top w:val="single" w:sz="8" w:color="69439A"/>
            </w:tcBorders>
            <w:shd w:val="clear" w:color="auto" w:fill="010035"/>
          </w:tcPr>
          <w:p>
            <w:pPr>
              <w:ind w:left="120"/>
              <w:spacing w:after="0"/>
              <w:rPr>
                <w:sz w:val="20"/>
                <w:szCs w:val="20"/>
                <w:color w:val="auto"/>
              </w:rPr>
            </w:pPr>
            <w:r>
              <w:rPr>
                <w:rFonts w:ascii="Arial" w:cs="Arial" w:eastAsia="Arial" w:hAnsi="Arial"/>
                <w:sz w:val="18"/>
                <w:szCs w:val="18"/>
                <w:b w:val="1"/>
                <w:bCs w:val="1"/>
                <w:color w:val="FFFFFF"/>
              </w:rPr>
              <w:t>NAME</w:t>
            </w:r>
          </w:p>
        </w:tc>
        <w:tc>
          <w:tcPr>
            <w:tcW w:w="2940" w:type="dxa"/>
            <w:vAlign w:val="bottom"/>
            <w:tcBorders>
              <w:top w:val="single" w:sz="8" w:color="69439A"/>
            </w:tcBorders>
            <w:shd w:val="clear" w:color="auto" w:fill="010035"/>
          </w:tcPr>
          <w:p>
            <w:pPr>
              <w:ind w:left="220"/>
              <w:spacing w:after="0"/>
              <w:rPr>
                <w:sz w:val="20"/>
                <w:szCs w:val="20"/>
                <w:color w:val="auto"/>
              </w:rPr>
            </w:pPr>
            <w:r>
              <w:rPr>
                <w:rFonts w:ascii="Arial" w:cs="Arial" w:eastAsia="Arial" w:hAnsi="Arial"/>
                <w:sz w:val="14"/>
                <w:szCs w:val="14"/>
                <w:b w:val="1"/>
                <w:bCs w:val="1"/>
                <w:color w:val="FFFFFF"/>
              </w:rPr>
              <w:t>FEES EARNED OR PAID IN CASH ($)</w:t>
            </w:r>
            <w:r>
              <w:rPr>
                <w:rFonts w:ascii="Arial" w:cs="Arial" w:eastAsia="Arial" w:hAnsi="Arial"/>
                <w:sz w:val="23"/>
                <w:szCs w:val="23"/>
                <w:b w:val="1"/>
                <w:bCs w:val="1"/>
                <w:color w:val="FFFFFF"/>
                <w:vertAlign w:val="superscript"/>
              </w:rPr>
              <w:t>(1)</w:t>
            </w:r>
          </w:p>
        </w:tc>
        <w:tc>
          <w:tcPr>
            <w:tcW w:w="2380" w:type="dxa"/>
            <w:vAlign w:val="bottom"/>
            <w:tcBorders>
              <w:top w:val="single" w:sz="8" w:color="69439A"/>
            </w:tcBorders>
            <w:shd w:val="clear" w:color="auto" w:fill="010035"/>
          </w:tcPr>
          <w:p>
            <w:pPr>
              <w:jc w:val="center"/>
              <w:ind w:right="288"/>
              <w:spacing w:after="0"/>
              <w:rPr>
                <w:sz w:val="20"/>
                <w:szCs w:val="20"/>
                <w:color w:val="auto"/>
              </w:rPr>
            </w:pPr>
            <w:r>
              <w:rPr>
                <w:rFonts w:ascii="Arial" w:cs="Arial" w:eastAsia="Arial" w:hAnsi="Arial"/>
                <w:sz w:val="14"/>
                <w:szCs w:val="14"/>
                <w:b w:val="1"/>
                <w:bCs w:val="1"/>
                <w:color w:val="FFFFFF"/>
                <w:w w:val="90"/>
              </w:rPr>
              <w:t>STOCK AWARDS ($)</w:t>
            </w:r>
            <w:r>
              <w:rPr>
                <w:rFonts w:ascii="Arial" w:cs="Arial" w:eastAsia="Arial" w:hAnsi="Arial"/>
                <w:sz w:val="23"/>
                <w:szCs w:val="23"/>
                <w:b w:val="1"/>
                <w:bCs w:val="1"/>
                <w:color w:val="FFFFFF"/>
                <w:w w:val="90"/>
                <w:vertAlign w:val="superscript"/>
              </w:rPr>
              <w:t>(2) (3)</w:t>
            </w:r>
          </w:p>
        </w:tc>
        <w:tc>
          <w:tcPr>
            <w:tcW w:w="2000" w:type="dxa"/>
            <w:vAlign w:val="bottom"/>
            <w:tcBorders>
              <w:top w:val="single" w:sz="8" w:color="69439A"/>
            </w:tcBorders>
            <w:shd w:val="clear" w:color="auto" w:fill="010035"/>
          </w:tcPr>
          <w:p>
            <w:pPr>
              <w:jc w:val="center"/>
              <w:ind w:right="148"/>
              <w:spacing w:after="0"/>
              <w:rPr>
                <w:sz w:val="20"/>
                <w:szCs w:val="20"/>
                <w:color w:val="auto"/>
              </w:rPr>
            </w:pPr>
            <w:r>
              <w:rPr>
                <w:rFonts w:ascii="Arial" w:cs="Arial" w:eastAsia="Arial" w:hAnsi="Arial"/>
                <w:sz w:val="14"/>
                <w:szCs w:val="14"/>
                <w:b w:val="1"/>
                <w:bCs w:val="1"/>
                <w:color w:val="FFFFFF"/>
                <w:w w:val="97"/>
              </w:rPr>
              <w:t>TOTAL ($)</w:t>
            </w:r>
          </w:p>
        </w:tc>
      </w:tr>
      <w:tr>
        <w:trPr>
          <w:trHeight w:val="255"/>
        </w:trPr>
        <w:tc>
          <w:tcPr>
            <w:tcW w:w="2080" w:type="dxa"/>
            <w:vAlign w:val="bottom"/>
          </w:tcPr>
          <w:p>
            <w:pPr>
              <w:ind w:left="120"/>
              <w:spacing w:after="0"/>
              <w:rPr>
                <w:sz w:val="20"/>
                <w:szCs w:val="20"/>
                <w:color w:val="auto"/>
              </w:rPr>
            </w:pPr>
            <w:r>
              <w:rPr>
                <w:rFonts w:ascii="Arial" w:cs="Arial" w:eastAsia="Arial" w:hAnsi="Arial"/>
                <w:sz w:val="14"/>
                <w:szCs w:val="14"/>
                <w:b w:val="1"/>
                <w:bCs w:val="1"/>
                <w:color w:val="010035"/>
              </w:rPr>
              <w:t>Vimla Black-Gupta</w:t>
            </w:r>
          </w:p>
        </w:tc>
        <w:tc>
          <w:tcPr>
            <w:tcW w:w="2940" w:type="dxa"/>
            <w:vAlign w:val="bottom"/>
          </w:tcPr>
          <w:p>
            <w:pPr>
              <w:jc w:val="center"/>
              <w:spacing w:after="0"/>
              <w:rPr>
                <w:sz w:val="20"/>
                <w:szCs w:val="20"/>
                <w:color w:val="auto"/>
              </w:rPr>
            </w:pPr>
            <w:r>
              <w:rPr>
                <w:rFonts w:ascii="Arial" w:cs="Arial" w:eastAsia="Arial" w:hAnsi="Arial"/>
                <w:sz w:val="14"/>
                <w:szCs w:val="14"/>
                <w:color w:val="010035"/>
              </w:rPr>
              <w:t>90,425</w:t>
            </w:r>
          </w:p>
        </w:tc>
        <w:tc>
          <w:tcPr>
            <w:tcW w:w="2380" w:type="dxa"/>
            <w:vAlign w:val="bottom"/>
          </w:tcPr>
          <w:p>
            <w:pPr>
              <w:jc w:val="center"/>
              <w:ind w:right="308"/>
              <w:spacing w:after="0"/>
              <w:rPr>
                <w:sz w:val="20"/>
                <w:szCs w:val="20"/>
                <w:color w:val="auto"/>
              </w:rPr>
            </w:pPr>
            <w:r>
              <w:rPr>
                <w:rFonts w:ascii="Arial" w:cs="Arial" w:eastAsia="Arial" w:hAnsi="Arial"/>
                <w:sz w:val="14"/>
                <w:szCs w:val="14"/>
                <w:color w:val="010035"/>
              </w:rPr>
              <w:t>250,005</w:t>
            </w:r>
          </w:p>
        </w:tc>
        <w:tc>
          <w:tcPr>
            <w:tcW w:w="2000" w:type="dxa"/>
            <w:vAlign w:val="bottom"/>
          </w:tcPr>
          <w:p>
            <w:pPr>
              <w:jc w:val="center"/>
              <w:ind w:right="168"/>
              <w:spacing w:after="0"/>
              <w:rPr>
                <w:sz w:val="20"/>
                <w:szCs w:val="20"/>
                <w:color w:val="auto"/>
              </w:rPr>
            </w:pPr>
            <w:r>
              <w:rPr>
                <w:rFonts w:ascii="Arial" w:cs="Arial" w:eastAsia="Arial" w:hAnsi="Arial"/>
                <w:sz w:val="14"/>
                <w:szCs w:val="14"/>
                <w:color w:val="010035"/>
              </w:rPr>
              <w:t>340,430</w:t>
            </w:r>
          </w:p>
        </w:tc>
      </w:tr>
      <w:tr>
        <w:trPr>
          <w:trHeight w:val="56"/>
        </w:trPr>
        <w:tc>
          <w:tcPr>
            <w:tcW w:w="20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90"/>
        </w:trPr>
        <w:tc>
          <w:tcPr>
            <w:tcW w:w="2080" w:type="dxa"/>
            <w:vAlign w:val="bottom"/>
            <w:tcBorders>
              <w:bottom w:val="single" w:sz="8" w:color="DED8EC"/>
            </w:tcBorders>
            <w:shd w:val="clear" w:color="auto" w:fill="DED8EC"/>
          </w:tcPr>
          <w:p>
            <w:pPr>
              <w:ind w:left="120"/>
              <w:spacing w:after="0"/>
              <w:rPr>
                <w:sz w:val="20"/>
                <w:szCs w:val="20"/>
                <w:color w:val="auto"/>
              </w:rPr>
            </w:pPr>
            <w:r>
              <w:rPr>
                <w:rFonts w:ascii="Arial" w:cs="Arial" w:eastAsia="Arial" w:hAnsi="Arial"/>
                <w:sz w:val="14"/>
                <w:szCs w:val="14"/>
                <w:b w:val="1"/>
                <w:bCs w:val="1"/>
                <w:color w:val="010035"/>
              </w:rPr>
              <w:t>Anuj Dhanda</w:t>
            </w:r>
          </w:p>
        </w:tc>
        <w:tc>
          <w:tcPr>
            <w:tcW w:w="29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81,890</w:t>
            </w:r>
          </w:p>
        </w:tc>
        <w:tc>
          <w:tcPr>
            <w:tcW w:w="2380" w:type="dxa"/>
            <w:vAlign w:val="bottom"/>
            <w:tcBorders>
              <w:bottom w:val="single" w:sz="8" w:color="DED8EC"/>
            </w:tcBorders>
            <w:shd w:val="clear" w:color="auto" w:fill="DED8EC"/>
          </w:tcPr>
          <w:p>
            <w:pPr>
              <w:jc w:val="center"/>
              <w:ind w:right="308"/>
              <w:spacing w:after="0"/>
              <w:rPr>
                <w:sz w:val="20"/>
                <w:szCs w:val="20"/>
                <w:color w:val="auto"/>
              </w:rPr>
            </w:pPr>
            <w:r>
              <w:rPr>
                <w:rFonts w:ascii="Arial" w:cs="Arial" w:eastAsia="Arial" w:hAnsi="Arial"/>
                <w:sz w:val="14"/>
                <w:szCs w:val="14"/>
                <w:color w:val="010035"/>
              </w:rPr>
              <w:t>250,005</w:t>
            </w:r>
          </w:p>
        </w:tc>
        <w:tc>
          <w:tcPr>
            <w:tcW w:w="2000" w:type="dxa"/>
            <w:vAlign w:val="bottom"/>
            <w:tcBorders>
              <w:bottom w:val="single" w:sz="8" w:color="DED8EC"/>
            </w:tcBorders>
            <w:shd w:val="clear" w:color="auto" w:fill="DED8EC"/>
          </w:tcPr>
          <w:p>
            <w:pPr>
              <w:jc w:val="center"/>
              <w:ind w:right="168"/>
              <w:spacing w:after="0"/>
              <w:rPr>
                <w:sz w:val="20"/>
                <w:szCs w:val="20"/>
                <w:color w:val="auto"/>
              </w:rPr>
            </w:pPr>
            <w:r>
              <w:rPr>
                <w:rFonts w:ascii="Arial" w:cs="Arial" w:eastAsia="Arial" w:hAnsi="Arial"/>
                <w:sz w:val="14"/>
                <w:szCs w:val="14"/>
                <w:color w:val="010035"/>
              </w:rPr>
              <w:t>331,895</w:t>
            </w:r>
          </w:p>
        </w:tc>
      </w:tr>
      <w:tr>
        <w:trPr>
          <w:trHeight w:val="255"/>
        </w:trPr>
        <w:tc>
          <w:tcPr>
            <w:tcW w:w="2080" w:type="dxa"/>
            <w:vAlign w:val="bottom"/>
          </w:tcPr>
          <w:p>
            <w:pPr>
              <w:ind w:left="120"/>
              <w:spacing w:after="0"/>
              <w:rPr>
                <w:sz w:val="20"/>
                <w:szCs w:val="20"/>
                <w:color w:val="auto"/>
              </w:rPr>
            </w:pPr>
            <w:r>
              <w:rPr>
                <w:rFonts w:ascii="Arial" w:cs="Arial" w:eastAsia="Arial" w:hAnsi="Arial"/>
                <w:sz w:val="14"/>
                <w:szCs w:val="14"/>
                <w:b w:val="1"/>
                <w:bCs w:val="1"/>
                <w:color w:val="010035"/>
              </w:rPr>
              <w:t>David Handler</w:t>
            </w:r>
          </w:p>
        </w:tc>
        <w:tc>
          <w:tcPr>
            <w:tcW w:w="2940" w:type="dxa"/>
            <w:vAlign w:val="bottom"/>
          </w:tcPr>
          <w:p>
            <w:pPr>
              <w:jc w:val="center"/>
              <w:spacing w:after="0"/>
              <w:rPr>
                <w:sz w:val="20"/>
                <w:szCs w:val="20"/>
                <w:color w:val="auto"/>
              </w:rPr>
            </w:pPr>
            <w:r>
              <w:rPr>
                <w:rFonts w:ascii="Arial" w:cs="Arial" w:eastAsia="Arial" w:hAnsi="Arial"/>
                <w:sz w:val="14"/>
                <w:szCs w:val="14"/>
                <w:color w:val="010035"/>
              </w:rPr>
              <w:t>80,849</w:t>
            </w:r>
          </w:p>
        </w:tc>
        <w:tc>
          <w:tcPr>
            <w:tcW w:w="2380" w:type="dxa"/>
            <w:vAlign w:val="bottom"/>
          </w:tcPr>
          <w:p>
            <w:pPr>
              <w:jc w:val="center"/>
              <w:ind w:right="308"/>
              <w:spacing w:after="0"/>
              <w:rPr>
                <w:sz w:val="20"/>
                <w:szCs w:val="20"/>
                <w:color w:val="auto"/>
              </w:rPr>
            </w:pPr>
            <w:r>
              <w:rPr>
                <w:rFonts w:ascii="Arial" w:cs="Arial" w:eastAsia="Arial" w:hAnsi="Arial"/>
                <w:sz w:val="14"/>
                <w:szCs w:val="14"/>
                <w:color w:val="010035"/>
              </w:rPr>
              <w:t>375,007</w:t>
            </w:r>
          </w:p>
        </w:tc>
        <w:tc>
          <w:tcPr>
            <w:tcW w:w="2000" w:type="dxa"/>
            <w:vAlign w:val="bottom"/>
          </w:tcPr>
          <w:p>
            <w:pPr>
              <w:jc w:val="center"/>
              <w:ind w:right="168"/>
              <w:spacing w:after="0"/>
              <w:rPr>
                <w:sz w:val="20"/>
                <w:szCs w:val="20"/>
                <w:color w:val="auto"/>
              </w:rPr>
            </w:pPr>
            <w:r>
              <w:rPr>
                <w:rFonts w:ascii="Arial" w:cs="Arial" w:eastAsia="Arial" w:hAnsi="Arial"/>
                <w:sz w:val="14"/>
                <w:szCs w:val="14"/>
                <w:color w:val="010035"/>
              </w:rPr>
              <w:t>455,856</w:t>
            </w:r>
          </w:p>
        </w:tc>
      </w:tr>
      <w:tr>
        <w:trPr>
          <w:trHeight w:val="56"/>
        </w:trPr>
        <w:tc>
          <w:tcPr>
            <w:tcW w:w="20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38"/>
        </w:trPr>
        <w:tc>
          <w:tcPr>
            <w:tcW w:w="2080" w:type="dxa"/>
            <w:vAlign w:val="bottom"/>
            <w:shd w:val="clear" w:color="auto" w:fill="DED8EC"/>
          </w:tcPr>
          <w:p>
            <w:pPr>
              <w:ind w:left="120"/>
              <w:spacing w:after="0"/>
              <w:rPr>
                <w:sz w:val="20"/>
                <w:szCs w:val="20"/>
                <w:color w:val="auto"/>
              </w:rPr>
            </w:pPr>
            <w:r>
              <w:rPr>
                <w:rFonts w:ascii="Arial" w:cs="Arial" w:eastAsia="Arial" w:hAnsi="Arial"/>
                <w:sz w:val="14"/>
                <w:szCs w:val="14"/>
                <w:b w:val="1"/>
                <w:bCs w:val="1"/>
                <w:color w:val="010035"/>
              </w:rPr>
              <w:t>Johnny Hartnett</w:t>
            </w:r>
            <w:r>
              <w:rPr>
                <w:rFonts w:ascii="Arial" w:cs="Arial" w:eastAsia="Arial" w:hAnsi="Arial"/>
                <w:sz w:val="23"/>
                <w:szCs w:val="23"/>
                <w:b w:val="1"/>
                <w:bCs w:val="1"/>
                <w:color w:val="010035"/>
                <w:vertAlign w:val="superscript"/>
              </w:rPr>
              <w:t>(4)</w:t>
            </w:r>
          </w:p>
        </w:tc>
        <w:tc>
          <w:tcPr>
            <w:tcW w:w="294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43,397</w:t>
            </w:r>
          </w:p>
        </w:tc>
        <w:tc>
          <w:tcPr>
            <w:tcW w:w="2380" w:type="dxa"/>
            <w:vAlign w:val="bottom"/>
            <w:shd w:val="clear" w:color="auto" w:fill="DED8EC"/>
          </w:tcPr>
          <w:p>
            <w:pPr>
              <w:jc w:val="center"/>
              <w:ind w:right="308"/>
              <w:spacing w:after="0"/>
              <w:rPr>
                <w:sz w:val="20"/>
                <w:szCs w:val="20"/>
                <w:color w:val="auto"/>
              </w:rPr>
            </w:pPr>
            <w:r>
              <w:rPr>
                <w:rFonts w:ascii="Arial" w:cs="Arial" w:eastAsia="Arial" w:hAnsi="Arial"/>
                <w:sz w:val="14"/>
                <w:szCs w:val="14"/>
                <w:color w:val="010035"/>
              </w:rPr>
              <w:t>249,993</w:t>
            </w:r>
          </w:p>
        </w:tc>
        <w:tc>
          <w:tcPr>
            <w:tcW w:w="2000" w:type="dxa"/>
            <w:vAlign w:val="bottom"/>
            <w:shd w:val="clear" w:color="auto" w:fill="DED8EC"/>
          </w:tcPr>
          <w:p>
            <w:pPr>
              <w:jc w:val="center"/>
              <w:ind w:right="168"/>
              <w:spacing w:after="0"/>
              <w:rPr>
                <w:sz w:val="20"/>
                <w:szCs w:val="20"/>
                <w:color w:val="auto"/>
              </w:rPr>
            </w:pPr>
            <w:r>
              <w:rPr>
                <w:rFonts w:ascii="Arial" w:cs="Arial" w:eastAsia="Arial" w:hAnsi="Arial"/>
                <w:sz w:val="14"/>
                <w:szCs w:val="14"/>
                <w:color w:val="010035"/>
              </w:rPr>
              <w:t>293,390</w:t>
            </w:r>
          </w:p>
        </w:tc>
      </w:tr>
      <w:tr>
        <w:trPr>
          <w:trHeight w:val="255"/>
        </w:trPr>
        <w:tc>
          <w:tcPr>
            <w:tcW w:w="2080" w:type="dxa"/>
            <w:vAlign w:val="bottom"/>
          </w:tcPr>
          <w:p>
            <w:pPr>
              <w:ind w:left="120"/>
              <w:spacing w:after="0"/>
              <w:rPr>
                <w:sz w:val="20"/>
                <w:szCs w:val="20"/>
                <w:color w:val="auto"/>
              </w:rPr>
            </w:pPr>
            <w:r>
              <w:rPr>
                <w:rFonts w:ascii="Arial" w:cs="Arial" w:eastAsia="Arial" w:hAnsi="Arial"/>
                <w:sz w:val="14"/>
                <w:szCs w:val="14"/>
                <w:b w:val="1"/>
                <w:bCs w:val="1"/>
                <w:color w:val="010035"/>
              </w:rPr>
              <w:t>Marla Kaplowitz</w:t>
            </w:r>
          </w:p>
        </w:tc>
        <w:tc>
          <w:tcPr>
            <w:tcW w:w="2940" w:type="dxa"/>
            <w:vAlign w:val="bottom"/>
          </w:tcPr>
          <w:p>
            <w:pPr>
              <w:jc w:val="center"/>
              <w:spacing w:after="0"/>
              <w:rPr>
                <w:sz w:val="20"/>
                <w:szCs w:val="20"/>
                <w:color w:val="auto"/>
              </w:rPr>
            </w:pPr>
            <w:r>
              <w:rPr>
                <w:rFonts w:ascii="Arial" w:cs="Arial" w:eastAsia="Arial" w:hAnsi="Arial"/>
                <w:sz w:val="14"/>
                <w:szCs w:val="14"/>
                <w:color w:val="010035"/>
              </w:rPr>
              <w:t>100,425</w:t>
            </w:r>
          </w:p>
        </w:tc>
        <w:tc>
          <w:tcPr>
            <w:tcW w:w="2380" w:type="dxa"/>
            <w:vAlign w:val="bottom"/>
          </w:tcPr>
          <w:p>
            <w:pPr>
              <w:jc w:val="center"/>
              <w:ind w:right="308"/>
              <w:spacing w:after="0"/>
              <w:rPr>
                <w:sz w:val="20"/>
                <w:szCs w:val="20"/>
                <w:color w:val="auto"/>
              </w:rPr>
            </w:pPr>
            <w:r>
              <w:rPr>
                <w:rFonts w:ascii="Arial" w:cs="Arial" w:eastAsia="Arial" w:hAnsi="Arial"/>
                <w:sz w:val="14"/>
                <w:szCs w:val="14"/>
                <w:color w:val="010035"/>
              </w:rPr>
              <w:t>250,005</w:t>
            </w:r>
          </w:p>
        </w:tc>
        <w:tc>
          <w:tcPr>
            <w:tcW w:w="2000" w:type="dxa"/>
            <w:vAlign w:val="bottom"/>
          </w:tcPr>
          <w:p>
            <w:pPr>
              <w:jc w:val="center"/>
              <w:ind w:right="168"/>
              <w:spacing w:after="0"/>
              <w:rPr>
                <w:sz w:val="20"/>
                <w:szCs w:val="20"/>
                <w:color w:val="auto"/>
              </w:rPr>
            </w:pPr>
            <w:r>
              <w:rPr>
                <w:rFonts w:ascii="Arial" w:cs="Arial" w:eastAsia="Arial" w:hAnsi="Arial"/>
                <w:sz w:val="14"/>
                <w:szCs w:val="14"/>
                <w:color w:val="010035"/>
              </w:rPr>
              <w:t>350,430</w:t>
            </w:r>
          </w:p>
        </w:tc>
      </w:tr>
      <w:tr>
        <w:trPr>
          <w:trHeight w:val="56"/>
        </w:trPr>
        <w:tc>
          <w:tcPr>
            <w:tcW w:w="20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38"/>
        </w:trPr>
        <w:tc>
          <w:tcPr>
            <w:tcW w:w="2080" w:type="dxa"/>
            <w:vAlign w:val="bottom"/>
            <w:shd w:val="clear" w:color="auto" w:fill="DED8EC"/>
          </w:tcPr>
          <w:p>
            <w:pPr>
              <w:ind w:left="120"/>
              <w:spacing w:after="0"/>
              <w:rPr>
                <w:sz w:val="20"/>
                <w:szCs w:val="20"/>
                <w:color w:val="auto"/>
              </w:rPr>
            </w:pPr>
            <w:r>
              <w:rPr>
                <w:rFonts w:ascii="Arial" w:cs="Arial" w:eastAsia="Arial" w:hAnsi="Arial"/>
                <w:sz w:val="14"/>
                <w:szCs w:val="14"/>
                <w:b w:val="1"/>
                <w:bCs w:val="1"/>
                <w:color w:val="010035"/>
              </w:rPr>
              <w:t>Barbara Shattuck Kohn</w:t>
            </w:r>
            <w:r>
              <w:rPr>
                <w:rFonts w:ascii="Arial" w:cs="Arial" w:eastAsia="Arial" w:hAnsi="Arial"/>
                <w:sz w:val="23"/>
                <w:szCs w:val="23"/>
                <w:b w:val="1"/>
                <w:bCs w:val="1"/>
                <w:color w:val="010035"/>
                <w:vertAlign w:val="superscript"/>
              </w:rPr>
              <w:t>(5)</w:t>
            </w:r>
          </w:p>
        </w:tc>
        <w:tc>
          <w:tcPr>
            <w:tcW w:w="294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100,000</w:t>
            </w:r>
          </w:p>
        </w:tc>
        <w:tc>
          <w:tcPr>
            <w:tcW w:w="2380" w:type="dxa"/>
            <w:vAlign w:val="bottom"/>
            <w:shd w:val="clear" w:color="auto" w:fill="DED8EC"/>
          </w:tcPr>
          <w:p>
            <w:pPr>
              <w:jc w:val="center"/>
              <w:ind w:right="308"/>
              <w:spacing w:after="0"/>
              <w:rPr>
                <w:sz w:val="20"/>
                <w:szCs w:val="20"/>
                <w:color w:val="auto"/>
              </w:rPr>
            </w:pPr>
            <w:r>
              <w:rPr>
                <w:rFonts w:ascii="Arial" w:cs="Arial" w:eastAsia="Arial" w:hAnsi="Arial"/>
                <w:sz w:val="14"/>
                <w:szCs w:val="14"/>
                <w:color w:val="010035"/>
              </w:rPr>
              <w:t>250,005</w:t>
            </w:r>
          </w:p>
        </w:tc>
        <w:tc>
          <w:tcPr>
            <w:tcW w:w="2000" w:type="dxa"/>
            <w:vAlign w:val="bottom"/>
            <w:shd w:val="clear" w:color="auto" w:fill="DED8EC"/>
          </w:tcPr>
          <w:p>
            <w:pPr>
              <w:jc w:val="center"/>
              <w:ind w:right="168"/>
              <w:spacing w:after="0"/>
              <w:rPr>
                <w:sz w:val="20"/>
                <w:szCs w:val="20"/>
                <w:color w:val="auto"/>
              </w:rPr>
            </w:pPr>
            <w:r>
              <w:rPr>
                <w:rFonts w:ascii="Arial" w:cs="Arial" w:eastAsia="Arial" w:hAnsi="Arial"/>
                <w:sz w:val="14"/>
                <w:szCs w:val="14"/>
                <w:color w:val="010035"/>
              </w:rPr>
              <w:t>350,005</w:t>
            </w:r>
          </w:p>
        </w:tc>
      </w:tr>
      <w:tr>
        <w:trPr>
          <w:trHeight w:val="338"/>
        </w:trPr>
        <w:tc>
          <w:tcPr>
            <w:tcW w:w="2080" w:type="dxa"/>
            <w:vAlign w:val="bottom"/>
          </w:tcPr>
          <w:p>
            <w:pPr>
              <w:ind w:left="120"/>
              <w:spacing w:after="0"/>
              <w:rPr>
                <w:sz w:val="20"/>
                <w:szCs w:val="20"/>
                <w:color w:val="auto"/>
              </w:rPr>
            </w:pPr>
            <w:r>
              <w:rPr>
                <w:rFonts w:ascii="Arial" w:cs="Arial" w:eastAsia="Arial" w:hAnsi="Arial"/>
                <w:sz w:val="14"/>
                <w:szCs w:val="14"/>
                <w:b w:val="1"/>
                <w:bCs w:val="1"/>
                <w:color w:val="010035"/>
              </w:rPr>
              <w:t>Ronald Naples</w:t>
            </w:r>
            <w:r>
              <w:rPr>
                <w:rFonts w:ascii="Arial" w:cs="Arial" w:eastAsia="Arial" w:hAnsi="Arial"/>
                <w:sz w:val="23"/>
                <w:szCs w:val="23"/>
                <w:b w:val="1"/>
                <w:bCs w:val="1"/>
                <w:color w:val="010035"/>
                <w:vertAlign w:val="superscript"/>
              </w:rPr>
              <w:t>(6)</w:t>
            </w:r>
          </w:p>
        </w:tc>
        <w:tc>
          <w:tcPr>
            <w:tcW w:w="2940" w:type="dxa"/>
            <w:vAlign w:val="bottom"/>
          </w:tcPr>
          <w:p>
            <w:pPr>
              <w:jc w:val="center"/>
              <w:spacing w:after="0"/>
              <w:rPr>
                <w:sz w:val="20"/>
                <w:szCs w:val="20"/>
                <w:color w:val="auto"/>
              </w:rPr>
            </w:pPr>
            <w:r>
              <w:rPr>
                <w:rFonts w:ascii="Arial" w:cs="Arial" w:eastAsia="Arial" w:hAnsi="Arial"/>
                <w:sz w:val="14"/>
                <w:szCs w:val="14"/>
                <w:color w:val="010035"/>
              </w:rPr>
              <w:t>85,000</w:t>
            </w:r>
          </w:p>
        </w:tc>
        <w:tc>
          <w:tcPr>
            <w:tcW w:w="2380" w:type="dxa"/>
            <w:vAlign w:val="bottom"/>
          </w:tcPr>
          <w:p>
            <w:pPr>
              <w:jc w:val="center"/>
              <w:ind w:right="308"/>
              <w:spacing w:after="0"/>
              <w:rPr>
                <w:sz w:val="20"/>
                <w:szCs w:val="20"/>
                <w:color w:val="auto"/>
              </w:rPr>
            </w:pPr>
            <w:r>
              <w:rPr>
                <w:rFonts w:ascii="Arial" w:cs="Arial" w:eastAsia="Arial" w:hAnsi="Arial"/>
                <w:sz w:val="14"/>
                <w:szCs w:val="14"/>
                <w:color w:val="010035"/>
              </w:rPr>
              <w:t>250,005</w:t>
            </w:r>
          </w:p>
        </w:tc>
        <w:tc>
          <w:tcPr>
            <w:tcW w:w="2000" w:type="dxa"/>
            <w:vAlign w:val="bottom"/>
          </w:tcPr>
          <w:p>
            <w:pPr>
              <w:jc w:val="center"/>
              <w:ind w:right="168"/>
              <w:spacing w:after="0"/>
              <w:rPr>
                <w:sz w:val="20"/>
                <w:szCs w:val="20"/>
                <w:color w:val="auto"/>
              </w:rPr>
            </w:pPr>
            <w:r>
              <w:rPr>
                <w:rFonts w:ascii="Arial" w:cs="Arial" w:eastAsia="Arial" w:hAnsi="Arial"/>
                <w:sz w:val="14"/>
                <w:szCs w:val="14"/>
                <w:color w:val="010035"/>
              </w:rPr>
              <w:t>335,005</w:t>
            </w:r>
          </w:p>
        </w:tc>
      </w:tr>
      <w:tr>
        <w:trPr>
          <w:trHeight w:val="338"/>
        </w:trPr>
        <w:tc>
          <w:tcPr>
            <w:tcW w:w="2080" w:type="dxa"/>
            <w:vAlign w:val="bottom"/>
            <w:shd w:val="clear" w:color="auto" w:fill="DED8EC"/>
          </w:tcPr>
          <w:p>
            <w:pPr>
              <w:ind w:left="120"/>
              <w:spacing w:after="0"/>
              <w:rPr>
                <w:sz w:val="20"/>
                <w:szCs w:val="20"/>
                <w:color w:val="auto"/>
              </w:rPr>
            </w:pPr>
            <w:r>
              <w:rPr>
                <w:rFonts w:ascii="Arial" w:cs="Arial" w:eastAsia="Arial" w:hAnsi="Arial"/>
                <w:sz w:val="14"/>
                <w:szCs w:val="14"/>
                <w:b w:val="1"/>
                <w:bCs w:val="1"/>
                <w:color w:val="010035"/>
              </w:rPr>
              <w:t>Saul Reibstein</w:t>
            </w:r>
            <w:r>
              <w:rPr>
                <w:rFonts w:ascii="Arial" w:cs="Arial" w:eastAsia="Arial" w:hAnsi="Arial"/>
                <w:sz w:val="23"/>
                <w:szCs w:val="23"/>
                <w:b w:val="1"/>
                <w:bCs w:val="1"/>
                <w:color w:val="010035"/>
                <w:vertAlign w:val="superscript"/>
              </w:rPr>
              <w:t>(5)</w:t>
            </w:r>
          </w:p>
        </w:tc>
        <w:tc>
          <w:tcPr>
            <w:tcW w:w="294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90,000</w:t>
            </w:r>
          </w:p>
        </w:tc>
        <w:tc>
          <w:tcPr>
            <w:tcW w:w="2380" w:type="dxa"/>
            <w:vAlign w:val="bottom"/>
            <w:shd w:val="clear" w:color="auto" w:fill="DED8EC"/>
          </w:tcPr>
          <w:p>
            <w:pPr>
              <w:jc w:val="center"/>
              <w:ind w:right="308"/>
              <w:spacing w:after="0"/>
              <w:rPr>
                <w:sz w:val="20"/>
                <w:szCs w:val="20"/>
                <w:color w:val="auto"/>
              </w:rPr>
            </w:pPr>
            <w:r>
              <w:rPr>
                <w:rFonts w:ascii="Arial" w:cs="Arial" w:eastAsia="Arial" w:hAnsi="Arial"/>
                <w:sz w:val="14"/>
                <w:szCs w:val="14"/>
                <w:color w:val="010035"/>
              </w:rPr>
              <w:t>250,005</w:t>
            </w:r>
          </w:p>
        </w:tc>
        <w:tc>
          <w:tcPr>
            <w:tcW w:w="2000" w:type="dxa"/>
            <w:vAlign w:val="bottom"/>
            <w:shd w:val="clear" w:color="auto" w:fill="DED8EC"/>
          </w:tcPr>
          <w:p>
            <w:pPr>
              <w:jc w:val="center"/>
              <w:ind w:right="168"/>
              <w:spacing w:after="0"/>
              <w:rPr>
                <w:sz w:val="20"/>
                <w:szCs w:val="20"/>
                <w:color w:val="auto"/>
              </w:rPr>
            </w:pPr>
            <w:r>
              <w:rPr>
                <w:rFonts w:ascii="Arial" w:cs="Arial" w:eastAsia="Arial" w:hAnsi="Arial"/>
                <w:sz w:val="14"/>
                <w:szCs w:val="14"/>
                <w:color w:val="010035"/>
              </w:rPr>
              <w:t>340,005</w:t>
            </w:r>
          </w:p>
        </w:tc>
      </w:tr>
      <w:tr>
        <w:trPr>
          <w:trHeight w:val="338"/>
        </w:trPr>
        <w:tc>
          <w:tcPr>
            <w:tcW w:w="2080" w:type="dxa"/>
            <w:vAlign w:val="bottom"/>
          </w:tcPr>
          <w:p>
            <w:pPr>
              <w:ind w:left="120"/>
              <w:spacing w:after="0"/>
              <w:rPr>
                <w:sz w:val="20"/>
                <w:szCs w:val="20"/>
                <w:color w:val="auto"/>
              </w:rPr>
            </w:pPr>
            <w:r>
              <w:rPr>
                <w:rFonts w:ascii="Arial" w:cs="Arial" w:eastAsia="Arial" w:hAnsi="Arial"/>
                <w:sz w:val="14"/>
                <w:szCs w:val="14"/>
                <w:b w:val="1"/>
                <w:bCs w:val="1"/>
                <w:color w:val="010035"/>
              </w:rPr>
              <w:t>Carlos Ruisanchez</w:t>
            </w:r>
            <w:r>
              <w:rPr>
                <w:rFonts w:ascii="Arial" w:cs="Arial" w:eastAsia="Arial" w:hAnsi="Arial"/>
                <w:sz w:val="23"/>
                <w:szCs w:val="23"/>
                <w:b w:val="1"/>
                <w:bCs w:val="1"/>
                <w:color w:val="010035"/>
                <w:vertAlign w:val="superscript"/>
              </w:rPr>
              <w:t>(4)</w:t>
            </w:r>
          </w:p>
        </w:tc>
        <w:tc>
          <w:tcPr>
            <w:tcW w:w="2940" w:type="dxa"/>
            <w:vAlign w:val="bottom"/>
          </w:tcPr>
          <w:p>
            <w:pPr>
              <w:jc w:val="center"/>
              <w:spacing w:after="0"/>
              <w:rPr>
                <w:sz w:val="20"/>
                <w:szCs w:val="20"/>
                <w:color w:val="auto"/>
              </w:rPr>
            </w:pPr>
            <w:r>
              <w:rPr>
                <w:rFonts w:ascii="Arial" w:cs="Arial" w:eastAsia="Arial" w:hAnsi="Arial"/>
                <w:sz w:val="14"/>
                <w:szCs w:val="14"/>
                <w:color w:val="010035"/>
              </w:rPr>
              <w:t>43,397</w:t>
            </w:r>
          </w:p>
        </w:tc>
        <w:tc>
          <w:tcPr>
            <w:tcW w:w="2380" w:type="dxa"/>
            <w:vAlign w:val="bottom"/>
          </w:tcPr>
          <w:p>
            <w:pPr>
              <w:jc w:val="center"/>
              <w:ind w:right="308"/>
              <w:spacing w:after="0"/>
              <w:rPr>
                <w:sz w:val="20"/>
                <w:szCs w:val="20"/>
                <w:color w:val="auto"/>
              </w:rPr>
            </w:pPr>
            <w:r>
              <w:rPr>
                <w:rFonts w:ascii="Arial" w:cs="Arial" w:eastAsia="Arial" w:hAnsi="Arial"/>
                <w:sz w:val="14"/>
                <w:szCs w:val="14"/>
                <w:color w:val="010035"/>
              </w:rPr>
              <w:t>249,993</w:t>
            </w:r>
          </w:p>
        </w:tc>
        <w:tc>
          <w:tcPr>
            <w:tcW w:w="2000" w:type="dxa"/>
            <w:vAlign w:val="bottom"/>
          </w:tcPr>
          <w:p>
            <w:pPr>
              <w:jc w:val="center"/>
              <w:ind w:right="168"/>
              <w:spacing w:after="0"/>
              <w:rPr>
                <w:sz w:val="20"/>
                <w:szCs w:val="20"/>
                <w:color w:val="auto"/>
              </w:rPr>
            </w:pPr>
            <w:r>
              <w:rPr>
                <w:rFonts w:ascii="Arial" w:cs="Arial" w:eastAsia="Arial" w:hAnsi="Arial"/>
                <w:sz w:val="14"/>
                <w:szCs w:val="14"/>
                <w:color w:val="010035"/>
              </w:rPr>
              <w:t>293,390</w:t>
            </w:r>
          </w:p>
        </w:tc>
      </w:tr>
      <w:tr>
        <w:trPr>
          <w:trHeight w:val="263"/>
        </w:trPr>
        <w:tc>
          <w:tcPr>
            <w:tcW w:w="2080" w:type="dxa"/>
            <w:vAlign w:val="bottom"/>
            <w:tcBorders>
              <w:bottom w:val="single" w:sz="8" w:color="DED8EC"/>
            </w:tcBorders>
            <w:shd w:val="clear" w:color="auto" w:fill="DED8EC"/>
          </w:tcPr>
          <w:p>
            <w:pPr>
              <w:ind w:left="120"/>
              <w:spacing w:after="0"/>
              <w:rPr>
                <w:sz w:val="20"/>
                <w:szCs w:val="20"/>
                <w:color w:val="auto"/>
              </w:rPr>
            </w:pPr>
            <w:r>
              <w:rPr>
                <w:rFonts w:ascii="Arial" w:cs="Arial" w:eastAsia="Arial" w:hAnsi="Arial"/>
                <w:sz w:val="14"/>
                <w:szCs w:val="14"/>
                <w:b w:val="1"/>
                <w:bCs w:val="1"/>
                <w:color w:val="010035"/>
              </w:rPr>
              <w:t>Jane Scaccetti</w:t>
            </w:r>
          </w:p>
        </w:tc>
        <w:tc>
          <w:tcPr>
            <w:tcW w:w="29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110,425</w:t>
            </w:r>
          </w:p>
        </w:tc>
        <w:tc>
          <w:tcPr>
            <w:tcW w:w="2380" w:type="dxa"/>
            <w:vAlign w:val="bottom"/>
            <w:tcBorders>
              <w:bottom w:val="single" w:sz="8" w:color="DED8EC"/>
            </w:tcBorders>
            <w:shd w:val="clear" w:color="auto" w:fill="DED8EC"/>
          </w:tcPr>
          <w:p>
            <w:pPr>
              <w:jc w:val="center"/>
              <w:ind w:right="308"/>
              <w:spacing w:after="0"/>
              <w:rPr>
                <w:sz w:val="20"/>
                <w:szCs w:val="20"/>
                <w:color w:val="auto"/>
              </w:rPr>
            </w:pPr>
            <w:r>
              <w:rPr>
                <w:rFonts w:ascii="Arial" w:cs="Arial" w:eastAsia="Arial" w:hAnsi="Arial"/>
                <w:sz w:val="14"/>
                <w:szCs w:val="14"/>
                <w:color w:val="010035"/>
              </w:rPr>
              <w:t>250,005</w:t>
            </w:r>
          </w:p>
        </w:tc>
        <w:tc>
          <w:tcPr>
            <w:tcW w:w="2000" w:type="dxa"/>
            <w:vAlign w:val="bottom"/>
            <w:tcBorders>
              <w:bottom w:val="single" w:sz="8" w:color="DED8EC"/>
            </w:tcBorders>
            <w:shd w:val="clear" w:color="auto" w:fill="DED8EC"/>
          </w:tcPr>
          <w:p>
            <w:pPr>
              <w:jc w:val="center"/>
              <w:ind w:right="168"/>
              <w:spacing w:after="0"/>
              <w:rPr>
                <w:sz w:val="20"/>
                <w:szCs w:val="20"/>
                <w:color w:val="auto"/>
              </w:rPr>
            </w:pPr>
            <w:r>
              <w:rPr>
                <w:rFonts w:ascii="Arial" w:cs="Arial" w:eastAsia="Arial" w:hAnsi="Arial"/>
                <w:sz w:val="14"/>
                <w:szCs w:val="14"/>
                <w:color w:val="010035"/>
              </w:rPr>
              <w:t>360,430</w:t>
            </w:r>
          </w:p>
        </w:tc>
      </w:tr>
      <w:tr>
        <w:trPr>
          <w:trHeight w:val="20"/>
        </w:trPr>
        <w:tc>
          <w:tcPr>
            <w:tcW w:w="2080" w:type="dxa"/>
            <w:vAlign w:val="bottom"/>
            <w:shd w:val="clear" w:color="auto" w:fill="010035"/>
          </w:tcPr>
          <w:p>
            <w:pPr>
              <w:spacing w:after="0" w:line="20" w:lineRule="exact"/>
              <w:rPr>
                <w:sz w:val="1"/>
                <w:szCs w:val="1"/>
                <w:color w:val="auto"/>
              </w:rPr>
            </w:pPr>
          </w:p>
        </w:tc>
        <w:tc>
          <w:tcPr>
            <w:tcW w:w="2940" w:type="dxa"/>
            <w:vAlign w:val="bottom"/>
            <w:shd w:val="clear" w:color="auto" w:fill="010035"/>
          </w:tcPr>
          <w:p>
            <w:pPr>
              <w:spacing w:after="0" w:line="20" w:lineRule="exact"/>
              <w:rPr>
                <w:sz w:val="1"/>
                <w:szCs w:val="1"/>
                <w:color w:val="auto"/>
              </w:rPr>
            </w:pPr>
          </w:p>
        </w:tc>
        <w:tc>
          <w:tcPr>
            <w:tcW w:w="2380" w:type="dxa"/>
            <w:vAlign w:val="bottom"/>
            <w:shd w:val="clear" w:color="auto" w:fill="010035"/>
          </w:tcPr>
          <w:p>
            <w:pPr>
              <w:spacing w:after="0" w:line="20" w:lineRule="exact"/>
              <w:rPr>
                <w:sz w:val="1"/>
                <w:szCs w:val="1"/>
                <w:color w:val="auto"/>
              </w:rPr>
            </w:pPr>
          </w:p>
        </w:tc>
        <w:tc>
          <w:tcPr>
            <w:tcW w:w="2000" w:type="dxa"/>
            <w:vAlign w:val="bottom"/>
            <w:shd w:val="clear" w:color="auto" w:fill="010035"/>
          </w:tcPr>
          <w:p>
            <w:pPr>
              <w:spacing w:after="0" w:line="20" w:lineRule="exact"/>
              <w:rPr>
                <w:sz w:val="1"/>
                <w:szCs w:val="1"/>
                <w:color w:val="auto"/>
              </w:rPr>
            </w:pPr>
          </w:p>
        </w:tc>
      </w:tr>
    </w:tbl>
    <w:p>
      <w:pPr>
        <w:spacing w:after="0" w:line="121" w:lineRule="exact"/>
        <w:rPr>
          <w:sz w:val="20"/>
          <w:szCs w:val="20"/>
          <w:color w:val="auto"/>
        </w:rPr>
      </w:pPr>
    </w:p>
    <w:p>
      <w:pPr>
        <w:ind w:left="180" w:right="80" w:hanging="174"/>
        <w:spacing w:after="0" w:line="242" w:lineRule="auto"/>
        <w:tabs>
          <w:tab w:leader="none" w:pos="180" w:val="left"/>
        </w:tabs>
        <w:numPr>
          <w:ilvl w:val="0"/>
          <w:numId w:val="3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In 2025, each non-employee director could elect to receive his or her retainer fees in cash or shares of restricted stock, which vest on the first anniversary of the date of grant. This column reflects director compensation eligible to be paid in cash, which consists of the annual Board retainer and any applicable fees for committee members and committee chairs. None of the directors elected to receive restricted stock in lieu of such amounts eligible to be paid in cash.</w:t>
      </w:r>
    </w:p>
    <w:p>
      <w:pPr>
        <w:ind w:left="180" w:right="140" w:hanging="174"/>
        <w:spacing w:after="0" w:line="236" w:lineRule="auto"/>
        <w:tabs>
          <w:tab w:leader="none" w:pos="180" w:val="left"/>
        </w:tabs>
        <w:numPr>
          <w:ilvl w:val="0"/>
          <w:numId w:val="3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As of December 31, 2025, the following stock awards were outstanding: (i) for Ms. Black-Gupta 12,994 cash settled restricted stock units; (ii) for Mr. Dhanda 12,994 cash settled restricted stock units; (iii) for Mr. Handler, 19,491 shares of restricted stock; (iv) for Mr. Hartnett, 14,775 cash settled restricted stock units; (v) for Ms. Kaplowitz, 12,994 cash settled restricted stock units; (vi) for Ms. Shattuck Kohn, 12,994 cash settled restricted stock units; (vii) for Mr. Naples, 12,994 cash settled restricted stock units; (viii) for Mr. Reibstein, 12,994 cash settled restricted stock units; (ix) for Mr. Ruisanchez, 14,775 shares of restricted stock; and (x) for Ms. Scaccetti 12,994 shares of restricted stock.</w:t>
      </w:r>
    </w:p>
    <w:p>
      <w:pPr>
        <w:spacing w:after="0" w:line="1" w:lineRule="exact"/>
        <w:rPr>
          <w:rFonts w:ascii="Times New Roman" w:cs="Times New Roman" w:eastAsia="Times New Roman" w:hAnsi="Times New Roman"/>
          <w:sz w:val="11"/>
          <w:szCs w:val="11"/>
          <w:color w:val="010035"/>
        </w:rPr>
      </w:pPr>
    </w:p>
    <w:p>
      <w:pPr>
        <w:ind w:left="180" w:right="140" w:hanging="174"/>
        <w:spacing w:after="0" w:line="246" w:lineRule="auto"/>
        <w:tabs>
          <w:tab w:leader="none" w:pos="180" w:val="left"/>
        </w:tabs>
        <w:numPr>
          <w:ilvl w:val="0"/>
          <w:numId w:val="3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Reflects the aggregate grant date fair value of stock awards granted in 2025. The listed amounts were determined using the closing price of PENN's common stock on the day prior to the grant date, calculated in accordance with FASB ASC Topic 718.</w:t>
      </w:r>
    </w:p>
    <w:p>
      <w:pPr>
        <w:spacing w:after="0" w:line="5"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3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Messrs. Hartnett and Ruisanchez were appointed to the Board in June 2025, and therefore their retainer fees were pro-rated.</w:t>
      </w:r>
    </w:p>
    <w:p>
      <w:pPr>
        <w:spacing w:after="0" w:line="13" w:lineRule="exact"/>
        <w:rPr>
          <w:rFonts w:ascii="Times New Roman" w:cs="Times New Roman" w:eastAsia="Times New Roman" w:hAnsi="Times New Roman"/>
          <w:sz w:val="11"/>
          <w:szCs w:val="11"/>
          <w:color w:val="010035"/>
        </w:rPr>
      </w:pPr>
    </w:p>
    <w:p>
      <w:pPr>
        <w:ind w:left="180" w:right="220" w:hanging="174"/>
        <w:spacing w:after="0" w:line="243" w:lineRule="auto"/>
        <w:tabs>
          <w:tab w:leader="none" w:pos="180" w:val="left"/>
        </w:tabs>
        <w:numPr>
          <w:ilvl w:val="0"/>
          <w:numId w:val="3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Ms. Shattuck Kohn and Mr. Reibstein did not stand for re-election at the 2025 Annual Meeting. The Board determined to pay Ms. Shattuck Kohn and Mr. Reibstein their respective 2025 cash retainers through December 31, 2025 in consideration of their service as directors emeriti through January 3, 2026.</w:t>
      </w:r>
    </w:p>
    <w:p>
      <w:pPr>
        <w:ind w:left="180" w:right="320" w:hanging="174"/>
        <w:spacing w:after="0" w:line="246" w:lineRule="auto"/>
        <w:tabs>
          <w:tab w:leader="none" w:pos="180" w:val="left"/>
        </w:tabs>
        <w:numPr>
          <w:ilvl w:val="0"/>
          <w:numId w:val="3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Mr. Naples resigned from the Board in April 2025 and the Board determined to pay Mr. Naples his 2025 cash retainer through December 31, 2025 in consideration of his service as director emeritus through January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114935</wp:posOffset>
            </wp:positionV>
            <wp:extent cx="699516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Set forth below is certain information regarding each of our executive officers, other than Mr. Snowden, whose biographical information is presented under “Proposal 1: Election of Class III Directors—Continuing Directors.”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635"/>
        </w:trPr>
        <w:tc>
          <w:tcPr>
            <w:tcW w:w="1840" w:type="dxa"/>
            <w:vAlign w:val="bottom"/>
            <w:tcBorders>
              <w:top w:val="single" w:sz="8" w:color="69439A"/>
            </w:tcBorders>
            <w:shd w:val="clear" w:color="auto" w:fill="010035"/>
          </w:tcPr>
          <w:p>
            <w:pPr>
              <w:ind w:left="160"/>
              <w:spacing w:after="0"/>
              <w:rPr>
                <w:sz w:val="20"/>
                <w:szCs w:val="20"/>
                <w:color w:val="auto"/>
              </w:rPr>
            </w:pPr>
            <w:r>
              <w:rPr>
                <w:rFonts w:ascii="Arial" w:cs="Arial" w:eastAsia="Arial" w:hAnsi="Arial"/>
                <w:sz w:val="18"/>
                <w:szCs w:val="18"/>
                <w:b w:val="1"/>
                <w:bCs w:val="1"/>
                <w:color w:val="FFFFFF"/>
              </w:rPr>
              <w:t>NAME</w:t>
            </w:r>
          </w:p>
        </w:tc>
        <w:tc>
          <w:tcPr>
            <w:tcW w:w="1660" w:type="dxa"/>
            <w:vAlign w:val="bottom"/>
            <w:tcBorders>
              <w:top w:val="single" w:sz="8" w:color="69439A"/>
            </w:tcBorders>
            <w:shd w:val="clear" w:color="auto" w:fill="010035"/>
          </w:tcPr>
          <w:p>
            <w:pPr>
              <w:ind w:left="660"/>
              <w:spacing w:after="0"/>
              <w:rPr>
                <w:sz w:val="20"/>
                <w:szCs w:val="20"/>
                <w:color w:val="auto"/>
              </w:rPr>
            </w:pPr>
            <w:r>
              <w:rPr>
                <w:rFonts w:ascii="Arial" w:cs="Arial" w:eastAsia="Arial" w:hAnsi="Arial"/>
                <w:sz w:val="18"/>
                <w:szCs w:val="18"/>
                <w:b w:val="1"/>
                <w:bCs w:val="1"/>
                <w:color w:val="FFFFFF"/>
              </w:rPr>
              <w:t>AGE</w:t>
            </w:r>
            <w:r>
              <w:rPr>
                <w:rFonts w:ascii="Arial" w:cs="Arial" w:eastAsia="Arial" w:hAnsi="Arial"/>
                <w:sz w:val="29"/>
                <w:szCs w:val="29"/>
                <w:b w:val="1"/>
                <w:bCs w:val="1"/>
                <w:color w:val="FFFFFF"/>
                <w:vertAlign w:val="superscript"/>
              </w:rPr>
              <w:t>(1)</w:t>
            </w:r>
          </w:p>
        </w:tc>
        <w:tc>
          <w:tcPr>
            <w:tcW w:w="5900" w:type="dxa"/>
            <w:vAlign w:val="bottom"/>
            <w:tcBorders>
              <w:top w:val="single" w:sz="8" w:color="69439A"/>
            </w:tcBorders>
            <w:shd w:val="clear" w:color="auto" w:fill="010035"/>
          </w:tcPr>
          <w:p>
            <w:pPr>
              <w:ind w:left="500"/>
              <w:spacing w:after="0"/>
              <w:rPr>
                <w:sz w:val="20"/>
                <w:szCs w:val="20"/>
                <w:color w:val="auto"/>
              </w:rPr>
            </w:pPr>
            <w:r>
              <w:rPr>
                <w:rFonts w:ascii="Arial" w:cs="Arial" w:eastAsia="Arial" w:hAnsi="Arial"/>
                <w:sz w:val="18"/>
                <w:szCs w:val="18"/>
                <w:b w:val="1"/>
                <w:bCs w:val="1"/>
                <w:color w:val="FFFFFF"/>
              </w:rPr>
              <w:t>POSITION</w:t>
            </w:r>
          </w:p>
        </w:tc>
      </w:tr>
      <w:tr>
        <w:trPr>
          <w:trHeight w:val="308"/>
        </w:trPr>
        <w:tc>
          <w:tcPr>
            <w:tcW w:w="1840" w:type="dxa"/>
            <w:vAlign w:val="bottom"/>
            <w:shd w:val="clear" w:color="auto" w:fill="DED8EC"/>
          </w:tcPr>
          <w:p>
            <w:pPr>
              <w:ind w:left="160"/>
              <w:spacing w:after="0"/>
              <w:rPr>
                <w:sz w:val="20"/>
                <w:szCs w:val="20"/>
                <w:color w:val="auto"/>
              </w:rPr>
            </w:pPr>
            <w:r>
              <w:rPr>
                <w:rFonts w:ascii="Arial" w:cs="Arial" w:eastAsia="Arial" w:hAnsi="Arial"/>
                <w:sz w:val="14"/>
                <w:szCs w:val="14"/>
                <w:b w:val="1"/>
                <w:bCs w:val="1"/>
                <w:color w:val="010035"/>
              </w:rPr>
              <w:t>Jay Snowden</w:t>
            </w:r>
          </w:p>
        </w:tc>
        <w:tc>
          <w:tcPr>
            <w:tcW w:w="1660" w:type="dxa"/>
            <w:vAlign w:val="bottom"/>
            <w:shd w:val="clear" w:color="auto" w:fill="DED8EC"/>
          </w:tcPr>
          <w:p>
            <w:pPr>
              <w:ind w:left="660"/>
              <w:spacing w:after="0"/>
              <w:rPr>
                <w:sz w:val="20"/>
                <w:szCs w:val="20"/>
                <w:color w:val="auto"/>
              </w:rPr>
            </w:pPr>
            <w:r>
              <w:rPr>
                <w:rFonts w:ascii="Arial" w:cs="Arial" w:eastAsia="Arial" w:hAnsi="Arial"/>
                <w:sz w:val="14"/>
                <w:szCs w:val="14"/>
                <w:color w:val="010035"/>
              </w:rPr>
              <w:t>50</w:t>
            </w:r>
          </w:p>
        </w:tc>
        <w:tc>
          <w:tcPr>
            <w:tcW w:w="5900" w:type="dxa"/>
            <w:vAlign w:val="bottom"/>
            <w:shd w:val="clear" w:color="auto" w:fill="DED8EC"/>
          </w:tcPr>
          <w:p>
            <w:pPr>
              <w:ind w:left="500"/>
              <w:spacing w:after="0"/>
              <w:rPr>
                <w:sz w:val="20"/>
                <w:szCs w:val="20"/>
                <w:color w:val="auto"/>
              </w:rPr>
            </w:pPr>
            <w:r>
              <w:rPr>
                <w:rFonts w:ascii="Arial" w:cs="Arial" w:eastAsia="Arial" w:hAnsi="Arial"/>
                <w:sz w:val="14"/>
                <w:szCs w:val="14"/>
                <w:color w:val="010035"/>
              </w:rPr>
              <w:t>Chief Executive Officer, President and Director</w:t>
            </w:r>
          </w:p>
        </w:tc>
      </w:tr>
      <w:tr>
        <w:trPr>
          <w:trHeight w:val="110"/>
        </w:trPr>
        <w:tc>
          <w:tcPr>
            <w:tcW w:w="1840" w:type="dxa"/>
            <w:vAlign w:val="bottom"/>
            <w:shd w:val="clear" w:color="auto" w:fill="DED8EC"/>
          </w:tcPr>
          <w:p>
            <w:pPr>
              <w:spacing w:after="0"/>
              <w:rPr>
                <w:sz w:val="9"/>
                <w:szCs w:val="9"/>
                <w:color w:val="auto"/>
              </w:rPr>
            </w:pPr>
          </w:p>
        </w:tc>
        <w:tc>
          <w:tcPr>
            <w:tcW w:w="1660" w:type="dxa"/>
            <w:vAlign w:val="bottom"/>
            <w:shd w:val="clear" w:color="auto" w:fill="DED8EC"/>
          </w:tcPr>
          <w:p>
            <w:pPr>
              <w:spacing w:after="0"/>
              <w:rPr>
                <w:sz w:val="9"/>
                <w:szCs w:val="9"/>
                <w:color w:val="auto"/>
              </w:rPr>
            </w:pPr>
          </w:p>
        </w:tc>
        <w:tc>
          <w:tcPr>
            <w:tcW w:w="5900" w:type="dxa"/>
            <w:vAlign w:val="bottom"/>
            <w:shd w:val="clear" w:color="auto" w:fill="DED8EC"/>
          </w:tcPr>
          <w:p>
            <w:pPr>
              <w:spacing w:after="0"/>
              <w:rPr>
                <w:sz w:val="9"/>
                <w:szCs w:val="9"/>
                <w:color w:val="auto"/>
              </w:rPr>
            </w:pPr>
          </w:p>
        </w:tc>
      </w:tr>
      <w:tr>
        <w:trPr>
          <w:trHeight w:val="308"/>
        </w:trPr>
        <w:tc>
          <w:tcPr>
            <w:tcW w:w="1840" w:type="dxa"/>
            <w:vAlign w:val="bottom"/>
          </w:tcPr>
          <w:p>
            <w:pPr>
              <w:ind w:left="160"/>
              <w:spacing w:after="0"/>
              <w:rPr>
                <w:sz w:val="20"/>
                <w:szCs w:val="20"/>
                <w:color w:val="auto"/>
              </w:rPr>
            </w:pPr>
            <w:r>
              <w:rPr>
                <w:rFonts w:ascii="Arial" w:cs="Arial" w:eastAsia="Arial" w:hAnsi="Arial"/>
                <w:sz w:val="14"/>
                <w:szCs w:val="14"/>
                <w:b w:val="1"/>
                <w:bCs w:val="1"/>
                <w:color w:val="010035"/>
              </w:rPr>
              <w:t>Felicia Hendrix</w:t>
            </w:r>
          </w:p>
        </w:tc>
        <w:tc>
          <w:tcPr>
            <w:tcW w:w="1660" w:type="dxa"/>
            <w:vAlign w:val="bottom"/>
          </w:tcPr>
          <w:p>
            <w:pPr>
              <w:ind w:left="660"/>
              <w:spacing w:after="0"/>
              <w:rPr>
                <w:sz w:val="20"/>
                <w:szCs w:val="20"/>
                <w:color w:val="auto"/>
              </w:rPr>
            </w:pPr>
            <w:r>
              <w:rPr>
                <w:rFonts w:ascii="Arial" w:cs="Arial" w:eastAsia="Arial" w:hAnsi="Arial"/>
                <w:sz w:val="14"/>
                <w:szCs w:val="14"/>
                <w:color w:val="010035"/>
              </w:rPr>
              <w:t>57</w:t>
            </w:r>
          </w:p>
        </w:tc>
        <w:tc>
          <w:tcPr>
            <w:tcW w:w="5900" w:type="dxa"/>
            <w:vAlign w:val="bottom"/>
          </w:tcPr>
          <w:p>
            <w:pPr>
              <w:ind w:left="500"/>
              <w:spacing w:after="0"/>
              <w:rPr>
                <w:sz w:val="20"/>
                <w:szCs w:val="20"/>
                <w:color w:val="auto"/>
              </w:rPr>
            </w:pPr>
            <w:r>
              <w:rPr>
                <w:rFonts w:ascii="Arial" w:cs="Arial" w:eastAsia="Arial" w:hAnsi="Arial"/>
                <w:sz w:val="14"/>
                <w:szCs w:val="14"/>
                <w:color w:val="010035"/>
              </w:rPr>
              <w:t>Executive Vice President, Chief Financial Officer</w:t>
            </w:r>
          </w:p>
        </w:tc>
      </w:tr>
      <w:tr>
        <w:trPr>
          <w:trHeight w:val="110"/>
        </w:trPr>
        <w:tc>
          <w:tcPr>
            <w:tcW w:w="18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900" w:type="dxa"/>
            <w:vAlign w:val="bottom"/>
          </w:tcPr>
          <w:p>
            <w:pPr>
              <w:spacing w:after="0"/>
              <w:rPr>
                <w:sz w:val="9"/>
                <w:szCs w:val="9"/>
                <w:color w:val="auto"/>
              </w:rPr>
            </w:pPr>
          </w:p>
        </w:tc>
      </w:tr>
      <w:tr>
        <w:trPr>
          <w:trHeight w:val="308"/>
        </w:trPr>
        <w:tc>
          <w:tcPr>
            <w:tcW w:w="1840" w:type="dxa"/>
            <w:vAlign w:val="bottom"/>
            <w:shd w:val="clear" w:color="auto" w:fill="DED8EC"/>
          </w:tcPr>
          <w:p>
            <w:pPr>
              <w:ind w:left="160"/>
              <w:spacing w:after="0"/>
              <w:rPr>
                <w:sz w:val="20"/>
                <w:szCs w:val="20"/>
                <w:color w:val="auto"/>
              </w:rPr>
            </w:pPr>
            <w:r>
              <w:rPr>
                <w:rFonts w:ascii="Arial" w:cs="Arial" w:eastAsia="Arial" w:hAnsi="Arial"/>
                <w:sz w:val="14"/>
                <w:szCs w:val="14"/>
                <w:b w:val="1"/>
                <w:bCs w:val="1"/>
                <w:color w:val="010035"/>
              </w:rPr>
              <w:t>Chris Rogers</w:t>
            </w:r>
          </w:p>
        </w:tc>
        <w:tc>
          <w:tcPr>
            <w:tcW w:w="1660" w:type="dxa"/>
            <w:vAlign w:val="bottom"/>
            <w:shd w:val="clear" w:color="auto" w:fill="DED8EC"/>
          </w:tcPr>
          <w:p>
            <w:pPr>
              <w:ind w:left="660"/>
              <w:spacing w:after="0"/>
              <w:rPr>
                <w:sz w:val="20"/>
                <w:szCs w:val="20"/>
                <w:color w:val="auto"/>
              </w:rPr>
            </w:pPr>
            <w:r>
              <w:rPr>
                <w:rFonts w:ascii="Arial" w:cs="Arial" w:eastAsia="Arial" w:hAnsi="Arial"/>
                <w:sz w:val="14"/>
                <w:szCs w:val="14"/>
                <w:color w:val="010035"/>
              </w:rPr>
              <w:t>50</w:t>
            </w:r>
          </w:p>
        </w:tc>
        <w:tc>
          <w:tcPr>
            <w:tcW w:w="5900" w:type="dxa"/>
            <w:vAlign w:val="bottom"/>
            <w:shd w:val="clear" w:color="auto" w:fill="DED8EC"/>
          </w:tcPr>
          <w:p>
            <w:pPr>
              <w:ind w:left="500"/>
              <w:spacing w:after="0"/>
              <w:rPr>
                <w:sz w:val="20"/>
                <w:szCs w:val="20"/>
                <w:color w:val="auto"/>
              </w:rPr>
            </w:pPr>
            <w:r>
              <w:rPr>
                <w:rFonts w:ascii="Arial" w:cs="Arial" w:eastAsia="Arial" w:hAnsi="Arial"/>
                <w:sz w:val="14"/>
                <w:szCs w:val="14"/>
                <w:color w:val="010035"/>
              </w:rPr>
              <w:t>Executive Vice President, Chief Strategy and Legal Officer and Secretary</w:t>
            </w:r>
          </w:p>
        </w:tc>
      </w:tr>
      <w:tr>
        <w:trPr>
          <w:trHeight w:val="110"/>
        </w:trPr>
        <w:tc>
          <w:tcPr>
            <w:tcW w:w="1840" w:type="dxa"/>
            <w:vAlign w:val="bottom"/>
            <w:shd w:val="clear" w:color="auto" w:fill="DED8EC"/>
          </w:tcPr>
          <w:p>
            <w:pPr>
              <w:spacing w:after="0"/>
              <w:rPr>
                <w:sz w:val="9"/>
                <w:szCs w:val="9"/>
                <w:color w:val="auto"/>
              </w:rPr>
            </w:pPr>
          </w:p>
        </w:tc>
        <w:tc>
          <w:tcPr>
            <w:tcW w:w="1660" w:type="dxa"/>
            <w:vAlign w:val="bottom"/>
            <w:shd w:val="clear" w:color="auto" w:fill="DED8EC"/>
          </w:tcPr>
          <w:p>
            <w:pPr>
              <w:spacing w:after="0"/>
              <w:rPr>
                <w:sz w:val="9"/>
                <w:szCs w:val="9"/>
                <w:color w:val="auto"/>
              </w:rPr>
            </w:pPr>
          </w:p>
        </w:tc>
        <w:tc>
          <w:tcPr>
            <w:tcW w:w="5900" w:type="dxa"/>
            <w:vAlign w:val="bottom"/>
            <w:shd w:val="clear" w:color="auto" w:fill="DED8EC"/>
          </w:tcPr>
          <w:p>
            <w:pPr>
              <w:spacing w:after="0"/>
              <w:rPr>
                <w:sz w:val="9"/>
                <w:szCs w:val="9"/>
                <w:color w:val="auto"/>
              </w:rPr>
            </w:pPr>
          </w:p>
        </w:tc>
      </w:tr>
      <w:tr>
        <w:trPr>
          <w:trHeight w:val="308"/>
        </w:trPr>
        <w:tc>
          <w:tcPr>
            <w:tcW w:w="1840" w:type="dxa"/>
            <w:vAlign w:val="bottom"/>
          </w:tcPr>
          <w:p>
            <w:pPr>
              <w:ind w:left="160"/>
              <w:spacing w:after="0"/>
              <w:rPr>
                <w:sz w:val="20"/>
                <w:szCs w:val="20"/>
                <w:color w:val="auto"/>
              </w:rPr>
            </w:pPr>
            <w:r>
              <w:rPr>
                <w:rFonts w:ascii="Arial" w:cs="Arial" w:eastAsia="Arial" w:hAnsi="Arial"/>
                <w:sz w:val="14"/>
                <w:szCs w:val="14"/>
                <w:b w:val="1"/>
                <w:bCs w:val="1"/>
                <w:color w:val="010035"/>
              </w:rPr>
              <w:t>Todd George</w:t>
            </w:r>
          </w:p>
        </w:tc>
        <w:tc>
          <w:tcPr>
            <w:tcW w:w="1660" w:type="dxa"/>
            <w:vAlign w:val="bottom"/>
          </w:tcPr>
          <w:p>
            <w:pPr>
              <w:ind w:left="660"/>
              <w:spacing w:after="0"/>
              <w:rPr>
                <w:sz w:val="20"/>
                <w:szCs w:val="20"/>
                <w:color w:val="auto"/>
              </w:rPr>
            </w:pPr>
            <w:r>
              <w:rPr>
                <w:rFonts w:ascii="Arial" w:cs="Arial" w:eastAsia="Arial" w:hAnsi="Arial"/>
                <w:sz w:val="14"/>
                <w:szCs w:val="14"/>
                <w:color w:val="010035"/>
              </w:rPr>
              <w:t>56</w:t>
            </w:r>
          </w:p>
        </w:tc>
        <w:tc>
          <w:tcPr>
            <w:tcW w:w="5900" w:type="dxa"/>
            <w:vAlign w:val="bottom"/>
          </w:tcPr>
          <w:p>
            <w:pPr>
              <w:ind w:left="500"/>
              <w:spacing w:after="0"/>
              <w:rPr>
                <w:sz w:val="20"/>
                <w:szCs w:val="20"/>
                <w:color w:val="auto"/>
              </w:rPr>
            </w:pPr>
            <w:r>
              <w:rPr>
                <w:rFonts w:ascii="Arial" w:cs="Arial" w:eastAsia="Arial" w:hAnsi="Arial"/>
                <w:sz w:val="14"/>
                <w:szCs w:val="14"/>
                <w:color w:val="010035"/>
              </w:rPr>
              <w:t>Executive Vice President, Operations</w:t>
            </w:r>
          </w:p>
        </w:tc>
      </w:tr>
      <w:tr>
        <w:trPr>
          <w:trHeight w:val="29"/>
        </w:trPr>
        <w:tc>
          <w:tcPr>
            <w:tcW w:w="1840" w:type="dxa"/>
            <w:vAlign w:val="bottom"/>
            <w:tcBorders>
              <w:bottom w:val="single" w:sz="8" w:color="010035"/>
            </w:tcBorders>
          </w:tcPr>
          <w:p>
            <w:pPr>
              <w:spacing w:after="0"/>
              <w:rPr>
                <w:sz w:val="2"/>
                <w:szCs w:val="2"/>
                <w:color w:val="auto"/>
              </w:rPr>
            </w:pPr>
          </w:p>
        </w:tc>
        <w:tc>
          <w:tcPr>
            <w:tcW w:w="1660" w:type="dxa"/>
            <w:vAlign w:val="bottom"/>
            <w:tcBorders>
              <w:bottom w:val="single" w:sz="8" w:color="010035"/>
            </w:tcBorders>
          </w:tcPr>
          <w:p>
            <w:pPr>
              <w:spacing w:after="0"/>
              <w:rPr>
                <w:sz w:val="2"/>
                <w:szCs w:val="2"/>
                <w:color w:val="auto"/>
              </w:rPr>
            </w:pPr>
          </w:p>
        </w:tc>
        <w:tc>
          <w:tcPr>
            <w:tcW w:w="5900" w:type="dxa"/>
            <w:vAlign w:val="bottom"/>
            <w:tcBorders>
              <w:bottom w:val="single" w:sz="8" w:color="010035"/>
            </w:tcBorders>
          </w:tcPr>
          <w:p>
            <w:pPr>
              <w:spacing w:after="0"/>
              <w:rPr>
                <w:sz w:val="2"/>
                <w:szCs w:val="2"/>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010035"/>
        </w:rPr>
        <w:t>(1) Ages as of our 2026 Annual Meeting.</w:t>
      </w:r>
    </w:p>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b w:val="1"/>
          <w:bCs w:val="1"/>
          <w:color w:val="auto"/>
        </w:rPr>
        <w:t xml:space="preserve">Felicia Hendrix </w:t>
      </w:r>
      <w:r>
        <w:rPr>
          <w:rFonts w:ascii="Arial" w:cs="Arial" w:eastAsia="Arial" w:hAnsi="Arial"/>
          <w:sz w:val="14"/>
          <w:szCs w:val="14"/>
          <w:color w:val="auto"/>
        </w:rPr>
        <w:t>has served as our Chief Financial Officer and Executive Vice President since March 2021, and Principal Accounting Officer since</w:t>
      </w:r>
      <w:r>
        <w:rPr>
          <w:rFonts w:ascii="Arial" w:cs="Arial" w:eastAsia="Arial" w:hAnsi="Arial"/>
          <w:sz w:val="14"/>
          <w:szCs w:val="14"/>
          <w:b w:val="1"/>
          <w:bCs w:val="1"/>
          <w:color w:val="auto"/>
        </w:rPr>
        <w:t xml:space="preserve"> </w:t>
      </w:r>
      <w:r>
        <w:rPr>
          <w:rFonts w:ascii="Arial" w:cs="Arial" w:eastAsia="Arial" w:hAnsi="Arial"/>
          <w:sz w:val="14"/>
          <w:szCs w:val="14"/>
          <w:color w:val="auto"/>
        </w:rPr>
        <w:t>February 25, 2024. Ms. Hendrix oversees Accounting, Finance, Internal Audit, and Procurement. Prior to joining PENN, Ms. Hendrix spent 25 years on Wall Street and was most recently a Managing Director and Equity Research Analyst at Barclays, covering the gaming, lodging and leisure industries. Before joining Barclays, Ms. Hendrix was a Managing Director at Lehman Brothers. Ms. Hendrix holds a bachelor's degree from the University of Virginia and an MBA from the Darden School of Business at the University of Virginia.</w:t>
      </w:r>
    </w:p>
    <w:p>
      <w:pPr>
        <w:spacing w:after="0" w:line="73"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b w:val="1"/>
          <w:bCs w:val="1"/>
          <w:color w:val="auto"/>
        </w:rPr>
        <w:t xml:space="preserve">Chris Rogers </w:t>
      </w:r>
      <w:r>
        <w:rPr>
          <w:rFonts w:ascii="Arial" w:cs="Arial" w:eastAsia="Arial" w:hAnsi="Arial"/>
          <w:sz w:val="14"/>
          <w:szCs w:val="14"/>
          <w:color w:val="auto"/>
        </w:rPr>
        <w:t>has served as our Executive Vice President, Chief Strategy Officer since January 2020 and Executive Vice President, Chief Strategy</w:t>
      </w:r>
      <w:r>
        <w:rPr>
          <w:rFonts w:ascii="Arial" w:cs="Arial" w:eastAsia="Arial" w:hAnsi="Arial"/>
          <w:sz w:val="14"/>
          <w:szCs w:val="14"/>
          <w:b w:val="1"/>
          <w:bCs w:val="1"/>
          <w:color w:val="auto"/>
        </w:rPr>
        <w:t xml:space="preserve"> </w:t>
      </w:r>
      <w:r>
        <w:rPr>
          <w:rFonts w:ascii="Arial" w:cs="Arial" w:eastAsia="Arial" w:hAnsi="Arial"/>
          <w:sz w:val="14"/>
          <w:szCs w:val="14"/>
          <w:color w:val="auto"/>
        </w:rPr>
        <w:t>and Legal Officer and Secretary since June 2024. In his capacity as Chief Strategy and Legal Officer, Mr. Rogers leads the team responsible for developing and pursuing PENN's strategic growth initiatives and oversees the Company’s legal department. Over his past ten years with PENN, Mr. Rogers also served as Senior Vice President, Corporate Development, and Vice President, Deputy General Counsel. Prior to joining PENN, Mr. Rogers was a corporate attorney at the Dallas-based law firm Vinson &amp; Elkins and the Boston-based law firm Ropes &amp; Gray, as well as a CPA for PricewaterhouseCoopers and Arthur Andersen. Mr. Rogers holds a Bachelor of Business Administration from the University of Oklahoma's Price College of Business and a J.D. from Harvard Law School.</w:t>
      </w:r>
    </w:p>
    <w:p>
      <w:pPr>
        <w:spacing w:after="0" w:line="77"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b w:val="1"/>
          <w:bCs w:val="1"/>
          <w:color w:val="auto"/>
        </w:rPr>
        <w:t xml:space="preserve">Todd George </w:t>
      </w:r>
      <w:r>
        <w:rPr>
          <w:rFonts w:ascii="Arial" w:cs="Arial" w:eastAsia="Arial" w:hAnsi="Arial"/>
          <w:sz w:val="14"/>
          <w:szCs w:val="14"/>
          <w:color w:val="auto"/>
        </w:rPr>
        <w:t>served as our Executive Vice President, Operations from January 2020 until January 5, 2026 and thereafter served in an advisory</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from January 5 to February 28, 2026. In his former role, Mr. George oversaw PENN's Regional Operations, Interactive, Marketing and Information Technology, as well as Design and Construction. In 2025, Mr. George served a critical role in the execution of our omnichannel strategy, including our efforts to use our expanded digital database to drive increased visitation to our casinos. Prior to his role as EVP, Operations,</w:t>
      </w:r>
    </w:p>
    <w:p>
      <w:pPr>
        <w:spacing w:after="0" w:line="2"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Mr. George served as Vice President and General Manager of Hollywood Casino in Lawrenceburg, Indiana, and Hollywood Casino St. Louis. In 2017, Mr. George was promoted to Senior Vice President, Regional Operations, overseeing nine properties in PENN's Midwest Region. Prior to PENN, Mr. George spent 12 years in various management positions at Pinnacle Entertainment, including leading the development and launch of Pinnacle's two St. Louis properties, River City Casino and Lumiere Place. Mr. George holds a bachelor's degree from LeMoyne College and an MBA from Villanova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96520</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7372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311" w:lineRule="exact"/>
        <w:rPr>
          <w:sz w:val="20"/>
          <w:szCs w:val="20"/>
          <w:color w:val="auto"/>
        </w:rPr>
      </w:pPr>
    </w:p>
    <w:p>
      <w:pPr>
        <w:ind w:left="340" w:right="380"/>
        <w:spacing w:after="0" w:line="298" w:lineRule="auto"/>
        <w:rPr>
          <w:sz w:val="20"/>
          <w:szCs w:val="20"/>
          <w:color w:val="auto"/>
        </w:rPr>
      </w:pPr>
      <w:r>
        <w:rPr>
          <w:rFonts w:ascii="Arial" w:cs="Arial" w:eastAsia="Arial" w:hAnsi="Arial"/>
          <w:sz w:val="32"/>
          <w:szCs w:val="32"/>
          <w:b w:val="1"/>
          <w:bCs w:val="1"/>
          <w:color w:val="FFFFFF"/>
        </w:rPr>
        <w:t>SECURITY OWNERSHIP OF CERTAIN BENEFICIAL OWNERS AND MANAGEMENT</w:t>
      </w:r>
    </w:p>
    <w:p>
      <w:pPr>
        <w:spacing w:after="0" w:line="174"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The following table sets forth certain information regarding the beneficial ownership of the Company’s common stock, as of the Record Date of this proxy statement. This table lists: (i) each person known to us to beneficially own more than 5% of any class of the outstanding voting securities of the Company, (ii) each of our directors, (iii) each of our named executive officers listed in the table entitled “2025 Summary Compensation Table” below, and (iv) all of our current directors and executive officers as a group. 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 Unless otherwise noted below, the address of the persons listed in the table is c/o PENN Entertainment, Inc., 825 Berkshire Blvd., Suite 200, Wyomissing, PA 19610. The percentages shown in this table are calculated based on 133,705,284 shares of our common stock outstanding as of the Record Date of this proxy statement.</w:t>
      </w:r>
    </w:p>
    <w:tbl>
      <w:tblPr>
        <w:tblLayout w:type="fixed"/>
        <w:tblInd w:w="0" w:type="dxa"/>
        <w:tblCellMar>
          <w:top w:w="0" w:type="dxa"/>
          <w:left w:w="0" w:type="dxa"/>
          <w:bottom w:w="0" w:type="dxa"/>
          <w:right w:w="0" w:type="dxa"/>
        </w:tblCellMar>
      </w:tblPr>
      <w:tr>
        <w:trPr>
          <w:trHeight w:val="332"/>
        </w:trPr>
        <w:tc>
          <w:tcPr>
            <w:tcW w:w="40" w:type="dxa"/>
            <w:vAlign w:val="bottom"/>
            <w:tcBorders>
              <w:top w:val="single" w:sz="8" w:color="69439A"/>
            </w:tcBorders>
            <w:shd w:val="clear" w:color="auto" w:fill="010035"/>
          </w:tcPr>
          <w:p>
            <w:pPr>
              <w:spacing w:after="0"/>
              <w:rPr>
                <w:sz w:val="24"/>
                <w:szCs w:val="24"/>
                <w:color w:val="auto"/>
              </w:rPr>
            </w:pPr>
          </w:p>
        </w:tc>
        <w:tc>
          <w:tcPr>
            <w:tcW w:w="4700" w:type="dxa"/>
            <w:vAlign w:val="bottom"/>
            <w:tcBorders>
              <w:top w:val="single" w:sz="8" w:color="69439A"/>
            </w:tcBorders>
            <w:shd w:val="clear" w:color="auto" w:fill="010035"/>
          </w:tcPr>
          <w:p>
            <w:pPr>
              <w:spacing w:after="0"/>
              <w:rPr>
                <w:sz w:val="24"/>
                <w:szCs w:val="24"/>
                <w:color w:val="auto"/>
              </w:rPr>
            </w:pPr>
          </w:p>
        </w:tc>
        <w:tc>
          <w:tcPr>
            <w:tcW w:w="2940" w:type="dxa"/>
            <w:vAlign w:val="bottom"/>
            <w:tcBorders>
              <w:top w:val="single" w:sz="8" w:color="69439A"/>
            </w:tcBorders>
            <w:vMerge w:val="restart"/>
            <w:shd w:val="clear" w:color="auto" w:fill="010035"/>
          </w:tcPr>
          <w:p>
            <w:pPr>
              <w:ind w:left="720"/>
              <w:spacing w:after="0"/>
              <w:rPr>
                <w:sz w:val="20"/>
                <w:szCs w:val="20"/>
                <w:color w:val="auto"/>
              </w:rPr>
            </w:pPr>
            <w:r>
              <w:rPr>
                <w:rFonts w:ascii="Arial" w:cs="Arial" w:eastAsia="Arial" w:hAnsi="Arial"/>
                <w:sz w:val="18"/>
                <w:szCs w:val="18"/>
                <w:b w:val="1"/>
                <w:bCs w:val="1"/>
                <w:color w:val="FFFFFF"/>
              </w:rPr>
              <w:t>NUMBER OF SHARES</w:t>
            </w:r>
          </w:p>
        </w:tc>
        <w:tc>
          <w:tcPr>
            <w:tcW w:w="1720" w:type="dxa"/>
            <w:vAlign w:val="bottom"/>
            <w:tcBorders>
              <w:top w:val="single" w:sz="8" w:color="69439A"/>
            </w:tcBorders>
            <w:shd w:val="clear" w:color="auto" w:fill="010035"/>
          </w:tcPr>
          <w:p>
            <w:pPr>
              <w:ind w:left="420"/>
              <w:spacing w:after="0"/>
              <w:rPr>
                <w:sz w:val="20"/>
                <w:szCs w:val="20"/>
                <w:color w:val="auto"/>
              </w:rPr>
            </w:pPr>
            <w:r>
              <w:rPr>
                <w:rFonts w:ascii="Arial" w:cs="Arial" w:eastAsia="Arial" w:hAnsi="Arial"/>
                <w:sz w:val="18"/>
                <w:szCs w:val="18"/>
                <w:b w:val="1"/>
                <w:bCs w:val="1"/>
                <w:color w:val="FFFFFF"/>
              </w:rPr>
              <w:t>PERCENTAGE</w:t>
            </w:r>
          </w:p>
        </w:tc>
        <w:tc>
          <w:tcPr>
            <w:tcW w:w="0" w:type="dxa"/>
            <w:vAlign w:val="bottom"/>
          </w:tcPr>
          <w:p>
            <w:pPr>
              <w:spacing w:after="0"/>
              <w:rPr>
                <w:sz w:val="1"/>
                <w:szCs w:val="1"/>
                <w:color w:val="auto"/>
              </w:rPr>
            </w:pPr>
          </w:p>
        </w:tc>
      </w:tr>
      <w:tr>
        <w:trPr>
          <w:trHeight w:val="95"/>
        </w:trPr>
        <w:tc>
          <w:tcPr>
            <w:tcW w:w="40" w:type="dxa"/>
            <w:vAlign w:val="bottom"/>
            <w:shd w:val="clear" w:color="auto" w:fill="010035"/>
          </w:tcPr>
          <w:p>
            <w:pPr>
              <w:spacing w:after="0"/>
              <w:rPr>
                <w:sz w:val="8"/>
                <w:szCs w:val="8"/>
                <w:color w:val="auto"/>
              </w:rPr>
            </w:pPr>
          </w:p>
        </w:tc>
        <w:tc>
          <w:tcPr>
            <w:tcW w:w="4700" w:type="dxa"/>
            <w:vAlign w:val="bottom"/>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5% SHAREHOLDERS, OFFICERS AND DIRECTORS</w:t>
            </w:r>
          </w:p>
        </w:tc>
        <w:tc>
          <w:tcPr>
            <w:tcW w:w="2940" w:type="dxa"/>
            <w:vAlign w:val="bottom"/>
            <w:vMerge w:val="continue"/>
            <w:shd w:val="clear" w:color="auto" w:fill="010035"/>
          </w:tcPr>
          <w:p>
            <w:pPr>
              <w:spacing w:after="0"/>
              <w:rPr>
                <w:sz w:val="8"/>
                <w:szCs w:val="8"/>
                <w:color w:val="auto"/>
              </w:rPr>
            </w:pPr>
          </w:p>
        </w:tc>
        <w:tc>
          <w:tcPr>
            <w:tcW w:w="1720" w:type="dxa"/>
            <w:vAlign w:val="bottom"/>
            <w:vMerge w:val="restart"/>
            <w:shd w:val="clear" w:color="auto" w:fill="010035"/>
          </w:tcPr>
          <w:p>
            <w:pPr>
              <w:ind w:left="420"/>
              <w:spacing w:after="0" w:line="202" w:lineRule="exact"/>
              <w:rPr>
                <w:sz w:val="20"/>
                <w:szCs w:val="20"/>
                <w:color w:val="auto"/>
              </w:rPr>
            </w:pPr>
            <w:r>
              <w:rPr>
                <w:rFonts w:ascii="Arial" w:cs="Arial" w:eastAsia="Arial" w:hAnsi="Arial"/>
                <w:sz w:val="18"/>
                <w:szCs w:val="18"/>
                <w:b w:val="1"/>
                <w:bCs w:val="1"/>
                <w:color w:val="FFFFFF"/>
              </w:rPr>
              <w:t>OF COMMON</w:t>
            </w:r>
          </w:p>
        </w:tc>
        <w:tc>
          <w:tcPr>
            <w:tcW w:w="0" w:type="dxa"/>
            <w:vAlign w:val="bottom"/>
          </w:tcPr>
          <w:p>
            <w:pPr>
              <w:spacing w:after="0"/>
              <w:rPr>
                <w:sz w:val="1"/>
                <w:szCs w:val="1"/>
                <w:color w:val="auto"/>
              </w:rPr>
            </w:pPr>
          </w:p>
        </w:tc>
      </w:tr>
      <w:tr>
        <w:trPr>
          <w:trHeight w:val="108"/>
        </w:trPr>
        <w:tc>
          <w:tcPr>
            <w:tcW w:w="40" w:type="dxa"/>
            <w:vAlign w:val="bottom"/>
            <w:shd w:val="clear" w:color="auto" w:fill="010035"/>
          </w:tcPr>
          <w:p>
            <w:pPr>
              <w:spacing w:after="0"/>
              <w:rPr>
                <w:sz w:val="9"/>
                <w:szCs w:val="9"/>
                <w:color w:val="auto"/>
              </w:rPr>
            </w:pPr>
          </w:p>
        </w:tc>
        <w:tc>
          <w:tcPr>
            <w:tcW w:w="4700" w:type="dxa"/>
            <w:vAlign w:val="bottom"/>
            <w:vMerge w:val="continue"/>
            <w:shd w:val="clear" w:color="auto" w:fill="010035"/>
          </w:tcPr>
          <w:p>
            <w:pPr>
              <w:spacing w:after="0"/>
              <w:rPr>
                <w:sz w:val="9"/>
                <w:szCs w:val="9"/>
                <w:color w:val="auto"/>
              </w:rPr>
            </w:pPr>
          </w:p>
        </w:tc>
        <w:tc>
          <w:tcPr>
            <w:tcW w:w="2940" w:type="dxa"/>
            <w:vAlign w:val="bottom"/>
            <w:vMerge w:val="restart"/>
            <w:shd w:val="clear" w:color="auto" w:fill="010035"/>
          </w:tcPr>
          <w:p>
            <w:pPr>
              <w:ind w:left="720"/>
              <w:spacing w:after="0"/>
              <w:rPr>
                <w:sz w:val="20"/>
                <w:szCs w:val="20"/>
                <w:color w:val="auto"/>
              </w:rPr>
            </w:pPr>
            <w:r>
              <w:rPr>
                <w:rFonts w:ascii="Arial" w:cs="Arial" w:eastAsia="Arial" w:hAnsi="Arial"/>
                <w:sz w:val="18"/>
                <w:szCs w:val="18"/>
                <w:b w:val="1"/>
                <w:bCs w:val="1"/>
                <w:color w:val="FFFFFF"/>
              </w:rPr>
              <w:t>BENEFICIALLY OWNED</w:t>
            </w:r>
          </w:p>
        </w:tc>
        <w:tc>
          <w:tcPr>
            <w:tcW w:w="1720" w:type="dxa"/>
            <w:vAlign w:val="bottom"/>
            <w:vMerge w:val="continue"/>
            <w:shd w:val="clear" w:color="auto" w:fill="010035"/>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0" w:type="dxa"/>
            <w:vAlign w:val="bottom"/>
            <w:shd w:val="clear" w:color="auto" w:fill="010035"/>
          </w:tcPr>
          <w:p>
            <w:pPr>
              <w:spacing w:after="0"/>
              <w:rPr>
                <w:sz w:val="12"/>
                <w:szCs w:val="12"/>
                <w:color w:val="auto"/>
              </w:rPr>
            </w:pPr>
          </w:p>
        </w:tc>
        <w:tc>
          <w:tcPr>
            <w:tcW w:w="4700" w:type="dxa"/>
            <w:vAlign w:val="bottom"/>
            <w:shd w:val="clear" w:color="auto" w:fill="010035"/>
          </w:tcPr>
          <w:p>
            <w:pPr>
              <w:spacing w:after="0"/>
              <w:rPr>
                <w:sz w:val="12"/>
                <w:szCs w:val="12"/>
                <w:color w:val="auto"/>
              </w:rPr>
            </w:pPr>
          </w:p>
        </w:tc>
        <w:tc>
          <w:tcPr>
            <w:tcW w:w="2940" w:type="dxa"/>
            <w:vAlign w:val="bottom"/>
            <w:vMerge w:val="continue"/>
            <w:shd w:val="clear" w:color="auto" w:fill="010035"/>
          </w:tcPr>
          <w:p>
            <w:pPr>
              <w:spacing w:after="0"/>
              <w:rPr>
                <w:sz w:val="12"/>
                <w:szCs w:val="12"/>
                <w:color w:val="auto"/>
              </w:rPr>
            </w:pPr>
          </w:p>
        </w:tc>
        <w:tc>
          <w:tcPr>
            <w:tcW w:w="1720" w:type="dxa"/>
            <w:vAlign w:val="bottom"/>
            <w:vMerge w:val="restart"/>
            <w:shd w:val="clear" w:color="auto" w:fill="010035"/>
          </w:tcPr>
          <w:p>
            <w:pPr>
              <w:ind w:left="420"/>
              <w:spacing w:after="0"/>
              <w:rPr>
                <w:sz w:val="20"/>
                <w:szCs w:val="20"/>
                <w:color w:val="auto"/>
              </w:rPr>
            </w:pPr>
            <w:r>
              <w:rPr>
                <w:rFonts w:ascii="Arial" w:cs="Arial" w:eastAsia="Arial" w:hAnsi="Arial"/>
                <w:sz w:val="18"/>
                <w:szCs w:val="18"/>
                <w:b w:val="1"/>
                <w:bCs w:val="1"/>
                <w:color w:val="FFFFFF"/>
              </w:rPr>
              <w:t>STOCK (%)</w:t>
            </w:r>
          </w:p>
        </w:tc>
        <w:tc>
          <w:tcPr>
            <w:tcW w:w="0" w:type="dxa"/>
            <w:vAlign w:val="bottom"/>
          </w:tcPr>
          <w:p>
            <w:pPr>
              <w:spacing w:after="0"/>
              <w:rPr>
                <w:sz w:val="1"/>
                <w:szCs w:val="1"/>
                <w:color w:val="auto"/>
              </w:rPr>
            </w:pPr>
          </w:p>
        </w:tc>
      </w:tr>
      <w:tr>
        <w:trPr>
          <w:trHeight w:val="117"/>
        </w:trPr>
        <w:tc>
          <w:tcPr>
            <w:tcW w:w="40" w:type="dxa"/>
            <w:vAlign w:val="bottom"/>
            <w:tcBorders>
              <w:bottom w:val="single" w:sz="8" w:color="010035"/>
            </w:tcBorders>
            <w:shd w:val="clear" w:color="auto" w:fill="010035"/>
          </w:tcPr>
          <w:p>
            <w:pPr>
              <w:spacing w:after="0"/>
              <w:rPr>
                <w:sz w:val="10"/>
                <w:szCs w:val="10"/>
                <w:color w:val="auto"/>
              </w:rPr>
            </w:pPr>
          </w:p>
        </w:tc>
        <w:tc>
          <w:tcPr>
            <w:tcW w:w="4700" w:type="dxa"/>
            <w:vAlign w:val="bottom"/>
            <w:tcBorders>
              <w:bottom w:val="single" w:sz="8" w:color="010035"/>
            </w:tcBorders>
            <w:shd w:val="clear" w:color="auto" w:fill="010035"/>
          </w:tcPr>
          <w:p>
            <w:pPr>
              <w:spacing w:after="0"/>
              <w:rPr>
                <w:sz w:val="10"/>
                <w:szCs w:val="10"/>
                <w:color w:val="auto"/>
              </w:rPr>
            </w:pPr>
          </w:p>
        </w:tc>
        <w:tc>
          <w:tcPr>
            <w:tcW w:w="2940" w:type="dxa"/>
            <w:vAlign w:val="bottom"/>
            <w:tcBorders>
              <w:bottom w:val="single" w:sz="8" w:color="010035"/>
            </w:tcBorders>
            <w:shd w:val="clear" w:color="auto" w:fill="010035"/>
          </w:tcPr>
          <w:p>
            <w:pPr>
              <w:spacing w:after="0"/>
              <w:rPr>
                <w:sz w:val="10"/>
                <w:szCs w:val="10"/>
                <w:color w:val="auto"/>
              </w:rPr>
            </w:pPr>
          </w:p>
        </w:tc>
        <w:tc>
          <w:tcPr>
            <w:tcW w:w="1720" w:type="dxa"/>
            <w:vAlign w:val="bottom"/>
            <w:tcBorders>
              <w:bottom w:val="single" w:sz="8" w:color="010035"/>
            </w:tcBorders>
            <w:vMerge w:val="continue"/>
            <w:shd w:val="clear" w:color="auto" w:fill="010035"/>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DED8EC"/>
            </w:tcBorders>
            <w:shd w:val="clear" w:color="auto" w:fill="DED8EC"/>
          </w:tcPr>
          <w:p>
            <w:pPr>
              <w:spacing w:after="0"/>
              <w:rPr>
                <w:sz w:val="21"/>
                <w:szCs w:val="21"/>
                <w:color w:val="auto"/>
              </w:rPr>
            </w:pPr>
          </w:p>
        </w:tc>
        <w:tc>
          <w:tcPr>
            <w:tcW w:w="4700" w:type="dxa"/>
            <w:vAlign w:val="bottom"/>
            <w:tcBorders>
              <w:bottom w:val="single" w:sz="8" w:color="DED8EC"/>
            </w:tcBorders>
            <w:shd w:val="clear" w:color="auto" w:fill="DED8EC"/>
          </w:tcPr>
          <w:p>
            <w:pPr>
              <w:ind w:left="40"/>
              <w:spacing w:after="0"/>
              <w:rPr>
                <w:sz w:val="20"/>
                <w:szCs w:val="20"/>
                <w:color w:val="auto"/>
              </w:rPr>
            </w:pPr>
            <w:r>
              <w:rPr>
                <w:rFonts w:ascii="Arial" w:cs="Arial" w:eastAsia="Arial" w:hAnsi="Arial"/>
                <w:sz w:val="14"/>
                <w:szCs w:val="14"/>
                <w:b w:val="1"/>
                <w:bCs w:val="1"/>
                <w:color w:val="010035"/>
              </w:rPr>
              <w:t>Beneficial Owners of 5% or more of our common stock:</w:t>
            </w:r>
          </w:p>
        </w:tc>
        <w:tc>
          <w:tcPr>
            <w:tcW w:w="2940" w:type="dxa"/>
            <w:vAlign w:val="bottom"/>
            <w:tcBorders>
              <w:bottom w:val="single" w:sz="8" w:color="DED8EC"/>
            </w:tcBorders>
            <w:shd w:val="clear" w:color="auto" w:fill="DED8EC"/>
          </w:tcPr>
          <w:p>
            <w:pPr>
              <w:spacing w:after="0"/>
              <w:rPr>
                <w:sz w:val="21"/>
                <w:szCs w:val="21"/>
                <w:color w:val="auto"/>
              </w:rPr>
            </w:pPr>
          </w:p>
        </w:tc>
        <w:tc>
          <w:tcPr>
            <w:tcW w:w="1720" w:type="dxa"/>
            <w:vAlign w:val="bottom"/>
            <w:tcBorders>
              <w:bottom w:val="single" w:sz="8" w:color="DED8EC"/>
            </w:tcBorders>
            <w:shd w:val="clear" w:color="auto" w:fill="DED8EC"/>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BlackRock, Inc.</w:t>
            </w:r>
            <w:r>
              <w:rPr>
                <w:rFonts w:ascii="Arial" w:cs="Arial" w:eastAsia="Arial" w:hAnsi="Arial"/>
                <w:sz w:val="23"/>
                <w:szCs w:val="23"/>
                <w:b w:val="1"/>
                <w:bCs w:val="1"/>
                <w:color w:val="010035"/>
                <w:vertAlign w:val="superscript"/>
              </w:rPr>
              <w:t>(1)</w:t>
            </w:r>
          </w:p>
        </w:tc>
        <w:tc>
          <w:tcPr>
            <w:tcW w:w="2940" w:type="dxa"/>
            <w:vAlign w:val="bottom"/>
          </w:tcPr>
          <w:p>
            <w:pPr>
              <w:ind w:left="720"/>
              <w:spacing w:after="0"/>
              <w:rPr>
                <w:sz w:val="20"/>
                <w:szCs w:val="20"/>
                <w:color w:val="auto"/>
              </w:rPr>
            </w:pPr>
            <w:r>
              <w:rPr>
                <w:rFonts w:ascii="Arial" w:cs="Arial" w:eastAsia="Arial" w:hAnsi="Arial"/>
                <w:sz w:val="14"/>
                <w:szCs w:val="14"/>
                <w:color w:val="010035"/>
              </w:rPr>
              <w:t>17,659,980</w:t>
            </w:r>
          </w:p>
        </w:tc>
        <w:tc>
          <w:tcPr>
            <w:tcW w:w="1720" w:type="dxa"/>
            <w:vAlign w:val="bottom"/>
          </w:tcPr>
          <w:p>
            <w:pPr>
              <w:ind w:left="420"/>
              <w:spacing w:after="0"/>
              <w:rPr>
                <w:sz w:val="20"/>
                <w:szCs w:val="20"/>
                <w:color w:val="auto"/>
              </w:rPr>
            </w:pPr>
            <w:r>
              <w:rPr>
                <w:rFonts w:ascii="Arial" w:cs="Arial" w:eastAsia="Arial" w:hAnsi="Arial"/>
                <w:sz w:val="14"/>
                <w:szCs w:val="14"/>
                <w:color w:val="010035"/>
              </w:rPr>
              <w:t>13.2</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700" w:type="dxa"/>
            <w:vAlign w:val="bottom"/>
          </w:tcPr>
          <w:p>
            <w:pPr>
              <w:ind w:left="40"/>
              <w:spacing w:after="0" w:line="255" w:lineRule="exact"/>
              <w:rPr>
                <w:sz w:val="20"/>
                <w:szCs w:val="20"/>
                <w:color w:val="auto"/>
              </w:rPr>
            </w:pPr>
            <w:r>
              <w:rPr>
                <w:rFonts w:ascii="Arial" w:cs="Arial" w:eastAsia="Arial" w:hAnsi="Arial"/>
                <w:sz w:val="14"/>
                <w:szCs w:val="14"/>
                <w:b w:val="1"/>
                <w:bCs w:val="1"/>
                <w:color w:val="010035"/>
              </w:rPr>
              <w:t>The Vanguard Group, Inc.</w:t>
            </w:r>
            <w:r>
              <w:rPr>
                <w:rFonts w:ascii="Arial" w:cs="Arial" w:eastAsia="Arial" w:hAnsi="Arial"/>
                <w:sz w:val="23"/>
                <w:szCs w:val="23"/>
                <w:b w:val="1"/>
                <w:bCs w:val="1"/>
                <w:color w:val="010035"/>
                <w:vertAlign w:val="superscript"/>
              </w:rPr>
              <w:t>(2)</w:t>
            </w:r>
          </w:p>
        </w:tc>
        <w:tc>
          <w:tcPr>
            <w:tcW w:w="2940" w:type="dxa"/>
            <w:vAlign w:val="bottom"/>
          </w:tcPr>
          <w:p>
            <w:pPr>
              <w:ind w:left="720"/>
              <w:spacing w:after="0"/>
              <w:rPr>
                <w:sz w:val="20"/>
                <w:szCs w:val="20"/>
                <w:color w:val="auto"/>
              </w:rPr>
            </w:pPr>
            <w:r>
              <w:rPr>
                <w:rFonts w:ascii="Arial" w:cs="Arial" w:eastAsia="Arial" w:hAnsi="Arial"/>
                <w:sz w:val="14"/>
                <w:szCs w:val="14"/>
                <w:color w:val="010035"/>
              </w:rPr>
              <w:t>16,496,265</w:t>
            </w:r>
          </w:p>
        </w:tc>
        <w:tc>
          <w:tcPr>
            <w:tcW w:w="1720" w:type="dxa"/>
            <w:vAlign w:val="bottom"/>
          </w:tcPr>
          <w:p>
            <w:pPr>
              <w:ind w:left="420"/>
              <w:spacing w:after="0"/>
              <w:rPr>
                <w:sz w:val="20"/>
                <w:szCs w:val="20"/>
                <w:color w:val="auto"/>
              </w:rPr>
            </w:pPr>
            <w:r>
              <w:rPr>
                <w:rFonts w:ascii="Arial" w:cs="Arial" w:eastAsia="Arial" w:hAnsi="Arial"/>
                <w:sz w:val="14"/>
                <w:szCs w:val="14"/>
                <w:color w:val="010035"/>
              </w:rPr>
              <w:t>12.3</w:t>
            </w:r>
          </w:p>
        </w:tc>
        <w:tc>
          <w:tcPr>
            <w:tcW w:w="0" w:type="dxa"/>
            <w:vAlign w:val="bottom"/>
          </w:tcPr>
          <w:p>
            <w:pPr>
              <w:spacing w:after="0"/>
              <w:rPr>
                <w:sz w:val="1"/>
                <w:szCs w:val="1"/>
                <w:color w:val="auto"/>
              </w:rPr>
            </w:pPr>
          </w:p>
        </w:tc>
      </w:tr>
      <w:tr>
        <w:trPr>
          <w:trHeight w:val="250"/>
        </w:trPr>
        <w:tc>
          <w:tcPr>
            <w:tcW w:w="40" w:type="dxa"/>
            <w:vAlign w:val="bottom"/>
            <w:tcBorders>
              <w:bottom w:val="single" w:sz="8" w:color="DED8EC"/>
            </w:tcBorders>
            <w:shd w:val="clear" w:color="auto" w:fill="DED8EC"/>
          </w:tcPr>
          <w:p>
            <w:pPr>
              <w:spacing w:after="0"/>
              <w:rPr>
                <w:sz w:val="21"/>
                <w:szCs w:val="21"/>
                <w:color w:val="auto"/>
              </w:rPr>
            </w:pPr>
          </w:p>
        </w:tc>
        <w:tc>
          <w:tcPr>
            <w:tcW w:w="4700" w:type="dxa"/>
            <w:vAlign w:val="bottom"/>
            <w:tcBorders>
              <w:bottom w:val="single" w:sz="8" w:color="DED8EC"/>
            </w:tcBorders>
            <w:shd w:val="clear" w:color="auto" w:fill="DED8EC"/>
          </w:tcPr>
          <w:p>
            <w:pPr>
              <w:ind w:left="40"/>
              <w:spacing w:after="0"/>
              <w:rPr>
                <w:sz w:val="20"/>
                <w:szCs w:val="20"/>
                <w:color w:val="auto"/>
              </w:rPr>
            </w:pPr>
            <w:r>
              <w:rPr>
                <w:rFonts w:ascii="Arial" w:cs="Arial" w:eastAsia="Arial" w:hAnsi="Arial"/>
                <w:sz w:val="14"/>
                <w:szCs w:val="14"/>
                <w:b w:val="1"/>
                <w:bCs w:val="1"/>
                <w:color w:val="010035"/>
              </w:rPr>
              <w:t>Named Executive Officers and Directors:</w:t>
            </w:r>
          </w:p>
        </w:tc>
        <w:tc>
          <w:tcPr>
            <w:tcW w:w="2940" w:type="dxa"/>
            <w:vAlign w:val="bottom"/>
            <w:tcBorders>
              <w:bottom w:val="single" w:sz="8" w:color="DED8EC"/>
            </w:tcBorders>
            <w:shd w:val="clear" w:color="auto" w:fill="DED8EC"/>
          </w:tcPr>
          <w:p>
            <w:pPr>
              <w:spacing w:after="0"/>
              <w:rPr>
                <w:sz w:val="21"/>
                <w:szCs w:val="21"/>
                <w:color w:val="auto"/>
              </w:rPr>
            </w:pPr>
          </w:p>
        </w:tc>
        <w:tc>
          <w:tcPr>
            <w:tcW w:w="1720" w:type="dxa"/>
            <w:vAlign w:val="bottom"/>
            <w:tcBorders>
              <w:bottom w:val="single" w:sz="8" w:color="DED8EC"/>
            </w:tcBorders>
            <w:shd w:val="clear" w:color="auto" w:fill="DED8E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Heather Ace</w:t>
            </w:r>
          </w:p>
        </w:tc>
        <w:tc>
          <w:tcPr>
            <w:tcW w:w="2940" w:type="dxa"/>
            <w:vAlign w:val="bottom"/>
          </w:tcPr>
          <w:p>
            <w:pPr>
              <w:ind w:left="720"/>
              <w:spacing w:after="0"/>
              <w:rPr>
                <w:sz w:val="20"/>
                <w:szCs w:val="20"/>
                <w:color w:val="auto"/>
              </w:rPr>
            </w:pPr>
            <w:r>
              <w:rPr>
                <w:rFonts w:ascii="Arial" w:cs="Arial" w:eastAsia="Arial" w:hAnsi="Arial"/>
                <w:sz w:val="14"/>
                <w:szCs w:val="14"/>
                <w:color w:val="010035"/>
              </w:rPr>
              <w:t>17,077</w:t>
            </w:r>
          </w:p>
        </w:tc>
        <w:tc>
          <w:tcPr>
            <w:tcW w:w="1720" w:type="dxa"/>
            <w:vAlign w:val="bottom"/>
          </w:tcPr>
          <w:p>
            <w:pPr>
              <w:ind w:left="420"/>
              <w:spacing w:after="0"/>
              <w:rPr>
                <w:sz w:val="20"/>
                <w:szCs w:val="20"/>
                <w:color w:val="auto"/>
              </w:rPr>
            </w:pPr>
            <w:r>
              <w:rPr>
                <w:rFonts w:ascii="Arial" w:cs="Arial" w:eastAsia="Arial" w:hAnsi="Arial"/>
                <w:sz w:val="14"/>
                <w:szCs w:val="14"/>
                <w:color w:val="010035"/>
              </w:rPr>
              <w:t>0.01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Vimla Black-Gupta</w:t>
            </w:r>
          </w:p>
        </w:tc>
        <w:tc>
          <w:tcPr>
            <w:tcW w:w="2940" w:type="dxa"/>
            <w:vAlign w:val="bottom"/>
          </w:tcPr>
          <w:p>
            <w:pPr>
              <w:ind w:left="720"/>
              <w:spacing w:after="0"/>
              <w:rPr>
                <w:sz w:val="20"/>
                <w:szCs w:val="20"/>
                <w:color w:val="auto"/>
              </w:rPr>
            </w:pPr>
            <w:r>
              <w:rPr>
                <w:rFonts w:ascii="Arial" w:cs="Arial" w:eastAsia="Arial" w:hAnsi="Arial"/>
                <w:sz w:val="14"/>
                <w:szCs w:val="14"/>
                <w:color w:val="010035"/>
              </w:rPr>
              <w:t>41,835</w:t>
            </w:r>
          </w:p>
        </w:tc>
        <w:tc>
          <w:tcPr>
            <w:tcW w:w="1720" w:type="dxa"/>
            <w:vAlign w:val="bottom"/>
          </w:tcPr>
          <w:p>
            <w:pPr>
              <w:ind w:left="420"/>
              <w:spacing w:after="0"/>
              <w:rPr>
                <w:sz w:val="20"/>
                <w:szCs w:val="20"/>
                <w:color w:val="auto"/>
              </w:rPr>
            </w:pPr>
            <w:r>
              <w:rPr>
                <w:rFonts w:ascii="Arial" w:cs="Arial" w:eastAsia="Arial" w:hAnsi="Arial"/>
                <w:sz w:val="14"/>
                <w:szCs w:val="14"/>
                <w:color w:val="010035"/>
              </w:rPr>
              <w:t>0.03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Anuj Dhanda</w:t>
            </w:r>
          </w:p>
        </w:tc>
        <w:tc>
          <w:tcPr>
            <w:tcW w:w="2940" w:type="dxa"/>
            <w:vAlign w:val="bottom"/>
          </w:tcPr>
          <w:p>
            <w:pPr>
              <w:ind w:left="720"/>
              <w:spacing w:after="0"/>
              <w:rPr>
                <w:sz w:val="20"/>
                <w:szCs w:val="20"/>
                <w:color w:val="auto"/>
              </w:rPr>
            </w:pPr>
            <w:r>
              <w:rPr>
                <w:rFonts w:ascii="Arial" w:cs="Arial" w:eastAsia="Arial" w:hAnsi="Arial"/>
                <w:sz w:val="14"/>
                <w:szCs w:val="14"/>
                <w:color w:val="010035"/>
              </w:rPr>
              <w:t>48,358</w:t>
            </w:r>
          </w:p>
        </w:tc>
        <w:tc>
          <w:tcPr>
            <w:tcW w:w="1720" w:type="dxa"/>
            <w:vAlign w:val="bottom"/>
          </w:tcPr>
          <w:p>
            <w:pPr>
              <w:ind w:left="420"/>
              <w:spacing w:after="0"/>
              <w:rPr>
                <w:sz w:val="20"/>
                <w:szCs w:val="20"/>
                <w:color w:val="auto"/>
              </w:rPr>
            </w:pPr>
            <w:r>
              <w:rPr>
                <w:rFonts w:ascii="Arial" w:cs="Arial" w:eastAsia="Arial" w:hAnsi="Arial"/>
                <w:sz w:val="14"/>
                <w:szCs w:val="14"/>
                <w:color w:val="010035"/>
              </w:rPr>
              <w:t>0.04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Jeffrey Fox</w:t>
            </w:r>
          </w:p>
        </w:tc>
        <w:tc>
          <w:tcPr>
            <w:tcW w:w="2940" w:type="dxa"/>
            <w:vAlign w:val="bottom"/>
          </w:tcPr>
          <w:p>
            <w:pPr>
              <w:ind w:left="720"/>
              <w:spacing w:after="0"/>
              <w:rPr>
                <w:sz w:val="20"/>
                <w:szCs w:val="20"/>
                <w:color w:val="auto"/>
              </w:rPr>
            </w:pPr>
            <w:r>
              <w:rPr>
                <w:rFonts w:ascii="Arial" w:cs="Arial" w:eastAsia="Arial" w:hAnsi="Arial"/>
                <w:sz w:val="14"/>
                <w:szCs w:val="14"/>
                <w:color w:val="010035"/>
              </w:rPr>
              <w:t>17,077</w:t>
            </w:r>
          </w:p>
        </w:tc>
        <w:tc>
          <w:tcPr>
            <w:tcW w:w="1720" w:type="dxa"/>
            <w:vAlign w:val="bottom"/>
          </w:tcPr>
          <w:p>
            <w:pPr>
              <w:ind w:left="420"/>
              <w:spacing w:after="0"/>
              <w:rPr>
                <w:sz w:val="20"/>
                <w:szCs w:val="20"/>
                <w:color w:val="auto"/>
              </w:rPr>
            </w:pPr>
            <w:r>
              <w:rPr>
                <w:rFonts w:ascii="Arial" w:cs="Arial" w:eastAsia="Arial" w:hAnsi="Arial"/>
                <w:sz w:val="14"/>
                <w:szCs w:val="14"/>
                <w:color w:val="010035"/>
              </w:rPr>
              <w:t>0.01</w:t>
            </w: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David Handler</w:t>
            </w:r>
            <w:r>
              <w:rPr>
                <w:rFonts w:ascii="Arial" w:cs="Arial" w:eastAsia="Arial" w:hAnsi="Arial"/>
                <w:sz w:val="23"/>
                <w:szCs w:val="23"/>
                <w:b w:val="1"/>
                <w:bCs w:val="1"/>
                <w:color w:val="010035"/>
                <w:vertAlign w:val="superscript"/>
              </w:rPr>
              <w:t>(3)</w:t>
            </w:r>
          </w:p>
        </w:tc>
        <w:tc>
          <w:tcPr>
            <w:tcW w:w="2940" w:type="dxa"/>
            <w:vAlign w:val="bottom"/>
          </w:tcPr>
          <w:p>
            <w:pPr>
              <w:ind w:left="720"/>
              <w:spacing w:after="0"/>
              <w:rPr>
                <w:sz w:val="20"/>
                <w:szCs w:val="20"/>
                <w:color w:val="auto"/>
              </w:rPr>
            </w:pPr>
            <w:r>
              <w:rPr>
                <w:rFonts w:ascii="Arial" w:cs="Arial" w:eastAsia="Arial" w:hAnsi="Arial"/>
                <w:sz w:val="14"/>
                <w:szCs w:val="14"/>
                <w:color w:val="010035"/>
              </w:rPr>
              <w:t>408,194</w:t>
            </w:r>
          </w:p>
        </w:tc>
        <w:tc>
          <w:tcPr>
            <w:tcW w:w="1720" w:type="dxa"/>
            <w:vAlign w:val="bottom"/>
          </w:tcPr>
          <w:p>
            <w:pPr>
              <w:ind w:left="420"/>
              <w:spacing w:after="0"/>
              <w:rPr>
                <w:sz w:val="20"/>
                <w:szCs w:val="20"/>
                <w:color w:val="auto"/>
              </w:rPr>
            </w:pPr>
            <w:r>
              <w:rPr>
                <w:rFonts w:ascii="Arial" w:cs="Arial" w:eastAsia="Arial" w:hAnsi="Arial"/>
                <w:sz w:val="14"/>
                <w:szCs w:val="14"/>
                <w:color w:val="010035"/>
              </w:rPr>
              <w:t>0.31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Johnny Hartnett</w:t>
            </w:r>
          </w:p>
        </w:tc>
        <w:tc>
          <w:tcPr>
            <w:tcW w:w="2940" w:type="dxa"/>
            <w:vAlign w:val="bottom"/>
          </w:tcPr>
          <w:p>
            <w:pPr>
              <w:ind w:left="720"/>
              <w:spacing w:after="0"/>
              <w:rPr>
                <w:sz w:val="20"/>
                <w:szCs w:val="20"/>
                <w:color w:val="auto"/>
              </w:rPr>
            </w:pPr>
            <w:r>
              <w:rPr>
                <w:rFonts w:ascii="Arial" w:cs="Arial" w:eastAsia="Arial" w:hAnsi="Arial"/>
                <w:sz w:val="14"/>
                <w:szCs w:val="14"/>
                <w:color w:val="010035"/>
              </w:rPr>
              <w:t>16,835</w:t>
            </w:r>
          </w:p>
        </w:tc>
        <w:tc>
          <w:tcPr>
            <w:tcW w:w="1720" w:type="dxa"/>
            <w:vAlign w:val="bottom"/>
          </w:tcPr>
          <w:p>
            <w:pPr>
              <w:ind w:left="420"/>
              <w:spacing w:after="0"/>
              <w:rPr>
                <w:sz w:val="20"/>
                <w:szCs w:val="20"/>
                <w:color w:val="auto"/>
              </w:rPr>
            </w:pPr>
            <w:r>
              <w:rPr>
                <w:rFonts w:ascii="Arial" w:cs="Arial" w:eastAsia="Arial" w:hAnsi="Arial"/>
                <w:sz w:val="14"/>
                <w:szCs w:val="14"/>
                <w:color w:val="010035"/>
              </w:rPr>
              <w:t>0.01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Marla Kaplowitz</w:t>
            </w:r>
          </w:p>
        </w:tc>
        <w:tc>
          <w:tcPr>
            <w:tcW w:w="2940" w:type="dxa"/>
            <w:vAlign w:val="bottom"/>
          </w:tcPr>
          <w:p>
            <w:pPr>
              <w:ind w:left="720"/>
              <w:spacing w:after="0"/>
              <w:rPr>
                <w:sz w:val="20"/>
                <w:szCs w:val="20"/>
                <w:color w:val="auto"/>
              </w:rPr>
            </w:pPr>
            <w:r>
              <w:rPr>
                <w:rFonts w:ascii="Arial" w:cs="Arial" w:eastAsia="Arial" w:hAnsi="Arial"/>
                <w:sz w:val="14"/>
                <w:szCs w:val="14"/>
                <w:color w:val="010035"/>
              </w:rPr>
              <w:t>43,038</w:t>
            </w:r>
          </w:p>
        </w:tc>
        <w:tc>
          <w:tcPr>
            <w:tcW w:w="1720" w:type="dxa"/>
            <w:vAlign w:val="bottom"/>
          </w:tcPr>
          <w:p>
            <w:pPr>
              <w:ind w:left="420"/>
              <w:spacing w:after="0"/>
              <w:rPr>
                <w:sz w:val="20"/>
                <w:szCs w:val="20"/>
                <w:color w:val="auto"/>
              </w:rPr>
            </w:pPr>
            <w:r>
              <w:rPr>
                <w:rFonts w:ascii="Arial" w:cs="Arial" w:eastAsia="Arial" w:hAnsi="Arial"/>
                <w:sz w:val="14"/>
                <w:szCs w:val="14"/>
                <w:color w:val="010035"/>
              </w:rPr>
              <w:t>0.03</w:t>
            </w: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Carlos Ruisanchez</w:t>
            </w:r>
            <w:r>
              <w:rPr>
                <w:rFonts w:ascii="Arial" w:cs="Arial" w:eastAsia="Arial" w:hAnsi="Arial"/>
                <w:sz w:val="23"/>
                <w:szCs w:val="23"/>
                <w:b w:val="1"/>
                <w:bCs w:val="1"/>
                <w:color w:val="010035"/>
                <w:vertAlign w:val="superscript"/>
              </w:rPr>
              <w:t>(4)</w:t>
            </w:r>
          </w:p>
        </w:tc>
        <w:tc>
          <w:tcPr>
            <w:tcW w:w="2940" w:type="dxa"/>
            <w:vAlign w:val="bottom"/>
          </w:tcPr>
          <w:p>
            <w:pPr>
              <w:ind w:left="720"/>
              <w:spacing w:after="0"/>
              <w:rPr>
                <w:sz w:val="20"/>
                <w:szCs w:val="20"/>
                <w:color w:val="auto"/>
              </w:rPr>
            </w:pPr>
            <w:r>
              <w:rPr>
                <w:rFonts w:ascii="Arial" w:cs="Arial" w:eastAsia="Arial" w:hAnsi="Arial"/>
                <w:sz w:val="14"/>
                <w:szCs w:val="14"/>
                <w:color w:val="010035"/>
              </w:rPr>
              <w:t>34,760</w:t>
            </w:r>
          </w:p>
        </w:tc>
        <w:tc>
          <w:tcPr>
            <w:tcW w:w="1720" w:type="dxa"/>
            <w:vAlign w:val="bottom"/>
          </w:tcPr>
          <w:p>
            <w:pPr>
              <w:ind w:left="420"/>
              <w:spacing w:after="0"/>
              <w:rPr>
                <w:sz w:val="20"/>
                <w:szCs w:val="20"/>
                <w:color w:val="auto"/>
              </w:rPr>
            </w:pPr>
            <w:r>
              <w:rPr>
                <w:rFonts w:ascii="Arial" w:cs="Arial" w:eastAsia="Arial" w:hAnsi="Arial"/>
                <w:sz w:val="14"/>
                <w:szCs w:val="14"/>
                <w:color w:val="010035"/>
              </w:rPr>
              <w:t>0.03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Jane Scaccetti</w:t>
            </w:r>
          </w:p>
        </w:tc>
        <w:tc>
          <w:tcPr>
            <w:tcW w:w="2940" w:type="dxa"/>
            <w:vAlign w:val="bottom"/>
          </w:tcPr>
          <w:p>
            <w:pPr>
              <w:ind w:left="720"/>
              <w:spacing w:after="0"/>
              <w:rPr>
                <w:sz w:val="20"/>
                <w:szCs w:val="20"/>
                <w:color w:val="auto"/>
              </w:rPr>
            </w:pPr>
            <w:r>
              <w:rPr>
                <w:rFonts w:ascii="Arial" w:cs="Arial" w:eastAsia="Arial" w:hAnsi="Arial"/>
                <w:sz w:val="14"/>
                <w:szCs w:val="14"/>
                <w:color w:val="010035"/>
              </w:rPr>
              <w:t>109,153</w:t>
            </w:r>
          </w:p>
        </w:tc>
        <w:tc>
          <w:tcPr>
            <w:tcW w:w="1720" w:type="dxa"/>
            <w:vAlign w:val="bottom"/>
          </w:tcPr>
          <w:p>
            <w:pPr>
              <w:ind w:left="420"/>
              <w:spacing w:after="0"/>
              <w:rPr>
                <w:sz w:val="20"/>
                <w:szCs w:val="20"/>
                <w:color w:val="auto"/>
              </w:rPr>
            </w:pPr>
            <w:r>
              <w:rPr>
                <w:rFonts w:ascii="Arial" w:cs="Arial" w:eastAsia="Arial" w:hAnsi="Arial"/>
                <w:sz w:val="14"/>
                <w:szCs w:val="14"/>
                <w:color w:val="010035"/>
              </w:rPr>
              <w:t>0.08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Fabio Schiavolin</w:t>
            </w:r>
          </w:p>
        </w:tc>
        <w:tc>
          <w:tcPr>
            <w:tcW w:w="2940" w:type="dxa"/>
            <w:vAlign w:val="bottom"/>
          </w:tcPr>
          <w:p>
            <w:pPr>
              <w:ind w:left="720"/>
              <w:spacing w:after="0"/>
              <w:rPr>
                <w:sz w:val="20"/>
                <w:szCs w:val="20"/>
                <w:color w:val="auto"/>
              </w:rPr>
            </w:pPr>
            <w:r>
              <w:rPr>
                <w:rFonts w:ascii="Arial" w:cs="Arial" w:eastAsia="Arial" w:hAnsi="Arial"/>
                <w:sz w:val="14"/>
                <w:szCs w:val="14"/>
                <w:color w:val="010035"/>
              </w:rPr>
              <w:t>17,077</w:t>
            </w:r>
          </w:p>
        </w:tc>
        <w:tc>
          <w:tcPr>
            <w:tcW w:w="1720" w:type="dxa"/>
            <w:vAlign w:val="bottom"/>
          </w:tcPr>
          <w:p>
            <w:pPr>
              <w:ind w:left="420"/>
              <w:spacing w:after="0"/>
              <w:rPr>
                <w:sz w:val="20"/>
                <w:szCs w:val="20"/>
                <w:color w:val="auto"/>
              </w:rPr>
            </w:pPr>
            <w:r>
              <w:rPr>
                <w:rFonts w:ascii="Arial" w:cs="Arial" w:eastAsia="Arial" w:hAnsi="Arial"/>
                <w:sz w:val="14"/>
                <w:szCs w:val="14"/>
                <w:color w:val="010035"/>
              </w:rPr>
              <w:t>0.01</w:t>
            </w:r>
          </w:p>
        </w:tc>
        <w:tc>
          <w:tcPr>
            <w:tcW w:w="0" w:type="dxa"/>
            <w:vAlign w:val="bottom"/>
          </w:tcPr>
          <w:p>
            <w:pPr>
              <w:spacing w:after="0"/>
              <w:rPr>
                <w:sz w:val="1"/>
                <w:szCs w:val="1"/>
                <w:color w:val="auto"/>
              </w:rPr>
            </w:pPr>
          </w:p>
        </w:tc>
      </w:tr>
      <w:tr>
        <w:trPr>
          <w:trHeight w:val="368"/>
        </w:trPr>
        <w:tc>
          <w:tcPr>
            <w:tcW w:w="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Jay Snowden</w:t>
            </w:r>
            <w:r>
              <w:rPr>
                <w:rFonts w:ascii="Arial" w:cs="Arial" w:eastAsia="Arial" w:hAnsi="Arial"/>
                <w:sz w:val="23"/>
                <w:szCs w:val="23"/>
                <w:b w:val="1"/>
                <w:bCs w:val="1"/>
                <w:color w:val="010035"/>
                <w:vertAlign w:val="superscript"/>
              </w:rPr>
              <w:t>(6)</w:t>
            </w:r>
          </w:p>
        </w:tc>
        <w:tc>
          <w:tcPr>
            <w:tcW w:w="2940" w:type="dxa"/>
            <w:vAlign w:val="bottom"/>
          </w:tcPr>
          <w:p>
            <w:pPr>
              <w:ind w:left="720"/>
              <w:spacing w:after="0"/>
              <w:rPr>
                <w:sz w:val="20"/>
                <w:szCs w:val="20"/>
                <w:color w:val="auto"/>
              </w:rPr>
            </w:pPr>
            <w:r>
              <w:rPr>
                <w:rFonts w:ascii="Arial" w:cs="Arial" w:eastAsia="Arial" w:hAnsi="Arial"/>
                <w:sz w:val="14"/>
                <w:szCs w:val="14"/>
                <w:color w:val="010035"/>
              </w:rPr>
              <w:t>2,873,931</w:t>
            </w:r>
          </w:p>
        </w:tc>
        <w:tc>
          <w:tcPr>
            <w:tcW w:w="1720" w:type="dxa"/>
            <w:vAlign w:val="bottom"/>
          </w:tcPr>
          <w:p>
            <w:pPr>
              <w:ind w:left="420"/>
              <w:spacing w:after="0"/>
              <w:rPr>
                <w:sz w:val="20"/>
                <w:szCs w:val="20"/>
                <w:color w:val="auto"/>
              </w:rPr>
            </w:pPr>
            <w:r>
              <w:rPr>
                <w:rFonts w:ascii="Arial" w:cs="Arial" w:eastAsia="Arial" w:hAnsi="Arial"/>
                <w:sz w:val="14"/>
                <w:szCs w:val="14"/>
                <w:color w:val="010035"/>
              </w:rPr>
              <w:t>2.15</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Felicia Hendrix</w:t>
            </w:r>
            <w:r>
              <w:rPr>
                <w:rFonts w:ascii="Arial" w:cs="Arial" w:eastAsia="Arial" w:hAnsi="Arial"/>
                <w:sz w:val="23"/>
                <w:szCs w:val="23"/>
                <w:b w:val="1"/>
                <w:bCs w:val="1"/>
                <w:color w:val="010035"/>
                <w:vertAlign w:val="superscript"/>
              </w:rPr>
              <w:t>(6)</w:t>
            </w:r>
          </w:p>
        </w:tc>
        <w:tc>
          <w:tcPr>
            <w:tcW w:w="2940" w:type="dxa"/>
            <w:vAlign w:val="bottom"/>
          </w:tcPr>
          <w:p>
            <w:pPr>
              <w:ind w:left="720"/>
              <w:spacing w:after="0"/>
              <w:rPr>
                <w:sz w:val="20"/>
                <w:szCs w:val="20"/>
                <w:color w:val="auto"/>
              </w:rPr>
            </w:pPr>
            <w:r>
              <w:rPr>
                <w:rFonts w:ascii="Arial" w:cs="Arial" w:eastAsia="Arial" w:hAnsi="Arial"/>
                <w:sz w:val="14"/>
                <w:szCs w:val="14"/>
                <w:color w:val="010035"/>
              </w:rPr>
              <w:t>359,533</w:t>
            </w:r>
          </w:p>
        </w:tc>
        <w:tc>
          <w:tcPr>
            <w:tcW w:w="1720" w:type="dxa"/>
            <w:vAlign w:val="bottom"/>
          </w:tcPr>
          <w:p>
            <w:pPr>
              <w:ind w:left="420"/>
              <w:spacing w:after="0"/>
              <w:rPr>
                <w:sz w:val="20"/>
                <w:szCs w:val="20"/>
                <w:color w:val="auto"/>
              </w:rPr>
            </w:pPr>
            <w:r>
              <w:rPr>
                <w:rFonts w:ascii="Arial" w:cs="Arial" w:eastAsia="Arial" w:hAnsi="Arial"/>
                <w:sz w:val="14"/>
                <w:szCs w:val="14"/>
                <w:color w:val="010035"/>
              </w:rPr>
              <w:t>0.27</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Todd George</w:t>
            </w:r>
            <w:r>
              <w:rPr>
                <w:rFonts w:ascii="Arial" w:cs="Arial" w:eastAsia="Arial" w:hAnsi="Arial"/>
                <w:sz w:val="23"/>
                <w:szCs w:val="23"/>
                <w:b w:val="1"/>
                <w:bCs w:val="1"/>
                <w:color w:val="010035"/>
                <w:vertAlign w:val="superscript"/>
              </w:rPr>
              <w:t>(5),(6)</w:t>
            </w:r>
          </w:p>
        </w:tc>
        <w:tc>
          <w:tcPr>
            <w:tcW w:w="2940" w:type="dxa"/>
            <w:vAlign w:val="bottom"/>
          </w:tcPr>
          <w:p>
            <w:pPr>
              <w:ind w:left="720"/>
              <w:spacing w:after="0"/>
              <w:rPr>
                <w:sz w:val="20"/>
                <w:szCs w:val="20"/>
                <w:color w:val="auto"/>
              </w:rPr>
            </w:pPr>
            <w:r>
              <w:rPr>
                <w:rFonts w:ascii="Arial" w:cs="Arial" w:eastAsia="Arial" w:hAnsi="Arial"/>
                <w:sz w:val="14"/>
                <w:szCs w:val="14"/>
                <w:color w:val="010035"/>
              </w:rPr>
              <w:t>414,661</w:t>
            </w:r>
          </w:p>
        </w:tc>
        <w:tc>
          <w:tcPr>
            <w:tcW w:w="1720" w:type="dxa"/>
            <w:vAlign w:val="bottom"/>
          </w:tcPr>
          <w:p>
            <w:pPr>
              <w:ind w:left="420"/>
              <w:spacing w:after="0"/>
              <w:rPr>
                <w:sz w:val="20"/>
                <w:szCs w:val="20"/>
                <w:color w:val="auto"/>
              </w:rPr>
            </w:pPr>
            <w:r>
              <w:rPr>
                <w:rFonts w:ascii="Arial" w:cs="Arial" w:eastAsia="Arial" w:hAnsi="Arial"/>
                <w:sz w:val="14"/>
                <w:szCs w:val="14"/>
                <w:color w:val="010035"/>
              </w:rPr>
              <w:t>0.31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Chris Rogers</w:t>
            </w:r>
            <w:r>
              <w:rPr>
                <w:rFonts w:ascii="Arial" w:cs="Arial" w:eastAsia="Arial" w:hAnsi="Arial"/>
                <w:sz w:val="23"/>
                <w:szCs w:val="23"/>
                <w:b w:val="1"/>
                <w:bCs w:val="1"/>
                <w:color w:val="010035"/>
                <w:vertAlign w:val="superscript"/>
              </w:rPr>
              <w:t>(6)</w:t>
            </w:r>
          </w:p>
        </w:tc>
        <w:tc>
          <w:tcPr>
            <w:tcW w:w="2940" w:type="dxa"/>
            <w:vAlign w:val="bottom"/>
          </w:tcPr>
          <w:p>
            <w:pPr>
              <w:ind w:left="720"/>
              <w:spacing w:after="0"/>
              <w:rPr>
                <w:sz w:val="20"/>
                <w:szCs w:val="20"/>
                <w:color w:val="auto"/>
              </w:rPr>
            </w:pPr>
            <w:r>
              <w:rPr>
                <w:rFonts w:ascii="Arial" w:cs="Arial" w:eastAsia="Arial" w:hAnsi="Arial"/>
                <w:sz w:val="14"/>
                <w:szCs w:val="14"/>
                <w:color w:val="010035"/>
              </w:rPr>
              <w:t>343,069</w:t>
            </w:r>
          </w:p>
        </w:tc>
        <w:tc>
          <w:tcPr>
            <w:tcW w:w="1720" w:type="dxa"/>
            <w:vAlign w:val="bottom"/>
          </w:tcPr>
          <w:p>
            <w:pPr>
              <w:ind w:left="420"/>
              <w:spacing w:after="0"/>
              <w:rPr>
                <w:sz w:val="20"/>
                <w:szCs w:val="20"/>
                <w:color w:val="auto"/>
              </w:rPr>
            </w:pPr>
            <w:r>
              <w:rPr>
                <w:rFonts w:ascii="Arial" w:cs="Arial" w:eastAsia="Arial" w:hAnsi="Arial"/>
                <w:sz w:val="14"/>
                <w:szCs w:val="14"/>
                <w:color w:val="010035"/>
              </w:rPr>
              <w:t>0.26</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All current executive officers and directors as a group (13</w:t>
            </w:r>
          </w:p>
        </w:tc>
        <w:tc>
          <w:tcPr>
            <w:tcW w:w="2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00" w:type="dxa"/>
            <w:vAlign w:val="bottom"/>
          </w:tcPr>
          <w:p>
            <w:pPr>
              <w:ind w:left="40"/>
              <w:spacing w:after="0"/>
              <w:rPr>
                <w:sz w:val="20"/>
                <w:szCs w:val="20"/>
                <w:color w:val="auto"/>
              </w:rPr>
            </w:pPr>
            <w:r>
              <w:rPr>
                <w:rFonts w:ascii="Arial" w:cs="Arial" w:eastAsia="Arial" w:hAnsi="Arial"/>
                <w:sz w:val="14"/>
                <w:szCs w:val="14"/>
                <w:b w:val="1"/>
                <w:bCs w:val="1"/>
                <w:color w:val="010035"/>
              </w:rPr>
              <w:t>persons)</w:t>
            </w:r>
          </w:p>
        </w:tc>
        <w:tc>
          <w:tcPr>
            <w:tcW w:w="2940" w:type="dxa"/>
            <w:vAlign w:val="bottom"/>
          </w:tcPr>
          <w:p>
            <w:pPr>
              <w:ind w:left="720"/>
              <w:spacing w:after="0"/>
              <w:rPr>
                <w:sz w:val="20"/>
                <w:szCs w:val="20"/>
                <w:color w:val="auto"/>
              </w:rPr>
            </w:pPr>
            <w:r>
              <w:rPr>
                <w:rFonts w:ascii="Arial" w:cs="Arial" w:eastAsia="Arial" w:hAnsi="Arial"/>
                <w:sz w:val="14"/>
                <w:szCs w:val="14"/>
                <w:color w:val="010035"/>
              </w:rPr>
              <w:t>4,329,937</w:t>
            </w:r>
          </w:p>
        </w:tc>
        <w:tc>
          <w:tcPr>
            <w:tcW w:w="1720" w:type="dxa"/>
            <w:vAlign w:val="bottom"/>
          </w:tcPr>
          <w:p>
            <w:pPr>
              <w:ind w:left="420"/>
              <w:spacing w:after="0"/>
              <w:rPr>
                <w:sz w:val="20"/>
                <w:szCs w:val="20"/>
                <w:color w:val="auto"/>
              </w:rPr>
            </w:pPr>
            <w:r>
              <w:rPr>
                <w:rFonts w:ascii="Arial" w:cs="Arial" w:eastAsia="Arial" w:hAnsi="Arial"/>
                <w:sz w:val="14"/>
                <w:szCs w:val="14"/>
                <w:color w:val="010035"/>
              </w:rPr>
              <w:t>3.24</w:t>
            </w:r>
          </w:p>
        </w:tc>
        <w:tc>
          <w:tcPr>
            <w:tcW w:w="0" w:type="dxa"/>
            <w:vAlign w:val="bottom"/>
          </w:tcPr>
          <w:p>
            <w:pPr>
              <w:spacing w:after="0"/>
              <w:rPr>
                <w:sz w:val="1"/>
                <w:szCs w:val="1"/>
                <w:color w:val="auto"/>
              </w:rPr>
            </w:pPr>
          </w:p>
        </w:tc>
      </w:tr>
      <w:tr>
        <w:trPr>
          <w:trHeight w:val="29"/>
        </w:trPr>
        <w:tc>
          <w:tcPr>
            <w:tcW w:w="40" w:type="dxa"/>
            <w:vAlign w:val="bottom"/>
            <w:tcBorders>
              <w:bottom w:val="single" w:sz="8" w:color="010035"/>
            </w:tcBorders>
          </w:tcPr>
          <w:p>
            <w:pPr>
              <w:spacing w:after="0"/>
              <w:rPr>
                <w:sz w:val="2"/>
                <w:szCs w:val="2"/>
                <w:color w:val="auto"/>
              </w:rPr>
            </w:pPr>
          </w:p>
        </w:tc>
        <w:tc>
          <w:tcPr>
            <w:tcW w:w="4700" w:type="dxa"/>
            <w:vAlign w:val="bottom"/>
            <w:tcBorders>
              <w:bottom w:val="single" w:sz="8" w:color="010035"/>
            </w:tcBorders>
          </w:tcPr>
          <w:p>
            <w:pPr>
              <w:spacing w:after="0"/>
              <w:rPr>
                <w:sz w:val="2"/>
                <w:szCs w:val="2"/>
                <w:color w:val="auto"/>
              </w:rPr>
            </w:pPr>
          </w:p>
        </w:tc>
        <w:tc>
          <w:tcPr>
            <w:tcW w:w="2940" w:type="dxa"/>
            <w:vAlign w:val="bottom"/>
            <w:tcBorders>
              <w:bottom w:val="single" w:sz="8" w:color="010035"/>
            </w:tcBorders>
          </w:tcPr>
          <w:p>
            <w:pPr>
              <w:spacing w:after="0"/>
              <w:rPr>
                <w:sz w:val="2"/>
                <w:szCs w:val="2"/>
                <w:color w:val="auto"/>
              </w:rPr>
            </w:pPr>
          </w:p>
        </w:tc>
        <w:tc>
          <w:tcPr>
            <w:tcW w:w="1720" w:type="dxa"/>
            <w:vAlign w:val="bottom"/>
            <w:tcBorders>
              <w:bottom w:val="single" w:sz="8" w:color="01003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right="180" w:hanging="174"/>
        <w:spacing w:after="0" w:line="242" w:lineRule="auto"/>
        <w:tabs>
          <w:tab w:leader="none" w:pos="180" w:val="left"/>
        </w:tabs>
        <w:numPr>
          <w:ilvl w:val="0"/>
          <w:numId w:val="3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Based on its Schedule 13G/A filed with the SEC on October 18, 2024, the number of shares in the table includes shares beneficially owned as of September 30, 2024, by BlackRock, Inc. and its listed affiliates. BlackRock, Inc. has sole voting power over 17,102,228 shares, shared voting power over 0 shares, sole dispositive power over 17,659,980 shares and shared dispositive power over 0 shares. The address of BlackRock, Inc. is 50 Hudson Yards, New York, New York 10001.</w:t>
      </w:r>
    </w:p>
    <w:p>
      <w:pPr>
        <w:ind w:left="180" w:right="20" w:hanging="174"/>
        <w:spacing w:after="0" w:line="260" w:lineRule="auto"/>
        <w:tabs>
          <w:tab w:leader="none" w:pos="180" w:val="left"/>
        </w:tabs>
        <w:numPr>
          <w:ilvl w:val="0"/>
          <w:numId w:val="36"/>
        </w:numPr>
        <w:rPr>
          <w:rFonts w:ascii="Times New Roman" w:cs="Times New Roman" w:eastAsia="Times New Roman" w:hAnsi="Times New Roman"/>
          <w:sz w:val="10"/>
          <w:szCs w:val="10"/>
          <w:color w:val="010035"/>
        </w:rPr>
      </w:pPr>
      <w:r>
        <w:rPr>
          <w:rFonts w:ascii="Times New Roman" w:cs="Times New Roman" w:eastAsia="Times New Roman" w:hAnsi="Times New Roman"/>
          <w:sz w:val="10"/>
          <w:szCs w:val="10"/>
          <w:color w:val="010035"/>
        </w:rPr>
        <w:t>Based on its Schedule 13G/A filed with the SEC on July 10, 2024, the number of shares in the table includes shares beneficially owned as of June 28, 2024, by The Vanguard Group, Inc. and its listed affiliates. As of June 28, 2024, The Vanguard Group, Inc. had sole voting power over 0 shares, shared voting power over 48,331 shares, sole dispositive power over 16,301,637 shares and shared dispositive power over 194,628 shares. According to the most recent Schedule 13G/A filed by The Vanguard Group, Inc. with the SEC on March 27, 2026, The Vanguard Group, Inc. beneficially owns 0.0% as of March 13, 2026, following an internal reorganization pursuant to which The Vanguard Group, Inc.’s beneficial ownership has been disaggregated. The address of Vanguard Group, Inc. is 100 Vanguard Blvd., Malvern, Pennsylvania 19355.</w:t>
      </w:r>
    </w:p>
    <w:p>
      <w:pPr>
        <w:spacing w:after="0" w:line="1" w:lineRule="exact"/>
        <w:rPr>
          <w:rFonts w:ascii="Times New Roman" w:cs="Times New Roman" w:eastAsia="Times New Roman" w:hAnsi="Times New Roman"/>
          <w:sz w:val="10"/>
          <w:szCs w:val="10"/>
          <w:color w:val="010035"/>
        </w:rPr>
      </w:pPr>
    </w:p>
    <w:p>
      <w:pPr>
        <w:ind w:left="180" w:hanging="174"/>
        <w:spacing w:after="0"/>
        <w:tabs>
          <w:tab w:leader="none" w:pos="180" w:val="left"/>
        </w:tabs>
        <w:numPr>
          <w:ilvl w:val="0"/>
          <w:numId w:val="3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number of shares reported includes 20,000 shares held by a charitable foundation for which Mr. Handler has discretionary control.</w:t>
      </w:r>
    </w:p>
    <w:p>
      <w:pPr>
        <w:spacing w:after="0" w:line="16"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3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number of shares reported includes 1,950 shares indirectly held by Mr. Ruisanchez in a trust. </w:t>
      </w:r>
    </w:p>
    <w:p>
      <w:pPr>
        <w:spacing w:after="0" w:line="13"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3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number of shares reported for Mr. George is as of February 27, 2026.</w:t>
      </w:r>
    </w:p>
    <w:p>
      <w:pPr>
        <w:spacing w:after="0" w:line="8"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36"/>
        </w:numPr>
        <w:rPr>
          <w:rFonts w:ascii="Times New Roman" w:cs="Times New Roman" w:eastAsia="Times New Roman" w:hAnsi="Times New Roman"/>
          <w:sz w:val="10"/>
          <w:szCs w:val="10"/>
          <w:color w:val="010035"/>
        </w:rPr>
      </w:pPr>
      <w:r>
        <w:rPr>
          <w:rFonts w:ascii="Times New Roman" w:cs="Times New Roman" w:eastAsia="Times New Roman" w:hAnsi="Times New Roman"/>
          <w:sz w:val="10"/>
          <w:szCs w:val="10"/>
          <w:color w:val="010035"/>
        </w:rPr>
        <w:t>The number of shares in the table includes shares that may be acquired upon the exercise of outstanding options or options that may be exercised within 60 days from the Record Date, as follows: (i) Mr. Snowden:</w:t>
      </w:r>
    </w:p>
    <w:p>
      <w:pPr>
        <w:spacing w:after="0" w:line="13" w:lineRule="exact"/>
        <w:rPr>
          <w:rFonts w:ascii="Times New Roman" w:cs="Times New Roman" w:eastAsia="Times New Roman" w:hAnsi="Times New Roman"/>
          <w:sz w:val="10"/>
          <w:szCs w:val="10"/>
          <w:color w:val="010035"/>
        </w:rPr>
      </w:pPr>
    </w:p>
    <w:p>
      <w:pPr>
        <w:ind w:left="180"/>
        <w:spacing w:after="0"/>
        <w:rPr>
          <w:rFonts w:ascii="Times New Roman" w:cs="Times New Roman" w:eastAsia="Times New Roman" w:hAnsi="Times New Roman"/>
          <w:sz w:val="10"/>
          <w:szCs w:val="10"/>
          <w:color w:val="010035"/>
        </w:rPr>
      </w:pPr>
      <w:r>
        <w:rPr>
          <w:rFonts w:ascii="Times New Roman" w:cs="Times New Roman" w:eastAsia="Times New Roman" w:hAnsi="Times New Roman"/>
          <w:sz w:val="11"/>
          <w:szCs w:val="11"/>
          <w:color w:val="010035"/>
        </w:rPr>
        <w:t>1,925,401; (ii) Ms. Hendrix, 177,177; (iii) Mr. George: 319,089; (iv) Mr. Rogers: 193,635; and (v) all current executive officers and directors as a group: 2,615,302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7372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271" w:lineRule="exact"/>
        <w:rPr>
          <w:sz w:val="20"/>
          <w:szCs w:val="20"/>
          <w:color w:val="auto"/>
        </w:rPr>
      </w:pPr>
    </w:p>
    <w:p>
      <w:pPr>
        <w:ind w:left="340" w:right="320"/>
        <w:spacing w:after="0" w:line="298" w:lineRule="auto"/>
        <w:rPr>
          <w:sz w:val="20"/>
          <w:szCs w:val="20"/>
          <w:color w:val="auto"/>
        </w:rPr>
      </w:pPr>
      <w:r>
        <w:rPr>
          <w:rFonts w:ascii="Arial" w:cs="Arial" w:eastAsia="Arial" w:hAnsi="Arial"/>
          <w:sz w:val="32"/>
          <w:szCs w:val="32"/>
          <w:b w:val="1"/>
          <w:bCs w:val="1"/>
          <w:color w:val="FFFFFF"/>
        </w:rPr>
        <w:t>SECURITY OWNERSHIP OF CERTAIN BENEFICIAL OWNERS AND MANAGEMENT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Section 16(a) of the Exchange Act requires PENN’s directors, officers and beneficial owners of more than 10% of our common stock to file reports of ownership of our common stock with the SEC. Based solely on our review of such reports filed with the SEC and on representations received from our directors and officers, we believe that all of our directors, officers and beneficial owners of more than 10% of our common stock complied with all Section 16(a) filing requirements applicable to them with respect to transactions during fiscal year 2025, and all required reports under Section 16(a) were filed on a timely basis, other than a late Form 3 filing for Johnny Hartnett due to an extended processing time to obtain his initial SEC filing credentials under the new EDGAR Next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95885</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102870</wp:posOffset>
            </wp:positionV>
            <wp:extent cx="4414520" cy="1371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2571750" cy="82207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71750" cy="822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20"/>
        <w:spacing w:after="0"/>
        <w:rPr>
          <w:sz w:val="20"/>
          <w:szCs w:val="20"/>
          <w:color w:val="auto"/>
        </w:rPr>
      </w:pPr>
      <w:r>
        <w:rPr>
          <w:rFonts w:ascii="Arial" w:cs="Arial" w:eastAsia="Arial" w:hAnsi="Arial"/>
          <w:sz w:val="41"/>
          <w:szCs w:val="41"/>
          <w:b w:val="1"/>
          <w:bCs w:val="1"/>
          <w:color w:val="010035"/>
        </w:rPr>
        <w:t>PROPOSAL 2:</w:t>
      </w:r>
    </w:p>
    <w:p>
      <w:pPr>
        <w:spacing w:after="0" w:line="39"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RATIFICATION OF</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APPOINTMENT OF</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INDEPENDENT</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REGISTERED</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PUBLIC</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52070</wp:posOffset>
            </wp:positionV>
            <wp:extent cx="3737610"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737610" cy="137160"/>
                    </a:xfrm>
                    <a:prstGeom prst="rect">
                      <a:avLst/>
                    </a:prstGeom>
                    <a:noFill/>
                  </pic:spPr>
                </pic:pic>
              </a:graphicData>
            </a:graphic>
          </wp:anchor>
        </w:drawing>
      </w:r>
    </w:p>
    <w:p>
      <w:pPr>
        <w:spacing w:after="0" w:line="15" w:lineRule="exact"/>
        <w:rPr>
          <w:sz w:val="20"/>
          <w:szCs w:val="20"/>
          <w:color w:val="auto"/>
        </w:rPr>
      </w:pPr>
    </w:p>
    <w:p>
      <w:pPr>
        <w:ind w:left="4320"/>
        <w:spacing w:after="0"/>
        <w:rPr>
          <w:sz w:val="20"/>
          <w:szCs w:val="20"/>
          <w:color w:val="auto"/>
        </w:rPr>
      </w:pPr>
      <w:r>
        <w:rPr>
          <w:sz w:val="1"/>
          <w:szCs w:val="1"/>
          <w:color w:val="auto"/>
        </w:rPr>
        <w:drawing>
          <wp:inline distT="0" distB="0" distL="0" distR="0">
            <wp:extent cx="128905" cy="36830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8905" cy="368300"/>
                    </a:xfrm>
                    <a:prstGeom prst="rect">
                      <a:avLst/>
                    </a:prstGeom>
                    <a:noFill/>
                    <a:ln>
                      <a:noFill/>
                    </a:ln>
                  </pic:spPr>
                </pic:pic>
              </a:graphicData>
            </a:graphic>
          </wp:inline>
        </w:drawing>
      </w:r>
      <w:r>
        <w:rPr>
          <w:rFonts w:ascii="Arial" w:cs="Arial" w:eastAsia="Arial" w:hAnsi="Arial"/>
          <w:sz w:val="22"/>
          <w:szCs w:val="22"/>
          <w:b w:val="1"/>
          <w:bCs w:val="1"/>
          <w:color w:val="010035"/>
        </w:rPr>
        <w:t xml:space="preserve">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-231140</wp:posOffset>
            </wp:positionV>
            <wp:extent cx="3737610" cy="8483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737610" cy="848360"/>
                    </a:xfrm>
                    <a:prstGeom prst="rect">
                      <a:avLst/>
                    </a:prstGeom>
                    <a:noFill/>
                  </pic:spPr>
                </pic:pic>
              </a:graphicData>
            </a:graphic>
          </wp:anchor>
        </w:drawing>
      </w:r>
    </w:p>
    <w:p>
      <w:pPr>
        <w:spacing w:after="0" w:line="11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FFFFFF"/>
        </w:rPr>
        <w:t>OUR BOARD OF DIRECTORS UNANIMOUSLY RECOMMENDS A</w:t>
      </w:r>
    </w:p>
    <w:p>
      <w:pPr>
        <w:spacing w:after="0" w:line="2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FFFFFF"/>
        </w:rPr>
        <w:t>VOTE “FOR” THE RATIFICATION OF PRICEWATERHOUSECOOPERS</w:t>
      </w:r>
    </w:p>
    <w:p>
      <w:pPr>
        <w:spacing w:after="0" w:line="1" w:lineRule="exact"/>
        <w:rPr>
          <w:sz w:val="20"/>
          <w:szCs w:val="20"/>
          <w:color w:val="auto"/>
        </w:rPr>
      </w:pPr>
    </w:p>
    <w:p>
      <w:pPr>
        <w:ind w:left="5260" w:right="420"/>
        <w:spacing w:after="0" w:line="273" w:lineRule="auto"/>
        <w:rPr>
          <w:sz w:val="20"/>
          <w:szCs w:val="20"/>
          <w:color w:val="auto"/>
        </w:rPr>
      </w:pPr>
      <w:r>
        <w:rPr>
          <w:rFonts w:ascii="Arial" w:cs="Arial" w:eastAsia="Arial" w:hAnsi="Arial"/>
          <w:sz w:val="14"/>
          <w:szCs w:val="14"/>
          <w:b w:val="1"/>
          <w:bCs w:val="1"/>
          <w:color w:val="FFFFFF"/>
        </w:rPr>
        <w:t>LLP AS OUR INDEPENDENT REGISTERED PUBLIC ACCOUNTING FIRM FOR THE FISCAL YEAR ENDING DECEMBER 31, 2026.</w:t>
      </w:r>
    </w:p>
    <w:p>
      <w:pPr>
        <w:spacing w:after="0" w:line="200" w:lineRule="exact"/>
        <w:rPr>
          <w:sz w:val="20"/>
          <w:szCs w:val="20"/>
          <w:color w:val="auto"/>
        </w:rPr>
      </w:pPr>
    </w:p>
    <w:p>
      <w:pPr>
        <w:spacing w:after="0" w:line="38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69439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12065</wp:posOffset>
            </wp:positionV>
            <wp:extent cx="373761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92" w:lineRule="exact"/>
        <w:rPr>
          <w:sz w:val="20"/>
          <w:szCs w:val="20"/>
          <w:color w:val="auto"/>
        </w:rPr>
      </w:pPr>
    </w:p>
    <w:p>
      <w:pPr>
        <w:ind w:left="4320" w:right="480"/>
        <w:spacing w:after="0" w:line="245" w:lineRule="auto"/>
        <w:rPr>
          <w:sz w:val="20"/>
          <w:szCs w:val="20"/>
          <w:color w:val="auto"/>
        </w:rPr>
      </w:pPr>
      <w:r>
        <w:rPr>
          <w:rFonts w:ascii="Arial" w:cs="Arial" w:eastAsia="Arial" w:hAnsi="Arial"/>
          <w:sz w:val="14"/>
          <w:szCs w:val="14"/>
          <w:color w:val="auto"/>
        </w:rPr>
        <w:t>Our Audit Committee has appointed the accounting firm of PricewaterhouseCoopers LLP (“PwC”) to serve as our independent registered public accounting firm for the fiscal year ending December 31, 2026. Action by shareholders is not required by law, the Nasdaq Rules or our organizational documents in the appointment of an independent registered public accounting firm. This proposal is submitted by our Board of Directors for ratification as a matter of good corporate governance to give our shareholders a voice in the appointment of auditors. If the appointment is not ratified by our shareholders, our Board of Directors will further consider its choice of PwC as our independent registered public accounting firm and may, but will not be required to, appoint a different independent registered public accounting firm. PwC has advised us that neither it nor any member thereof has any financial interest, direct or indirect, in our Company or any of our subsidiaries in any capacity.</w:t>
      </w:r>
    </w:p>
    <w:p>
      <w:pPr>
        <w:spacing w:after="0" w:line="80" w:lineRule="exact"/>
        <w:rPr>
          <w:sz w:val="20"/>
          <w:szCs w:val="20"/>
          <w:color w:val="auto"/>
        </w:rPr>
      </w:pPr>
    </w:p>
    <w:p>
      <w:pPr>
        <w:ind w:left="4320" w:right="500"/>
        <w:spacing w:after="0" w:line="252" w:lineRule="auto"/>
        <w:rPr>
          <w:sz w:val="20"/>
          <w:szCs w:val="20"/>
          <w:color w:val="auto"/>
        </w:rPr>
      </w:pPr>
      <w:r>
        <w:rPr>
          <w:rFonts w:ascii="Arial" w:cs="Arial" w:eastAsia="Arial" w:hAnsi="Arial"/>
          <w:sz w:val="14"/>
          <w:szCs w:val="14"/>
          <w:color w:val="auto"/>
        </w:rPr>
        <w:t>For additional information regarding our independent registered public accounting firm, see “Principal Accountant Fees and Services” below. A representative of PwC will be present at the Annual Meeting. The representative will have an opportunity to make a statement if he or she desires and will be available to respond to appropriate questions.</w:t>
      </w:r>
    </w:p>
    <w:p>
      <w:pPr>
        <w:sectPr>
          <w:pgSz w:w="11900" w:h="16838" w:orient="portrait"/>
          <w:cols w:equalWidth="0" w:num="1">
            <w:col w:w="10200"/>
          </w:cols>
          <w:pgMar w:left="840" w:top="114"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6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199390</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200"/>
          </w:cols>
          <w:pgMar w:left="840" w:top="114" w:right="859" w:bottom="1440" w:gutter="0" w:footer="0" w:header="0"/>
          <w:type w:val="continuous"/>
        </w:sectPr>
      </w:pPr>
    </w:p>
    <w:bookmarkStart w:id="57" w:name="page58"/>
    <w:bookmarkEnd w:id="57"/>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102870</wp:posOffset>
            </wp:positionV>
            <wp:extent cx="4423410" cy="1117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ind w:left="800"/>
        <w:spacing w:after="0"/>
        <w:tabs>
          <w:tab w:leader="none" w:pos="12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6350</wp:posOffset>
            </wp:positionV>
            <wp:extent cx="5966460" cy="1968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ind w:left="800"/>
        <w:spacing w:after="0"/>
        <w:rPr>
          <w:sz w:val="20"/>
          <w:szCs w:val="20"/>
          <w:color w:val="auto"/>
        </w:rPr>
      </w:pPr>
      <w:r>
        <w:rPr>
          <w:sz w:val="1"/>
          <w:szCs w:val="1"/>
          <w:color w:val="auto"/>
        </w:rPr>
        <w:drawing>
          <wp:inline distT="0" distB="0" distL="0" distR="0">
            <wp:extent cx="137160" cy="45720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-295910</wp:posOffset>
            </wp:positionV>
            <wp:extent cx="5829300" cy="3003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51" w:lineRule="exact"/>
        <w:rPr>
          <w:sz w:val="20"/>
          <w:szCs w:val="20"/>
          <w:color w:val="auto"/>
        </w:rPr>
      </w:pPr>
    </w:p>
    <w:p>
      <w:pPr>
        <w:ind w:left="800" w:right="860"/>
        <w:spacing w:after="0" w:line="245" w:lineRule="auto"/>
        <w:rPr>
          <w:sz w:val="20"/>
          <w:szCs w:val="20"/>
          <w:color w:val="auto"/>
        </w:rPr>
      </w:pPr>
      <w:r>
        <w:rPr>
          <w:rFonts w:ascii="Arial" w:cs="Arial" w:eastAsia="Arial" w:hAnsi="Arial"/>
          <w:sz w:val="14"/>
          <w:szCs w:val="14"/>
          <w:color w:val="auto"/>
        </w:rPr>
        <w:t>The following is a report by the Audit Committee of our Board of Directors regarding the responsibilities and functions of the Audit Committee. This report is not “soliciting material,” is not deemed filed with the SEC, and is not to be incorporated by reference in any of the Company’s filings under the Securities Act or the Exchange Act, respectively, whether made before or after the date of this Proxy Statement and irrespective of any general incorporation language therein. Management is responsible for the preparation, presentation and integrity of the Company’s financial statements, accounting and financial reporting principles, internal controls and procedures designed to ensure compliance with accounting standards, applicable laws and regulations. The Audit Committee is responsible for appointing, compensating, overseeing and, where appropriate, discharging and replacing the Company’s independent registered public accounting firm (the “independent accounting firm”). In addition, the Audit Committee is involved in the selection of the lead audit engagement partner whenever a rotational change is required by applicable law or listing standards or for any other reason. The independent accounting firm is responsible for expressing an opinion on the conformity of the Company’s audited financial statements with generally accepted accounting principles. In addition, the independent accounting firm will express its own opinion on the effectiveness of the Company’s internal control over financial reporting. The Audit Committee is responsible for monitoring and overseeing these processes.</w:t>
      </w:r>
    </w:p>
    <w:p>
      <w:pPr>
        <w:spacing w:after="0" w:line="204" w:lineRule="exact"/>
        <w:rPr>
          <w:sz w:val="20"/>
          <w:szCs w:val="20"/>
          <w:color w:val="auto"/>
        </w:rPr>
      </w:pPr>
    </w:p>
    <w:p>
      <w:pPr>
        <w:ind w:left="800" w:right="940"/>
        <w:spacing w:after="0" w:line="252" w:lineRule="auto"/>
        <w:rPr>
          <w:sz w:val="20"/>
          <w:szCs w:val="20"/>
          <w:color w:val="auto"/>
        </w:rPr>
      </w:pPr>
      <w:r>
        <w:rPr>
          <w:rFonts w:ascii="Arial" w:cs="Arial" w:eastAsia="Arial" w:hAnsi="Arial"/>
          <w:sz w:val="14"/>
          <w:szCs w:val="14"/>
          <w:color w:val="auto"/>
        </w:rPr>
        <w:t>The function of the Audit Committee is not intended to duplicate or attest as to the activities of management and the independent accounting firm, nor can the Audit Committee certify that the independent accounting firm is “independent” under applicable rules. The Audit Committee serves a board-level oversight role, in which it provides advice, counsel and direction to management and the independent accounting firm based on the information it receives, discussions with management and the independent accounting firm and the experience of the Audit Committee’s members in business, financial and accounting matters.</w:t>
      </w:r>
    </w:p>
    <w:p>
      <w:pPr>
        <w:spacing w:after="0" w:line="46" w:lineRule="exact"/>
        <w:rPr>
          <w:sz w:val="20"/>
          <w:szCs w:val="20"/>
          <w:color w:val="auto"/>
        </w:rPr>
      </w:pPr>
    </w:p>
    <w:p>
      <w:pPr>
        <w:ind w:left="800" w:right="880"/>
        <w:spacing w:after="0" w:line="247" w:lineRule="auto"/>
        <w:rPr>
          <w:sz w:val="20"/>
          <w:szCs w:val="20"/>
          <w:color w:val="auto"/>
        </w:rPr>
      </w:pPr>
      <w:r>
        <w:rPr>
          <w:rFonts w:ascii="Arial" w:cs="Arial" w:eastAsia="Arial" w:hAnsi="Arial"/>
          <w:sz w:val="14"/>
          <w:szCs w:val="14"/>
          <w:color w:val="auto"/>
        </w:rPr>
        <w:t>In this context, the Audit Committee met and held regular discussions with management and the independent accounting firm during 2025. Management represented to the Audit Committee that the Company’s consolidated financial statements were prepared in accordance with generally accepted accounting principles, and the Audit Committee has reviewed and discussed the consolidated financial statements with management and the independent accounting firm. The Audit Committee discussed with the independent accounting firm matters required to be discussed by the applicable standards of the Public Company Accounting Oversight Board. The independent accounting firm also provided to the Audit Committee the written disclosures and the letter required by Rule 3526 of the Public Company Accounting Oversight Board, Communications with Audit Committees Concerning Independence, and the Audit Committee discussed with the independent accounting firm the firm’s independence.</w:t>
      </w:r>
    </w:p>
    <w:p>
      <w:pPr>
        <w:spacing w:after="0" w:line="204" w:lineRule="exact"/>
        <w:rPr>
          <w:sz w:val="20"/>
          <w:szCs w:val="20"/>
          <w:color w:val="auto"/>
        </w:rPr>
      </w:pPr>
    </w:p>
    <w:p>
      <w:pPr>
        <w:ind w:left="800" w:right="860"/>
        <w:spacing w:after="0" w:line="256" w:lineRule="auto"/>
        <w:rPr>
          <w:sz w:val="20"/>
          <w:szCs w:val="20"/>
          <w:color w:val="auto"/>
        </w:rPr>
      </w:pPr>
      <w:r>
        <w:rPr>
          <w:rFonts w:ascii="Arial" w:cs="Arial" w:eastAsia="Arial" w:hAnsi="Arial"/>
          <w:sz w:val="14"/>
          <w:szCs w:val="14"/>
          <w:color w:val="auto"/>
        </w:rPr>
        <w:t>Based upon the Audit Committee’s discussion with management and the independent accounting firm and the Audit Committee’s review of the representations of management and the report of the independent accounting firm on the Consolidated Financial Statements, the Audit Committee recommended that the Board of Directors include the audited consolidated financial statements in the Company’s 2025 Annual Report filed with the SEC on February 26, 2026.</w:t>
      </w:r>
    </w:p>
    <w:p>
      <w:pPr>
        <w:spacing w:after="0" w:line="33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Audit Committee Report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20320</wp:posOffset>
            </wp:positionV>
            <wp:extent cx="59664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0" w:type="dxa"/>
            <w:vAlign w:val="bottom"/>
          </w:tcPr>
          <w:p>
            <w:pPr>
              <w:spacing w:after="0"/>
              <w:rPr>
                <w:sz w:val="15"/>
                <w:szCs w:val="15"/>
                <w:color w:val="auto"/>
              </w:rPr>
            </w:pPr>
          </w:p>
        </w:tc>
        <w:tc>
          <w:tcPr>
            <w:tcW w:w="1300" w:type="dxa"/>
            <w:vAlign w:val="bottom"/>
            <w:shd w:val="clear" w:color="auto" w:fill="DED8EC"/>
          </w:tcPr>
          <w:p>
            <w:pPr>
              <w:spacing w:after="0"/>
              <w:rPr>
                <w:sz w:val="15"/>
                <w:szCs w:val="15"/>
                <w:color w:val="auto"/>
              </w:rPr>
            </w:pPr>
          </w:p>
        </w:tc>
        <w:tc>
          <w:tcPr>
            <w:tcW w:w="2220" w:type="dxa"/>
            <w:vAlign w:val="bottom"/>
            <w:vMerge w:val="restart"/>
            <w:shd w:val="clear" w:color="auto" w:fill="DED8EC"/>
          </w:tcPr>
          <w:p>
            <w:pPr>
              <w:ind w:left="660"/>
              <w:spacing w:after="0"/>
              <w:rPr>
                <w:sz w:val="20"/>
                <w:szCs w:val="20"/>
                <w:color w:val="auto"/>
              </w:rPr>
            </w:pPr>
            <w:r>
              <w:rPr>
                <w:rFonts w:ascii="Arial" w:cs="Arial" w:eastAsia="Arial" w:hAnsi="Arial"/>
                <w:sz w:val="14"/>
                <w:szCs w:val="14"/>
                <w:color w:val="auto"/>
              </w:rPr>
              <w:t xml:space="preserve">  </w:t>
            </w:r>
          </w:p>
        </w:tc>
        <w:tc>
          <w:tcPr>
            <w:tcW w:w="40" w:type="dxa"/>
            <w:vAlign w:val="bottom"/>
            <w:shd w:val="clear" w:color="auto" w:fill="DED8EC"/>
          </w:tcPr>
          <w:p>
            <w:pPr>
              <w:spacing w:after="0"/>
              <w:rPr>
                <w:sz w:val="15"/>
                <w:szCs w:val="15"/>
                <w:color w:val="auto"/>
              </w:rPr>
            </w:pPr>
          </w:p>
        </w:tc>
        <w:tc>
          <w:tcPr>
            <w:tcW w:w="300" w:type="dxa"/>
            <w:vAlign w:val="bottom"/>
            <w:vMerge w:val="restart"/>
            <w:shd w:val="clear" w:color="auto" w:fill="DED8EC"/>
          </w:tcPr>
          <w:p>
            <w:pPr>
              <w:ind w:left="20"/>
              <w:spacing w:after="0"/>
              <w:rPr>
                <w:sz w:val="20"/>
                <w:szCs w:val="20"/>
                <w:color w:val="auto"/>
              </w:rPr>
            </w:pPr>
            <w:r>
              <w:rPr>
                <w:rFonts w:ascii="Arial" w:cs="Arial" w:eastAsia="Arial" w:hAnsi="Arial"/>
                <w:sz w:val="14"/>
                <w:szCs w:val="14"/>
                <w:color w:val="auto"/>
              </w:rPr>
              <w:t xml:space="preserve">  </w:t>
            </w:r>
          </w:p>
        </w:tc>
        <w:tc>
          <w:tcPr>
            <w:tcW w:w="1740" w:type="dxa"/>
            <w:vAlign w:val="bottom"/>
            <w:shd w:val="clear" w:color="auto" w:fill="DED8EC"/>
          </w:tcPr>
          <w:p>
            <w:pPr>
              <w:spacing w:after="0"/>
              <w:rPr>
                <w:sz w:val="15"/>
                <w:szCs w:val="15"/>
                <w:color w:val="auto"/>
              </w:rPr>
            </w:pPr>
          </w:p>
        </w:tc>
        <w:tc>
          <w:tcPr>
            <w:tcW w:w="3800" w:type="dxa"/>
            <w:vAlign w:val="bottom"/>
            <w:vMerge w:val="restart"/>
            <w:shd w:val="clear" w:color="auto" w:fill="DED8EC"/>
          </w:tcPr>
          <w:p>
            <w:pPr>
              <w:ind w:left="260"/>
              <w:spacing w:after="0"/>
              <w:rPr>
                <w:sz w:val="20"/>
                <w:szCs w:val="20"/>
                <w:color w:val="auto"/>
              </w:rPr>
            </w:pPr>
            <w:r>
              <w:rPr>
                <w:rFonts w:ascii="Arial" w:cs="Arial" w:eastAsia="Arial" w:hAnsi="Arial"/>
                <w:sz w:val="14"/>
                <w:szCs w:val="14"/>
                <w:color w:val="auto"/>
              </w:rPr>
              <w:t xml:space="preserve">  </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9"/>
        </w:trPr>
        <w:tc>
          <w:tcPr>
            <w:tcW w:w="800" w:type="dxa"/>
            <w:vAlign w:val="bottom"/>
          </w:tcPr>
          <w:p>
            <w:pPr>
              <w:spacing w:after="0"/>
              <w:rPr>
                <w:sz w:val="24"/>
                <w:szCs w:val="24"/>
                <w:color w:val="auto"/>
              </w:rPr>
            </w:pPr>
          </w:p>
        </w:tc>
        <w:tc>
          <w:tcPr>
            <w:tcW w:w="1300" w:type="dxa"/>
            <w:vAlign w:val="bottom"/>
            <w:shd w:val="clear" w:color="auto" w:fill="DED8EC"/>
          </w:tcPr>
          <w:p>
            <w:pPr>
              <w:spacing w:after="0"/>
              <w:rPr>
                <w:sz w:val="24"/>
                <w:szCs w:val="24"/>
                <w:color w:val="auto"/>
              </w:rPr>
            </w:pPr>
          </w:p>
        </w:tc>
        <w:tc>
          <w:tcPr>
            <w:tcW w:w="2220" w:type="dxa"/>
            <w:vAlign w:val="bottom"/>
            <w:vMerge w:val="continue"/>
            <w:shd w:val="clear" w:color="auto" w:fill="DED8EC"/>
          </w:tcPr>
          <w:p>
            <w:pPr>
              <w:spacing w:after="0"/>
              <w:rPr>
                <w:sz w:val="24"/>
                <w:szCs w:val="24"/>
                <w:color w:val="auto"/>
              </w:rPr>
            </w:pPr>
          </w:p>
        </w:tc>
        <w:tc>
          <w:tcPr>
            <w:tcW w:w="40" w:type="dxa"/>
            <w:vAlign w:val="bottom"/>
            <w:shd w:val="clear" w:color="auto" w:fill="DED8EC"/>
          </w:tcPr>
          <w:p>
            <w:pPr>
              <w:spacing w:after="0"/>
              <w:rPr>
                <w:sz w:val="24"/>
                <w:szCs w:val="24"/>
                <w:color w:val="auto"/>
              </w:rPr>
            </w:pPr>
          </w:p>
        </w:tc>
        <w:tc>
          <w:tcPr>
            <w:tcW w:w="300" w:type="dxa"/>
            <w:vAlign w:val="bottom"/>
            <w:vMerge w:val="continue"/>
            <w:shd w:val="clear" w:color="auto" w:fill="DED8EC"/>
          </w:tcPr>
          <w:p>
            <w:pPr>
              <w:spacing w:after="0"/>
              <w:rPr>
                <w:sz w:val="24"/>
                <w:szCs w:val="24"/>
                <w:color w:val="auto"/>
              </w:rPr>
            </w:pPr>
          </w:p>
        </w:tc>
        <w:tc>
          <w:tcPr>
            <w:tcW w:w="1740" w:type="dxa"/>
            <w:vAlign w:val="bottom"/>
            <w:shd w:val="clear" w:color="auto" w:fill="DED8EC"/>
          </w:tcPr>
          <w:p>
            <w:pPr>
              <w:spacing w:after="0"/>
              <w:rPr>
                <w:sz w:val="24"/>
                <w:szCs w:val="24"/>
                <w:color w:val="auto"/>
              </w:rPr>
            </w:pPr>
          </w:p>
        </w:tc>
        <w:tc>
          <w:tcPr>
            <w:tcW w:w="3800" w:type="dxa"/>
            <w:vAlign w:val="bottom"/>
            <w:vMerge w:val="continue"/>
            <w:shd w:val="clear" w:color="auto" w:fill="DED8EC"/>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300" w:type="dxa"/>
            <w:vAlign w:val="bottom"/>
            <w:shd w:val="clear" w:color="auto" w:fill="DED8EC"/>
          </w:tcPr>
          <w:p>
            <w:pPr>
              <w:spacing w:after="0"/>
              <w:rPr>
                <w:sz w:val="15"/>
                <w:szCs w:val="15"/>
                <w:color w:val="auto"/>
              </w:rPr>
            </w:pPr>
          </w:p>
        </w:tc>
        <w:tc>
          <w:tcPr>
            <w:tcW w:w="2220" w:type="dxa"/>
            <w:vAlign w:val="bottom"/>
            <w:shd w:val="clear" w:color="auto" w:fill="DED8EC"/>
          </w:tcPr>
          <w:p>
            <w:pPr>
              <w:jc w:val="center"/>
              <w:spacing w:after="0"/>
              <w:rPr>
                <w:sz w:val="20"/>
                <w:szCs w:val="20"/>
                <w:color w:val="auto"/>
              </w:rPr>
            </w:pPr>
            <w:r>
              <w:rPr>
                <w:rFonts w:ascii="Arial" w:cs="Arial" w:eastAsia="Arial" w:hAnsi="Arial"/>
                <w:sz w:val="14"/>
                <w:szCs w:val="14"/>
                <w:b w:val="1"/>
                <w:bCs w:val="1"/>
                <w:color w:val="auto"/>
              </w:rPr>
              <w:t>Jane Scaccetti</w:t>
            </w:r>
          </w:p>
        </w:tc>
        <w:tc>
          <w:tcPr>
            <w:tcW w:w="40" w:type="dxa"/>
            <w:vAlign w:val="bottom"/>
            <w:shd w:val="clear" w:color="auto" w:fill="DED8EC"/>
          </w:tcPr>
          <w:p>
            <w:pPr>
              <w:spacing w:after="0"/>
              <w:rPr>
                <w:sz w:val="15"/>
                <w:szCs w:val="15"/>
                <w:color w:val="auto"/>
              </w:rPr>
            </w:pPr>
          </w:p>
        </w:tc>
        <w:tc>
          <w:tcPr>
            <w:tcW w:w="300" w:type="dxa"/>
            <w:vAlign w:val="bottom"/>
            <w:shd w:val="clear" w:color="auto" w:fill="DED8EC"/>
          </w:tcPr>
          <w:p>
            <w:pPr>
              <w:spacing w:after="0"/>
              <w:rPr>
                <w:sz w:val="15"/>
                <w:szCs w:val="15"/>
                <w:color w:val="auto"/>
              </w:rPr>
            </w:pPr>
          </w:p>
        </w:tc>
        <w:tc>
          <w:tcPr>
            <w:tcW w:w="1740" w:type="dxa"/>
            <w:vAlign w:val="bottom"/>
            <w:shd w:val="clear" w:color="auto" w:fill="DED8EC"/>
          </w:tcPr>
          <w:p>
            <w:pPr>
              <w:jc w:val="center"/>
              <w:spacing w:after="0"/>
              <w:rPr>
                <w:sz w:val="20"/>
                <w:szCs w:val="20"/>
                <w:color w:val="auto"/>
              </w:rPr>
            </w:pPr>
            <w:r>
              <w:rPr>
                <w:rFonts w:ascii="Arial" w:cs="Arial" w:eastAsia="Arial" w:hAnsi="Arial"/>
                <w:sz w:val="14"/>
                <w:szCs w:val="14"/>
                <w:b w:val="1"/>
                <w:bCs w:val="1"/>
                <w:color w:val="auto"/>
              </w:rPr>
              <w:t>Vimla Black-Gupta</w:t>
            </w:r>
          </w:p>
        </w:tc>
        <w:tc>
          <w:tcPr>
            <w:tcW w:w="3800" w:type="dxa"/>
            <w:vAlign w:val="bottom"/>
            <w:shd w:val="clear" w:color="auto" w:fill="DED8EC"/>
          </w:tcPr>
          <w:p>
            <w:pPr>
              <w:jc w:val="center"/>
              <w:ind w:right="968"/>
              <w:spacing w:after="0"/>
              <w:rPr>
                <w:sz w:val="20"/>
                <w:szCs w:val="20"/>
                <w:color w:val="auto"/>
              </w:rPr>
            </w:pPr>
            <w:r>
              <w:rPr>
                <w:rFonts w:ascii="Arial" w:cs="Arial" w:eastAsia="Arial" w:hAnsi="Arial"/>
                <w:sz w:val="14"/>
                <w:szCs w:val="14"/>
                <w:b w:val="1"/>
                <w:bCs w:val="1"/>
                <w:color w:val="auto"/>
              </w:rPr>
              <w:t>Anuj Dhanda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1300" w:type="dxa"/>
            <w:vAlign w:val="bottom"/>
            <w:shd w:val="clear" w:color="auto" w:fill="DED8EC"/>
          </w:tcPr>
          <w:p>
            <w:pPr>
              <w:spacing w:after="0"/>
              <w:rPr>
                <w:sz w:val="14"/>
                <w:szCs w:val="14"/>
                <w:color w:val="auto"/>
              </w:rPr>
            </w:pPr>
          </w:p>
        </w:tc>
        <w:tc>
          <w:tcPr>
            <w:tcW w:w="2220" w:type="dxa"/>
            <w:vAlign w:val="bottom"/>
            <w:shd w:val="clear" w:color="auto" w:fill="DED8EC"/>
          </w:tcPr>
          <w:p>
            <w:pPr>
              <w:jc w:val="center"/>
              <w:spacing w:after="0"/>
              <w:rPr>
                <w:sz w:val="20"/>
                <w:szCs w:val="20"/>
                <w:color w:val="auto"/>
              </w:rPr>
            </w:pPr>
            <w:r>
              <w:rPr>
                <w:rFonts w:ascii="Arial" w:cs="Arial" w:eastAsia="Arial" w:hAnsi="Arial"/>
                <w:sz w:val="14"/>
                <w:szCs w:val="14"/>
                <w:color w:val="auto"/>
              </w:rPr>
              <w:t>Chair</w:t>
            </w:r>
          </w:p>
        </w:tc>
        <w:tc>
          <w:tcPr>
            <w:tcW w:w="40" w:type="dxa"/>
            <w:vAlign w:val="bottom"/>
            <w:shd w:val="clear" w:color="auto" w:fill="DED8EC"/>
          </w:tcPr>
          <w:p>
            <w:pPr>
              <w:spacing w:after="0"/>
              <w:rPr>
                <w:sz w:val="14"/>
                <w:szCs w:val="14"/>
                <w:color w:val="auto"/>
              </w:rPr>
            </w:pPr>
          </w:p>
        </w:tc>
        <w:tc>
          <w:tcPr>
            <w:tcW w:w="300" w:type="dxa"/>
            <w:vAlign w:val="bottom"/>
            <w:shd w:val="clear" w:color="auto" w:fill="DED8EC"/>
          </w:tcPr>
          <w:p>
            <w:pPr>
              <w:spacing w:after="0"/>
              <w:rPr>
                <w:sz w:val="14"/>
                <w:szCs w:val="14"/>
                <w:color w:val="auto"/>
              </w:rPr>
            </w:pPr>
          </w:p>
        </w:tc>
        <w:tc>
          <w:tcPr>
            <w:tcW w:w="1740" w:type="dxa"/>
            <w:vAlign w:val="bottom"/>
            <w:shd w:val="clear" w:color="auto" w:fill="DED8EC"/>
          </w:tcPr>
          <w:p>
            <w:pPr>
              <w:jc w:val="center"/>
              <w:spacing w:after="0"/>
              <w:rPr>
                <w:sz w:val="20"/>
                <w:szCs w:val="20"/>
                <w:color w:val="auto"/>
              </w:rPr>
            </w:pPr>
            <w:r>
              <w:rPr>
                <w:rFonts w:ascii="Arial" w:cs="Arial" w:eastAsia="Arial" w:hAnsi="Arial"/>
                <w:sz w:val="14"/>
                <w:szCs w:val="14"/>
                <w:color w:val="auto"/>
              </w:rPr>
              <w:t>Member</w:t>
            </w:r>
          </w:p>
        </w:tc>
        <w:tc>
          <w:tcPr>
            <w:tcW w:w="3800" w:type="dxa"/>
            <w:vAlign w:val="bottom"/>
            <w:shd w:val="clear" w:color="auto" w:fill="DED8EC"/>
          </w:tcPr>
          <w:p>
            <w:pPr>
              <w:jc w:val="center"/>
              <w:ind w:right="968"/>
              <w:spacing w:after="0"/>
              <w:rPr>
                <w:sz w:val="20"/>
                <w:szCs w:val="20"/>
                <w:color w:val="auto"/>
              </w:rPr>
            </w:pPr>
            <w:r>
              <w:rPr>
                <w:rFonts w:ascii="Arial" w:cs="Arial" w:eastAsia="Arial" w:hAnsi="Arial"/>
                <w:sz w:val="14"/>
                <w:szCs w:val="14"/>
                <w:color w:val="auto"/>
              </w:rPr>
              <w:t>Member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300" w:type="dxa"/>
            <w:vAlign w:val="bottom"/>
            <w:shd w:val="clear" w:color="auto" w:fill="DED8EC"/>
          </w:tcPr>
          <w:p>
            <w:pPr>
              <w:spacing w:after="0"/>
              <w:rPr>
                <w:sz w:val="11"/>
                <w:szCs w:val="11"/>
                <w:color w:val="auto"/>
              </w:rPr>
            </w:pPr>
          </w:p>
        </w:tc>
        <w:tc>
          <w:tcPr>
            <w:tcW w:w="2220" w:type="dxa"/>
            <w:vAlign w:val="bottom"/>
            <w:shd w:val="clear" w:color="auto" w:fill="DED8EC"/>
          </w:tcPr>
          <w:p>
            <w:pPr>
              <w:spacing w:after="0"/>
              <w:rPr>
                <w:sz w:val="11"/>
                <w:szCs w:val="11"/>
                <w:color w:val="auto"/>
              </w:rPr>
            </w:pPr>
          </w:p>
        </w:tc>
        <w:tc>
          <w:tcPr>
            <w:tcW w:w="40" w:type="dxa"/>
            <w:vAlign w:val="bottom"/>
            <w:shd w:val="clear" w:color="auto" w:fill="DED8EC"/>
          </w:tcPr>
          <w:p>
            <w:pPr>
              <w:spacing w:after="0"/>
              <w:rPr>
                <w:sz w:val="11"/>
                <w:szCs w:val="11"/>
                <w:color w:val="auto"/>
              </w:rPr>
            </w:pPr>
          </w:p>
        </w:tc>
        <w:tc>
          <w:tcPr>
            <w:tcW w:w="300" w:type="dxa"/>
            <w:vAlign w:val="bottom"/>
            <w:shd w:val="clear" w:color="auto" w:fill="DED8EC"/>
          </w:tcPr>
          <w:p>
            <w:pPr>
              <w:spacing w:after="0"/>
              <w:rPr>
                <w:sz w:val="11"/>
                <w:szCs w:val="11"/>
                <w:color w:val="auto"/>
              </w:rPr>
            </w:pPr>
          </w:p>
        </w:tc>
        <w:tc>
          <w:tcPr>
            <w:tcW w:w="1740" w:type="dxa"/>
            <w:vAlign w:val="bottom"/>
            <w:shd w:val="clear" w:color="auto" w:fill="DED8EC"/>
          </w:tcPr>
          <w:p>
            <w:pPr>
              <w:spacing w:after="0"/>
              <w:rPr>
                <w:sz w:val="11"/>
                <w:szCs w:val="11"/>
                <w:color w:val="auto"/>
              </w:rPr>
            </w:pPr>
          </w:p>
        </w:tc>
        <w:tc>
          <w:tcPr>
            <w:tcW w:w="3800" w:type="dxa"/>
            <w:vAlign w:val="bottom"/>
            <w:shd w:val="clear" w:color="auto" w:fill="DED8EC"/>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-1499870</wp:posOffset>
            </wp:positionV>
            <wp:extent cx="4286250" cy="9512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286250" cy="95123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22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88" w:lineRule="exact"/>
        <w:rPr>
          <w:sz w:val="20"/>
          <w:szCs w:val="20"/>
          <w:color w:val="auto"/>
        </w:rPr>
      </w:pPr>
    </w:p>
    <w:p>
      <w:pPr>
        <w:ind w:right="380"/>
        <w:spacing w:after="0" w:line="285" w:lineRule="auto"/>
        <w:rPr>
          <w:sz w:val="20"/>
          <w:szCs w:val="20"/>
          <w:color w:val="auto"/>
        </w:rPr>
      </w:pPr>
      <w:r>
        <w:rPr>
          <w:rFonts w:ascii="Arial" w:cs="Arial" w:eastAsia="Arial" w:hAnsi="Arial"/>
          <w:sz w:val="14"/>
          <w:szCs w:val="14"/>
          <w:color w:val="auto"/>
        </w:rPr>
        <w:t>A description of aggregate fees for professional services performed by PricewaterhouseCoopers LLP, which served as our independent public accounting firm for fiscal 2025 and 2024, is as follows:</w:t>
      </w:r>
    </w:p>
    <w:tbl>
      <w:tblPr>
        <w:tblLayout w:type="fixed"/>
        <w:tblInd w:w="0" w:type="dxa"/>
        <w:tblCellMar>
          <w:top w:w="0" w:type="dxa"/>
          <w:left w:w="0" w:type="dxa"/>
          <w:bottom w:w="0" w:type="dxa"/>
          <w:right w:w="0" w:type="dxa"/>
        </w:tblCellMar>
      </w:tblPr>
      <w:tr>
        <w:trPr>
          <w:trHeight w:val="370"/>
        </w:trPr>
        <w:tc>
          <w:tcPr>
            <w:tcW w:w="2860" w:type="dxa"/>
            <w:vAlign w:val="bottom"/>
            <w:tcBorders>
              <w:top w:val="single" w:sz="8" w:color="69439A"/>
              <w:bottom w:val="single" w:sz="8" w:color="010035"/>
            </w:tcBorders>
            <w:shd w:val="clear" w:color="auto" w:fill="010035"/>
          </w:tcPr>
          <w:p>
            <w:pPr>
              <w:ind w:left="80"/>
              <w:spacing w:after="0"/>
              <w:rPr>
                <w:sz w:val="20"/>
                <w:szCs w:val="20"/>
                <w:color w:val="auto"/>
              </w:rPr>
            </w:pPr>
            <w:r>
              <w:rPr>
                <w:rFonts w:ascii="Arial" w:cs="Arial" w:eastAsia="Arial" w:hAnsi="Arial"/>
                <w:sz w:val="14"/>
                <w:szCs w:val="14"/>
                <w:b w:val="1"/>
                <w:bCs w:val="1"/>
                <w:color w:val="FFFFFF"/>
              </w:rPr>
              <w:t>FEES</w:t>
            </w:r>
          </w:p>
        </w:tc>
        <w:tc>
          <w:tcPr>
            <w:tcW w:w="3420" w:type="dxa"/>
            <w:vAlign w:val="bottom"/>
            <w:tcBorders>
              <w:top w:val="single" w:sz="8" w:color="69439A"/>
              <w:bottom w:val="single" w:sz="8" w:color="010035"/>
            </w:tcBorders>
            <w:shd w:val="clear" w:color="auto" w:fill="010035"/>
          </w:tcPr>
          <w:p>
            <w:pPr>
              <w:ind w:left="1320"/>
              <w:spacing w:after="0"/>
              <w:rPr>
                <w:sz w:val="20"/>
                <w:szCs w:val="20"/>
                <w:color w:val="auto"/>
              </w:rPr>
            </w:pPr>
            <w:r>
              <w:rPr>
                <w:rFonts w:ascii="Arial" w:cs="Arial" w:eastAsia="Arial" w:hAnsi="Arial"/>
                <w:sz w:val="14"/>
                <w:szCs w:val="14"/>
                <w:b w:val="1"/>
                <w:bCs w:val="1"/>
                <w:color w:val="FFFFFF"/>
              </w:rPr>
              <w:t>FISCAL 2025 ($)</w:t>
            </w:r>
          </w:p>
        </w:tc>
        <w:tc>
          <w:tcPr>
            <w:tcW w:w="3120" w:type="dxa"/>
            <w:vAlign w:val="bottom"/>
            <w:tcBorders>
              <w:top w:val="single" w:sz="8" w:color="69439A"/>
              <w:bottom w:val="single" w:sz="8" w:color="010035"/>
            </w:tcBorders>
            <w:shd w:val="clear" w:color="auto" w:fill="010035"/>
          </w:tcPr>
          <w:p>
            <w:pPr>
              <w:ind w:left="1040"/>
              <w:spacing w:after="0"/>
              <w:rPr>
                <w:sz w:val="20"/>
                <w:szCs w:val="20"/>
                <w:color w:val="auto"/>
              </w:rPr>
            </w:pPr>
            <w:r>
              <w:rPr>
                <w:rFonts w:ascii="Arial" w:cs="Arial" w:eastAsia="Arial" w:hAnsi="Arial"/>
                <w:sz w:val="14"/>
                <w:szCs w:val="14"/>
                <w:b w:val="1"/>
                <w:bCs w:val="1"/>
                <w:color w:val="FFFFFF"/>
              </w:rPr>
              <w:t>FISCAL 2024 ($)</w:t>
            </w:r>
          </w:p>
        </w:tc>
      </w:tr>
      <w:tr>
        <w:trPr>
          <w:trHeight w:val="378"/>
        </w:trPr>
        <w:tc>
          <w:tcPr>
            <w:tcW w:w="2860" w:type="dxa"/>
            <w:vAlign w:val="bottom"/>
          </w:tcPr>
          <w:p>
            <w:pPr>
              <w:ind w:left="80"/>
              <w:spacing w:after="0"/>
              <w:rPr>
                <w:sz w:val="20"/>
                <w:szCs w:val="20"/>
                <w:color w:val="auto"/>
              </w:rPr>
            </w:pPr>
            <w:r>
              <w:rPr>
                <w:rFonts w:ascii="Arial" w:cs="Arial" w:eastAsia="Arial" w:hAnsi="Arial"/>
                <w:sz w:val="14"/>
                <w:szCs w:val="14"/>
                <w:b w:val="1"/>
                <w:bCs w:val="1"/>
                <w:color w:val="010035"/>
              </w:rPr>
              <w:t>Audit Fees</w:t>
            </w:r>
            <w:r>
              <w:rPr>
                <w:rFonts w:ascii="Arial" w:cs="Arial" w:eastAsia="Arial" w:hAnsi="Arial"/>
                <w:sz w:val="23"/>
                <w:szCs w:val="23"/>
                <w:b w:val="1"/>
                <w:bCs w:val="1"/>
                <w:color w:val="010035"/>
                <w:vertAlign w:val="superscript"/>
              </w:rPr>
              <w:t>(1)</w:t>
            </w:r>
          </w:p>
        </w:tc>
        <w:tc>
          <w:tcPr>
            <w:tcW w:w="3420" w:type="dxa"/>
            <w:vAlign w:val="bottom"/>
          </w:tcPr>
          <w:p>
            <w:pPr>
              <w:jc w:val="center"/>
              <w:ind w:left="188"/>
              <w:spacing w:after="0"/>
              <w:rPr>
                <w:sz w:val="20"/>
                <w:szCs w:val="20"/>
                <w:color w:val="auto"/>
              </w:rPr>
            </w:pPr>
            <w:r>
              <w:rPr>
                <w:rFonts w:ascii="Arial" w:cs="Arial" w:eastAsia="Arial" w:hAnsi="Arial"/>
                <w:sz w:val="14"/>
                <w:szCs w:val="14"/>
                <w:color w:val="010035"/>
              </w:rPr>
              <w:t>6,703,284</w:t>
            </w:r>
          </w:p>
        </w:tc>
        <w:tc>
          <w:tcPr>
            <w:tcW w:w="3120" w:type="dxa"/>
            <w:vAlign w:val="bottom"/>
          </w:tcPr>
          <w:p>
            <w:pPr>
              <w:jc w:val="center"/>
              <w:spacing w:after="0"/>
              <w:rPr>
                <w:sz w:val="20"/>
                <w:szCs w:val="20"/>
                <w:color w:val="auto"/>
              </w:rPr>
            </w:pPr>
            <w:r>
              <w:rPr>
                <w:rFonts w:ascii="Arial" w:cs="Arial" w:eastAsia="Arial" w:hAnsi="Arial"/>
                <w:sz w:val="14"/>
                <w:szCs w:val="14"/>
                <w:color w:val="010035"/>
              </w:rPr>
              <w:t>6,150,000</w:t>
            </w:r>
          </w:p>
        </w:tc>
      </w:tr>
      <w:tr>
        <w:trPr>
          <w:trHeight w:val="432"/>
        </w:trPr>
        <w:tc>
          <w:tcPr>
            <w:tcW w:w="2860" w:type="dxa"/>
            <w:vAlign w:val="bottom"/>
            <w:shd w:val="clear" w:color="auto" w:fill="DED8EC"/>
          </w:tcPr>
          <w:p>
            <w:pPr>
              <w:ind w:left="80"/>
              <w:spacing w:after="0"/>
              <w:rPr>
                <w:sz w:val="20"/>
                <w:szCs w:val="20"/>
                <w:color w:val="auto"/>
              </w:rPr>
            </w:pPr>
            <w:r>
              <w:rPr>
                <w:rFonts w:ascii="Arial" w:cs="Arial" w:eastAsia="Arial" w:hAnsi="Arial"/>
                <w:sz w:val="14"/>
                <w:szCs w:val="14"/>
                <w:b w:val="1"/>
                <w:bCs w:val="1"/>
                <w:color w:val="010035"/>
              </w:rPr>
              <w:t>Audit-Related Fees</w:t>
            </w:r>
            <w:r>
              <w:rPr>
                <w:rFonts w:ascii="Arial" w:cs="Arial" w:eastAsia="Arial" w:hAnsi="Arial"/>
                <w:sz w:val="23"/>
                <w:szCs w:val="23"/>
                <w:b w:val="1"/>
                <w:bCs w:val="1"/>
                <w:color w:val="010035"/>
                <w:vertAlign w:val="superscript"/>
              </w:rPr>
              <w:t>(2)</w:t>
            </w:r>
          </w:p>
        </w:tc>
        <w:tc>
          <w:tcPr>
            <w:tcW w:w="3420" w:type="dxa"/>
            <w:vAlign w:val="bottom"/>
            <w:shd w:val="clear" w:color="auto" w:fill="DED8EC"/>
          </w:tcPr>
          <w:p>
            <w:pPr>
              <w:jc w:val="center"/>
              <w:ind w:left="208"/>
              <w:spacing w:after="0"/>
              <w:rPr>
                <w:sz w:val="20"/>
                <w:szCs w:val="20"/>
                <w:color w:val="auto"/>
              </w:rPr>
            </w:pPr>
            <w:r>
              <w:rPr>
                <w:rFonts w:ascii="Arial" w:cs="Arial" w:eastAsia="Arial" w:hAnsi="Arial"/>
                <w:sz w:val="14"/>
                <w:szCs w:val="14"/>
                <w:color w:val="010035"/>
                <w:w w:val="99"/>
              </w:rPr>
              <w:t>—</w:t>
            </w:r>
          </w:p>
        </w:tc>
        <w:tc>
          <w:tcPr>
            <w:tcW w:w="312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r>
      <w:tr>
        <w:trPr>
          <w:trHeight w:val="432"/>
        </w:trPr>
        <w:tc>
          <w:tcPr>
            <w:tcW w:w="2860" w:type="dxa"/>
            <w:vAlign w:val="bottom"/>
          </w:tcPr>
          <w:p>
            <w:pPr>
              <w:ind w:left="80"/>
              <w:spacing w:after="0"/>
              <w:rPr>
                <w:sz w:val="20"/>
                <w:szCs w:val="20"/>
                <w:color w:val="auto"/>
              </w:rPr>
            </w:pPr>
            <w:r>
              <w:rPr>
                <w:rFonts w:ascii="Arial" w:cs="Arial" w:eastAsia="Arial" w:hAnsi="Arial"/>
                <w:sz w:val="14"/>
                <w:szCs w:val="14"/>
                <w:b w:val="1"/>
                <w:bCs w:val="1"/>
                <w:color w:val="010035"/>
              </w:rPr>
              <w:t>Tax Fees</w:t>
            </w:r>
            <w:r>
              <w:rPr>
                <w:rFonts w:ascii="Arial" w:cs="Arial" w:eastAsia="Arial" w:hAnsi="Arial"/>
                <w:sz w:val="23"/>
                <w:szCs w:val="23"/>
                <w:b w:val="1"/>
                <w:bCs w:val="1"/>
                <w:color w:val="010035"/>
                <w:vertAlign w:val="superscript"/>
              </w:rPr>
              <w:t>(3)</w:t>
            </w:r>
          </w:p>
        </w:tc>
        <w:tc>
          <w:tcPr>
            <w:tcW w:w="3420" w:type="dxa"/>
            <w:vAlign w:val="bottom"/>
          </w:tcPr>
          <w:p>
            <w:pPr>
              <w:jc w:val="center"/>
              <w:ind w:left="208"/>
              <w:spacing w:after="0"/>
              <w:rPr>
                <w:sz w:val="20"/>
                <w:szCs w:val="20"/>
                <w:color w:val="auto"/>
              </w:rPr>
            </w:pPr>
            <w:r>
              <w:rPr>
                <w:rFonts w:ascii="Arial" w:cs="Arial" w:eastAsia="Arial" w:hAnsi="Arial"/>
                <w:sz w:val="14"/>
                <w:szCs w:val="14"/>
                <w:color w:val="010035"/>
                <w:w w:val="99"/>
              </w:rPr>
              <w:t>—</w:t>
            </w:r>
          </w:p>
        </w:tc>
        <w:tc>
          <w:tcPr>
            <w:tcW w:w="3120" w:type="dxa"/>
            <w:vAlign w:val="bottom"/>
          </w:tcPr>
          <w:p>
            <w:pPr>
              <w:jc w:val="center"/>
              <w:spacing w:after="0"/>
              <w:rPr>
                <w:sz w:val="20"/>
                <w:szCs w:val="20"/>
                <w:color w:val="auto"/>
              </w:rPr>
            </w:pPr>
            <w:r>
              <w:rPr>
                <w:rFonts w:ascii="Arial" w:cs="Arial" w:eastAsia="Arial" w:hAnsi="Arial"/>
                <w:sz w:val="14"/>
                <w:szCs w:val="14"/>
                <w:color w:val="010035"/>
                <w:w w:val="99"/>
              </w:rPr>
              <w:t>—</w:t>
            </w:r>
          </w:p>
        </w:tc>
      </w:tr>
      <w:tr>
        <w:trPr>
          <w:trHeight w:val="432"/>
        </w:trPr>
        <w:tc>
          <w:tcPr>
            <w:tcW w:w="2860" w:type="dxa"/>
            <w:vAlign w:val="bottom"/>
            <w:shd w:val="clear" w:color="auto" w:fill="DED8EC"/>
          </w:tcPr>
          <w:p>
            <w:pPr>
              <w:ind w:left="80"/>
              <w:spacing w:after="0"/>
              <w:rPr>
                <w:sz w:val="20"/>
                <w:szCs w:val="20"/>
                <w:color w:val="auto"/>
              </w:rPr>
            </w:pPr>
            <w:r>
              <w:rPr>
                <w:rFonts w:ascii="Arial" w:cs="Arial" w:eastAsia="Arial" w:hAnsi="Arial"/>
                <w:sz w:val="14"/>
                <w:szCs w:val="14"/>
                <w:b w:val="1"/>
                <w:bCs w:val="1"/>
                <w:color w:val="010035"/>
              </w:rPr>
              <w:t>Other Fees</w:t>
            </w:r>
            <w:r>
              <w:rPr>
                <w:rFonts w:ascii="Arial" w:cs="Arial" w:eastAsia="Arial" w:hAnsi="Arial"/>
                <w:sz w:val="23"/>
                <w:szCs w:val="23"/>
                <w:b w:val="1"/>
                <w:bCs w:val="1"/>
                <w:color w:val="010035"/>
                <w:vertAlign w:val="superscript"/>
              </w:rPr>
              <w:t>(4)</w:t>
            </w:r>
          </w:p>
        </w:tc>
        <w:tc>
          <w:tcPr>
            <w:tcW w:w="3420" w:type="dxa"/>
            <w:vAlign w:val="bottom"/>
            <w:shd w:val="clear" w:color="auto" w:fill="DED8EC"/>
          </w:tcPr>
          <w:p>
            <w:pPr>
              <w:jc w:val="center"/>
              <w:ind w:left="188"/>
              <w:spacing w:after="0"/>
              <w:rPr>
                <w:sz w:val="20"/>
                <w:szCs w:val="20"/>
                <w:color w:val="auto"/>
              </w:rPr>
            </w:pPr>
            <w:r>
              <w:rPr>
                <w:rFonts w:ascii="Arial" w:cs="Arial" w:eastAsia="Arial" w:hAnsi="Arial"/>
                <w:sz w:val="14"/>
                <w:szCs w:val="14"/>
                <w:color w:val="010035"/>
              </w:rPr>
              <w:t>2,120</w:t>
            </w:r>
          </w:p>
        </w:tc>
        <w:tc>
          <w:tcPr>
            <w:tcW w:w="312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23,120</w:t>
            </w:r>
          </w:p>
        </w:tc>
      </w:tr>
      <w:tr>
        <w:trPr>
          <w:trHeight w:val="308"/>
        </w:trPr>
        <w:tc>
          <w:tcPr>
            <w:tcW w:w="2860" w:type="dxa"/>
            <w:vAlign w:val="bottom"/>
          </w:tcPr>
          <w:p>
            <w:pPr>
              <w:ind w:left="80"/>
              <w:spacing w:after="0"/>
              <w:rPr>
                <w:sz w:val="20"/>
                <w:szCs w:val="20"/>
                <w:color w:val="auto"/>
              </w:rPr>
            </w:pPr>
            <w:r>
              <w:rPr>
                <w:rFonts w:ascii="Arial" w:cs="Arial" w:eastAsia="Arial" w:hAnsi="Arial"/>
                <w:sz w:val="14"/>
                <w:szCs w:val="14"/>
                <w:b w:val="1"/>
                <w:bCs w:val="1"/>
                <w:color w:val="010035"/>
              </w:rPr>
              <w:t>Total Fees</w:t>
            </w:r>
          </w:p>
        </w:tc>
        <w:tc>
          <w:tcPr>
            <w:tcW w:w="3420" w:type="dxa"/>
            <w:vAlign w:val="bottom"/>
          </w:tcPr>
          <w:p>
            <w:pPr>
              <w:jc w:val="center"/>
              <w:ind w:left="188"/>
              <w:spacing w:after="0"/>
              <w:rPr>
                <w:sz w:val="20"/>
                <w:szCs w:val="20"/>
                <w:color w:val="auto"/>
              </w:rPr>
            </w:pPr>
            <w:r>
              <w:rPr>
                <w:rFonts w:ascii="Arial" w:cs="Arial" w:eastAsia="Arial" w:hAnsi="Arial"/>
                <w:sz w:val="14"/>
                <w:szCs w:val="14"/>
                <w:color w:val="010035"/>
              </w:rPr>
              <w:t>6,705,404</w:t>
            </w:r>
          </w:p>
        </w:tc>
        <w:tc>
          <w:tcPr>
            <w:tcW w:w="3120" w:type="dxa"/>
            <w:vAlign w:val="bottom"/>
          </w:tcPr>
          <w:p>
            <w:pPr>
              <w:jc w:val="center"/>
              <w:spacing w:after="0"/>
              <w:rPr>
                <w:sz w:val="20"/>
                <w:szCs w:val="20"/>
                <w:color w:val="auto"/>
              </w:rPr>
            </w:pPr>
            <w:r>
              <w:rPr>
                <w:rFonts w:ascii="Arial" w:cs="Arial" w:eastAsia="Arial" w:hAnsi="Arial"/>
                <w:sz w:val="14"/>
                <w:szCs w:val="14"/>
                <w:color w:val="010035"/>
              </w:rPr>
              <w:t>6,173,120</w:t>
            </w:r>
          </w:p>
        </w:tc>
      </w:tr>
      <w:tr>
        <w:trPr>
          <w:trHeight w:val="29"/>
        </w:trPr>
        <w:tc>
          <w:tcPr>
            <w:tcW w:w="2860" w:type="dxa"/>
            <w:vAlign w:val="bottom"/>
            <w:tcBorders>
              <w:bottom w:val="single" w:sz="8" w:color="010035"/>
            </w:tcBorders>
          </w:tcPr>
          <w:p>
            <w:pPr>
              <w:spacing w:after="0"/>
              <w:rPr>
                <w:sz w:val="2"/>
                <w:szCs w:val="2"/>
                <w:color w:val="auto"/>
              </w:rPr>
            </w:pPr>
          </w:p>
        </w:tc>
        <w:tc>
          <w:tcPr>
            <w:tcW w:w="3420" w:type="dxa"/>
            <w:vAlign w:val="bottom"/>
            <w:tcBorders>
              <w:bottom w:val="single" w:sz="8" w:color="010035"/>
            </w:tcBorders>
          </w:tcPr>
          <w:p>
            <w:pPr>
              <w:spacing w:after="0"/>
              <w:rPr>
                <w:sz w:val="2"/>
                <w:szCs w:val="2"/>
                <w:color w:val="auto"/>
              </w:rPr>
            </w:pPr>
          </w:p>
        </w:tc>
        <w:tc>
          <w:tcPr>
            <w:tcW w:w="3120" w:type="dxa"/>
            <w:vAlign w:val="bottom"/>
            <w:tcBorders>
              <w:bottom w:val="single" w:sz="8" w:color="010035"/>
            </w:tcBorders>
          </w:tcPr>
          <w:p>
            <w:pPr>
              <w:spacing w:after="0"/>
              <w:rPr>
                <w:sz w:val="2"/>
                <w:szCs w:val="2"/>
                <w:color w:val="auto"/>
              </w:rPr>
            </w:pPr>
          </w:p>
        </w:tc>
      </w:tr>
    </w:tbl>
    <w:p>
      <w:pPr>
        <w:spacing w:after="0" w:line="108" w:lineRule="exact"/>
        <w:rPr>
          <w:sz w:val="20"/>
          <w:szCs w:val="20"/>
          <w:color w:val="auto"/>
        </w:rPr>
      </w:pPr>
    </w:p>
    <w:p>
      <w:pPr>
        <w:ind w:left="180" w:right="140" w:hanging="174"/>
        <w:spacing w:after="0" w:line="243" w:lineRule="auto"/>
        <w:tabs>
          <w:tab w:leader="none" w:pos="180" w:val="left"/>
        </w:tabs>
        <w:numPr>
          <w:ilvl w:val="0"/>
          <w:numId w:val="3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Audit fees include fees associated with the annual audit, reviews of the Company’s quarterly reports on Form 10-Q, annual audits required by law for certain jurisdictions, and other audit and attestation services related to statutory or regulatory filings. Audit fees also include the audit of the Company’s internal controls over financial reporting, as required by Section 404 of the Sarbanes Oxley Act of 2002. Audit fees included additional fees associated with registration statement on Forms S-3 and S-8, comfort letters and consents.</w:t>
      </w:r>
    </w:p>
    <w:p>
      <w:pPr>
        <w:spacing w:after="0" w:line="7"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3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There were no audit-related fees in 2025 or 2024.</w:t>
      </w:r>
    </w:p>
    <w:p>
      <w:pPr>
        <w:spacing w:after="0" w:line="13"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3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We did not incur tax fees in 2025 and 2024.</w:t>
      </w:r>
    </w:p>
    <w:p>
      <w:pPr>
        <w:spacing w:after="0" w:line="8"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3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2024 primarily relates to fees paid to the Canadian Public Accountability Board.</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Pre-Approval Policies and Procedures of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jc w:val="both"/>
        <w:ind w:right="60"/>
        <w:spacing w:after="0" w:line="256" w:lineRule="auto"/>
        <w:rPr>
          <w:sz w:val="20"/>
          <w:szCs w:val="20"/>
          <w:color w:val="auto"/>
        </w:rPr>
      </w:pPr>
      <w:r>
        <w:rPr>
          <w:rFonts w:ascii="Arial" w:cs="Arial" w:eastAsia="Arial" w:hAnsi="Arial"/>
          <w:sz w:val="14"/>
          <w:szCs w:val="14"/>
          <w:color w:val="auto"/>
        </w:rPr>
        <w:t>Our Audit Committee must pre-approve all audit services and permissible tax and non-audit services provided by our independent registered public accounting firm. In the intervals between the scheduled meetings of the Audit Committee, the Audit Committee delegates pre-approval authority of permissible tax and non-audit services to the chair of the Audit Committee or a subcommittee thereof. The chair must report any such pre-approval decisions to the Audit Committee at its next regularly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92710</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102870</wp:posOffset>
            </wp:positionV>
            <wp:extent cx="4423410" cy="1117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135255</wp:posOffset>
            </wp:positionV>
            <wp:extent cx="2571750" cy="82207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71750" cy="822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Arial" w:cs="Arial" w:eastAsia="Arial" w:hAnsi="Arial"/>
          <w:sz w:val="41"/>
          <w:szCs w:val="41"/>
          <w:b w:val="1"/>
          <w:bCs w:val="1"/>
          <w:color w:val="010035"/>
        </w:rPr>
        <w:t>PROPOSAL 3:</w:t>
      </w:r>
    </w:p>
    <w:p>
      <w:pPr>
        <w:spacing w:after="0" w:line="66"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ADVISORY VOTE</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TO APPROVE THE</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59"/>
          <w:szCs w:val="59"/>
          <w:b w:val="1"/>
          <w:bCs w:val="1"/>
          <w:color w:val="010035"/>
        </w:rPr>
        <w:t>COMPENSATION OF</w:t>
      </w:r>
    </w:p>
    <w:p>
      <w:pPr>
        <w:spacing w:after="0" w:line="24"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NAMED</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EXECUTIVE</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61"/>
          <w:szCs w:val="61"/>
          <w:b w:val="1"/>
          <w:bCs w:val="1"/>
          <w:color w:val="010035"/>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52070</wp:posOffset>
            </wp:positionV>
            <wp:extent cx="373761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737610" cy="137160"/>
                    </a:xfrm>
                    <a:prstGeom prst="rect">
                      <a:avLst/>
                    </a:prstGeom>
                    <a:noFill/>
                  </pic:spPr>
                </pic:pic>
              </a:graphicData>
            </a:graphic>
          </wp:anchor>
        </w:drawing>
      </w:r>
    </w:p>
    <w:p>
      <w:pPr>
        <w:spacing w:after="0" w:line="15" w:lineRule="exact"/>
        <w:rPr>
          <w:sz w:val="20"/>
          <w:szCs w:val="20"/>
          <w:color w:val="auto"/>
        </w:rPr>
      </w:pPr>
    </w:p>
    <w:p>
      <w:pPr>
        <w:ind w:left="4320"/>
        <w:spacing w:after="0"/>
        <w:rPr>
          <w:sz w:val="20"/>
          <w:szCs w:val="20"/>
          <w:color w:val="auto"/>
        </w:rPr>
      </w:pPr>
      <w:r>
        <w:rPr>
          <w:sz w:val="1"/>
          <w:szCs w:val="1"/>
          <w:color w:val="auto"/>
        </w:rPr>
        <w:drawing>
          <wp:inline distT="0" distB="0" distL="0" distR="0">
            <wp:extent cx="128905" cy="368935"/>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8905" cy="368935"/>
                    </a:xfrm>
                    <a:prstGeom prst="rect">
                      <a:avLst/>
                    </a:prstGeom>
                    <a:noFill/>
                    <a:ln>
                      <a:noFill/>
                    </a:ln>
                  </pic:spPr>
                </pic:pic>
              </a:graphicData>
            </a:graphic>
          </wp:inline>
        </w:drawing>
      </w:r>
      <w:r>
        <w:rPr>
          <w:rFonts w:ascii="Arial" w:cs="Arial" w:eastAsia="Arial" w:hAnsi="Arial"/>
          <w:sz w:val="22"/>
          <w:szCs w:val="22"/>
          <w:b w:val="1"/>
          <w:bCs w:val="1"/>
          <w:color w:val="010035"/>
        </w:rPr>
        <w:t xml:space="preserve">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-231140</wp:posOffset>
            </wp:positionV>
            <wp:extent cx="3737610" cy="7200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737610" cy="720090"/>
                    </a:xfrm>
                    <a:prstGeom prst="rect">
                      <a:avLst/>
                    </a:prstGeom>
                    <a:noFill/>
                  </pic:spPr>
                </pic:pic>
              </a:graphicData>
            </a:graphic>
          </wp:anchor>
        </w:drawing>
      </w:r>
    </w:p>
    <w:p>
      <w:pPr>
        <w:spacing w:after="0" w:line="92" w:lineRule="exact"/>
        <w:rPr>
          <w:sz w:val="20"/>
          <w:szCs w:val="20"/>
          <w:color w:val="auto"/>
        </w:rPr>
      </w:pPr>
    </w:p>
    <w:p>
      <w:pPr>
        <w:ind w:left="5260" w:right="720"/>
        <w:spacing w:after="0" w:line="267" w:lineRule="auto"/>
        <w:rPr>
          <w:sz w:val="20"/>
          <w:szCs w:val="20"/>
          <w:color w:val="auto"/>
        </w:rPr>
      </w:pPr>
      <w:r>
        <w:rPr>
          <w:rFonts w:ascii="Arial" w:cs="Arial" w:eastAsia="Arial" w:hAnsi="Arial"/>
          <w:sz w:val="14"/>
          <w:szCs w:val="14"/>
          <w:b w:val="1"/>
          <w:bCs w:val="1"/>
          <w:color w:val="FFFFFF"/>
        </w:rPr>
        <w:t>OUR BOARD OF DIRECTORS UNANIMOUSLY RECOMMENDS A VOTE “FOR” THE ADVISORY APPROVAL OF THE NAMED EXECUTIVE OFFICER COMPENSATION.</w:t>
      </w:r>
    </w:p>
    <w:p>
      <w:pPr>
        <w:spacing w:after="0" w:line="200" w:lineRule="exact"/>
        <w:rPr>
          <w:sz w:val="20"/>
          <w:szCs w:val="20"/>
          <w:color w:val="auto"/>
        </w:rPr>
      </w:pPr>
    </w:p>
    <w:p>
      <w:pPr>
        <w:spacing w:after="0" w:line="242"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69439A"/>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20320</wp:posOffset>
            </wp:positionV>
            <wp:extent cx="373761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124" w:lineRule="exact"/>
        <w:rPr>
          <w:sz w:val="20"/>
          <w:szCs w:val="20"/>
          <w:color w:val="auto"/>
        </w:rPr>
      </w:pPr>
    </w:p>
    <w:p>
      <w:pPr>
        <w:jc w:val="both"/>
        <w:ind w:left="4320"/>
        <w:spacing w:after="0" w:line="255" w:lineRule="auto"/>
        <w:rPr>
          <w:sz w:val="20"/>
          <w:szCs w:val="20"/>
          <w:color w:val="auto"/>
        </w:rPr>
      </w:pPr>
      <w:r>
        <w:rPr>
          <w:rFonts w:ascii="Arial" w:cs="Arial" w:eastAsia="Arial" w:hAnsi="Arial"/>
          <w:sz w:val="14"/>
          <w:szCs w:val="14"/>
          <w:color w:val="auto"/>
        </w:rPr>
        <w:t>We are asking shareholders to approve, on a non-binding, advisory basis, the compensation paid to our named executive officers as reported in this Proxy Statement (commonly referred to as ‘Say-on-Pay’).</w:t>
      </w:r>
    </w:p>
    <w:p>
      <w:pPr>
        <w:spacing w:after="0" w:line="1" w:lineRule="exact"/>
        <w:rPr>
          <w:sz w:val="20"/>
          <w:szCs w:val="20"/>
          <w:color w:val="auto"/>
        </w:rPr>
      </w:pPr>
    </w:p>
    <w:p>
      <w:pPr>
        <w:ind w:left="4320" w:right="160"/>
        <w:spacing w:after="0" w:line="261" w:lineRule="auto"/>
        <w:rPr>
          <w:sz w:val="20"/>
          <w:szCs w:val="20"/>
          <w:color w:val="auto"/>
        </w:rPr>
      </w:pPr>
      <w:r>
        <w:rPr>
          <w:rFonts w:ascii="Arial" w:cs="Arial" w:eastAsia="Arial" w:hAnsi="Arial"/>
          <w:sz w:val="14"/>
          <w:szCs w:val="14"/>
          <w:color w:val="auto"/>
        </w:rPr>
        <w:t>In considering your vote, we encourage you to read the Compensation Discussion and Analysis (CD&amp;A) and Summary Compensation Tables to learn more about the Company’s executive compensation programs and policies.</w:t>
      </w:r>
    </w:p>
    <w:p>
      <w:pPr>
        <w:ind w:left="4320"/>
        <w:spacing w:after="0" w:line="248" w:lineRule="auto"/>
        <w:rPr>
          <w:sz w:val="20"/>
          <w:szCs w:val="20"/>
          <w:color w:val="auto"/>
        </w:rPr>
      </w:pPr>
      <w:r>
        <w:rPr>
          <w:rFonts w:ascii="Arial" w:cs="Arial" w:eastAsia="Arial" w:hAnsi="Arial"/>
          <w:sz w:val="14"/>
          <w:szCs w:val="14"/>
          <w:color w:val="auto"/>
        </w:rPr>
        <w:t>The Board believes the Company’s executive compensation program aligns the interests of shareholders and executives by emphasizing variable, at risk compensation largely tied to measurable performance goals utilizing an appropriate balance of near-term and long-term objectives. As more specifically described in the CD&amp;A, the Compensation Committee believes the 2025 compensation paid to Mr. Snowden, the Company’s Chief Executive Officer and President, and other Named Executive Officers, is reasonable and appropriate in light of the Company’s scale, objectives, achievements and performance.</w:t>
      </w:r>
    </w:p>
    <w:p>
      <w:pPr>
        <w:spacing w:after="0" w:line="10" w:lineRule="exact"/>
        <w:rPr>
          <w:sz w:val="20"/>
          <w:szCs w:val="20"/>
          <w:color w:val="auto"/>
        </w:rPr>
      </w:pPr>
    </w:p>
    <w:p>
      <w:pPr>
        <w:ind w:left="4320" w:right="160"/>
        <w:spacing w:after="0" w:line="252" w:lineRule="auto"/>
        <w:rPr>
          <w:sz w:val="20"/>
          <w:szCs w:val="20"/>
          <w:color w:val="auto"/>
        </w:rPr>
      </w:pPr>
      <w:r>
        <w:rPr>
          <w:rFonts w:ascii="Arial" w:cs="Arial" w:eastAsia="Arial" w:hAnsi="Arial"/>
          <w:sz w:val="14"/>
          <w:szCs w:val="14"/>
          <w:color w:val="auto"/>
        </w:rPr>
        <w:t>The Board has adopted a policy providing for an annual ‘Say-on-Pay’ advisory vote. In accordance with this policy and Section 14A of the Exchange Act and as a matter of good corporate governance, we are asking shareholders to approve, on a non-binding, advisory basis, the following resolution at the Annual Meeting:</w:t>
      </w:r>
    </w:p>
    <w:p>
      <w:pPr>
        <w:ind w:left="4320" w:right="60"/>
        <w:spacing w:after="0" w:line="251" w:lineRule="auto"/>
        <w:rPr>
          <w:sz w:val="20"/>
          <w:szCs w:val="20"/>
          <w:color w:val="auto"/>
        </w:rPr>
      </w:pPr>
      <w:r>
        <w:rPr>
          <w:rFonts w:ascii="Arial" w:cs="Arial" w:eastAsia="Arial" w:hAnsi="Arial"/>
          <w:sz w:val="14"/>
          <w:szCs w:val="14"/>
          <w:color w:val="auto"/>
        </w:rPr>
        <w:t>“RESOLVED, that the shareholders of the Company approve, on an advisory basis, the compensation of the Company’s named executive officers, as disclosed pursuant to Item 402 of Regulation S-K, including the Compensation Discussion and Analysis, the compensation tables and the accompanying narrative disclosure included in the Company’s Proxy Statement for the 2026 Annual Meeting of Shareholders.”</w:t>
      </w:r>
    </w:p>
    <w:p>
      <w:pPr>
        <w:spacing w:after="0" w:line="7" w:lineRule="exact"/>
        <w:rPr>
          <w:sz w:val="20"/>
          <w:szCs w:val="20"/>
          <w:color w:val="auto"/>
        </w:rPr>
      </w:pPr>
    </w:p>
    <w:p>
      <w:pPr>
        <w:ind w:left="4320"/>
        <w:spacing w:after="0" w:line="250" w:lineRule="auto"/>
        <w:rPr>
          <w:sz w:val="20"/>
          <w:szCs w:val="20"/>
          <w:color w:val="auto"/>
        </w:rPr>
      </w:pPr>
      <w:r>
        <w:rPr>
          <w:rFonts w:ascii="Arial" w:cs="Arial" w:eastAsia="Arial" w:hAnsi="Arial"/>
          <w:sz w:val="14"/>
          <w:szCs w:val="14"/>
          <w:color w:val="auto"/>
        </w:rPr>
        <w:t>This advisory ‘Say-on-Pay’ resolution is non-binding on the Board of Directors. Although non-binding, the Board and the Compensation Committee will review and consider the voting results when making future decisions regarding our executive compensation program. Unless the Board modifies its policy on the frequency of future ‘Say-on-Pay’ advisory votes, the next ‘Say-on-Pay’ advisory vote will be held at the 2027 Annual Meeting of Shareholders.</w:t>
      </w:r>
    </w:p>
    <w:p>
      <w:pPr>
        <w:sectPr>
          <w:pgSz w:w="11900" w:h="16838" w:orient="portrait"/>
          <w:cols w:equalWidth="0" w:num="1">
            <w:col w:w="10200"/>
          </w:cols>
          <w:pgMar w:left="840" w:top="114"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6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191135</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200"/>
          </w:cols>
          <w:pgMar w:left="840" w:top="114" w:right="859" w:bottom="1440" w:gutter="0" w:footer="0" w:header="0"/>
          <w:type w:val="continuous"/>
        </w:sectPr>
      </w:pPr>
    </w:p>
    <w:bookmarkStart w:id="60" w:name="page61"/>
    <w:bookmarkEnd w:id="60"/>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102870</wp:posOffset>
            </wp:positionV>
            <wp:extent cx="4414520" cy="1371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ind w:right="820"/>
        <w:spacing w:after="0"/>
        <w:tabs>
          <w:tab w:leader="none" w:pos="96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32385</wp:posOffset>
            </wp:positionV>
            <wp:extent cx="5966460" cy="1974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ind w:left="800"/>
        <w:spacing w:after="0"/>
        <w:rPr>
          <w:sz w:val="20"/>
          <w:szCs w:val="20"/>
          <w:color w:val="auto"/>
        </w:rPr>
      </w:pPr>
      <w:r>
        <w:rPr>
          <w:sz w:val="1"/>
          <w:szCs w:val="1"/>
          <w:color w:val="auto"/>
        </w:rPr>
        <w:drawing>
          <wp:inline distT="0" distB="0" distL="0" distR="0">
            <wp:extent cx="137160" cy="485775"/>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-299085</wp:posOffset>
            </wp:positionV>
            <wp:extent cx="5829300" cy="3003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left="800" w:right="1140"/>
        <w:spacing w:after="0" w:line="252" w:lineRule="auto"/>
        <w:rPr>
          <w:sz w:val="20"/>
          <w:szCs w:val="20"/>
          <w:color w:val="auto"/>
        </w:rPr>
      </w:pPr>
      <w:r>
        <w:rPr>
          <w:rFonts w:ascii="Arial" w:cs="Arial" w:eastAsia="Arial" w:hAnsi="Arial"/>
          <w:sz w:val="14"/>
          <w:szCs w:val="14"/>
          <w:color w:val="auto"/>
        </w:rPr>
        <w:t>As part of our commitment to effective corporate governance, the Board engaged with our shareholders to obtain their perspectives on PENN’s business strategy, executive compensation, sustainability and governance practices. Members of our Board and leadership team met with shareholders representing ~36% of our outstanding shares during off-season shareholder outreach. Each of our Board Chair, Nominating &amp; Corporate Governance Committee Chair and Compensation Committee Chair personally attended the majority of our off-season shareholder engagement meetings and would like to thank all of those who met with us to share your valuable perspectives.</w:t>
      </w:r>
    </w:p>
    <w:p>
      <w:pPr>
        <w:spacing w:after="0" w:line="73" w:lineRule="exact"/>
        <w:rPr>
          <w:sz w:val="20"/>
          <w:szCs w:val="20"/>
          <w:color w:val="auto"/>
        </w:rPr>
      </w:pPr>
    </w:p>
    <w:p>
      <w:pPr>
        <w:ind w:left="800" w:right="860"/>
        <w:spacing w:after="0" w:line="263" w:lineRule="auto"/>
        <w:rPr>
          <w:sz w:val="20"/>
          <w:szCs w:val="20"/>
          <w:color w:val="auto"/>
        </w:rPr>
      </w:pPr>
      <w:r>
        <w:rPr>
          <w:rFonts w:ascii="Arial" w:cs="Arial" w:eastAsia="Arial" w:hAnsi="Arial"/>
          <w:sz w:val="14"/>
          <w:szCs w:val="14"/>
          <w:color w:val="auto"/>
        </w:rPr>
        <w:t>The following Compensation Committee report to shareholders shall not, in accordance with the rules of the SEC, be incorporated by reference into any of our future filings made under the Exchange Act or under the Securities Act, and shall not be deemed to be soliciting material or to be filed under the Exchange Act or the Securities Act.</w:t>
      </w:r>
    </w:p>
    <w:p>
      <w:pPr>
        <w:spacing w:after="0" w:line="65" w:lineRule="exact"/>
        <w:rPr>
          <w:sz w:val="20"/>
          <w:szCs w:val="20"/>
          <w:color w:val="auto"/>
        </w:rPr>
      </w:pPr>
    </w:p>
    <w:p>
      <w:pPr>
        <w:ind w:left="800" w:right="1060"/>
        <w:spacing w:after="0" w:line="285" w:lineRule="auto"/>
        <w:rPr>
          <w:sz w:val="20"/>
          <w:szCs w:val="20"/>
          <w:color w:val="auto"/>
        </w:rPr>
      </w:pPr>
      <w:r>
        <w:rPr>
          <w:rFonts w:ascii="Arial" w:cs="Arial" w:eastAsia="Arial" w:hAnsi="Arial"/>
          <w:sz w:val="14"/>
          <w:szCs w:val="14"/>
          <w:color w:val="auto"/>
        </w:rPr>
        <w:t>The Committee has reviewed and discussed the following CD&amp;A with the management of the Company. Based on such review and discussions, the Compensation Committee has recommended to the Board of Directors that the CD&amp;A be included in this Proxy Statement.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5"/>
        </w:trPr>
        <w:tc>
          <w:tcPr>
            <w:tcW w:w="800" w:type="dxa"/>
            <w:vAlign w:val="bottom"/>
          </w:tcPr>
          <w:p>
            <w:pPr>
              <w:spacing w:after="0"/>
              <w:rPr>
                <w:sz w:val="24"/>
                <w:szCs w:val="24"/>
                <w:color w:val="auto"/>
              </w:rPr>
            </w:pPr>
          </w:p>
        </w:tc>
        <w:tc>
          <w:tcPr>
            <w:tcW w:w="540" w:type="dxa"/>
            <w:vAlign w:val="bottom"/>
            <w:shd w:val="clear" w:color="auto" w:fill="DED8EC"/>
          </w:tcPr>
          <w:p>
            <w:pPr>
              <w:ind w:left="280"/>
              <w:spacing w:after="0"/>
              <w:rPr>
                <w:sz w:val="20"/>
                <w:szCs w:val="20"/>
                <w:color w:val="auto"/>
              </w:rPr>
            </w:pPr>
            <w:r>
              <w:rPr>
                <w:rFonts w:ascii="Arial" w:cs="Arial" w:eastAsia="Arial" w:hAnsi="Arial"/>
                <w:sz w:val="14"/>
                <w:szCs w:val="14"/>
                <w:color w:val="auto"/>
              </w:rPr>
              <w:t xml:space="preserve">  </w:t>
            </w:r>
          </w:p>
        </w:tc>
        <w:tc>
          <w:tcPr>
            <w:tcW w:w="1870" w:type="dxa"/>
            <w:vAlign w:val="bottom"/>
            <w:shd w:val="clear" w:color="auto" w:fill="DED8EC"/>
          </w:tcPr>
          <w:p>
            <w:pPr>
              <w:spacing w:after="0"/>
              <w:rPr>
                <w:sz w:val="24"/>
                <w:szCs w:val="24"/>
                <w:color w:val="auto"/>
              </w:rPr>
            </w:pPr>
          </w:p>
        </w:tc>
        <w:tc>
          <w:tcPr>
            <w:tcW w:w="310" w:type="dxa"/>
            <w:vAlign w:val="bottom"/>
            <w:shd w:val="clear" w:color="auto" w:fill="DED8EC"/>
          </w:tcPr>
          <w:p>
            <w:pPr>
              <w:ind w:left="30"/>
              <w:spacing w:after="0"/>
              <w:rPr>
                <w:sz w:val="20"/>
                <w:szCs w:val="20"/>
                <w:color w:val="auto"/>
              </w:rPr>
            </w:pPr>
            <w:r>
              <w:rPr>
                <w:rFonts w:ascii="Arial" w:cs="Arial" w:eastAsia="Arial" w:hAnsi="Arial"/>
                <w:sz w:val="14"/>
                <w:szCs w:val="14"/>
                <w:color w:val="auto"/>
              </w:rPr>
              <w:t xml:space="preserve">  </w:t>
            </w:r>
          </w:p>
        </w:tc>
        <w:tc>
          <w:tcPr>
            <w:tcW w:w="1740" w:type="dxa"/>
            <w:vAlign w:val="bottom"/>
            <w:shd w:val="clear" w:color="auto" w:fill="DED8EC"/>
          </w:tcPr>
          <w:p>
            <w:pPr>
              <w:spacing w:after="0"/>
              <w:rPr>
                <w:sz w:val="24"/>
                <w:szCs w:val="24"/>
                <w:color w:val="auto"/>
              </w:rPr>
            </w:pPr>
          </w:p>
        </w:tc>
        <w:tc>
          <w:tcPr>
            <w:tcW w:w="2180" w:type="dxa"/>
            <w:vAlign w:val="bottom"/>
            <w:shd w:val="clear" w:color="auto" w:fill="DED8EC"/>
          </w:tcPr>
          <w:p>
            <w:pPr>
              <w:ind w:left="260"/>
              <w:spacing w:after="0"/>
              <w:rPr>
                <w:sz w:val="20"/>
                <w:szCs w:val="20"/>
                <w:color w:val="auto"/>
              </w:rPr>
            </w:pPr>
            <w:r>
              <w:rPr>
                <w:rFonts w:ascii="Arial" w:cs="Arial" w:eastAsia="Arial" w:hAnsi="Arial"/>
                <w:sz w:val="14"/>
                <w:szCs w:val="14"/>
                <w:color w:val="auto"/>
              </w:rPr>
              <w:t xml:space="preserve">  </w:t>
            </w:r>
          </w:p>
        </w:tc>
        <w:tc>
          <w:tcPr>
            <w:tcW w:w="2760" w:type="dxa"/>
            <w:vAlign w:val="bottom"/>
            <w:shd w:val="clear" w:color="auto" w:fill="DED8EC"/>
          </w:tcPr>
          <w:p>
            <w:pPr>
              <w:ind w:left="340"/>
              <w:spacing w:after="0"/>
              <w:rPr>
                <w:sz w:val="20"/>
                <w:szCs w:val="20"/>
                <w:color w:val="auto"/>
              </w:rPr>
            </w:pPr>
            <w:r>
              <w:rPr>
                <w:rFonts w:ascii="Arial" w:cs="Arial" w:eastAsia="Arial" w:hAnsi="Arial"/>
                <w:sz w:val="14"/>
                <w:szCs w:val="14"/>
                <w:color w:val="auto"/>
              </w:rPr>
              <w:t> </w:t>
            </w:r>
          </w:p>
        </w:tc>
        <w:tc>
          <w:tcPr>
            <w:tcW w:w="820" w:type="dxa"/>
            <w:vAlign w:val="bottom"/>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540" w:type="dxa"/>
            <w:vAlign w:val="bottom"/>
            <w:shd w:val="clear" w:color="auto" w:fill="DED8EC"/>
          </w:tcPr>
          <w:p>
            <w:pPr>
              <w:spacing w:after="0"/>
              <w:rPr>
                <w:sz w:val="15"/>
                <w:szCs w:val="15"/>
                <w:color w:val="auto"/>
              </w:rPr>
            </w:pPr>
          </w:p>
        </w:tc>
        <w:tc>
          <w:tcPr>
            <w:tcW w:w="1870" w:type="dxa"/>
            <w:vAlign w:val="bottom"/>
            <w:shd w:val="clear" w:color="auto" w:fill="DED8EC"/>
          </w:tcPr>
          <w:p>
            <w:pPr>
              <w:jc w:val="center"/>
              <w:ind w:right="298"/>
              <w:spacing w:after="0"/>
              <w:rPr>
                <w:sz w:val="20"/>
                <w:szCs w:val="20"/>
                <w:color w:val="auto"/>
              </w:rPr>
            </w:pPr>
            <w:r>
              <w:rPr>
                <w:rFonts w:ascii="Arial" w:cs="Arial" w:eastAsia="Arial" w:hAnsi="Arial"/>
                <w:sz w:val="14"/>
                <w:szCs w:val="14"/>
                <w:b w:val="1"/>
                <w:bCs w:val="1"/>
                <w:color w:val="auto"/>
              </w:rPr>
              <w:t>Marla Kaplowitz</w:t>
            </w:r>
          </w:p>
        </w:tc>
        <w:tc>
          <w:tcPr>
            <w:tcW w:w="310" w:type="dxa"/>
            <w:vAlign w:val="bottom"/>
            <w:shd w:val="clear" w:color="auto" w:fill="DED8EC"/>
          </w:tcPr>
          <w:p>
            <w:pPr>
              <w:spacing w:after="0"/>
              <w:rPr>
                <w:sz w:val="15"/>
                <w:szCs w:val="15"/>
                <w:color w:val="auto"/>
              </w:rPr>
            </w:pPr>
          </w:p>
        </w:tc>
        <w:tc>
          <w:tcPr>
            <w:tcW w:w="1740" w:type="dxa"/>
            <w:vAlign w:val="bottom"/>
            <w:shd w:val="clear" w:color="auto" w:fill="DED8EC"/>
          </w:tcPr>
          <w:p>
            <w:pPr>
              <w:jc w:val="center"/>
              <w:spacing w:after="0"/>
              <w:rPr>
                <w:sz w:val="20"/>
                <w:szCs w:val="20"/>
                <w:color w:val="auto"/>
              </w:rPr>
            </w:pPr>
            <w:r>
              <w:rPr>
                <w:rFonts w:ascii="Arial" w:cs="Arial" w:eastAsia="Arial" w:hAnsi="Arial"/>
                <w:sz w:val="14"/>
                <w:szCs w:val="14"/>
                <w:b w:val="1"/>
                <w:bCs w:val="1"/>
                <w:color w:val="auto"/>
              </w:rPr>
              <w:t>Vimla Black-Gupta</w:t>
            </w:r>
          </w:p>
        </w:tc>
        <w:tc>
          <w:tcPr>
            <w:tcW w:w="2180" w:type="dxa"/>
            <w:vAlign w:val="bottom"/>
            <w:shd w:val="clear" w:color="auto" w:fill="DED8EC"/>
          </w:tcPr>
          <w:p>
            <w:pPr>
              <w:jc w:val="center"/>
              <w:ind w:left="468"/>
              <w:spacing w:after="0"/>
              <w:rPr>
                <w:sz w:val="20"/>
                <w:szCs w:val="20"/>
                <w:color w:val="auto"/>
              </w:rPr>
            </w:pPr>
            <w:r>
              <w:rPr>
                <w:rFonts w:ascii="Arial" w:cs="Arial" w:eastAsia="Arial" w:hAnsi="Arial"/>
                <w:sz w:val="14"/>
                <w:szCs w:val="14"/>
                <w:b w:val="1"/>
                <w:bCs w:val="1"/>
                <w:color w:val="auto"/>
              </w:rPr>
              <w:t>David Handler</w:t>
            </w:r>
          </w:p>
        </w:tc>
        <w:tc>
          <w:tcPr>
            <w:tcW w:w="2760" w:type="dxa"/>
            <w:vAlign w:val="bottom"/>
            <w:shd w:val="clear" w:color="auto" w:fill="DED8EC"/>
          </w:tcPr>
          <w:p>
            <w:pPr>
              <w:jc w:val="center"/>
              <w:ind w:left="88"/>
              <w:spacing w:after="0"/>
              <w:rPr>
                <w:sz w:val="20"/>
                <w:szCs w:val="20"/>
                <w:color w:val="auto"/>
              </w:rPr>
            </w:pPr>
            <w:r>
              <w:rPr>
                <w:rFonts w:ascii="Arial" w:cs="Arial" w:eastAsia="Arial" w:hAnsi="Arial"/>
                <w:sz w:val="14"/>
                <w:szCs w:val="14"/>
                <w:b w:val="1"/>
                <w:bCs w:val="1"/>
                <w:color w:val="auto"/>
              </w:rPr>
              <w:t>Jane Scaccetti</w:t>
            </w:r>
          </w:p>
        </w:tc>
        <w:tc>
          <w:tcPr>
            <w:tcW w:w="820" w:type="dxa"/>
            <w:vAlign w:val="bottom"/>
          </w:tcPr>
          <w:p>
            <w:pPr>
              <w:spacing w:after="0"/>
              <w:rPr>
                <w:sz w:val="15"/>
                <w:szCs w:val="15"/>
                <w:color w:val="auto"/>
              </w:rPr>
            </w:pPr>
          </w:p>
        </w:tc>
      </w:tr>
      <w:tr>
        <w:trPr>
          <w:trHeight w:val="171"/>
        </w:trPr>
        <w:tc>
          <w:tcPr>
            <w:tcW w:w="800" w:type="dxa"/>
            <w:vAlign w:val="bottom"/>
          </w:tcPr>
          <w:p>
            <w:pPr>
              <w:spacing w:after="0"/>
              <w:rPr>
                <w:sz w:val="14"/>
                <w:szCs w:val="14"/>
                <w:color w:val="auto"/>
              </w:rPr>
            </w:pPr>
          </w:p>
        </w:tc>
        <w:tc>
          <w:tcPr>
            <w:tcW w:w="540" w:type="dxa"/>
            <w:vAlign w:val="bottom"/>
            <w:shd w:val="clear" w:color="auto" w:fill="DED8EC"/>
          </w:tcPr>
          <w:p>
            <w:pPr>
              <w:spacing w:after="0"/>
              <w:rPr>
                <w:sz w:val="14"/>
                <w:szCs w:val="14"/>
                <w:color w:val="auto"/>
              </w:rPr>
            </w:pPr>
          </w:p>
        </w:tc>
        <w:tc>
          <w:tcPr>
            <w:tcW w:w="1870" w:type="dxa"/>
            <w:vAlign w:val="bottom"/>
            <w:shd w:val="clear" w:color="auto" w:fill="DED8EC"/>
          </w:tcPr>
          <w:p>
            <w:pPr>
              <w:jc w:val="center"/>
              <w:ind w:right="298"/>
              <w:spacing w:after="0"/>
              <w:rPr>
                <w:sz w:val="20"/>
                <w:szCs w:val="20"/>
                <w:color w:val="auto"/>
              </w:rPr>
            </w:pPr>
            <w:r>
              <w:rPr>
                <w:rFonts w:ascii="Arial" w:cs="Arial" w:eastAsia="Arial" w:hAnsi="Arial"/>
                <w:sz w:val="14"/>
                <w:szCs w:val="14"/>
                <w:color w:val="auto"/>
              </w:rPr>
              <w:t>Chair</w:t>
            </w:r>
          </w:p>
        </w:tc>
        <w:tc>
          <w:tcPr>
            <w:tcW w:w="310" w:type="dxa"/>
            <w:vAlign w:val="bottom"/>
            <w:shd w:val="clear" w:color="auto" w:fill="DED8EC"/>
          </w:tcPr>
          <w:p>
            <w:pPr>
              <w:spacing w:after="0"/>
              <w:rPr>
                <w:sz w:val="14"/>
                <w:szCs w:val="14"/>
                <w:color w:val="auto"/>
              </w:rPr>
            </w:pPr>
          </w:p>
        </w:tc>
        <w:tc>
          <w:tcPr>
            <w:tcW w:w="1740" w:type="dxa"/>
            <w:vAlign w:val="bottom"/>
            <w:shd w:val="clear" w:color="auto" w:fill="DED8EC"/>
          </w:tcPr>
          <w:p>
            <w:pPr>
              <w:jc w:val="center"/>
              <w:spacing w:after="0"/>
              <w:rPr>
                <w:sz w:val="20"/>
                <w:szCs w:val="20"/>
                <w:color w:val="auto"/>
              </w:rPr>
            </w:pPr>
            <w:r>
              <w:rPr>
                <w:rFonts w:ascii="Arial" w:cs="Arial" w:eastAsia="Arial" w:hAnsi="Arial"/>
                <w:sz w:val="14"/>
                <w:szCs w:val="14"/>
                <w:color w:val="auto"/>
              </w:rPr>
              <w:t>Member</w:t>
            </w:r>
          </w:p>
        </w:tc>
        <w:tc>
          <w:tcPr>
            <w:tcW w:w="2180" w:type="dxa"/>
            <w:vAlign w:val="bottom"/>
            <w:shd w:val="clear" w:color="auto" w:fill="DED8EC"/>
          </w:tcPr>
          <w:p>
            <w:pPr>
              <w:jc w:val="center"/>
              <w:ind w:left="468"/>
              <w:spacing w:after="0"/>
              <w:rPr>
                <w:sz w:val="20"/>
                <w:szCs w:val="20"/>
                <w:color w:val="auto"/>
              </w:rPr>
            </w:pPr>
            <w:r>
              <w:rPr>
                <w:rFonts w:ascii="Arial" w:cs="Arial" w:eastAsia="Arial" w:hAnsi="Arial"/>
                <w:sz w:val="14"/>
                <w:szCs w:val="14"/>
                <w:color w:val="auto"/>
              </w:rPr>
              <w:t>Member</w:t>
            </w:r>
          </w:p>
        </w:tc>
        <w:tc>
          <w:tcPr>
            <w:tcW w:w="2760" w:type="dxa"/>
            <w:vAlign w:val="bottom"/>
            <w:shd w:val="clear" w:color="auto" w:fill="DED8EC"/>
          </w:tcPr>
          <w:p>
            <w:pPr>
              <w:jc w:val="center"/>
              <w:ind w:left="88"/>
              <w:spacing w:after="0"/>
              <w:rPr>
                <w:sz w:val="20"/>
                <w:szCs w:val="20"/>
                <w:color w:val="auto"/>
              </w:rPr>
            </w:pPr>
            <w:r>
              <w:rPr>
                <w:rFonts w:ascii="Arial" w:cs="Arial" w:eastAsia="Arial" w:hAnsi="Arial"/>
                <w:sz w:val="14"/>
                <w:szCs w:val="14"/>
                <w:color w:val="auto"/>
              </w:rPr>
              <w:t>Member</w:t>
            </w:r>
          </w:p>
        </w:tc>
        <w:tc>
          <w:tcPr>
            <w:tcW w:w="820" w:type="dxa"/>
            <w:vAlign w:val="bottom"/>
          </w:tcPr>
          <w:p>
            <w:pPr>
              <w:spacing w:after="0"/>
              <w:rPr>
                <w:sz w:val="14"/>
                <w:szCs w:val="14"/>
                <w:color w:val="auto"/>
              </w:rPr>
            </w:pPr>
          </w:p>
        </w:tc>
      </w:tr>
      <w:tr>
        <w:trPr>
          <w:trHeight w:val="135"/>
        </w:trPr>
        <w:tc>
          <w:tcPr>
            <w:tcW w:w="800" w:type="dxa"/>
            <w:vAlign w:val="bottom"/>
          </w:tcPr>
          <w:p>
            <w:pPr>
              <w:spacing w:after="0"/>
              <w:rPr>
                <w:sz w:val="11"/>
                <w:szCs w:val="11"/>
                <w:color w:val="auto"/>
              </w:rPr>
            </w:pPr>
          </w:p>
        </w:tc>
        <w:tc>
          <w:tcPr>
            <w:tcW w:w="540" w:type="dxa"/>
            <w:vAlign w:val="bottom"/>
            <w:shd w:val="clear" w:color="auto" w:fill="DED8EC"/>
          </w:tcPr>
          <w:p>
            <w:pPr>
              <w:spacing w:after="0"/>
              <w:rPr>
                <w:sz w:val="11"/>
                <w:szCs w:val="11"/>
                <w:color w:val="auto"/>
              </w:rPr>
            </w:pPr>
          </w:p>
        </w:tc>
        <w:tc>
          <w:tcPr>
            <w:tcW w:w="1870" w:type="dxa"/>
            <w:vAlign w:val="bottom"/>
            <w:shd w:val="clear" w:color="auto" w:fill="DED8EC"/>
          </w:tcPr>
          <w:p>
            <w:pPr>
              <w:spacing w:after="0"/>
              <w:rPr>
                <w:sz w:val="11"/>
                <w:szCs w:val="11"/>
                <w:color w:val="auto"/>
              </w:rPr>
            </w:pPr>
          </w:p>
        </w:tc>
        <w:tc>
          <w:tcPr>
            <w:tcW w:w="310" w:type="dxa"/>
            <w:vAlign w:val="bottom"/>
            <w:shd w:val="clear" w:color="auto" w:fill="DED8EC"/>
          </w:tcPr>
          <w:p>
            <w:pPr>
              <w:spacing w:after="0"/>
              <w:rPr>
                <w:sz w:val="11"/>
                <w:szCs w:val="11"/>
                <w:color w:val="auto"/>
              </w:rPr>
            </w:pPr>
          </w:p>
        </w:tc>
        <w:tc>
          <w:tcPr>
            <w:tcW w:w="1740" w:type="dxa"/>
            <w:vAlign w:val="bottom"/>
            <w:shd w:val="clear" w:color="auto" w:fill="DED8EC"/>
          </w:tcPr>
          <w:p>
            <w:pPr>
              <w:spacing w:after="0"/>
              <w:rPr>
                <w:sz w:val="11"/>
                <w:szCs w:val="11"/>
                <w:color w:val="auto"/>
              </w:rPr>
            </w:pPr>
          </w:p>
        </w:tc>
        <w:tc>
          <w:tcPr>
            <w:tcW w:w="2180" w:type="dxa"/>
            <w:vAlign w:val="bottom"/>
            <w:shd w:val="clear" w:color="auto" w:fill="DED8EC"/>
          </w:tcPr>
          <w:p>
            <w:pPr>
              <w:spacing w:after="0"/>
              <w:rPr>
                <w:sz w:val="11"/>
                <w:szCs w:val="11"/>
                <w:color w:val="auto"/>
              </w:rPr>
            </w:pPr>
          </w:p>
        </w:tc>
        <w:tc>
          <w:tcPr>
            <w:tcW w:w="2760" w:type="dxa"/>
            <w:vAlign w:val="bottom"/>
            <w:shd w:val="clear" w:color="auto" w:fill="DED8EC"/>
          </w:tcPr>
          <w:p>
            <w:pPr>
              <w:spacing w:after="0"/>
              <w:rPr>
                <w:sz w:val="11"/>
                <w:szCs w:val="11"/>
                <w:color w:val="auto"/>
              </w:rPr>
            </w:pPr>
          </w:p>
        </w:tc>
        <w:tc>
          <w:tcPr>
            <w:tcW w:w="820" w:type="dxa"/>
            <w:vAlign w:val="bottom"/>
          </w:tcPr>
          <w:p>
            <w:pPr>
              <w:spacing w:after="0"/>
              <w:rPr>
                <w:sz w:val="11"/>
                <w:szCs w:val="11"/>
                <w:color w:val="auto"/>
              </w:rPr>
            </w:pPr>
          </w:p>
        </w:tc>
      </w:tr>
      <w:tr>
        <w:trPr>
          <w:trHeight w:val="196"/>
        </w:trPr>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70" w:type="dxa"/>
            <w:vAlign w:val="bottom"/>
            <w:tcBorders>
              <w:bottom w:val="single" w:sz="8" w:color="auto"/>
            </w:tcBorders>
          </w:tcPr>
          <w:p>
            <w:pPr>
              <w:spacing w:after="0"/>
              <w:rPr>
                <w:sz w:val="17"/>
                <w:szCs w:val="17"/>
                <w:color w:val="auto"/>
              </w:rPr>
            </w:pPr>
          </w:p>
        </w:tc>
        <w:tc>
          <w:tcPr>
            <w:tcW w:w="31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-1508125</wp:posOffset>
            </wp:positionV>
            <wp:extent cx="5692140" cy="9518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692140" cy="95186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24" w:lineRule="exact"/>
        <w:rPr>
          <w:sz w:val="20"/>
          <w:szCs w:val="20"/>
          <w:color w:val="auto"/>
        </w:rPr>
      </w:pPr>
    </w:p>
    <w:p>
      <w:pPr>
        <w:ind w:right="240"/>
        <w:spacing w:after="0" w:line="345" w:lineRule="auto"/>
        <w:rPr>
          <w:sz w:val="20"/>
          <w:szCs w:val="20"/>
          <w:color w:val="auto"/>
        </w:rPr>
      </w:pPr>
      <w:r>
        <w:rPr>
          <w:rFonts w:ascii="Arial" w:cs="Arial" w:eastAsia="Arial" w:hAnsi="Arial"/>
          <w:sz w:val="14"/>
          <w:szCs w:val="14"/>
          <w:color w:val="auto"/>
        </w:rPr>
        <w:t>The Compensation Committee strives to maintain an executive compensation program that aligns with shareholder interests, supports our talent retention priorities and incentivizes the execution of our corporate strategy, including our recent digital strategic realignment.</w:t>
      </w:r>
    </w:p>
    <w:p>
      <w:pPr>
        <w:spacing w:after="0" w:line="10" w:lineRule="exact"/>
        <w:rPr>
          <w:sz w:val="20"/>
          <w:szCs w:val="20"/>
          <w:color w:val="auto"/>
        </w:rPr>
      </w:pPr>
    </w:p>
    <w:p>
      <w:pPr>
        <w:spacing w:after="0" w:line="316" w:lineRule="auto"/>
        <w:rPr>
          <w:sz w:val="20"/>
          <w:szCs w:val="20"/>
          <w:color w:val="auto"/>
        </w:rPr>
      </w:pPr>
      <w:r>
        <w:rPr>
          <w:rFonts w:ascii="Arial" w:cs="Arial" w:eastAsia="Arial" w:hAnsi="Arial"/>
          <w:sz w:val="14"/>
          <w:szCs w:val="14"/>
          <w:color w:val="auto"/>
        </w:rPr>
        <w:t>Following our 2025 Annual Meeting, the Committee launched an expanded off-season shareholder outreach effort to better understand the perspectives of our top shareholders and leading proxy advisory firms on our strategic priorities and governance practices, with a special focus on executive compensation. Feedback from these discussions informed a series of actions over the past year to strengthen alignment between our pay practices, Company performance and shareholder experience.</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Below are answers to some of the top questions we have received from our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10035"/>
        </w:rPr>
        <w:t>Q: What feedback have you received from shareholders on the 2025 Say-on-Pay vote?</w:t>
      </w:r>
    </w:p>
    <w:p>
      <w:pPr>
        <w:spacing w:after="0" w:line="91" w:lineRule="exact"/>
        <w:rPr>
          <w:sz w:val="20"/>
          <w:szCs w:val="20"/>
          <w:color w:val="auto"/>
        </w:rPr>
      </w:pPr>
    </w:p>
    <w:p>
      <w:pPr>
        <w:ind w:right="140" w:firstLine="6"/>
        <w:spacing w:after="0" w:line="307" w:lineRule="auto"/>
        <w:tabs>
          <w:tab w:leader="none" w:pos="192" w:val="left"/>
        </w:tabs>
        <w:numPr>
          <w:ilvl w:val="0"/>
          <w:numId w:val="38"/>
        </w:numPr>
        <w:rPr>
          <w:rFonts w:ascii="Arial" w:cs="Arial" w:eastAsia="Arial" w:hAnsi="Arial"/>
          <w:sz w:val="14"/>
          <w:szCs w:val="14"/>
          <w:b w:val="1"/>
          <w:bCs w:val="1"/>
          <w:color w:val="auto"/>
        </w:rPr>
      </w:pPr>
      <w:r>
        <w:rPr>
          <w:rFonts w:ascii="Arial" w:cs="Arial" w:eastAsia="Arial" w:hAnsi="Arial"/>
          <w:sz w:val="14"/>
          <w:szCs w:val="14"/>
          <w:color w:val="auto"/>
        </w:rPr>
        <w:t>Shareholder feedback on the 2025 Say-on-Pay vote centered on several key themes. Investors emphasized the need to better align our compensation program with our go-forward strategy and raised concerns about CEO pay levels, which was viewed as misaligned with recent Company performance. Shareholders also called for stronger pay-for-performance alignment, with a greater focus on long-term value creation, as well as enhancements to incentive plan design, particularly a clearer differentiation between STIP and LTIP metrics, increased use of financial measures and improved disclosure around metric selection and rigor.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010035"/>
        </w:rPr>
        <w:t>Q: How are you responding to this feedback?</w:t>
      </w:r>
    </w:p>
    <w:p>
      <w:pPr>
        <w:spacing w:after="0" w:line="91" w:lineRule="exact"/>
        <w:rPr>
          <w:sz w:val="20"/>
          <w:szCs w:val="20"/>
          <w:color w:val="auto"/>
        </w:rPr>
      </w:pPr>
    </w:p>
    <w:p>
      <w:pPr>
        <w:ind w:right="60" w:firstLine="6"/>
        <w:spacing w:after="0" w:line="345" w:lineRule="auto"/>
        <w:tabs>
          <w:tab w:leader="none" w:pos="192"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The Committee has taken decisive action to address shareholder feedback, including through engagement of a new independent compensation consultant to support a comprehensive, end-to-end review of PENN’s executive compensation program.</w:t>
      </w:r>
    </w:p>
    <w:p>
      <w:pPr>
        <w:spacing w:after="0" w:line="10" w:lineRule="exact"/>
        <w:rPr>
          <w:sz w:val="20"/>
          <w:szCs w:val="20"/>
          <w:color w:val="auto"/>
        </w:rPr>
      </w:pPr>
    </w:p>
    <w:p>
      <w:pPr>
        <w:ind w:right="340"/>
        <w:spacing w:after="0" w:line="306" w:lineRule="auto"/>
        <w:rPr>
          <w:sz w:val="20"/>
          <w:szCs w:val="20"/>
          <w:color w:val="auto"/>
        </w:rPr>
      </w:pPr>
      <w:r>
        <w:rPr>
          <w:rFonts w:ascii="Arial" w:cs="Arial" w:eastAsia="Arial" w:hAnsi="Arial"/>
          <w:sz w:val="14"/>
          <w:szCs w:val="14"/>
          <w:color w:val="auto"/>
        </w:rPr>
        <w:t>Based on this review, the Committee approved an updated go-forward compensation peer group for 2026 to inform its additional pay program changes and more closely reflect the Company’s relative size and realigned strategic focus. The Committee also lowered the CEO’s 2026 total target compensation by 31% from 2025 levels. This decision followed the 2026 compensation peer group update and our strategic digital realignment, and was made with the support and agreement of CEO Jay Snowden and in consultation with the Committee’s new independent compensation consultant. Additionally, the Committee enhanced the design and disclosure around the go-forward long-term incentive plan and performance metrics to address investor expectations.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10035"/>
        </w:rPr>
        <w:t>Q: How are you evaluating alignment of pay and performance?</w:t>
      </w:r>
    </w:p>
    <w:p>
      <w:pPr>
        <w:spacing w:after="0" w:line="91" w:lineRule="exact"/>
        <w:rPr>
          <w:sz w:val="20"/>
          <w:szCs w:val="20"/>
          <w:color w:val="auto"/>
        </w:rPr>
      </w:pPr>
    </w:p>
    <w:p>
      <w:pPr>
        <w:ind w:right="200" w:firstLine="6"/>
        <w:spacing w:after="0" w:line="316" w:lineRule="auto"/>
        <w:tabs>
          <w:tab w:leader="none" w:pos="192" w:val="left"/>
        </w:tabs>
        <w:numPr>
          <w:ilvl w:val="0"/>
          <w:numId w:val="40"/>
        </w:numPr>
        <w:rPr>
          <w:rFonts w:ascii="Arial" w:cs="Arial" w:eastAsia="Arial" w:hAnsi="Arial"/>
          <w:sz w:val="14"/>
          <w:szCs w:val="14"/>
          <w:b w:val="1"/>
          <w:bCs w:val="1"/>
          <w:color w:val="auto"/>
        </w:rPr>
      </w:pPr>
      <w:r>
        <w:rPr>
          <w:rFonts w:ascii="Arial" w:cs="Arial" w:eastAsia="Arial" w:hAnsi="Arial"/>
          <w:sz w:val="14"/>
          <w:szCs w:val="14"/>
          <w:color w:val="auto"/>
        </w:rPr>
        <w:t>The Committee applies a disciplined framework in administering the executive compensation program. We assess pay-for-performance alignment through both market benchmarking and a compensation structure that places the vast majority of executive pay at risk. Our program is designed so that realizable compensation is directly tied to the achievement of pre-set financial and strategic goals, as well as our stock price performance.</w:t>
      </w:r>
    </w:p>
    <w:p>
      <w:pPr>
        <w:spacing w:after="0" w:line="30" w:lineRule="exact"/>
        <w:rPr>
          <w:sz w:val="20"/>
          <w:szCs w:val="20"/>
          <w:color w:val="auto"/>
        </w:rPr>
      </w:pPr>
    </w:p>
    <w:p>
      <w:pPr>
        <w:jc w:val="both"/>
        <w:ind w:right="140"/>
        <w:spacing w:after="0" w:line="313" w:lineRule="auto"/>
        <w:rPr>
          <w:sz w:val="20"/>
          <w:szCs w:val="20"/>
          <w:color w:val="auto"/>
        </w:rPr>
      </w:pPr>
      <w:r>
        <w:rPr>
          <w:rFonts w:ascii="Arial" w:cs="Arial" w:eastAsia="Arial" w:hAnsi="Arial"/>
          <w:sz w:val="14"/>
          <w:szCs w:val="14"/>
          <w:color w:val="auto"/>
        </w:rPr>
        <w:t>Over the past five years, our CEO’s realizable pay has been approximately 42.5% of target, demonstrating significant variability based on results. Incentive payouts for performance periods completed in 2025 were below target, reflecting performance during a year of strategic transition as we repositioned the Company for long-term value creation.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10035"/>
        </w:rPr>
        <w:t>Q: How is your compensation program evolving to support the refreshed go-forward strategy?</w:t>
      </w:r>
    </w:p>
    <w:p>
      <w:pPr>
        <w:spacing w:after="0" w:line="91" w:lineRule="exact"/>
        <w:rPr>
          <w:sz w:val="20"/>
          <w:szCs w:val="20"/>
          <w:color w:val="auto"/>
        </w:rPr>
      </w:pPr>
    </w:p>
    <w:p>
      <w:pPr>
        <w:ind w:right="80" w:firstLine="6"/>
        <w:spacing w:after="0" w:line="306" w:lineRule="auto"/>
        <w:tabs>
          <w:tab w:leader="none" w:pos="192"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We have evolved our compensation program to better align with our refreshed strategic priorities, with a greater focus on shareholder experience, our realigned digital strategy and sustained long-term value creation. Beginning with the 2026-2028 performance cycle, the PSU grant will be tied to the achievement of a cash flow from operations goal, with a relative TSR payout modifier (±20%) measured against the Russell 3000 Casino and Gambling Index. This incentive structure is designed to drive cash generation across our retail and digital operations, support disciplined capital allocation and better align our long-term financial performance with shareholder interests. These LTIP changes also address our shareholders’ preference for diversified metrics across short- and long-term incentive plans.</w:t>
      </w:r>
    </w:p>
    <w:p>
      <w:pPr>
        <w:spacing w:after="0" w:line="37" w:lineRule="exact"/>
        <w:rPr>
          <w:sz w:val="20"/>
          <w:szCs w:val="20"/>
          <w:color w:val="auto"/>
        </w:rPr>
      </w:pPr>
    </w:p>
    <w:p>
      <w:pPr>
        <w:ind w:right="320"/>
        <w:spacing w:after="0" w:line="323" w:lineRule="auto"/>
        <w:rPr>
          <w:sz w:val="20"/>
          <w:szCs w:val="20"/>
          <w:color w:val="auto"/>
        </w:rPr>
      </w:pPr>
      <w:r>
        <w:rPr>
          <w:rFonts w:ascii="Arial" w:cs="Arial" w:eastAsia="Arial" w:hAnsi="Arial"/>
          <w:sz w:val="14"/>
          <w:szCs w:val="14"/>
          <w:color w:val="auto"/>
        </w:rPr>
        <w:t>The Committee and full Board believe the significant program changes implemented to date appropriately respond to concerns raised by our shareholders and we look forward to continued shareholder engagement throughout the year as we work to ensure our compensation program supports our strategic growth and value creation.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On behalf of the Compensation Committee,</w:t>
      </w:r>
    </w:p>
    <w:p>
      <w:pPr>
        <w:spacing w:after="0" w:line="177" w:lineRule="exact"/>
        <w:rPr>
          <w:sz w:val="20"/>
          <w:szCs w:val="20"/>
          <w:color w:val="auto"/>
        </w:rPr>
      </w:pPr>
    </w:p>
    <w:p>
      <w:pPr>
        <w:ind w:right="7980"/>
        <w:spacing w:after="0" w:line="263" w:lineRule="auto"/>
        <w:rPr>
          <w:sz w:val="20"/>
          <w:szCs w:val="20"/>
          <w:color w:val="auto"/>
        </w:rPr>
      </w:pPr>
      <w:r>
        <w:rPr>
          <w:rFonts w:ascii="Arial" w:cs="Arial" w:eastAsia="Arial" w:hAnsi="Arial"/>
          <w:sz w:val="14"/>
          <w:szCs w:val="14"/>
          <w:b w:val="1"/>
          <w:bCs w:val="1"/>
          <w:color w:val="010035"/>
        </w:rPr>
        <w:t xml:space="preserve">MARLA KAPLOWITZ </w:t>
      </w:r>
      <w:r>
        <w:rPr>
          <w:rFonts w:ascii="Arial" w:cs="Arial" w:eastAsia="Arial" w:hAnsi="Arial"/>
          <w:sz w:val="14"/>
          <w:szCs w:val="14"/>
          <w:color w:val="010035"/>
        </w:rPr>
        <w:t>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329565</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-329565</wp:posOffset>
            </wp:positionV>
            <wp:extent cx="857250" cy="5397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57250" cy="53975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6" w:lineRule="exact"/>
        <w:rPr>
          <w:sz w:val="20"/>
          <w:szCs w:val="20"/>
          <w:color w:val="auto"/>
        </w:rPr>
      </w:pPr>
    </w:p>
    <w:p>
      <w:pPr>
        <w:ind w:right="580"/>
        <w:spacing w:after="0"/>
        <w:rPr>
          <w:sz w:val="20"/>
          <w:szCs w:val="20"/>
          <w:color w:val="auto"/>
        </w:rPr>
      </w:pPr>
      <w:r>
        <w:rPr>
          <w:rFonts w:ascii="Arial" w:cs="Arial" w:eastAsia="Arial" w:hAnsi="Arial"/>
          <w:sz w:val="14"/>
          <w:szCs w:val="14"/>
          <w:color w:val="auto"/>
        </w:rPr>
        <w:t>The following Compensation Discussion and Analysis (“CD&amp;A”) discusses the principles underlying our executive compensation policies and decisions for 2025. Our named executive officers (“NEOs”) for 2025 were</w:t>
      </w:r>
      <w:r>
        <w:rPr>
          <w:rFonts w:ascii="Arial" w:cs="Arial" w:eastAsia="Arial" w:hAnsi="Arial"/>
          <w:sz w:val="23"/>
          <w:szCs w:val="23"/>
          <w:color w:val="auto"/>
          <w:vertAlign w:val="superscript"/>
        </w:rPr>
        <w:t>1</w:t>
      </w:r>
      <w:r>
        <w:rPr>
          <w:rFonts w:ascii="Arial" w:cs="Arial" w:eastAsia="Arial" w:hAnsi="Arial"/>
          <w:sz w:val="14"/>
          <w:szCs w:val="14"/>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27"/>
        </w:trPr>
        <w:tc>
          <w:tcPr>
            <w:tcW w:w="2370" w:type="dxa"/>
            <w:vAlign w:val="bottom"/>
            <w:shd w:val="clear" w:color="auto" w:fill="DED8EC"/>
          </w:tcPr>
          <w:p>
            <w:pPr>
              <w:ind w:left="160"/>
              <w:spacing w:after="0"/>
              <w:rPr>
                <w:sz w:val="20"/>
                <w:szCs w:val="20"/>
                <w:color w:val="auto"/>
              </w:rPr>
            </w:pPr>
            <w:r>
              <w:rPr>
                <w:rFonts w:ascii="Arial" w:cs="Arial" w:eastAsia="Arial" w:hAnsi="Arial"/>
                <w:sz w:val="14"/>
                <w:szCs w:val="14"/>
                <w:color w:val="auto"/>
              </w:rPr>
              <w:t xml:space="preserve">  </w:t>
            </w:r>
          </w:p>
        </w:tc>
        <w:tc>
          <w:tcPr>
            <w:tcW w:w="2150" w:type="dxa"/>
            <w:vAlign w:val="bottom"/>
            <w:shd w:val="clear" w:color="auto" w:fill="DED8EC"/>
          </w:tcPr>
          <w:p>
            <w:pPr>
              <w:ind w:left="30"/>
              <w:spacing w:after="0"/>
              <w:rPr>
                <w:sz w:val="20"/>
                <w:szCs w:val="20"/>
                <w:color w:val="auto"/>
              </w:rPr>
            </w:pPr>
            <w:r>
              <w:rPr>
                <w:rFonts w:ascii="Arial" w:cs="Arial" w:eastAsia="Arial" w:hAnsi="Arial"/>
                <w:sz w:val="14"/>
                <w:szCs w:val="14"/>
                <w:color w:val="auto"/>
              </w:rPr>
              <w:t> </w:t>
            </w:r>
          </w:p>
        </w:tc>
        <w:tc>
          <w:tcPr>
            <w:tcW w:w="2320" w:type="dxa"/>
            <w:vAlign w:val="bottom"/>
            <w:shd w:val="clear" w:color="auto" w:fill="DED8EC"/>
          </w:tcPr>
          <w:p>
            <w:pPr>
              <w:ind w:left="200"/>
              <w:spacing w:after="0"/>
              <w:rPr>
                <w:sz w:val="20"/>
                <w:szCs w:val="20"/>
                <w:color w:val="auto"/>
              </w:rPr>
            </w:pPr>
            <w:r>
              <w:rPr>
                <w:rFonts w:ascii="Arial" w:cs="Arial" w:eastAsia="Arial" w:hAnsi="Arial"/>
                <w:sz w:val="14"/>
                <w:szCs w:val="14"/>
                <w:color w:val="auto"/>
              </w:rPr>
              <w:t> </w:t>
            </w:r>
          </w:p>
        </w:tc>
        <w:tc>
          <w:tcPr>
            <w:tcW w:w="2560" w:type="dxa"/>
            <w:vAlign w:val="bottom"/>
            <w:shd w:val="clear" w:color="auto" w:fill="DED8EC"/>
          </w:tcPr>
          <w:p>
            <w:pPr>
              <w:ind w:left="180"/>
              <w:spacing w:after="0"/>
              <w:rPr>
                <w:sz w:val="20"/>
                <w:szCs w:val="20"/>
                <w:color w:val="auto"/>
              </w:rPr>
            </w:pPr>
            <w:r>
              <w:rPr>
                <w:rFonts w:ascii="Arial" w:cs="Arial" w:eastAsia="Arial" w:hAnsi="Arial"/>
                <w:sz w:val="14"/>
                <w:szCs w:val="14"/>
                <w:color w:val="auto"/>
              </w:rPr>
              <w:t> </w:t>
            </w:r>
          </w:p>
        </w:tc>
      </w:tr>
      <w:tr>
        <w:trPr>
          <w:trHeight w:val="174"/>
        </w:trPr>
        <w:tc>
          <w:tcPr>
            <w:tcW w:w="2370" w:type="dxa"/>
            <w:vAlign w:val="bottom"/>
            <w:shd w:val="clear" w:color="auto" w:fill="DED8EC"/>
          </w:tcPr>
          <w:p>
            <w:pPr>
              <w:jc w:val="center"/>
              <w:ind w:left="38"/>
              <w:spacing w:after="0"/>
              <w:rPr>
                <w:sz w:val="20"/>
                <w:szCs w:val="20"/>
                <w:color w:val="auto"/>
              </w:rPr>
            </w:pPr>
            <w:r>
              <w:rPr>
                <w:rFonts w:ascii="Arial" w:cs="Arial" w:eastAsia="Arial" w:hAnsi="Arial"/>
                <w:sz w:val="14"/>
                <w:szCs w:val="14"/>
                <w:b w:val="1"/>
                <w:bCs w:val="1"/>
                <w:color w:val="010035"/>
              </w:rPr>
              <w:t>Jay Snowden</w:t>
            </w:r>
          </w:p>
        </w:tc>
        <w:tc>
          <w:tcPr>
            <w:tcW w:w="2150" w:type="dxa"/>
            <w:vAlign w:val="bottom"/>
            <w:shd w:val="clear" w:color="auto" w:fill="DED8EC"/>
          </w:tcPr>
          <w:p>
            <w:pPr>
              <w:jc w:val="center"/>
              <w:ind w:left="98"/>
              <w:spacing w:after="0"/>
              <w:rPr>
                <w:sz w:val="20"/>
                <w:szCs w:val="20"/>
                <w:color w:val="auto"/>
              </w:rPr>
            </w:pPr>
            <w:r>
              <w:rPr>
                <w:rFonts w:ascii="Arial" w:cs="Arial" w:eastAsia="Arial" w:hAnsi="Arial"/>
                <w:sz w:val="14"/>
                <w:szCs w:val="14"/>
                <w:b w:val="1"/>
                <w:bCs w:val="1"/>
                <w:color w:val="010035"/>
              </w:rPr>
              <w:t>Felicia Hendrix</w:t>
            </w:r>
          </w:p>
        </w:tc>
        <w:tc>
          <w:tcPr>
            <w:tcW w:w="2320" w:type="dxa"/>
            <w:vAlign w:val="bottom"/>
            <w:shd w:val="clear" w:color="auto" w:fill="DED8EC"/>
          </w:tcPr>
          <w:p>
            <w:pPr>
              <w:jc w:val="center"/>
              <w:ind w:left="268"/>
              <w:spacing w:after="0"/>
              <w:rPr>
                <w:sz w:val="20"/>
                <w:szCs w:val="20"/>
                <w:color w:val="auto"/>
              </w:rPr>
            </w:pPr>
            <w:r>
              <w:rPr>
                <w:rFonts w:ascii="Arial" w:cs="Arial" w:eastAsia="Arial" w:hAnsi="Arial"/>
                <w:sz w:val="14"/>
                <w:szCs w:val="14"/>
                <w:b w:val="1"/>
                <w:bCs w:val="1"/>
                <w:color w:val="010035"/>
              </w:rPr>
              <w:t>Chris Rogers</w:t>
            </w:r>
          </w:p>
        </w:tc>
        <w:tc>
          <w:tcPr>
            <w:tcW w:w="2560" w:type="dxa"/>
            <w:vAlign w:val="bottom"/>
            <w:shd w:val="clear" w:color="auto" w:fill="DED8EC"/>
          </w:tcPr>
          <w:p>
            <w:pPr>
              <w:jc w:val="center"/>
              <w:ind w:left="10"/>
              <w:spacing w:after="0"/>
              <w:rPr>
                <w:sz w:val="20"/>
                <w:szCs w:val="20"/>
                <w:color w:val="auto"/>
              </w:rPr>
            </w:pPr>
            <w:r>
              <w:rPr>
                <w:rFonts w:ascii="Arial" w:cs="Arial" w:eastAsia="Arial" w:hAnsi="Arial"/>
                <w:sz w:val="14"/>
                <w:szCs w:val="14"/>
                <w:b w:val="1"/>
                <w:bCs w:val="1"/>
                <w:color w:val="010035"/>
              </w:rPr>
              <w:t>Todd George</w:t>
            </w:r>
          </w:p>
        </w:tc>
      </w:tr>
      <w:tr>
        <w:trPr>
          <w:trHeight w:val="159"/>
        </w:trPr>
        <w:tc>
          <w:tcPr>
            <w:tcW w:w="2370" w:type="dxa"/>
            <w:vAlign w:val="bottom"/>
            <w:shd w:val="clear" w:color="auto" w:fill="DED8EC"/>
          </w:tcPr>
          <w:p>
            <w:pPr>
              <w:jc w:val="center"/>
              <w:ind w:left="18"/>
              <w:spacing w:after="0" w:line="159" w:lineRule="exact"/>
              <w:rPr>
                <w:sz w:val="20"/>
                <w:szCs w:val="20"/>
                <w:color w:val="auto"/>
              </w:rPr>
            </w:pPr>
            <w:r>
              <w:rPr>
                <w:rFonts w:ascii="Arial" w:cs="Arial" w:eastAsia="Arial" w:hAnsi="Arial"/>
                <w:sz w:val="14"/>
                <w:szCs w:val="14"/>
                <w:color w:val="auto"/>
              </w:rPr>
              <w:t>Chief Executive Officer,</w:t>
            </w:r>
          </w:p>
        </w:tc>
        <w:tc>
          <w:tcPr>
            <w:tcW w:w="2150" w:type="dxa"/>
            <w:vAlign w:val="bottom"/>
            <w:shd w:val="clear" w:color="auto" w:fill="DED8EC"/>
          </w:tcPr>
          <w:p>
            <w:pPr>
              <w:ind w:left="330"/>
              <w:spacing w:after="0" w:line="159" w:lineRule="exact"/>
              <w:rPr>
                <w:sz w:val="20"/>
                <w:szCs w:val="20"/>
                <w:color w:val="auto"/>
              </w:rPr>
            </w:pPr>
            <w:r>
              <w:rPr>
                <w:rFonts w:ascii="Arial" w:cs="Arial" w:eastAsia="Arial" w:hAnsi="Arial"/>
                <w:sz w:val="14"/>
                <w:szCs w:val="14"/>
                <w:color w:val="auto"/>
              </w:rPr>
              <w:t>Executive Vice President,</w:t>
            </w:r>
          </w:p>
        </w:tc>
        <w:tc>
          <w:tcPr>
            <w:tcW w:w="2320" w:type="dxa"/>
            <w:vAlign w:val="bottom"/>
            <w:shd w:val="clear" w:color="auto" w:fill="DED8EC"/>
          </w:tcPr>
          <w:p>
            <w:pPr>
              <w:jc w:val="center"/>
              <w:ind w:left="268"/>
              <w:spacing w:after="0" w:line="159" w:lineRule="exact"/>
              <w:rPr>
                <w:sz w:val="20"/>
                <w:szCs w:val="20"/>
                <w:color w:val="auto"/>
              </w:rPr>
            </w:pPr>
            <w:r>
              <w:rPr>
                <w:rFonts w:ascii="Arial" w:cs="Arial" w:eastAsia="Arial" w:hAnsi="Arial"/>
                <w:sz w:val="14"/>
                <w:szCs w:val="14"/>
                <w:color w:val="auto"/>
              </w:rPr>
              <w:t>Executive Vice President,</w:t>
            </w:r>
          </w:p>
        </w:tc>
        <w:tc>
          <w:tcPr>
            <w:tcW w:w="2560" w:type="dxa"/>
            <w:vAlign w:val="bottom"/>
            <w:shd w:val="clear" w:color="auto" w:fill="DED8EC"/>
          </w:tcPr>
          <w:p>
            <w:pPr>
              <w:jc w:val="center"/>
              <w:spacing w:after="0" w:line="159" w:lineRule="exact"/>
              <w:rPr>
                <w:sz w:val="20"/>
                <w:szCs w:val="20"/>
                <w:color w:val="auto"/>
              </w:rPr>
            </w:pPr>
            <w:r>
              <w:rPr>
                <w:rFonts w:ascii="Arial" w:cs="Arial" w:eastAsia="Arial" w:hAnsi="Arial"/>
                <w:sz w:val="14"/>
                <w:szCs w:val="14"/>
                <w:color w:val="auto"/>
              </w:rPr>
              <w:t>Executive Vice President,</w:t>
            </w:r>
          </w:p>
        </w:tc>
      </w:tr>
      <w:tr>
        <w:trPr>
          <w:trHeight w:val="174"/>
        </w:trPr>
        <w:tc>
          <w:tcPr>
            <w:tcW w:w="2370" w:type="dxa"/>
            <w:vAlign w:val="bottom"/>
            <w:shd w:val="clear" w:color="auto" w:fill="DED8EC"/>
          </w:tcPr>
          <w:p>
            <w:pPr>
              <w:jc w:val="center"/>
              <w:ind w:left="38"/>
              <w:spacing w:after="0"/>
              <w:rPr>
                <w:sz w:val="20"/>
                <w:szCs w:val="20"/>
                <w:color w:val="auto"/>
              </w:rPr>
            </w:pPr>
            <w:r>
              <w:rPr>
                <w:rFonts w:ascii="Arial" w:cs="Arial" w:eastAsia="Arial" w:hAnsi="Arial"/>
                <w:sz w:val="14"/>
                <w:szCs w:val="14"/>
                <w:color w:val="auto"/>
              </w:rPr>
              <w:t>President and Director</w:t>
            </w:r>
          </w:p>
        </w:tc>
        <w:tc>
          <w:tcPr>
            <w:tcW w:w="2150" w:type="dxa"/>
            <w:vAlign w:val="bottom"/>
            <w:shd w:val="clear" w:color="auto" w:fill="DED8EC"/>
          </w:tcPr>
          <w:p>
            <w:pPr>
              <w:jc w:val="center"/>
              <w:ind w:left="118"/>
              <w:spacing w:after="0"/>
              <w:rPr>
                <w:sz w:val="20"/>
                <w:szCs w:val="20"/>
                <w:color w:val="auto"/>
              </w:rPr>
            </w:pPr>
            <w:r>
              <w:rPr>
                <w:rFonts w:ascii="Arial" w:cs="Arial" w:eastAsia="Arial" w:hAnsi="Arial"/>
                <w:sz w:val="14"/>
                <w:szCs w:val="14"/>
                <w:color w:val="auto"/>
              </w:rPr>
              <w:t>Chief Financial Officer</w:t>
            </w:r>
          </w:p>
        </w:tc>
        <w:tc>
          <w:tcPr>
            <w:tcW w:w="2320" w:type="dxa"/>
            <w:vAlign w:val="bottom"/>
            <w:shd w:val="clear" w:color="auto" w:fill="DED8EC"/>
          </w:tcPr>
          <w:p>
            <w:pPr>
              <w:jc w:val="center"/>
              <w:ind w:left="268"/>
              <w:spacing w:after="0"/>
              <w:rPr>
                <w:sz w:val="20"/>
                <w:szCs w:val="20"/>
                <w:color w:val="auto"/>
              </w:rPr>
            </w:pPr>
            <w:r>
              <w:rPr>
                <w:rFonts w:ascii="Arial" w:cs="Arial" w:eastAsia="Arial" w:hAnsi="Arial"/>
                <w:sz w:val="14"/>
                <w:szCs w:val="14"/>
                <w:color w:val="auto"/>
              </w:rPr>
              <w:t>Chief Strategy and Legal</w:t>
            </w:r>
          </w:p>
        </w:tc>
        <w:tc>
          <w:tcPr>
            <w:tcW w:w="2560" w:type="dxa"/>
            <w:vAlign w:val="bottom"/>
            <w:shd w:val="clear" w:color="auto" w:fill="DED8EC"/>
          </w:tcPr>
          <w:p>
            <w:pPr>
              <w:jc w:val="center"/>
              <w:spacing w:after="0" w:line="175" w:lineRule="exact"/>
              <w:rPr>
                <w:sz w:val="20"/>
                <w:szCs w:val="20"/>
                <w:color w:val="auto"/>
              </w:rPr>
            </w:pPr>
            <w:r>
              <w:rPr>
                <w:rFonts w:ascii="Arial" w:cs="Arial" w:eastAsia="Arial" w:hAnsi="Arial"/>
                <w:sz w:val="13"/>
                <w:szCs w:val="13"/>
                <w:color w:val="auto"/>
              </w:rPr>
              <w:t>Operations</w:t>
            </w:r>
            <w:r>
              <w:rPr>
                <w:rFonts w:ascii="Arial" w:cs="Arial" w:eastAsia="Arial" w:hAnsi="Arial"/>
                <w:sz w:val="20"/>
                <w:szCs w:val="20"/>
                <w:color w:val="auto"/>
                <w:vertAlign w:val="superscript"/>
              </w:rPr>
              <w:t>(1)</w:t>
            </w:r>
          </w:p>
        </w:tc>
      </w:tr>
      <w:tr>
        <w:trPr>
          <w:trHeight w:val="162"/>
        </w:trPr>
        <w:tc>
          <w:tcPr>
            <w:tcW w:w="2370" w:type="dxa"/>
            <w:vAlign w:val="bottom"/>
            <w:shd w:val="clear" w:color="auto" w:fill="DED8EC"/>
          </w:tcPr>
          <w:p>
            <w:pPr>
              <w:spacing w:after="0"/>
              <w:rPr>
                <w:sz w:val="14"/>
                <w:szCs w:val="14"/>
                <w:color w:val="auto"/>
              </w:rPr>
            </w:pPr>
          </w:p>
        </w:tc>
        <w:tc>
          <w:tcPr>
            <w:tcW w:w="2150" w:type="dxa"/>
            <w:vAlign w:val="bottom"/>
            <w:shd w:val="clear" w:color="auto" w:fill="DED8EC"/>
          </w:tcPr>
          <w:p>
            <w:pPr>
              <w:spacing w:after="0"/>
              <w:rPr>
                <w:sz w:val="14"/>
                <w:szCs w:val="14"/>
                <w:color w:val="auto"/>
              </w:rPr>
            </w:pPr>
          </w:p>
        </w:tc>
        <w:tc>
          <w:tcPr>
            <w:tcW w:w="2320" w:type="dxa"/>
            <w:vAlign w:val="bottom"/>
            <w:shd w:val="clear" w:color="auto" w:fill="DED8EC"/>
          </w:tcPr>
          <w:p>
            <w:pPr>
              <w:jc w:val="center"/>
              <w:ind w:left="248"/>
              <w:spacing w:after="0"/>
              <w:rPr>
                <w:sz w:val="20"/>
                <w:szCs w:val="20"/>
                <w:color w:val="auto"/>
              </w:rPr>
            </w:pPr>
            <w:r>
              <w:rPr>
                <w:rFonts w:ascii="Arial" w:cs="Arial" w:eastAsia="Arial" w:hAnsi="Arial"/>
                <w:sz w:val="14"/>
                <w:szCs w:val="14"/>
                <w:color w:val="auto"/>
              </w:rPr>
              <w:t>Officer and Secretary</w:t>
            </w:r>
          </w:p>
        </w:tc>
        <w:tc>
          <w:tcPr>
            <w:tcW w:w="2560" w:type="dxa"/>
            <w:vAlign w:val="bottom"/>
            <w:shd w:val="clear" w:color="auto" w:fill="DED8EC"/>
          </w:tcPr>
          <w:p>
            <w:pPr>
              <w:spacing w:after="0"/>
              <w:rPr>
                <w:sz w:val="14"/>
                <w:szCs w:val="14"/>
                <w:color w:val="auto"/>
              </w:rPr>
            </w:pPr>
          </w:p>
        </w:tc>
      </w:tr>
      <w:tr>
        <w:trPr>
          <w:trHeight w:val="54"/>
        </w:trPr>
        <w:tc>
          <w:tcPr>
            <w:tcW w:w="2370" w:type="dxa"/>
            <w:vAlign w:val="bottom"/>
            <w:shd w:val="clear" w:color="auto" w:fill="DED8EC"/>
          </w:tcPr>
          <w:p>
            <w:pPr>
              <w:spacing w:after="0"/>
              <w:rPr>
                <w:sz w:val="4"/>
                <w:szCs w:val="4"/>
                <w:color w:val="auto"/>
              </w:rPr>
            </w:pPr>
          </w:p>
        </w:tc>
        <w:tc>
          <w:tcPr>
            <w:tcW w:w="2150" w:type="dxa"/>
            <w:vAlign w:val="bottom"/>
            <w:shd w:val="clear" w:color="auto" w:fill="DED8EC"/>
          </w:tcPr>
          <w:p>
            <w:pPr>
              <w:spacing w:after="0"/>
              <w:rPr>
                <w:sz w:val="4"/>
                <w:szCs w:val="4"/>
                <w:color w:val="auto"/>
              </w:rPr>
            </w:pPr>
          </w:p>
        </w:tc>
        <w:tc>
          <w:tcPr>
            <w:tcW w:w="2320" w:type="dxa"/>
            <w:vAlign w:val="bottom"/>
            <w:shd w:val="clear" w:color="auto" w:fill="DED8EC"/>
          </w:tcPr>
          <w:p>
            <w:pPr>
              <w:spacing w:after="0"/>
              <w:rPr>
                <w:sz w:val="4"/>
                <w:szCs w:val="4"/>
                <w:color w:val="auto"/>
              </w:rPr>
            </w:pPr>
          </w:p>
        </w:tc>
        <w:tc>
          <w:tcPr>
            <w:tcW w:w="2560" w:type="dxa"/>
            <w:vAlign w:val="bottom"/>
            <w:shd w:val="clear" w:color="auto" w:fill="DED8E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-1499870</wp:posOffset>
            </wp:positionV>
            <wp:extent cx="5751830" cy="9258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751830" cy="925830"/>
                    </a:xfrm>
                    <a:prstGeom prst="rect">
                      <a:avLst/>
                    </a:prstGeom>
                    <a:noFill/>
                  </pic:spPr>
                </pic:pic>
              </a:graphicData>
            </a:graphic>
          </wp:anchor>
        </w:drawing>
      </w:r>
    </w:p>
    <w:p>
      <w:pPr>
        <w:spacing w:after="0" w:line="101" w:lineRule="exact"/>
        <w:rPr>
          <w:sz w:val="20"/>
          <w:szCs w:val="20"/>
          <w:color w:val="auto"/>
        </w:rPr>
      </w:pPr>
    </w:p>
    <w:p>
      <w:pPr>
        <w:ind w:left="180" w:right="120" w:hanging="174"/>
        <w:spacing w:after="0" w:line="256" w:lineRule="auto"/>
        <w:tabs>
          <w:tab w:leader="none" w:pos="180" w:val="left"/>
        </w:tabs>
        <w:numPr>
          <w:ilvl w:val="0"/>
          <w:numId w:val="42"/>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As disclosed in our Current Report on Form 8-K, filed on January 9, 2026, Todd George stepped down as Executive Vice President, Operations effective January 5, 2026, and served in an advisory capacity from that date through February 28, 2026.</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Business and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2025 marked a period of deliberate strategic repositioning, as the Company executed key initiatives intended to support long-term growth and performance. We advanced our long-term strategy to strengthen our position as a leading provider of integrated entertainment, sports content and casino gaming experiences. Our actions were guided by a clear objective: driving profitable growth across both our Interactive and Retail segments, while enhancing free cash flow generation and profitability.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10035"/>
        </w:rPr>
        <w:t>Strategic Progress in Interactive</w:t>
      </w:r>
    </w:p>
    <w:p>
      <w:pPr>
        <w:spacing w:after="0" w:line="118"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A key development in 2025 was the repositioning of our Interactive segment strategy to focus on our growing iCasino and Canadian operations. In the fourth quarter of 2025, we successfully rebranded our U.S. online sportsbook to theScore Bet, following the mutual decision to conclude our U.S. online sports betting partnership with ESPN effective December 1, 2025.</w:t>
      </w:r>
    </w:p>
    <w:p>
      <w:pPr>
        <w:spacing w:after="0" w:line="65"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This deliberate shift in strategy has allowed us to unify our sports betting offerings across both the U.S. and Canada while continuing to build on the momentum of our Hollywood branded iCasino product in the U.S. By aligning our digital strategy with theScore’s established media ecosystem, we have enhanced our ability to deliver integrated, personalized customer experiences while improving cross-sell opportunities and marketing efficiency and maximizing our ability to deliver long-term value.</w:t>
      </w:r>
    </w:p>
    <w:p>
      <w:pPr>
        <w:spacing w:after="0" w:line="69"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We are encouraged by the early results of this strategic pivot. In the first full month of operations following the rebrand, our Interactive segment generated positive adjusted EBITDA, an important step in our path toward sustainable profitability. Additionally, we delivered record gaming revenue in the fourth quarter of 2025, reflecting improved operating momentum driven by the growth of our standalone Hollywood iCasino product and improvements to our online sportsbook offering.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010035"/>
        </w:rPr>
        <w:t>Continued Strength in Retail</w:t>
      </w:r>
    </w:p>
    <w:p>
      <w:pPr>
        <w:spacing w:after="0" w:line="118"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Our Retail portfolio remains the cornerstone of PENN’s business model and a critical driver of sustainable free cash flow across our key markets. In 2025, we continued to invest in high-return growth projects designed to enhance customer experience, expand our addressable market and improve property-level economics.</w:t>
      </w:r>
    </w:p>
    <w:p>
      <w:pPr>
        <w:spacing w:after="0" w:line="65"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The land-based relocation of Hollywood Casino Joliet, which opened in August 2025, is successfully delivering strong initial results reflective of the benefits of a modernized facility, improved accessibility and enhanced amenities that attract both new and reactivated customers. Since opening, the property has delivered a 1.3x increase in year-over-year active players and a 1.4x and 2.0x increase in slot and table volumes, respectively, compared to the prior water-based facility.</w:t>
      </w:r>
    </w:p>
    <w:p>
      <w:pPr>
        <w:spacing w:after="0" w:line="69"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Similarly, the opening of the second tower at M Resort Hotel in December 2025 is capturing previously unmet demand in the Las Vegas market, as the property generated record gaming volumes in its opening month and achieved record net revenue in January 2026. The property also secured two of the largest group bookings in the property’s history following the opening, underscoring the strength of this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Business and Strategy Update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010035"/>
        </w:rPr>
        <w:t>Positioned for Long-Term Value Creation</w:t>
      </w:r>
    </w:p>
    <w:p>
      <w:pPr>
        <w:spacing w:after="0" w:line="118"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color w:val="auto"/>
        </w:rPr>
        <w:t>The achieved gains in return on invested capital, cash flow and margin quality in 2025 resulted from disciplined execution against our strategic priorities. We bolstered our Interactive positioning through brand unification and operational improvements, while our Retail portfolio continued to deliver resilient performance and meaningful growth from recent capital investments.</w:t>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To sustain this momentum, in early 2026 we implemented a new corporate structure aligned with our refreshed strategic priorities, allowing us to be a leaner and flatter organization while enabling business leaders to be more empowered to drive greater productivity and more effective execution across the enterprise.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As we enter 2026, we remain focused on:</w:t>
      </w:r>
    </w:p>
    <w:p>
      <w:pPr>
        <w:spacing w:after="0" w:line="42" w:lineRule="exact"/>
        <w:rPr>
          <w:sz w:val="20"/>
          <w:szCs w:val="20"/>
          <w:color w:val="auto"/>
        </w:rPr>
      </w:pPr>
    </w:p>
    <w:p>
      <w:pPr>
        <w:ind w:left="300" w:hanging="78"/>
        <w:spacing w:after="0"/>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Driving free cash flow growth;</w:t>
      </w:r>
    </w:p>
    <w:p>
      <w:pPr>
        <w:spacing w:after="0" w:line="29" w:lineRule="exact"/>
        <w:rPr>
          <w:rFonts w:ascii="Arial" w:cs="Arial" w:eastAsia="Arial" w:hAnsi="Arial"/>
          <w:sz w:val="14"/>
          <w:szCs w:val="14"/>
          <w:color w:val="auto"/>
        </w:rPr>
      </w:pPr>
    </w:p>
    <w:p>
      <w:pPr>
        <w:ind w:left="300" w:hanging="78"/>
        <w:spacing w:after="0"/>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Maximizing the value of our extensive retail footprint;</w:t>
      </w:r>
    </w:p>
    <w:p>
      <w:pPr>
        <w:spacing w:after="0" w:line="40" w:lineRule="exact"/>
        <w:rPr>
          <w:rFonts w:ascii="Arial" w:cs="Arial" w:eastAsia="Arial" w:hAnsi="Arial"/>
          <w:sz w:val="14"/>
          <w:szCs w:val="14"/>
          <w:color w:val="auto"/>
        </w:rPr>
      </w:pPr>
    </w:p>
    <w:p>
      <w:pPr>
        <w:ind w:left="300" w:hanging="78"/>
        <w:spacing w:after="0"/>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Executing on our realigned digital strategy, including accelerating our iCasino growth;</w:t>
      </w:r>
    </w:p>
    <w:p>
      <w:pPr>
        <w:spacing w:after="0" w:line="41" w:lineRule="exact"/>
        <w:rPr>
          <w:rFonts w:ascii="Arial" w:cs="Arial" w:eastAsia="Arial" w:hAnsi="Arial"/>
          <w:sz w:val="14"/>
          <w:szCs w:val="14"/>
          <w:color w:val="auto"/>
        </w:rPr>
      </w:pPr>
    </w:p>
    <w:p>
      <w:pPr>
        <w:ind w:left="300" w:hanging="78"/>
        <w:spacing w:after="0"/>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Strategically expanding our digital product capabilities; and</w:t>
      </w:r>
    </w:p>
    <w:p>
      <w:pPr>
        <w:spacing w:after="0" w:line="29" w:lineRule="exact"/>
        <w:rPr>
          <w:rFonts w:ascii="Arial" w:cs="Arial" w:eastAsia="Arial" w:hAnsi="Arial"/>
          <w:sz w:val="14"/>
          <w:szCs w:val="14"/>
          <w:color w:val="auto"/>
        </w:rPr>
      </w:pPr>
    </w:p>
    <w:p>
      <w:pPr>
        <w:ind w:left="300" w:hanging="78"/>
        <w:spacing w:after="0"/>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Creating long-term value for our shareholders, inclusive of disciplined capital allocation decisions across our business</w:t>
      </w:r>
    </w:p>
    <w:p>
      <w:pPr>
        <w:spacing w:after="0" w:line="108" w:lineRule="exact"/>
        <w:rPr>
          <w:sz w:val="20"/>
          <w:szCs w:val="20"/>
          <w:color w:val="auto"/>
        </w:rPr>
      </w:pPr>
    </w:p>
    <w:p>
      <w:pPr>
        <w:jc w:val="both"/>
        <w:ind w:right="80"/>
        <w:spacing w:after="0" w:line="256" w:lineRule="auto"/>
        <w:rPr>
          <w:sz w:val="20"/>
          <w:szCs w:val="20"/>
          <w:color w:val="auto"/>
        </w:rPr>
      </w:pPr>
      <w:r>
        <w:rPr>
          <w:rFonts w:ascii="Arial" w:cs="Arial" w:eastAsia="Arial" w:hAnsi="Arial"/>
          <w:sz w:val="14"/>
          <w:szCs w:val="14"/>
          <w:color w:val="auto"/>
        </w:rPr>
        <w:t>In connection with this strategic realignment and following the 2025 ‘Say-on-Pay’ vote outcome, we also conducted an in-depth, rigorous review of our executive compensation program, as further described in this Compensation Discussion and Analysis section. The changes that resulted from this review are designed to ensure that our incentive structure appropriately rewards strategic progress and optimizes alignment between pay and performance, one of the key messages we heard from our shareholders throughout both our in-season and off-season engagement discussions.</w:t>
      </w:r>
    </w:p>
    <w:p>
      <w:pPr>
        <w:spacing w:after="0" w:line="69" w:lineRule="exact"/>
        <w:rPr>
          <w:sz w:val="20"/>
          <w:szCs w:val="20"/>
          <w:color w:val="auto"/>
        </w:rPr>
      </w:pPr>
    </w:p>
    <w:p>
      <w:pPr>
        <w:ind w:right="480"/>
        <w:spacing w:after="0" w:line="285" w:lineRule="auto"/>
        <w:rPr>
          <w:sz w:val="20"/>
          <w:szCs w:val="20"/>
          <w:color w:val="auto"/>
        </w:rPr>
      </w:pPr>
      <w:r>
        <w:rPr>
          <w:rFonts w:ascii="Arial" w:cs="Arial" w:eastAsia="Arial" w:hAnsi="Arial"/>
          <w:sz w:val="14"/>
          <w:szCs w:val="14"/>
          <w:color w:val="auto"/>
        </w:rPr>
        <w:t>We believe the actions taken in 2025 and into 2026 have enhanced our competitive positioning and organizational alignment, establishing a stronger foundation for sustainable earnings growth and long-term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88900</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Key Executive Compensation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Throughout 2025 and the first quarter of 2026, the Compensation Committee (the “Committee”) undertook an end-to-end, rigorous evaluation of the executive compensation program to incorporate shareholder perspectives and ensure the Company’s incentive structure effectively supports disciplined capital allocation decisions and execution of our realigned digital strategy, while maintaining a strong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5966460" cy="49288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966460" cy="4928870"/>
                    </a:xfrm>
                    <a:prstGeom prst="rect">
                      <a:avLst/>
                    </a:prstGeom>
                    <a:noFill/>
                  </pic:spPr>
                </pic:pic>
              </a:graphicData>
            </a:graphic>
          </wp:anchor>
        </w:drawing>
      </w:r>
    </w:p>
    <w:p>
      <w:pPr>
        <w:spacing w:after="0" w:line="387" w:lineRule="exact"/>
        <w:rPr>
          <w:sz w:val="20"/>
          <w:szCs w:val="20"/>
          <w:color w:val="auto"/>
        </w:rPr>
      </w:pPr>
    </w:p>
    <w:p>
      <w:pPr>
        <w:ind w:left="2160" w:right="600" w:hanging="24"/>
        <w:spacing w:after="0" w:line="243" w:lineRule="auto"/>
        <w:rPr>
          <w:sz w:val="20"/>
          <w:szCs w:val="20"/>
          <w:color w:val="auto"/>
        </w:rPr>
      </w:pPr>
      <w:r>
        <w:rPr>
          <w:rFonts w:ascii="Arial" w:cs="Arial" w:eastAsia="Arial" w:hAnsi="Arial"/>
          <w:sz w:val="13"/>
          <w:szCs w:val="13"/>
          <w:color w:val="010035"/>
        </w:rPr>
        <w:t> The 2025 LTIP reflects a significant evolution of our incentive plan design to more closely align with market practice and shareholder feedback:</w:t>
      </w:r>
    </w:p>
    <w:p>
      <w:pPr>
        <w:sectPr>
          <w:pgSz w:w="11900" w:h="16838" w:orient="portrait"/>
          <w:cols w:equalWidth="0" w:num="1">
            <w:col w:w="9400"/>
          </w:cols>
          <w:pgMar w:left="1240" w:top="114" w:right="1259" w:bottom="1440" w:gutter="0" w:footer="0" w:header="0"/>
        </w:sectPr>
      </w:pPr>
    </w:p>
    <w:p>
      <w:pPr>
        <w:spacing w:after="0" w:line="105" w:lineRule="exact"/>
        <w:rPr>
          <w:sz w:val="20"/>
          <w:szCs w:val="20"/>
          <w:color w:val="auto"/>
        </w:rPr>
      </w:pPr>
    </w:p>
    <w:p>
      <w:pPr>
        <w:ind w:left="240"/>
        <w:spacing w:after="0" w:line="295" w:lineRule="auto"/>
        <w:rPr>
          <w:sz w:val="20"/>
          <w:szCs w:val="20"/>
          <w:color w:val="auto"/>
        </w:rPr>
      </w:pPr>
      <w:r>
        <w:rPr>
          <w:rFonts w:ascii="Arial" w:cs="Arial" w:eastAsia="Arial" w:hAnsi="Arial"/>
          <w:sz w:val="19"/>
          <w:szCs w:val="19"/>
          <w:b w:val="1"/>
          <w:bCs w:val="1"/>
          <w:color w:val="010035"/>
        </w:rPr>
        <w:t>Enhanced 2025 Long-Term Incentive Plan (LTIP) Design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35" w:right="460" w:hanging="235"/>
        <w:spacing w:after="0" w:line="241" w:lineRule="auto"/>
        <w:tabs>
          <w:tab w:leader="none" w:pos="127" w:val="left"/>
        </w:tabs>
        <w:numPr>
          <w:ilvl w:val="0"/>
          <w:numId w:val="44"/>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Maintained the three-year cumulative performance period</w:t>
      </w:r>
      <w:r>
        <w:rPr>
          <w:rFonts w:ascii="Arial" w:cs="Arial" w:eastAsia="Arial" w:hAnsi="Arial"/>
          <w:sz w:val="12"/>
          <w:szCs w:val="12"/>
          <w:color w:val="010035"/>
        </w:rPr>
        <w:t xml:space="preserve"> initially implemented with the 2024 PSU program, which replaced the prior annual goal-setting framework, to better align with shareholder expectations for enhanced long-term performance focus.</w:t>
      </w:r>
    </w:p>
    <w:p>
      <w:pPr>
        <w:spacing w:after="0" w:line="1" w:lineRule="exact"/>
        <w:rPr>
          <w:rFonts w:ascii="Arial" w:cs="Arial" w:eastAsia="Arial" w:hAnsi="Arial"/>
          <w:sz w:val="12"/>
          <w:szCs w:val="12"/>
          <w:color w:val="010035"/>
        </w:rPr>
      </w:pPr>
    </w:p>
    <w:p>
      <w:pPr>
        <w:ind w:left="235" w:right="180" w:hanging="235"/>
        <w:spacing w:after="0" w:line="234" w:lineRule="auto"/>
        <w:tabs>
          <w:tab w:leader="none" w:pos="127" w:val="left"/>
        </w:tabs>
        <w:numPr>
          <w:ilvl w:val="0"/>
          <w:numId w:val="44"/>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Increased weighting of financial performance metrics to 80% from 70%,</w:t>
      </w:r>
      <w:r>
        <w:rPr>
          <w:rFonts w:ascii="Arial" w:cs="Arial" w:eastAsia="Arial" w:hAnsi="Arial"/>
          <w:sz w:val="12"/>
          <w:szCs w:val="12"/>
          <w:color w:val="010035"/>
        </w:rPr>
        <w:t xml:space="preserve"> enhancing accountability for long-term financial results. The remaining 20% focused on strategic operational metrics designed to advance our omnichannel growth strategy and expand our customer database.</w:t>
      </w:r>
    </w:p>
    <w:p>
      <w:pPr>
        <w:spacing w:after="0" w:line="1" w:lineRule="exact"/>
        <w:rPr>
          <w:rFonts w:ascii="Arial" w:cs="Arial" w:eastAsia="Arial" w:hAnsi="Arial"/>
          <w:sz w:val="12"/>
          <w:szCs w:val="12"/>
          <w:color w:val="010035"/>
        </w:rPr>
      </w:pPr>
    </w:p>
    <w:p>
      <w:pPr>
        <w:ind w:left="235" w:right="460" w:hanging="235"/>
        <w:spacing w:after="0" w:line="241" w:lineRule="auto"/>
        <w:tabs>
          <w:tab w:leader="none" w:pos="127" w:val="left"/>
        </w:tabs>
        <w:numPr>
          <w:ilvl w:val="0"/>
          <w:numId w:val="44"/>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Aligned equity compensation mix with peer practices</w:t>
      </w:r>
      <w:r>
        <w:rPr>
          <w:rFonts w:ascii="Arial" w:cs="Arial" w:eastAsia="Arial" w:hAnsi="Arial"/>
          <w:sz w:val="12"/>
          <w:szCs w:val="12"/>
          <w:color w:val="010035"/>
        </w:rPr>
        <w:t xml:space="preserve"> by incorporating restricted stock units (“RSUs”) into the LTIP structure. Consistent with peer group practices, and in response to feedback from several of our shareholders, the Committee allocated 25% of the long-term incentives for our CEO and other NEOs to RSUs, 50% to PSUs and 25% to stock options. The Committee believes this equity incentive structure continues to maintain a substantial at-risk, performance-based component and supports stronger alignment of the equity mix with shareholder priorities.</w:t>
      </w:r>
    </w:p>
    <w:p>
      <w:pPr>
        <w:spacing w:after="0" w:line="200" w:lineRule="exact"/>
        <w:rPr>
          <w:sz w:val="20"/>
          <w:szCs w:val="20"/>
          <w:color w:val="auto"/>
        </w:rPr>
      </w:pPr>
    </w:p>
    <w:p>
      <w:pPr>
        <w:sectPr>
          <w:pgSz w:w="11900" w:h="16838" w:orient="portrait"/>
          <w:cols w:equalWidth="0" w:num="2">
            <w:col w:w="1640" w:space="485"/>
            <w:col w:w="7275"/>
          </w:cols>
          <w:pgMar w:left="1240" w:top="114" w:right="1259" w:bottom="1440" w:gutter="0" w:footer="0" w:header="0"/>
          <w:type w:val="continuous"/>
        </w:sect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10035"/>
        </w:rPr>
        <w:t>Strengthened</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10035"/>
        </w:rPr>
        <w:t>Governance and</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10035"/>
        </w:rPr>
        <w:t>Responsiveness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10035"/>
        </w:rPr>
        <w:t>to Our</w:t>
      </w:r>
    </w:p>
    <w:p>
      <w:pPr>
        <w:ind w:left="240"/>
        <w:spacing w:after="0"/>
        <w:rPr>
          <w:sz w:val="20"/>
          <w:szCs w:val="20"/>
          <w:color w:val="auto"/>
        </w:rPr>
      </w:pPr>
      <w:r>
        <w:rPr>
          <w:rFonts w:ascii="Arial" w:cs="Arial" w:eastAsia="Arial" w:hAnsi="Arial"/>
          <w:sz w:val="22"/>
          <w:szCs w:val="22"/>
          <w:b w:val="1"/>
          <w:bCs w:val="1"/>
          <w:color w:val="010035"/>
        </w:rPr>
        <w:t>Shareholders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5" w:right="460" w:hanging="24"/>
        <w:spacing w:after="0" w:line="233" w:lineRule="auto"/>
        <w:rPr>
          <w:sz w:val="20"/>
          <w:szCs w:val="20"/>
          <w:color w:val="auto"/>
        </w:rPr>
      </w:pPr>
      <w:r>
        <w:rPr>
          <w:rFonts w:ascii="Arial" w:cs="Arial" w:eastAsia="Arial" w:hAnsi="Arial"/>
          <w:sz w:val="13"/>
          <w:szCs w:val="13"/>
          <w:color w:val="010035"/>
        </w:rPr>
        <w:t> Following the 2025 ‘Say-on-Pay’ vote outcome, and in direct response to shareholder feedback, the Board and Committee implemented several actions to bring fresh perspectives to its deliberations and enhanced oversight of the compensation program:</w:t>
      </w:r>
    </w:p>
    <w:p>
      <w:pPr>
        <w:spacing w:after="0" w:line="24" w:lineRule="exact"/>
        <w:rPr>
          <w:sz w:val="20"/>
          <w:szCs w:val="20"/>
          <w:color w:val="auto"/>
        </w:rPr>
      </w:pPr>
    </w:p>
    <w:p>
      <w:pPr>
        <w:ind w:left="235" w:right="580" w:hanging="235"/>
        <w:spacing w:after="0" w:line="241" w:lineRule="auto"/>
        <w:tabs>
          <w:tab w:leader="none" w:pos="127" w:val="left"/>
        </w:tabs>
        <w:numPr>
          <w:ilvl w:val="0"/>
          <w:numId w:val="45"/>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Refreshed the Committee leadership and composition</w:t>
      </w:r>
      <w:r>
        <w:rPr>
          <w:rFonts w:ascii="Arial" w:cs="Arial" w:eastAsia="Arial" w:hAnsi="Arial"/>
          <w:sz w:val="12"/>
          <w:szCs w:val="12"/>
          <w:color w:val="010035"/>
        </w:rPr>
        <w:t xml:space="preserve"> by appointing a new Compensation Committee Chair and evolved membership to introduce additional viewpoints and strengthen independent oversight of the executive compensation program design.</w:t>
      </w:r>
    </w:p>
    <w:p>
      <w:pPr>
        <w:spacing w:after="0" w:line="1" w:lineRule="exact"/>
        <w:rPr>
          <w:rFonts w:ascii="Arial" w:cs="Arial" w:eastAsia="Arial" w:hAnsi="Arial"/>
          <w:sz w:val="12"/>
          <w:szCs w:val="12"/>
          <w:color w:val="010035"/>
        </w:rPr>
      </w:pPr>
    </w:p>
    <w:p>
      <w:pPr>
        <w:ind w:left="235" w:right="380" w:hanging="235"/>
        <w:spacing w:after="0" w:line="244" w:lineRule="auto"/>
        <w:tabs>
          <w:tab w:leader="none" w:pos="127" w:val="left"/>
        </w:tabs>
        <w:numPr>
          <w:ilvl w:val="0"/>
          <w:numId w:val="45"/>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Engaged a new independent compensation consultant</w:t>
      </w:r>
      <w:r>
        <w:rPr>
          <w:rFonts w:ascii="Arial" w:cs="Arial" w:eastAsia="Arial" w:hAnsi="Arial"/>
          <w:sz w:val="12"/>
          <w:szCs w:val="12"/>
          <w:color w:val="010035"/>
        </w:rPr>
        <w:t>, Semler Brossy Consulting Group, LLC (“Semler Brossy”), to provide fresh external perspectives and expertise on leading compensation governance practices, support a rigorous review of the executive compensation program and assist in the development of responsive actions to fully address shareholder feedback.</w:t>
      </w:r>
    </w:p>
    <w:p>
      <w:pPr>
        <w:spacing w:after="0" w:line="200" w:lineRule="exact"/>
        <w:rPr>
          <w:sz w:val="20"/>
          <w:szCs w:val="20"/>
          <w:color w:val="auto"/>
        </w:rPr>
      </w:pPr>
    </w:p>
    <w:p>
      <w:pPr>
        <w:sectPr>
          <w:pgSz w:w="11900" w:h="16838" w:orient="portrait"/>
          <w:cols w:equalWidth="0" w:num="2">
            <w:col w:w="1760" w:space="365"/>
            <w:col w:w="7275"/>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0"/>
        <w:spacing w:after="0" w:line="281" w:lineRule="auto"/>
        <w:rPr>
          <w:sz w:val="20"/>
          <w:szCs w:val="20"/>
          <w:color w:val="auto"/>
        </w:rPr>
      </w:pPr>
      <w:r>
        <w:rPr>
          <w:rFonts w:ascii="Arial" w:cs="Arial" w:eastAsia="Arial" w:hAnsi="Arial"/>
          <w:sz w:val="19"/>
          <w:szCs w:val="19"/>
          <w:b w:val="1"/>
          <w:bCs w:val="1"/>
          <w:color w:val="010035"/>
        </w:rPr>
        <w:t>Responded to our Shareholder Feedback Through Changes to 2026 Compensation Program</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5" w:right="300" w:hanging="24"/>
        <w:spacing w:after="0" w:line="233" w:lineRule="auto"/>
        <w:rPr>
          <w:sz w:val="20"/>
          <w:szCs w:val="20"/>
          <w:color w:val="auto"/>
        </w:rPr>
      </w:pPr>
      <w:r>
        <w:rPr>
          <w:rFonts w:ascii="Arial" w:cs="Arial" w:eastAsia="Arial" w:hAnsi="Arial"/>
          <w:sz w:val="13"/>
          <w:szCs w:val="13"/>
          <w:color w:val="010035"/>
        </w:rPr>
        <w:t> Since most decisions related to the 2025 compensation program were made before the 2025 Annual Meeting and associated off-season shareholder engagement, the Committee incorporated investor feedback into a series of responsiveness actions approved for the 2026 compensation program, including:</w:t>
      </w:r>
    </w:p>
    <w:p>
      <w:pPr>
        <w:spacing w:after="0" w:line="24" w:lineRule="exact"/>
        <w:rPr>
          <w:sz w:val="20"/>
          <w:szCs w:val="20"/>
          <w:color w:val="auto"/>
        </w:rPr>
      </w:pPr>
    </w:p>
    <w:p>
      <w:pPr>
        <w:ind w:left="235" w:right="440" w:hanging="235"/>
        <w:spacing w:after="0" w:line="241" w:lineRule="auto"/>
        <w:tabs>
          <w:tab w:leader="none" w:pos="127" w:val="left"/>
        </w:tabs>
        <w:numPr>
          <w:ilvl w:val="0"/>
          <w:numId w:val="46"/>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Refreshed the 2026 compensation peer group</w:t>
      </w:r>
      <w:r>
        <w:rPr>
          <w:rFonts w:ascii="Arial" w:cs="Arial" w:eastAsia="Arial" w:hAnsi="Arial"/>
          <w:sz w:val="12"/>
          <w:szCs w:val="12"/>
          <w:color w:val="010035"/>
        </w:rPr>
        <w:t xml:space="preserve"> by removing five digital and entertainment companies and adding six additional casino, gaming and/or hospitality companies to more closely reflect the Company’s relative size and the realignment of our strategic focus.</w:t>
      </w:r>
    </w:p>
    <w:p>
      <w:pPr>
        <w:spacing w:after="0" w:line="1" w:lineRule="exact"/>
        <w:rPr>
          <w:rFonts w:ascii="Arial" w:cs="Arial" w:eastAsia="Arial" w:hAnsi="Arial"/>
          <w:sz w:val="12"/>
          <w:szCs w:val="12"/>
          <w:color w:val="010035"/>
        </w:rPr>
      </w:pPr>
    </w:p>
    <w:p>
      <w:pPr>
        <w:ind w:left="135" w:hanging="135"/>
        <w:spacing w:after="0" w:line="234" w:lineRule="auto"/>
        <w:tabs>
          <w:tab w:leader="none" w:pos="135" w:val="left"/>
        </w:tabs>
        <w:numPr>
          <w:ilvl w:val="0"/>
          <w:numId w:val="46"/>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Lowered the target grant value of the CEO’s 2026 equity awards by $7.87 million, equivalent to a 41% reduction in</w:t>
      </w:r>
    </w:p>
    <w:p>
      <w:pPr>
        <w:ind w:left="235" w:right="280"/>
        <w:spacing w:after="0" w:line="216" w:lineRule="auto"/>
        <w:rPr>
          <w:rFonts w:ascii="Arial" w:cs="Arial" w:eastAsia="Arial" w:hAnsi="Arial"/>
          <w:sz w:val="12"/>
          <w:szCs w:val="12"/>
          <w:color w:val="010035"/>
        </w:rPr>
      </w:pPr>
      <w:r>
        <w:rPr>
          <w:rFonts w:ascii="Arial" w:cs="Arial" w:eastAsia="Arial" w:hAnsi="Arial"/>
          <w:sz w:val="13"/>
          <w:szCs w:val="13"/>
          <w:b w:val="1"/>
          <w:bCs w:val="1"/>
          <w:color w:val="010035"/>
        </w:rPr>
        <w:t>LTIP opportunity and 31% reduction in total target direct compensation compared to 2025, effectively resetting total target CEO pay to 2023 levels</w:t>
      </w:r>
      <w:r>
        <w:rPr>
          <w:rFonts w:ascii="Arial" w:cs="Arial" w:eastAsia="Arial" w:hAnsi="Arial"/>
          <w:sz w:val="13"/>
          <w:szCs w:val="13"/>
          <w:color w:val="010035"/>
        </w:rPr>
        <w:t>. This decision followed the peer group update and strategic digital realignment</w:t>
      </w:r>
      <w:r>
        <w:rPr>
          <w:rFonts w:ascii="Arial" w:cs="Arial" w:eastAsia="Arial" w:hAnsi="Arial"/>
          <w:sz w:val="13"/>
          <w:szCs w:val="13"/>
          <w:b w:val="1"/>
          <w:bCs w:val="1"/>
          <w:color w:val="010035"/>
        </w:rPr>
        <w:t xml:space="preserve"> </w:t>
      </w:r>
      <w:r>
        <w:rPr>
          <w:rFonts w:ascii="Arial" w:cs="Arial" w:eastAsia="Arial" w:hAnsi="Arial"/>
          <w:sz w:val="13"/>
          <w:szCs w:val="13"/>
          <w:color w:val="010035"/>
        </w:rPr>
        <w:t>described above and was made with the support and agreement of CEO Jay Snowden and in consultation with the Committee’s independent compensation consultant. The CEO’s base salary and STIP opportunity have remained unchanged since 2021. In addition, in light of the refreshed 2026 peer group changes, which positioned NEO target pay above the peer group median, and the Company’s 2025 performance results, the Committee affirmed that there will be no target pay increases for the other NEOs for fiscal 2026.</w:t>
      </w:r>
    </w:p>
    <w:p>
      <w:pPr>
        <w:spacing w:after="0" w:line="3" w:lineRule="exact"/>
        <w:rPr>
          <w:rFonts w:ascii="Arial" w:cs="Arial" w:eastAsia="Arial" w:hAnsi="Arial"/>
          <w:sz w:val="12"/>
          <w:szCs w:val="12"/>
          <w:color w:val="010035"/>
        </w:rPr>
      </w:pPr>
    </w:p>
    <w:p>
      <w:pPr>
        <w:ind w:left="235" w:right="420" w:hanging="235"/>
        <w:spacing w:after="0" w:line="234" w:lineRule="auto"/>
        <w:tabs>
          <w:tab w:leader="none" w:pos="127" w:val="left"/>
        </w:tabs>
        <w:numPr>
          <w:ilvl w:val="0"/>
          <w:numId w:val="46"/>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Committed to not adjust in-progress 2024 and 2025 performance metrics or targets:</w:t>
      </w:r>
      <w:r>
        <w:rPr>
          <w:rFonts w:ascii="Arial" w:cs="Arial" w:eastAsia="Arial" w:hAnsi="Arial"/>
          <w:sz w:val="12"/>
          <w:szCs w:val="12"/>
          <w:color w:val="010035"/>
        </w:rPr>
        <w:t xml:space="preserve"> In connection with the digital strategy realignment, the Committee has determined that no adjustments will be made to in-progress 2024 and 2025 PSUs, including the ESPN BET market share metric, to ensure pay outcomes align with shareholder experience and Company performance.</w:t>
      </w:r>
    </w:p>
    <w:p>
      <w:pPr>
        <w:spacing w:after="0" w:line="1" w:lineRule="exact"/>
        <w:rPr>
          <w:rFonts w:ascii="Arial" w:cs="Arial" w:eastAsia="Arial" w:hAnsi="Arial"/>
          <w:sz w:val="12"/>
          <w:szCs w:val="12"/>
          <w:color w:val="010035"/>
        </w:rPr>
      </w:pPr>
    </w:p>
    <w:p>
      <w:pPr>
        <w:ind w:left="235" w:right="220" w:hanging="235"/>
        <w:spacing w:after="0" w:line="239" w:lineRule="auto"/>
        <w:tabs>
          <w:tab w:leader="none" w:pos="127" w:val="left"/>
        </w:tabs>
        <w:numPr>
          <w:ilvl w:val="0"/>
          <w:numId w:val="46"/>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Re-evaluated and updated LTIP design to better reflect our realigned digital strategy and streamline performance</w:t>
      </w:r>
      <w:r>
        <w:rPr>
          <w:rFonts w:ascii="Arial" w:cs="Arial" w:eastAsia="Arial" w:hAnsi="Arial"/>
          <w:sz w:val="12"/>
          <w:szCs w:val="12"/>
          <w:color w:val="010035"/>
        </w:rPr>
        <w:t xml:space="preserve"> </w:t>
      </w:r>
      <w:r>
        <w:rPr>
          <w:rFonts w:ascii="Arial" w:cs="Arial" w:eastAsia="Arial" w:hAnsi="Arial"/>
          <w:sz w:val="12"/>
          <w:szCs w:val="12"/>
          <w:b w:val="1"/>
          <w:bCs w:val="1"/>
          <w:color w:val="010035"/>
        </w:rPr>
        <w:t xml:space="preserve">measures by eliminating duplicative metrics: </w:t>
      </w:r>
      <w:r>
        <w:rPr>
          <w:rFonts w:ascii="Arial" w:cs="Arial" w:eastAsia="Arial" w:hAnsi="Arial"/>
          <w:sz w:val="12"/>
          <w:szCs w:val="12"/>
          <w:color w:val="010035"/>
        </w:rPr>
        <w:t>Beginning with the 2026-2028 performance cycle, the PSU grant will be</w:t>
      </w:r>
      <w:r>
        <w:rPr>
          <w:rFonts w:ascii="Arial" w:cs="Arial" w:eastAsia="Arial" w:hAnsi="Arial"/>
          <w:sz w:val="12"/>
          <w:szCs w:val="12"/>
          <w:b w:val="1"/>
          <w:bCs w:val="1"/>
          <w:color w:val="010035"/>
        </w:rPr>
        <w:t xml:space="preserve"> </w:t>
      </w:r>
      <w:r>
        <w:rPr>
          <w:rFonts w:ascii="Arial" w:cs="Arial" w:eastAsia="Arial" w:hAnsi="Arial"/>
          <w:sz w:val="12"/>
          <w:szCs w:val="12"/>
          <w:color w:val="010035"/>
        </w:rPr>
        <w:t>tied to the achievement of a cash flow from operations goal, with a relative TSR payout modifier (±20% ) measured against the Russell 3000 Casino and Gambling Index. This incentive structure is designed to drive cash generation across our retail and digital operations, support disciplined capital allocation and better align our long-term financial performance with shareholder interests. These LTIP changes also address our shareholders’ preference for diversified metrics across short-and long-term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-1344930</wp:posOffset>
            </wp:positionH>
            <wp:positionV relativeFrom="paragraph">
              <wp:posOffset>36195</wp:posOffset>
            </wp:positionV>
            <wp:extent cx="59664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156210</wp:posOffset>
            </wp:positionV>
            <wp:extent cx="699516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760" w:space="365"/>
            <w:col w:w="7275"/>
          </w:cols>
          <w:pgMar w:left="1240" w:top="114" w:right="12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Paying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4"/>
          <w:szCs w:val="14"/>
          <w:b w:val="1"/>
          <w:bCs w:val="1"/>
          <w:color w:val="auto"/>
        </w:rPr>
        <w:t xml:space="preserve">Annual and long-term incentive payouts aligned with shareholder experience. </w:t>
      </w:r>
      <w:r>
        <w:rPr>
          <w:rFonts w:ascii="Arial" w:cs="Arial" w:eastAsia="Arial" w:hAnsi="Arial"/>
          <w:sz w:val="14"/>
          <w:szCs w:val="14"/>
          <w:color w:val="auto"/>
        </w:rPr>
        <w:t>We believe our 2025 short- and long-term incentive payouts of</w:t>
      </w:r>
      <w:r>
        <w:rPr>
          <w:rFonts w:ascii="Arial" w:cs="Arial" w:eastAsia="Arial" w:hAnsi="Arial"/>
          <w:sz w:val="14"/>
          <w:szCs w:val="14"/>
          <w:b w:val="1"/>
          <w:bCs w:val="1"/>
          <w:color w:val="auto"/>
        </w:rPr>
        <w:t xml:space="preserve"> </w:t>
      </w:r>
      <w:r>
        <w:rPr>
          <w:rFonts w:ascii="Arial" w:cs="Arial" w:eastAsia="Arial" w:hAnsi="Arial"/>
          <w:sz w:val="14"/>
          <w:szCs w:val="14"/>
          <w:color w:val="auto"/>
        </w:rPr>
        <w:t>~66.3% and 74.75% of target, respectively, are directly aligned with our financial and operational performance results and reflect shareholder experience over the same period, underscoring the rigor of the performance hurdles built into our incentive plans and reinforcing our commitment to robust management accountability. The substantial majority of CEO and NEO executive compensation, 93% and 85%, respectively, is performance-based and at-risk, with actual outcomes based on pre-set financial and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163830</wp:posOffset>
            </wp:positionV>
            <wp:extent cx="3008630" cy="13373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00863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2" w:lineRule="exact"/>
        <w:rPr>
          <w:sz w:val="20"/>
          <w:szCs w:val="20"/>
          <w:color w:val="auto"/>
        </w:rPr>
      </w:pPr>
    </w:p>
    <w:p>
      <w:pPr>
        <w:jc w:val="both"/>
        <w:ind w:left="180" w:right="260" w:hanging="174"/>
        <w:spacing w:after="0" w:line="234" w:lineRule="auto"/>
        <w:tabs>
          <w:tab w:leader="none" w:pos="180" w:val="left"/>
        </w:tabs>
        <w:numPr>
          <w:ilvl w:val="0"/>
          <w:numId w:val="4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Payout percentage does not include the first tranche earned for the 2023 performance period, following the transition of the PSUs program to a three-year performance cycle. As disclosed in last year’s proxy statement, in connection with the transition to a full three-year long-term performance cycle beginning with the 2024 PSU awards, the Compensation Committee approved a cumulative two-year performance period for the unvested portion of the 2023 PSUs.</w:t>
      </w:r>
    </w:p>
    <w:p>
      <w:pPr>
        <w:spacing w:after="0" w:line="203"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b w:val="1"/>
          <w:bCs w:val="1"/>
          <w:color w:val="auto"/>
        </w:rPr>
        <w:t xml:space="preserve">Annualized realizable pay for our CEO over the past five years represented less than half of his total target compensation. </w:t>
      </w:r>
      <w:r>
        <w:rPr>
          <w:rFonts w:ascii="Arial" w:cs="Arial" w:eastAsia="Arial" w:hAnsi="Arial"/>
          <w:sz w:val="14"/>
          <w:szCs w:val="14"/>
          <w:color w:val="auto"/>
        </w:rPr>
        <w:t>The substantial</w:t>
      </w:r>
      <w:r>
        <w:rPr>
          <w:rFonts w:ascii="Arial" w:cs="Arial" w:eastAsia="Arial" w:hAnsi="Arial"/>
          <w:sz w:val="14"/>
          <w:szCs w:val="14"/>
          <w:b w:val="1"/>
          <w:bCs w:val="1"/>
          <w:color w:val="auto"/>
        </w:rPr>
        <w:t xml:space="preserve"> </w:t>
      </w:r>
      <w:r>
        <w:rPr>
          <w:rFonts w:ascii="Arial" w:cs="Arial" w:eastAsia="Arial" w:hAnsi="Arial"/>
          <w:sz w:val="14"/>
          <w:szCs w:val="14"/>
          <w:color w:val="auto"/>
        </w:rPr>
        <w:t>majority of CEO compensation (93%) is performance-based and at-risk. With the significant portion of the executive compensation at-risk and allocated to long-term equity incentives, realizable value of incentives varies in line with the Company’s performance. As of the Record Date, all stock options granted since 2020 remain underwater and therefore hold zero intrinsic value, underscoring that executives only realize value when our shareholders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223520</wp:posOffset>
            </wp:positionV>
            <wp:extent cx="3934460" cy="21342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93446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9" w:lineRule="exact"/>
        <w:rPr>
          <w:sz w:val="20"/>
          <w:szCs w:val="20"/>
          <w:color w:val="auto"/>
        </w:rPr>
      </w:pPr>
    </w:p>
    <w:p>
      <w:pPr>
        <w:ind w:left="180" w:hanging="174"/>
        <w:spacing w:after="0"/>
        <w:tabs>
          <w:tab w:leader="none" w:pos="180" w:val="left"/>
        </w:tabs>
        <w:numPr>
          <w:ilvl w:val="0"/>
          <w:numId w:val="48"/>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b w:val="1"/>
          <w:bCs w:val="1"/>
          <w:color w:val="010035"/>
        </w:rPr>
        <w:t xml:space="preserve">Realizable pay: </w:t>
      </w:r>
      <w:r>
        <w:rPr>
          <w:rFonts w:ascii="Times New Roman" w:cs="Times New Roman" w:eastAsia="Times New Roman" w:hAnsi="Times New Roman"/>
          <w:sz w:val="11"/>
          <w:szCs w:val="11"/>
          <w:color w:val="010035"/>
        </w:rPr>
        <w:t>Calculated as a sum of actual cash paid, value of vested equity as of applicable vesting date and value of unvested equity awards valued at $14.77 stock price as of April 1, 2026, with unvested</w:t>
      </w:r>
    </w:p>
    <w:p>
      <w:pPr>
        <w:spacing w:after="0" w:line="1" w:lineRule="exact"/>
        <w:rPr>
          <w:rFonts w:ascii="Times New Roman" w:cs="Times New Roman" w:eastAsia="Times New Roman" w:hAnsi="Times New Roman"/>
          <w:sz w:val="11"/>
          <w:szCs w:val="11"/>
          <w:color w:val="010035"/>
        </w:rPr>
      </w:pPr>
    </w:p>
    <w:p>
      <w:pPr>
        <w:ind w:left="180" w:right="160"/>
        <w:spacing w:after="0" w:line="236" w:lineRule="auto"/>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 xml:space="preserve">PSU awards valued at target payout level. </w:t>
      </w:r>
      <w:r>
        <w:rPr>
          <w:rFonts w:ascii="Times New Roman" w:cs="Times New Roman" w:eastAsia="Times New Roman" w:hAnsi="Times New Roman"/>
          <w:sz w:val="11"/>
          <w:szCs w:val="11"/>
          <w:b w:val="1"/>
          <w:bCs w:val="1"/>
          <w:color w:val="010035"/>
        </w:rPr>
        <w:t>Target pay:</w:t>
      </w:r>
      <w:r>
        <w:rPr>
          <w:rFonts w:ascii="Times New Roman" w:cs="Times New Roman" w:eastAsia="Times New Roman" w:hAnsi="Times New Roman"/>
          <w:sz w:val="11"/>
          <w:szCs w:val="11"/>
          <w:color w:val="010035"/>
        </w:rPr>
        <w:t xml:space="preserve"> Calculated as a sum of base salary, target annual short-term incentive opportunity and all long-term incentive awards issued during 2021-2025, with PSUs valued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108585</wp:posOffset>
            </wp:positionV>
            <wp:extent cx="699516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Say-On-Pay Vote and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Our Board and the Committee remain deeply committed to maintaining an open, constructive and ongoing dialogue with our shareholders. Feedback gathered through this engagement provides meaningful insight into investor expectations and serves as a critical input into deliberations by the Board and Committee. This input informs decisions related to corporate strategy, governance practices and the design and administration of our executive compensation program, among other matters.</w:t>
      </w:r>
    </w:p>
    <w:p>
      <w:pPr>
        <w:spacing w:after="0" w:line="69"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In response to the 2025 ‘Say-on-Pay’ vote, which received support from 35.49% of votes cast, our engagement team, led by independent directors, undertook an expanded outreach effort to better understand shareholder perspectives and to guide the development of appropriate responsiveness actions. The timeline below outlines the Company’s engagement activities and the significant responsive measures approved by the Committee to address the key considerations underlying the 2025 voting outcome.</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June / July-September 2025: Immediate Board Responsiveness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color w:val="auto"/>
        </w:rPr>
        <w:t>Following the 2025 Annual Meeting, the Board acted swiftly and decisively to strengthen oversight of the executive compensation program and initiate a comprehensive review. Key actions included:</w:t>
      </w:r>
    </w:p>
    <w:p>
      <w:pPr>
        <w:spacing w:after="0" w:line="50" w:lineRule="exact"/>
        <w:rPr>
          <w:sz w:val="20"/>
          <w:szCs w:val="20"/>
          <w:color w:val="auto"/>
        </w:rPr>
      </w:pPr>
    </w:p>
    <w:p>
      <w:pPr>
        <w:ind w:left="360" w:right="60"/>
        <w:spacing w:after="0" w:line="263" w:lineRule="auto"/>
        <w:rPr>
          <w:sz w:val="20"/>
          <w:szCs w:val="20"/>
          <w:color w:val="auto"/>
        </w:rPr>
      </w:pPr>
      <w:r>
        <w:rPr>
          <w:rFonts w:ascii="Arial" w:cs="Arial" w:eastAsia="Arial" w:hAnsi="Arial"/>
          <w:sz w:val="14"/>
          <w:szCs w:val="14"/>
          <w:b w:val="1"/>
          <w:bCs w:val="1"/>
          <w:color w:val="auto"/>
        </w:rPr>
        <w:t xml:space="preserve">June 2025: </w:t>
      </w:r>
      <w:r>
        <w:rPr>
          <w:rFonts w:ascii="Arial" w:cs="Arial" w:eastAsia="Arial" w:hAnsi="Arial"/>
          <w:sz w:val="14"/>
          <w:szCs w:val="14"/>
          <w:color w:val="auto"/>
        </w:rPr>
        <w:t>The Board appointed Marla Kaplowitz as Chair of the Compensation Committee. Ms. Kaplowitz brings deep expertise in strategic</w:t>
      </w:r>
      <w:r>
        <w:rPr>
          <w:rFonts w:ascii="Arial" w:cs="Arial" w:eastAsia="Arial" w:hAnsi="Arial"/>
          <w:sz w:val="14"/>
          <w:szCs w:val="14"/>
          <w:b w:val="1"/>
          <w:bCs w:val="1"/>
          <w:color w:val="auto"/>
        </w:rPr>
        <w:t xml:space="preserve"> </w:t>
      </w:r>
      <w:r>
        <w:rPr>
          <w:rFonts w:ascii="Arial" w:cs="Arial" w:eastAsia="Arial" w:hAnsi="Arial"/>
          <w:sz w:val="14"/>
          <w:szCs w:val="14"/>
          <w:color w:val="auto"/>
        </w:rPr>
        <w:t>planning, organizational leadership, and human capital management—experience that positions her well to guide the Committee’s oversight of the Company’s executive compensation philosophy, structure and alignment with long-term value creation.</w:t>
      </w:r>
    </w:p>
    <w:p>
      <w:pPr>
        <w:spacing w:after="0" w:line="65" w:lineRule="exact"/>
        <w:rPr>
          <w:sz w:val="20"/>
          <w:szCs w:val="20"/>
          <w:color w:val="auto"/>
        </w:rPr>
      </w:pPr>
    </w:p>
    <w:p>
      <w:pPr>
        <w:jc w:val="both"/>
        <w:ind w:left="360" w:right="200"/>
        <w:spacing w:after="0" w:line="263" w:lineRule="auto"/>
        <w:rPr>
          <w:sz w:val="20"/>
          <w:szCs w:val="20"/>
          <w:color w:val="auto"/>
        </w:rPr>
      </w:pPr>
      <w:r>
        <w:rPr>
          <w:rFonts w:ascii="Arial" w:cs="Arial" w:eastAsia="Arial" w:hAnsi="Arial"/>
          <w:sz w:val="14"/>
          <w:szCs w:val="14"/>
          <w:color w:val="auto"/>
        </w:rPr>
        <w:t>The Board also refreshed the broader composition of the Committee by appointing Jane Scaccetti and David Handler to serve as members along with Ms. Kaplowitz and Vimla Black-Gupta. This rotation enhanced the breadth of perspectives on the Committee and reinforced the Board’s focus on aligning pay with long-term value creation opportunities.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 xml:space="preserve">July-August 2025: </w:t>
      </w:r>
      <w:r>
        <w:rPr>
          <w:rFonts w:ascii="Arial" w:cs="Arial" w:eastAsia="Arial" w:hAnsi="Arial"/>
          <w:sz w:val="14"/>
          <w:szCs w:val="14"/>
          <w:color w:val="auto"/>
        </w:rPr>
        <w:t>The Committee initiated and oversaw a robust RFP process to identify a new compensation consulting firm.</w:t>
      </w:r>
    </w:p>
    <w:p>
      <w:pPr>
        <w:spacing w:after="0" w:line="109" w:lineRule="exact"/>
        <w:rPr>
          <w:sz w:val="20"/>
          <w:szCs w:val="20"/>
          <w:color w:val="auto"/>
        </w:rPr>
      </w:pPr>
    </w:p>
    <w:p>
      <w:pPr>
        <w:ind w:left="360" w:right="120"/>
        <w:spacing w:after="0" w:line="285" w:lineRule="auto"/>
        <w:rPr>
          <w:sz w:val="20"/>
          <w:szCs w:val="20"/>
          <w:color w:val="auto"/>
        </w:rPr>
      </w:pPr>
      <w:r>
        <w:rPr>
          <w:rFonts w:ascii="Arial" w:cs="Arial" w:eastAsia="Arial" w:hAnsi="Arial"/>
          <w:sz w:val="14"/>
          <w:szCs w:val="14"/>
          <w:b w:val="1"/>
          <w:bCs w:val="1"/>
          <w:color w:val="auto"/>
        </w:rPr>
        <w:t xml:space="preserve">September 2025: </w:t>
      </w:r>
      <w:r>
        <w:rPr>
          <w:rFonts w:ascii="Arial" w:cs="Arial" w:eastAsia="Arial" w:hAnsi="Arial"/>
          <w:sz w:val="14"/>
          <w:szCs w:val="14"/>
          <w:color w:val="auto"/>
        </w:rPr>
        <w:t>The Committee engaged Semler Brossy, a leading compensation advisory firm, as its new independent advisor to provide</w:t>
      </w:r>
      <w:r>
        <w:rPr>
          <w:rFonts w:ascii="Arial" w:cs="Arial" w:eastAsia="Arial" w:hAnsi="Arial"/>
          <w:sz w:val="14"/>
          <w:szCs w:val="14"/>
          <w:b w:val="1"/>
          <w:bCs w:val="1"/>
          <w:color w:val="auto"/>
        </w:rPr>
        <w:t xml:space="preserve"> </w:t>
      </w:r>
      <w:r>
        <w:rPr>
          <w:rFonts w:ascii="Arial" w:cs="Arial" w:eastAsia="Arial" w:hAnsi="Arial"/>
          <w:sz w:val="14"/>
          <w:szCs w:val="14"/>
          <w:color w:val="auto"/>
        </w:rPr>
        <w:t>fresh external perspectives on the Company’s executive compensation program.</w:t>
      </w:r>
    </w:p>
    <w:p>
      <w:pPr>
        <w:spacing w:after="0" w:line="50" w:lineRule="exact"/>
        <w:rPr>
          <w:sz w:val="20"/>
          <w:szCs w:val="20"/>
          <w:color w:val="auto"/>
        </w:rPr>
      </w:pPr>
    </w:p>
    <w:p>
      <w:pPr>
        <w:ind w:left="360" w:right="200"/>
        <w:spacing w:after="0" w:line="256" w:lineRule="auto"/>
        <w:rPr>
          <w:sz w:val="20"/>
          <w:szCs w:val="20"/>
          <w:color w:val="auto"/>
        </w:rPr>
      </w:pPr>
      <w:r>
        <w:rPr>
          <w:rFonts w:ascii="Arial" w:cs="Arial" w:eastAsia="Arial" w:hAnsi="Arial"/>
          <w:sz w:val="14"/>
          <w:szCs w:val="14"/>
          <w:b w:val="1"/>
          <w:bCs w:val="1"/>
          <w:color w:val="auto"/>
        </w:rPr>
        <w:t>October-December 2025</w:t>
      </w:r>
      <w:r>
        <w:rPr>
          <w:rFonts w:ascii="Arial" w:cs="Arial" w:eastAsia="Arial" w:hAnsi="Arial"/>
          <w:sz w:val="14"/>
          <w:szCs w:val="14"/>
          <w:color w:val="auto"/>
        </w:rPr>
        <w:t>: With the assistance of its new independent compensation consultant, the Committee conducted an in-depth</w:t>
      </w:r>
      <w:r>
        <w:rPr>
          <w:rFonts w:ascii="Arial" w:cs="Arial" w:eastAsia="Arial" w:hAnsi="Arial"/>
          <w:sz w:val="14"/>
          <w:szCs w:val="14"/>
          <w:b w:val="1"/>
          <w:bCs w:val="1"/>
          <w:color w:val="auto"/>
        </w:rPr>
        <w:t xml:space="preserve"> </w:t>
      </w:r>
      <w:r>
        <w:rPr>
          <w:rFonts w:ascii="Arial" w:cs="Arial" w:eastAsia="Arial" w:hAnsi="Arial"/>
          <w:sz w:val="14"/>
          <w:szCs w:val="14"/>
          <w:color w:val="auto"/>
        </w:rPr>
        <w:t>assessment of the executive compensation program and benchmarked its practices against peer and investor expectations. Semler Brossy also advised on the development of responsiveness actions consistent with leading compensation practices and the Company’s realigned digital strategy.</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November 2025 – February 2026: Off-Season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498"/>
        </w:trPr>
        <w:tc>
          <w:tcPr>
            <w:tcW w:w="40" w:type="dxa"/>
            <w:vAlign w:val="bottom"/>
            <w:tcBorders>
              <w:top w:val="single" w:sz="8" w:color="69439A"/>
            </w:tcBorders>
            <w:shd w:val="clear" w:color="auto" w:fill="DED8EC"/>
          </w:tcPr>
          <w:p>
            <w:pPr>
              <w:spacing w:after="0"/>
              <w:rPr>
                <w:sz w:val="24"/>
                <w:szCs w:val="24"/>
                <w:color w:val="auto"/>
              </w:rPr>
            </w:pPr>
          </w:p>
        </w:tc>
        <w:tc>
          <w:tcPr>
            <w:tcW w:w="2020" w:type="dxa"/>
            <w:vAlign w:val="bottom"/>
            <w:tcBorders>
              <w:top w:val="single" w:sz="8" w:color="69439A"/>
            </w:tcBorders>
            <w:shd w:val="clear" w:color="auto" w:fill="DED8EC"/>
          </w:tcPr>
          <w:p>
            <w:pPr>
              <w:ind w:left="40"/>
              <w:spacing w:after="0"/>
              <w:rPr>
                <w:sz w:val="20"/>
                <w:szCs w:val="20"/>
                <w:color w:val="auto"/>
              </w:rPr>
            </w:pPr>
            <w:r>
              <w:rPr>
                <w:rFonts w:ascii="Arial" w:cs="Arial" w:eastAsia="Arial" w:hAnsi="Arial"/>
                <w:sz w:val="18"/>
                <w:szCs w:val="18"/>
                <w:b w:val="1"/>
                <w:bCs w:val="1"/>
                <w:color w:val="010035"/>
              </w:rPr>
              <w:t>INVITED TO ENGAGE</w:t>
            </w:r>
          </w:p>
        </w:tc>
        <w:tc>
          <w:tcPr>
            <w:tcW w:w="7340" w:type="dxa"/>
            <w:vAlign w:val="bottom"/>
            <w:tcBorders>
              <w:top w:val="single" w:sz="8" w:color="69439A"/>
            </w:tcBorders>
            <w:gridSpan w:val="3"/>
            <w:shd w:val="clear" w:color="auto" w:fill="DED8EC"/>
          </w:tcPr>
          <w:p>
            <w:pPr>
              <w:ind w:left="80"/>
              <w:spacing w:after="0"/>
              <w:rPr>
                <w:sz w:val="20"/>
                <w:szCs w:val="20"/>
                <w:color w:val="auto"/>
              </w:rPr>
            </w:pPr>
            <w:r>
              <w:rPr>
                <w:rFonts w:ascii="Arial" w:cs="Arial" w:eastAsia="Arial" w:hAnsi="Arial"/>
                <w:sz w:val="18"/>
                <w:szCs w:val="18"/>
                <w:b w:val="1"/>
                <w:bCs w:val="1"/>
                <w:color w:val="010035"/>
                <w:w w:val="92"/>
              </w:rPr>
              <w:t>HELD MEETINGS WITH  ENGAGEMENT DISCUSSIONS LED BY INDEPENDENT DIRECTORS</w:t>
            </w:r>
          </w:p>
        </w:tc>
        <w:tc>
          <w:tcPr>
            <w:tcW w:w="0" w:type="dxa"/>
            <w:vAlign w:val="bottom"/>
          </w:tcPr>
          <w:p>
            <w:pPr>
              <w:spacing w:after="0"/>
              <w:rPr>
                <w:sz w:val="1"/>
                <w:szCs w:val="1"/>
                <w:color w:val="auto"/>
              </w:rPr>
            </w:pPr>
          </w:p>
        </w:tc>
      </w:tr>
      <w:tr>
        <w:trPr>
          <w:trHeight w:val="83"/>
        </w:trPr>
        <w:tc>
          <w:tcPr>
            <w:tcW w:w="40" w:type="dxa"/>
            <w:vAlign w:val="bottom"/>
            <w:shd w:val="clear" w:color="auto" w:fill="DED8EC"/>
          </w:tcPr>
          <w:p>
            <w:pPr>
              <w:spacing w:after="0"/>
              <w:rPr>
                <w:sz w:val="7"/>
                <w:szCs w:val="7"/>
                <w:color w:val="auto"/>
              </w:rPr>
            </w:pPr>
          </w:p>
        </w:tc>
        <w:tc>
          <w:tcPr>
            <w:tcW w:w="2020" w:type="dxa"/>
            <w:vAlign w:val="bottom"/>
            <w:shd w:val="clear" w:color="auto" w:fill="DED8EC"/>
          </w:tcPr>
          <w:p>
            <w:pPr>
              <w:spacing w:after="0"/>
              <w:rPr>
                <w:sz w:val="7"/>
                <w:szCs w:val="7"/>
                <w:color w:val="auto"/>
              </w:rPr>
            </w:pPr>
          </w:p>
        </w:tc>
        <w:tc>
          <w:tcPr>
            <w:tcW w:w="1800" w:type="dxa"/>
            <w:vAlign w:val="bottom"/>
            <w:shd w:val="clear" w:color="auto" w:fill="DED8EC"/>
          </w:tcPr>
          <w:p>
            <w:pPr>
              <w:spacing w:after="0"/>
              <w:rPr>
                <w:sz w:val="7"/>
                <w:szCs w:val="7"/>
                <w:color w:val="auto"/>
              </w:rPr>
            </w:pPr>
          </w:p>
        </w:tc>
        <w:tc>
          <w:tcPr>
            <w:tcW w:w="2440" w:type="dxa"/>
            <w:vAlign w:val="bottom"/>
            <w:shd w:val="clear" w:color="auto" w:fill="DED8EC"/>
          </w:tcPr>
          <w:p>
            <w:pPr>
              <w:spacing w:after="0"/>
              <w:rPr>
                <w:sz w:val="7"/>
                <w:szCs w:val="7"/>
                <w:color w:val="auto"/>
              </w:rPr>
            </w:pPr>
          </w:p>
        </w:tc>
        <w:tc>
          <w:tcPr>
            <w:tcW w:w="3100" w:type="dxa"/>
            <w:vAlign w:val="bottom"/>
            <w:shd w:val="clear" w:color="auto" w:fill="DED8EC"/>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of the shareholder engagement meetings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with investors in our top 30 holders were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attended by independent Board members,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20" w:type="dxa"/>
            <w:vAlign w:val="bottom"/>
            <w:vMerge w:val="restart"/>
          </w:tcPr>
          <w:p>
            <w:pPr>
              <w:ind w:left="1100"/>
              <w:spacing w:after="0"/>
              <w:rPr>
                <w:sz w:val="20"/>
                <w:szCs w:val="20"/>
                <w:color w:val="auto"/>
              </w:rPr>
            </w:pPr>
            <w:r>
              <w:rPr>
                <w:rFonts w:ascii="Arial" w:cs="Arial" w:eastAsia="Arial" w:hAnsi="Arial"/>
                <w:sz w:val="14"/>
                <w:szCs w:val="14"/>
                <w:color w:val="auto"/>
              </w:rPr>
              <w:t>shareholders</w:t>
            </w:r>
          </w:p>
        </w:tc>
        <w:tc>
          <w:tcPr>
            <w:tcW w:w="1800" w:type="dxa"/>
            <w:vAlign w:val="bottom"/>
            <w:vMerge w:val="restart"/>
          </w:tcPr>
          <w:p>
            <w:pPr>
              <w:ind w:left="820"/>
              <w:spacing w:after="0"/>
              <w:rPr>
                <w:sz w:val="20"/>
                <w:szCs w:val="20"/>
                <w:color w:val="auto"/>
              </w:rPr>
            </w:pPr>
            <w:r>
              <w:rPr>
                <w:rFonts w:ascii="Arial" w:cs="Arial" w:eastAsia="Arial" w:hAnsi="Arial"/>
                <w:sz w:val="14"/>
                <w:szCs w:val="14"/>
                <w:color w:val="auto"/>
              </w:rPr>
              <w:t>shareholders</w:t>
            </w:r>
          </w:p>
        </w:tc>
        <w:tc>
          <w:tcPr>
            <w:tcW w:w="244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including our Nominating &amp; Corporate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3100" w:type="dxa"/>
            <w:vAlign w:val="bottom"/>
            <w:vMerge w:val="restart"/>
          </w:tcPr>
          <w:p>
            <w:pPr>
              <w:ind w:left="120"/>
              <w:spacing w:after="0"/>
              <w:rPr>
                <w:sz w:val="20"/>
                <w:szCs w:val="20"/>
                <w:color w:val="auto"/>
              </w:rPr>
            </w:pPr>
            <w:r>
              <w:rPr>
                <w:rFonts w:ascii="Arial" w:cs="Arial" w:eastAsia="Arial" w:hAnsi="Arial"/>
                <w:sz w:val="14"/>
                <w:szCs w:val="14"/>
                <w:color w:val="auto"/>
              </w:rPr>
              <w:t>Governance Committee Chair, our newly</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020" w:type="dxa"/>
            <w:vAlign w:val="bottom"/>
            <w:vMerge w:val="restart"/>
          </w:tcPr>
          <w:p>
            <w:pPr>
              <w:ind w:left="1100"/>
              <w:spacing w:after="0"/>
              <w:rPr>
                <w:sz w:val="20"/>
                <w:szCs w:val="20"/>
                <w:color w:val="auto"/>
              </w:rPr>
            </w:pPr>
            <w:r>
              <w:rPr>
                <w:rFonts w:ascii="Arial" w:cs="Arial" w:eastAsia="Arial" w:hAnsi="Arial"/>
                <w:sz w:val="14"/>
                <w:szCs w:val="14"/>
                <w:color w:val="auto"/>
              </w:rPr>
              <w:t>representing</w:t>
            </w:r>
          </w:p>
        </w:tc>
        <w:tc>
          <w:tcPr>
            <w:tcW w:w="1800" w:type="dxa"/>
            <w:vAlign w:val="bottom"/>
            <w:vMerge w:val="restart"/>
          </w:tcPr>
          <w:p>
            <w:pPr>
              <w:ind w:left="820"/>
              <w:spacing w:after="0"/>
              <w:rPr>
                <w:sz w:val="20"/>
                <w:szCs w:val="20"/>
                <w:color w:val="auto"/>
              </w:rPr>
            </w:pPr>
            <w:r>
              <w:rPr>
                <w:rFonts w:ascii="Arial" w:cs="Arial" w:eastAsia="Arial" w:hAnsi="Arial"/>
                <w:sz w:val="14"/>
                <w:szCs w:val="14"/>
                <w:color w:val="auto"/>
              </w:rPr>
              <w:t>representing</w:t>
            </w:r>
          </w:p>
        </w:tc>
        <w:tc>
          <w:tcPr>
            <w:tcW w:w="24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3100" w:type="dxa"/>
            <w:vAlign w:val="bottom"/>
            <w:vMerge w:val="restart"/>
          </w:tcPr>
          <w:p>
            <w:pPr>
              <w:ind w:left="120"/>
              <w:spacing w:after="0"/>
              <w:rPr>
                <w:sz w:val="20"/>
                <w:szCs w:val="20"/>
                <w:color w:val="auto"/>
              </w:rPr>
            </w:pPr>
            <w:r>
              <w:rPr>
                <w:rFonts w:ascii="Arial" w:cs="Arial" w:eastAsia="Arial" w:hAnsi="Arial"/>
                <w:sz w:val="14"/>
                <w:szCs w:val="14"/>
                <w:color w:val="auto"/>
              </w:rPr>
              <w:t>appointed Compensation Committee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020" w:type="dxa"/>
            <w:vAlign w:val="bottom"/>
            <w:vMerge w:val="restart"/>
          </w:tcPr>
          <w:p>
            <w:pPr>
              <w:ind w:left="1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48%*</w:t>
            </w:r>
            <w:r>
              <w:rPr>
                <w:rFonts w:ascii="Arial" w:cs="Arial" w:eastAsia="Arial" w:hAnsi="Arial"/>
                <w:sz w:val="14"/>
                <w:szCs w:val="14"/>
                <w:color w:val="auto"/>
              </w:rPr>
              <w:t xml:space="preserve"> of</w:t>
            </w:r>
          </w:p>
        </w:tc>
        <w:tc>
          <w:tcPr>
            <w:tcW w:w="1800" w:type="dxa"/>
            <w:vAlign w:val="bottom"/>
            <w:vMerge w:val="restart"/>
          </w:tcPr>
          <w:p>
            <w:pPr>
              <w:ind w:left="8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36%*</w:t>
            </w:r>
            <w:r>
              <w:rPr>
                <w:rFonts w:ascii="Arial" w:cs="Arial" w:eastAsia="Arial" w:hAnsi="Arial"/>
                <w:sz w:val="14"/>
                <w:szCs w:val="14"/>
                <w:color w:val="auto"/>
              </w:rPr>
              <w:t xml:space="preserve"> of</w:t>
            </w:r>
          </w:p>
        </w:tc>
        <w:tc>
          <w:tcPr>
            <w:tcW w:w="24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3100" w:type="dxa"/>
            <w:vAlign w:val="bottom"/>
            <w:vMerge w:val="restart"/>
          </w:tcPr>
          <w:p>
            <w:pPr>
              <w:ind w:left="120"/>
              <w:spacing w:after="0"/>
              <w:rPr>
                <w:sz w:val="20"/>
                <w:szCs w:val="20"/>
                <w:color w:val="auto"/>
              </w:rPr>
            </w:pPr>
            <w:r>
              <w:rPr>
                <w:rFonts w:ascii="Arial" w:cs="Arial" w:eastAsia="Arial" w:hAnsi="Arial"/>
                <w:sz w:val="14"/>
                <w:szCs w:val="14"/>
                <w:color w:val="auto"/>
              </w:rPr>
              <w:t>Chair, our Independent Board Chair and</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020" w:type="dxa"/>
            <w:vAlign w:val="bottom"/>
            <w:vMerge w:val="restart"/>
          </w:tcPr>
          <w:p>
            <w:pPr>
              <w:ind w:left="1100"/>
              <w:spacing w:after="0" w:line="145" w:lineRule="exact"/>
              <w:rPr>
                <w:sz w:val="20"/>
                <w:szCs w:val="20"/>
                <w:color w:val="auto"/>
              </w:rPr>
            </w:pPr>
            <w:r>
              <w:rPr>
                <w:rFonts w:ascii="Arial" w:cs="Arial" w:eastAsia="Arial" w:hAnsi="Arial"/>
                <w:sz w:val="14"/>
                <w:szCs w:val="14"/>
                <w:color w:val="auto"/>
              </w:rPr>
              <w:t>outstanding</w:t>
            </w:r>
          </w:p>
        </w:tc>
        <w:tc>
          <w:tcPr>
            <w:tcW w:w="1800" w:type="dxa"/>
            <w:vAlign w:val="bottom"/>
            <w:vMerge w:val="restart"/>
          </w:tcPr>
          <w:p>
            <w:pPr>
              <w:ind w:left="820"/>
              <w:spacing w:after="0" w:line="145" w:lineRule="exact"/>
              <w:rPr>
                <w:sz w:val="20"/>
                <w:szCs w:val="20"/>
                <w:color w:val="auto"/>
              </w:rPr>
            </w:pPr>
            <w:r>
              <w:rPr>
                <w:rFonts w:ascii="Arial" w:cs="Arial" w:eastAsia="Arial" w:hAnsi="Arial"/>
                <w:sz w:val="14"/>
                <w:szCs w:val="14"/>
                <w:color w:val="auto"/>
              </w:rPr>
              <w:t>outstanding</w:t>
            </w:r>
          </w:p>
        </w:tc>
        <w:tc>
          <w:tcPr>
            <w:tcW w:w="24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3100" w:type="dxa"/>
            <w:vAlign w:val="bottom"/>
            <w:vMerge w:val="restart"/>
          </w:tcPr>
          <w:p>
            <w:pPr>
              <w:ind w:left="120"/>
              <w:spacing w:after="0"/>
              <w:rPr>
                <w:sz w:val="20"/>
                <w:szCs w:val="20"/>
                <w:color w:val="auto"/>
              </w:rPr>
            </w:pPr>
            <w:r>
              <w:rPr>
                <w:rFonts w:ascii="Arial" w:cs="Arial" w:eastAsia="Arial" w:hAnsi="Arial"/>
                <w:sz w:val="14"/>
                <w:szCs w:val="14"/>
                <w:color w:val="auto"/>
              </w:rPr>
              <w:t>our Audit Committee Chair. These same</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020" w:type="dxa"/>
            <w:vAlign w:val="bottom"/>
            <w:vMerge w:val="restart"/>
          </w:tcPr>
          <w:p>
            <w:pPr>
              <w:ind w:left="40"/>
              <w:spacing w:after="0" w:line="274" w:lineRule="exact"/>
              <w:rPr>
                <w:sz w:val="20"/>
                <w:szCs w:val="20"/>
                <w:color w:val="auto"/>
              </w:rPr>
            </w:pPr>
            <w:r>
              <w:rPr>
                <w:rFonts w:ascii="Arial" w:cs="Arial" w:eastAsia="Arial" w:hAnsi="Arial"/>
                <w:sz w:val="31"/>
                <w:szCs w:val="31"/>
                <w:b w:val="1"/>
                <w:bCs w:val="1"/>
                <w:color w:val="69439A"/>
              </w:rPr>
              <w:t xml:space="preserve">17 </w:t>
            </w:r>
            <w:r>
              <w:rPr>
                <w:rFonts w:ascii="Arial" w:cs="Arial" w:eastAsia="Arial" w:hAnsi="Arial"/>
                <w:sz w:val="12"/>
                <w:szCs w:val="12"/>
                <w:color w:val="000000"/>
              </w:rPr>
              <w:t>shares</w:t>
            </w:r>
          </w:p>
        </w:tc>
        <w:tc>
          <w:tcPr>
            <w:tcW w:w="1800" w:type="dxa"/>
            <w:vAlign w:val="bottom"/>
            <w:vMerge w:val="restart"/>
          </w:tcPr>
          <w:p>
            <w:pPr>
              <w:ind w:left="80"/>
              <w:spacing w:after="0" w:line="274" w:lineRule="exact"/>
              <w:rPr>
                <w:sz w:val="20"/>
                <w:szCs w:val="20"/>
                <w:color w:val="auto"/>
              </w:rPr>
            </w:pPr>
            <w:r>
              <w:rPr>
                <w:rFonts w:ascii="Arial" w:cs="Arial" w:eastAsia="Arial" w:hAnsi="Arial"/>
                <w:sz w:val="31"/>
                <w:szCs w:val="31"/>
                <w:b w:val="1"/>
                <w:bCs w:val="1"/>
                <w:color w:val="69439A"/>
              </w:rPr>
              <w:t xml:space="preserve">9 </w:t>
            </w:r>
            <w:r>
              <w:rPr>
                <w:rFonts w:ascii="Arial" w:cs="Arial" w:eastAsia="Arial" w:hAnsi="Arial"/>
                <w:sz w:val="12"/>
                <w:szCs w:val="12"/>
                <w:color w:val="000000"/>
              </w:rPr>
              <w:t>shares</w:t>
            </w:r>
          </w:p>
        </w:tc>
        <w:tc>
          <w:tcPr>
            <w:tcW w:w="2440" w:type="dxa"/>
            <w:vAlign w:val="bottom"/>
            <w:vMerge w:val="restart"/>
          </w:tcPr>
          <w:p>
            <w:pPr>
              <w:jc w:val="right"/>
              <w:spacing w:after="0" w:line="274" w:lineRule="exact"/>
              <w:rPr>
                <w:sz w:val="20"/>
                <w:szCs w:val="20"/>
                <w:color w:val="auto"/>
              </w:rPr>
            </w:pPr>
            <w:r>
              <w:rPr>
                <w:rFonts w:ascii="Arial" w:cs="Arial" w:eastAsia="Arial" w:hAnsi="Arial"/>
                <w:sz w:val="31"/>
                <w:szCs w:val="31"/>
                <w:b w:val="1"/>
                <w:bCs w:val="1"/>
                <w:color w:val="69439A"/>
              </w:rPr>
              <w:t>100%</w:t>
            </w:r>
          </w:p>
        </w:tc>
        <w:tc>
          <w:tcPr>
            <w:tcW w:w="3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independent directors also led engagement</w:t>
            </w:r>
          </w:p>
        </w:tc>
        <w:tc>
          <w:tcPr>
            <w:tcW w:w="0" w:type="dxa"/>
            <w:vAlign w:val="bottom"/>
          </w:tcPr>
          <w:p>
            <w:pPr>
              <w:spacing w:after="0"/>
              <w:rPr>
                <w:sz w:val="1"/>
                <w:szCs w:val="1"/>
                <w:color w:val="auto"/>
              </w:rPr>
            </w:pPr>
          </w:p>
        </w:tc>
      </w:tr>
    </w:tbl>
    <w:p>
      <w:pPr>
        <w:ind w:left="6420"/>
        <w:spacing w:after="0"/>
        <w:rPr>
          <w:sz w:val="20"/>
          <w:szCs w:val="20"/>
          <w:color w:val="auto"/>
        </w:rPr>
      </w:pPr>
      <w:r>
        <w:rPr>
          <w:rFonts w:ascii="Arial" w:cs="Arial" w:eastAsia="Arial" w:hAnsi="Arial"/>
          <w:sz w:val="14"/>
          <w:szCs w:val="14"/>
          <w:color w:val="auto"/>
        </w:rPr>
        <w:t>meetings with proxy advisory firms</w:t>
      </w:r>
    </w:p>
    <w:p>
      <w:pPr>
        <w:spacing w:after="0" w:line="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Institutional Shareholder Services (ISS)</w:t>
      </w:r>
    </w:p>
    <w:p>
      <w:pPr>
        <w:spacing w:after="0" w:line="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and Glass Lewis</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   Outstandingplace: share ownership calculated as of 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236855</wp:posOffset>
            </wp:positionV>
            <wp:extent cx="699516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November 2025 – February 2026: Off-Season Shareholder Engagement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engagement team, led by our new Committee Chair, conducted an expanded off-season outreach program to gain a deeper understanding of shareholder perspectives on our executive compensation program and the specific factors that contributed to certain shareholders not supporting the 2025 ‘Say-on-Pay’ proposal.</w:t>
      </w:r>
    </w:p>
    <w:p>
      <w:pPr>
        <w:spacing w:after="0" w:line="65"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Across these discussions, most shareholders acknowledged that recent enhancements to the LTIP plan design, including the adoption of a three-year performance period in 2024 and the increased emphasis on long-term financial performance metrics, were positive steps and directly responsive to prior feedback. While investors expressed a wide range of views on specific elements of the incentive plan design, their comments consistently converged around an overarching theme: ensuring that executive pay opportunities and incentive plan outcomes are tightly aligned with the Company’s strategic direction and long-term value creation.</w:t>
      </w:r>
    </w:p>
    <w:p>
      <w:pPr>
        <w:spacing w:after="0" w:line="73" w:lineRule="exact"/>
        <w:rPr>
          <w:sz w:val="20"/>
          <w:szCs w:val="20"/>
          <w:color w:val="auto"/>
        </w:rPr>
      </w:pPr>
    </w:p>
    <w:p>
      <w:pPr>
        <w:ind w:right="800"/>
        <w:spacing w:after="0" w:line="285" w:lineRule="auto"/>
        <w:rPr>
          <w:sz w:val="20"/>
          <w:szCs w:val="20"/>
          <w:color w:val="auto"/>
        </w:rPr>
      </w:pPr>
      <w:r>
        <w:rPr>
          <w:rFonts w:ascii="Arial" w:cs="Arial" w:eastAsia="Arial" w:hAnsi="Arial"/>
          <w:sz w:val="14"/>
          <w:szCs w:val="14"/>
          <w:color w:val="auto"/>
        </w:rPr>
        <w:t>The table below summarizes key shareholder feedback communicated to the Board by our engagement team, and the corresponding responsiveness actions taken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5966460" cy="354012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966460" cy="3540125"/>
                    </a:xfrm>
                    <a:prstGeom prst="rect">
                      <a:avLst/>
                    </a:prstGeom>
                    <a:noFill/>
                  </pic:spPr>
                </pic:pic>
              </a:graphicData>
            </a:graphic>
          </wp:anchor>
        </w:drawing>
      </w:r>
    </w:p>
    <w:p>
      <w:pPr>
        <w:spacing w:after="0" w:line="334" w:lineRule="exact"/>
        <w:rPr>
          <w:sz w:val="20"/>
          <w:szCs w:val="20"/>
          <w:color w:val="auto"/>
        </w:rPr>
      </w:pPr>
    </w:p>
    <w:p>
      <w:pPr>
        <w:ind w:left="280"/>
        <w:spacing w:after="0"/>
        <w:tabs>
          <w:tab w:leader="none" w:pos="2420" w:val="left"/>
        </w:tabs>
        <w:rPr>
          <w:sz w:val="20"/>
          <w:szCs w:val="20"/>
          <w:color w:val="auto"/>
        </w:rPr>
      </w:pPr>
      <w:r>
        <w:rPr>
          <w:rFonts w:ascii="Arial" w:cs="Arial" w:eastAsia="Arial" w:hAnsi="Arial"/>
          <w:sz w:val="22"/>
          <w:szCs w:val="22"/>
          <w:b w:val="1"/>
          <w:bCs w:val="1"/>
          <w:color w:val="auto"/>
        </w:rPr>
        <w:t>WHAT WE HEARD</w:t>
      </w:r>
      <w:r>
        <w:rPr>
          <w:sz w:val="20"/>
          <w:szCs w:val="20"/>
          <w:color w:val="auto"/>
        </w:rPr>
        <w:tab/>
      </w:r>
      <w:r>
        <w:rPr>
          <w:rFonts w:ascii="Arial" w:cs="Arial" w:eastAsia="Arial" w:hAnsi="Arial"/>
          <w:sz w:val="19"/>
          <w:szCs w:val="19"/>
          <w:b w:val="1"/>
          <w:bCs w:val="1"/>
          <w:color w:val="auto"/>
        </w:rPr>
        <w:t>HOW WE RESPONDED</w:t>
      </w:r>
    </w:p>
    <w:p>
      <w:pPr>
        <w:sectPr>
          <w:pgSz w:w="11900" w:h="16838" w:orient="portrait"/>
          <w:cols w:equalWidth="0" w:num="1">
            <w:col w:w="9280"/>
          </w:cols>
          <w:pgMar w:left="1240" w:top="11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0" w:right="140"/>
        <w:spacing w:after="0" w:line="309" w:lineRule="auto"/>
        <w:rPr>
          <w:sz w:val="20"/>
          <w:szCs w:val="20"/>
          <w:color w:val="auto"/>
        </w:rPr>
      </w:pPr>
      <w:r>
        <w:rPr>
          <w:rFonts w:ascii="Arial" w:cs="Arial" w:eastAsia="Arial" w:hAnsi="Arial"/>
          <w:sz w:val="19"/>
          <w:szCs w:val="19"/>
          <w:b w:val="1"/>
          <w:bCs w:val="1"/>
          <w:color w:val="010035"/>
        </w:rPr>
        <w:t>PEER​ GROUP RELEVANCE</w:t>
      </w:r>
    </w:p>
    <w:p>
      <w:pPr>
        <w:spacing w:after="0" w:line="1" w:lineRule="exact"/>
        <w:rPr>
          <w:sz w:val="20"/>
          <w:szCs w:val="20"/>
          <w:color w:val="auto"/>
        </w:rPr>
      </w:pPr>
    </w:p>
    <w:p>
      <w:pPr>
        <w:ind w:left="280" w:right="220"/>
        <w:spacing w:after="0" w:line="242" w:lineRule="auto"/>
        <w:rPr>
          <w:sz w:val="20"/>
          <w:szCs w:val="20"/>
          <w:color w:val="auto"/>
        </w:rPr>
      </w:pPr>
      <w:r>
        <w:rPr>
          <w:rFonts w:ascii="Arial" w:cs="Arial" w:eastAsia="Arial" w:hAnsi="Arial"/>
          <w:sz w:val="12"/>
          <w:szCs w:val="12"/>
          <w:color w:val="010035"/>
        </w:rPr>
        <w:t>Many shareholders focused on the Company’s go-forward strategy and alignment of the compensation program with strategic outcomes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1140"/>
        <w:spacing w:after="0" w:line="261" w:lineRule="auto"/>
        <w:rPr>
          <w:sz w:val="20"/>
          <w:szCs w:val="20"/>
          <w:color w:val="auto"/>
        </w:rPr>
      </w:pPr>
      <w:r>
        <w:rPr>
          <w:rFonts w:ascii="Arial" w:cs="Arial" w:eastAsia="Arial" w:hAnsi="Arial"/>
          <w:sz w:val="22"/>
          <w:szCs w:val="22"/>
          <w:b w:val="1"/>
          <w:bCs w:val="1"/>
          <w:color w:val="69439A"/>
        </w:rPr>
        <w:t>UPDATED THE COMPENSATION PEER GROUP FOR THE 2026 COMPENSATION CYCLE</w:t>
      </w:r>
    </w:p>
    <w:p>
      <w:pPr>
        <w:ind w:left="180" w:right="80" w:hanging="171"/>
        <w:spacing w:after="0" w:line="339" w:lineRule="auto"/>
        <w:tabs>
          <w:tab w:leader="none" w:pos="73" w:val="left"/>
        </w:tabs>
        <w:numPr>
          <w:ilvl w:val="0"/>
          <w:numId w:val="49"/>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As a foundational component of the executive compensation program, conducted a comprehensive review of</w:t>
      </w:r>
      <w:r>
        <w:rPr>
          <w:rFonts w:ascii="Arial" w:cs="Arial" w:eastAsia="Arial" w:hAnsi="Arial"/>
          <w:sz w:val="10"/>
          <w:szCs w:val="10"/>
          <w:color w:val="010035"/>
        </w:rPr>
        <w:t xml:space="preserve"> </w:t>
      </w:r>
      <w:r>
        <w:rPr>
          <w:rFonts w:ascii="Arial" w:cs="Arial" w:eastAsia="Arial" w:hAnsi="Arial"/>
          <w:sz w:val="10"/>
          <w:szCs w:val="10"/>
          <w:b w:val="1"/>
          <w:bCs w:val="1"/>
          <w:color w:val="010035"/>
        </w:rPr>
        <w:t xml:space="preserve">the compensation peer group: </w:t>
      </w:r>
      <w:r>
        <w:rPr>
          <w:rFonts w:ascii="Arial" w:cs="Arial" w:eastAsia="Arial" w:hAnsi="Arial"/>
          <w:sz w:val="10"/>
          <w:szCs w:val="10"/>
          <w:color w:val="010035"/>
        </w:rPr>
        <w:t>As part of its in-depth assessment of the executive compensation program following</w:t>
      </w:r>
      <w:r>
        <w:rPr>
          <w:rFonts w:ascii="Arial" w:cs="Arial" w:eastAsia="Arial" w:hAnsi="Arial"/>
          <w:sz w:val="10"/>
          <w:szCs w:val="10"/>
          <w:b w:val="1"/>
          <w:bCs w:val="1"/>
          <w:color w:val="010035"/>
        </w:rPr>
        <w:t xml:space="preserve"> </w:t>
      </w:r>
      <w:r>
        <w:rPr>
          <w:rFonts w:ascii="Arial" w:cs="Arial" w:eastAsia="Arial" w:hAnsi="Arial"/>
          <w:sz w:val="10"/>
          <w:szCs w:val="10"/>
          <w:color w:val="010035"/>
        </w:rPr>
        <w:t xml:space="preserve">the Company’s strategic digital realignment, the Committee, with the support of its new independent compensation consultant, oversaw a significant update to the Company’s compensation peer group. The new peer group was developed using a refreshed selection framework that reflects the Company’s realigned business focus and growth priorities, current size and market dynamics. Finalized in the fourth quarter of 2025, in part in response to the 2025 “Say-on-Pay” vote outcome, the updated compensation peer group informed the Committee’s compensation decisions for 2026. Additional details on the compensation peer group changes can be found on page </w:t>
      </w:r>
      <w:r>
        <w:rPr>
          <w:rFonts w:ascii="Arial" w:cs="Arial" w:eastAsia="Arial" w:hAnsi="Arial"/>
          <w:sz w:val="10"/>
          <w:szCs w:val="10"/>
          <w:u w:val="single" w:color="auto"/>
          <w:color w:val="0000EE"/>
        </w:rPr>
        <w:t>63</w:t>
      </w:r>
      <w:r>
        <w:rPr>
          <w:rFonts w:ascii="Arial" w:cs="Arial" w:eastAsia="Arial" w:hAnsi="Arial"/>
          <w:sz w:val="10"/>
          <w:szCs w:val="10"/>
          <w:color w:val="010035"/>
        </w:rPr>
        <w:t xml:space="preserve"> of this proxy statement.</w:t>
      </w:r>
    </w:p>
    <w:p>
      <w:pPr>
        <w:spacing w:after="0" w:line="131" w:lineRule="exact"/>
        <w:rPr>
          <w:rFonts w:ascii="Arial" w:cs="Arial" w:eastAsia="Arial" w:hAnsi="Arial"/>
          <w:sz w:val="10"/>
          <w:szCs w:val="10"/>
          <w:color w:val="010035"/>
        </w:rPr>
      </w:pPr>
    </w:p>
    <w:p>
      <w:pPr>
        <w:ind w:left="180" w:right="60" w:hanging="171"/>
        <w:spacing w:after="0" w:line="312" w:lineRule="auto"/>
        <w:tabs>
          <w:tab w:leader="none" w:pos="73" w:val="left"/>
        </w:tabs>
        <w:numPr>
          <w:ilvl w:val="0"/>
          <w:numId w:val="49"/>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Shifted peer group composition toward more relevant industry peers:</w:t>
      </w:r>
      <w:r>
        <w:rPr>
          <w:rFonts w:ascii="Arial" w:cs="Arial" w:eastAsia="Arial" w:hAnsi="Arial"/>
          <w:sz w:val="10"/>
          <w:szCs w:val="10"/>
          <w:color w:val="010035"/>
        </w:rPr>
        <w:t xml:space="preserve"> The 2026 compensation peer group places a greater emphasis on casino, gaming and hospitality companies in replacement of digital and entertainment companies to better reflect PENN’s new strategic focus areas. The compensation peer group changes more closely align PENN with its closest similarly-sized competitors with comparable geographic footprints, reinforcing alignment with performance and go-forward strategy.</w:t>
      </w:r>
    </w:p>
    <w:p>
      <w:pPr>
        <w:spacing w:after="0" w:line="200" w:lineRule="exact"/>
        <w:rPr>
          <w:sz w:val="20"/>
          <w:szCs w:val="20"/>
          <w:color w:val="auto"/>
        </w:rPr>
      </w:pPr>
    </w:p>
    <w:p>
      <w:pPr>
        <w:sectPr>
          <w:pgSz w:w="11900" w:h="16838" w:orient="portrait"/>
          <w:cols w:equalWidth="0" w:num="2">
            <w:col w:w="1720" w:space="720"/>
            <w:col w:w="6840"/>
          </w:cols>
          <w:pgMar w:left="1240" w:top="114" w:right="1379" w:bottom="1440" w:gutter="0" w:footer="0" w:header="0"/>
          <w:type w:val="continuous"/>
        </w:sectPr>
      </w:pPr>
    </w:p>
    <w:p>
      <w:pPr>
        <w:spacing w:after="0" w:line="258" w:lineRule="exact"/>
        <w:rPr>
          <w:sz w:val="20"/>
          <w:szCs w:val="20"/>
          <w:color w:val="auto"/>
        </w:rPr>
      </w:pPr>
    </w:p>
    <w:p>
      <w:pPr>
        <w:ind w:left="280"/>
        <w:spacing w:after="0" w:line="267" w:lineRule="auto"/>
        <w:rPr>
          <w:sz w:val="20"/>
          <w:szCs w:val="20"/>
          <w:color w:val="auto"/>
        </w:rPr>
      </w:pPr>
      <w:r>
        <w:rPr>
          <w:rFonts w:ascii="Arial" w:cs="Arial" w:eastAsia="Arial" w:hAnsi="Arial"/>
          <w:sz w:val="22"/>
          <w:szCs w:val="22"/>
          <w:b w:val="1"/>
          <w:bCs w:val="1"/>
          <w:color w:val="010035"/>
        </w:rPr>
        <w:t>CEO</w:t>
      </w:r>
      <w:r>
        <w:rPr>
          <w:rFonts w:ascii="Arial" w:cs="Arial" w:eastAsia="Arial" w:hAnsi="Arial"/>
          <w:sz w:val="12"/>
          <w:szCs w:val="12"/>
          <w:color w:val="010035"/>
        </w:rPr>
        <w:t>​</w:t>
      </w:r>
      <w:r>
        <w:rPr>
          <w:rFonts w:ascii="Arial" w:cs="Arial" w:eastAsia="Arial" w:hAnsi="Arial"/>
          <w:sz w:val="22"/>
          <w:szCs w:val="22"/>
          <w:b w:val="1"/>
          <w:bCs w:val="1"/>
          <w:color w:val="010035"/>
        </w:rPr>
        <w:t xml:space="preserve"> TARGET PAY LEVEL</w:t>
      </w:r>
    </w:p>
    <w:p>
      <w:pPr>
        <w:spacing w:after="0" w:line="1" w:lineRule="exact"/>
        <w:rPr>
          <w:sz w:val="20"/>
          <w:szCs w:val="20"/>
          <w:color w:val="auto"/>
        </w:rPr>
      </w:pPr>
    </w:p>
    <w:p>
      <w:pPr>
        <w:ind w:left="280" w:right="320"/>
        <w:spacing w:after="0"/>
        <w:rPr>
          <w:sz w:val="20"/>
          <w:szCs w:val="20"/>
          <w:color w:val="auto"/>
        </w:rPr>
      </w:pPr>
      <w:r>
        <w:rPr>
          <w:rFonts w:ascii="Arial" w:cs="Arial" w:eastAsia="Arial" w:hAnsi="Arial"/>
          <w:sz w:val="12"/>
          <w:szCs w:val="12"/>
          <w:color w:val="010035"/>
        </w:rPr>
        <w:t>Many shareholders expressed concern about year-over-year increases in the CEO target pay approved for 2024 and continued in 2025, which was perceived as misaligned with recent performance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SUBSTANTIALLY REDUCED 2026 CEO TARGET PAY</w:t>
      </w:r>
    </w:p>
    <w:p>
      <w:pPr>
        <w:spacing w:after="0" w:line="55" w:lineRule="exact"/>
        <w:rPr>
          <w:sz w:val="20"/>
          <w:szCs w:val="20"/>
          <w:color w:val="auto"/>
        </w:rPr>
      </w:pPr>
    </w:p>
    <w:p>
      <w:pPr>
        <w:ind w:left="180" w:right="260" w:hanging="171"/>
        <w:spacing w:after="0" w:line="305" w:lineRule="auto"/>
        <w:tabs>
          <w:tab w:leader="none" w:pos="73" w:val="left"/>
        </w:tabs>
        <w:numPr>
          <w:ilvl w:val="0"/>
          <w:numId w:val="50"/>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Lowered the target grant value of the CEO’s 2026 equity awards by $7.87 million, equivalent to a 41%</w:t>
      </w:r>
      <w:r>
        <w:rPr>
          <w:rFonts w:ascii="Arial" w:cs="Arial" w:eastAsia="Arial" w:hAnsi="Arial"/>
          <w:sz w:val="10"/>
          <w:szCs w:val="10"/>
          <w:color w:val="010035"/>
        </w:rPr>
        <w:t xml:space="preserve"> </w:t>
      </w:r>
      <w:r>
        <w:rPr>
          <w:rFonts w:ascii="Arial" w:cs="Arial" w:eastAsia="Arial" w:hAnsi="Arial"/>
          <w:sz w:val="10"/>
          <w:szCs w:val="10"/>
          <w:b w:val="1"/>
          <w:bCs w:val="1"/>
          <w:color w:val="010035"/>
        </w:rPr>
        <w:t xml:space="preserve">reduction in LTIP opportunity and 31% reduction in total target direct compensation compared to 2025, effectively resetting total target CEO pay to 2023 levels: </w:t>
      </w:r>
      <w:r>
        <w:rPr>
          <w:rFonts w:ascii="Arial" w:cs="Arial" w:eastAsia="Arial" w:hAnsi="Arial"/>
          <w:sz w:val="10"/>
          <w:szCs w:val="10"/>
          <w:color w:val="010035"/>
        </w:rPr>
        <w:t>This decision followed the peer group update and</w:t>
      </w:r>
      <w:r>
        <w:rPr>
          <w:rFonts w:ascii="Arial" w:cs="Arial" w:eastAsia="Arial" w:hAnsi="Arial"/>
          <w:sz w:val="10"/>
          <w:szCs w:val="10"/>
          <w:b w:val="1"/>
          <w:bCs w:val="1"/>
          <w:color w:val="010035"/>
        </w:rPr>
        <w:t xml:space="preserve"> </w:t>
      </w:r>
      <w:r>
        <w:rPr>
          <w:rFonts w:ascii="Arial" w:cs="Arial" w:eastAsia="Arial" w:hAnsi="Arial"/>
          <w:sz w:val="10"/>
          <w:szCs w:val="10"/>
          <w:color w:val="010035"/>
        </w:rPr>
        <w:t>strategic digital realignment described above and was made with the support and agreement of CEO Jay Snowden and in consultation with the Committee’s independent compensation consultant. The CEO’s base salary and STIP opportunity have remained unchanged since 2021.</w:t>
      </w:r>
    </w:p>
    <w:p>
      <w:pPr>
        <w:spacing w:after="0" w:line="133" w:lineRule="exact"/>
        <w:rPr>
          <w:rFonts w:ascii="Arial" w:cs="Arial" w:eastAsia="Arial" w:hAnsi="Arial"/>
          <w:sz w:val="10"/>
          <w:szCs w:val="10"/>
          <w:color w:val="010035"/>
        </w:rPr>
      </w:pPr>
    </w:p>
    <w:p>
      <w:pPr>
        <w:ind w:left="180" w:right="160" w:hanging="171"/>
        <w:spacing w:after="0" w:line="334" w:lineRule="auto"/>
        <w:tabs>
          <w:tab w:leader="none" w:pos="73" w:val="left"/>
        </w:tabs>
        <w:numPr>
          <w:ilvl w:val="0"/>
          <w:numId w:val="50"/>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CEO annualized realizable pay represented 42.5% of target annual pay:</w:t>
      </w:r>
      <w:r>
        <w:rPr>
          <w:rFonts w:ascii="Arial" w:cs="Arial" w:eastAsia="Arial" w:hAnsi="Arial"/>
          <w:sz w:val="10"/>
          <w:szCs w:val="10"/>
          <w:color w:val="010035"/>
        </w:rPr>
        <w:t xml:space="preserve"> Over the past five years, Mr. Snowden’s realizable pay on an annualized basis represented only 42.5% of his reported pay. Nevertheless, the Committee determined to reduce Mr. Snowden’s LTIP opportunity for 2026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135255</wp:posOffset>
            </wp:positionV>
            <wp:extent cx="596646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255270</wp:posOffset>
            </wp:positionV>
            <wp:extent cx="699516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960" w:space="480"/>
            <w:col w:w="6840"/>
          </w:cols>
          <w:pgMar w:left="1240" w:top="114" w:right="137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November 2025 – February 2026: Off-Season Shareholder Engagement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49891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966460" cy="4989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280"/>
        <w:spacing w:after="0"/>
        <w:tabs>
          <w:tab w:leader="none" w:pos="2420" w:val="left"/>
        </w:tabs>
        <w:rPr>
          <w:sz w:val="20"/>
          <w:szCs w:val="20"/>
          <w:color w:val="auto"/>
        </w:rPr>
      </w:pPr>
      <w:r>
        <w:rPr>
          <w:rFonts w:ascii="Arial" w:cs="Arial" w:eastAsia="Arial" w:hAnsi="Arial"/>
          <w:sz w:val="22"/>
          <w:szCs w:val="22"/>
          <w:b w:val="1"/>
          <w:bCs w:val="1"/>
          <w:color w:val="auto"/>
        </w:rPr>
        <w:t>WHAT WE HEARD</w:t>
      </w:r>
      <w:r>
        <w:rPr>
          <w:sz w:val="20"/>
          <w:szCs w:val="20"/>
          <w:color w:val="auto"/>
        </w:rPr>
        <w:tab/>
      </w:r>
      <w:r>
        <w:rPr>
          <w:rFonts w:ascii="Arial" w:cs="Arial" w:eastAsia="Arial" w:hAnsi="Arial"/>
          <w:sz w:val="19"/>
          <w:szCs w:val="19"/>
          <w:b w:val="1"/>
          <w:bCs w:val="1"/>
          <w:color w:val="auto"/>
        </w:rPr>
        <w:t>HOW WE RESPONDED</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spacing w:after="0" w:line="295" w:lineRule="auto"/>
        <w:rPr>
          <w:sz w:val="20"/>
          <w:szCs w:val="20"/>
          <w:color w:val="auto"/>
        </w:rPr>
      </w:pPr>
      <w:r>
        <w:rPr>
          <w:rFonts w:ascii="Arial" w:cs="Arial" w:eastAsia="Arial" w:hAnsi="Arial"/>
          <w:sz w:val="19"/>
          <w:szCs w:val="19"/>
          <w:b w:val="1"/>
          <w:bCs w:val="1"/>
          <w:color w:val="010035"/>
        </w:rPr>
        <w:t>PAY​ AND PERFORMANCE ALIGNMENT</w:t>
      </w:r>
    </w:p>
    <w:p>
      <w:pPr>
        <w:spacing w:after="0" w:line="1" w:lineRule="exact"/>
        <w:rPr>
          <w:sz w:val="20"/>
          <w:szCs w:val="20"/>
          <w:color w:val="auto"/>
        </w:rPr>
      </w:pPr>
    </w:p>
    <w:p>
      <w:pPr>
        <w:ind w:left="280" w:right="240"/>
        <w:spacing w:after="0" w:line="242" w:lineRule="auto"/>
        <w:rPr>
          <w:sz w:val="20"/>
          <w:szCs w:val="20"/>
          <w:color w:val="auto"/>
        </w:rPr>
      </w:pPr>
      <w:r>
        <w:rPr>
          <w:rFonts w:ascii="Arial" w:cs="Arial" w:eastAsia="Arial" w:hAnsi="Arial"/>
          <w:sz w:val="12"/>
          <w:szCs w:val="12"/>
          <w:color w:val="010035"/>
        </w:rPr>
        <w:t>Many shareholders emphasized the importance of aligning pay opportunities and incentive outcomes with strategic direction and long-term value creation</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1460"/>
        <w:spacing w:after="0" w:line="261" w:lineRule="auto"/>
        <w:rPr>
          <w:sz w:val="20"/>
          <w:szCs w:val="20"/>
          <w:color w:val="auto"/>
        </w:rPr>
      </w:pPr>
      <w:r>
        <w:rPr>
          <w:rFonts w:ascii="Arial" w:cs="Arial" w:eastAsia="Arial" w:hAnsi="Arial"/>
          <w:sz w:val="22"/>
          <w:szCs w:val="22"/>
          <w:b w:val="1"/>
          <w:bCs w:val="1"/>
          <w:color w:val="69439A"/>
        </w:rPr>
        <w:t>ENSURED 2025 INCENTIVE PLAN PAYOUTS ALIGNED WITH SHAREHOLDER EXPERIENCE</w:t>
      </w:r>
    </w:p>
    <w:p>
      <w:pPr>
        <w:ind w:left="180" w:right="200" w:hanging="171"/>
        <w:spacing w:after="0" w:line="319" w:lineRule="auto"/>
        <w:tabs>
          <w:tab w:leader="none" w:pos="73" w:val="left"/>
        </w:tabs>
        <w:numPr>
          <w:ilvl w:val="0"/>
          <w:numId w:val="51"/>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Delivered performance-aligned incentive payouts:</w:t>
      </w:r>
      <w:r>
        <w:rPr>
          <w:rFonts w:ascii="Arial" w:cs="Arial" w:eastAsia="Arial" w:hAnsi="Arial"/>
          <w:sz w:val="10"/>
          <w:szCs w:val="10"/>
          <w:color w:val="010035"/>
        </w:rPr>
        <w:t xml:space="preserve"> 2025 STIP payouts and the remaining portion of the 2023 PSUs associated with the 2024-2025 performance cycle paid out at ~66.3% and 74.75% of target, respectively, reflecting rigorous performance goals and clear accountability for results.</w:t>
      </w:r>
    </w:p>
    <w:p>
      <w:pPr>
        <w:ind w:left="200" w:right="200" w:hanging="191"/>
        <w:spacing w:after="0" w:line="305" w:lineRule="auto"/>
        <w:tabs>
          <w:tab w:leader="none" w:pos="74" w:val="left"/>
        </w:tabs>
        <w:numPr>
          <w:ilvl w:val="0"/>
          <w:numId w:val="51"/>
        </w:numPr>
        <w:rPr>
          <w:rFonts w:ascii="Arial" w:cs="Arial" w:eastAsia="Arial" w:hAnsi="Arial"/>
          <w:sz w:val="10"/>
          <w:szCs w:val="10"/>
          <w:color w:val="010035"/>
        </w:rPr>
      </w:pPr>
      <w:r>
        <w:rPr>
          <w:rFonts w:ascii="Arial" w:cs="Arial" w:eastAsia="Arial" w:hAnsi="Arial"/>
          <w:sz w:val="10"/>
          <w:szCs w:val="10"/>
          <w:color w:val="010035"/>
        </w:rPr>
        <w:t>     The cumulative payout under the 2023 PSUs (for the 2023 – 2025 period) resulted in 85.85% achievement of the target performance level. This included the first tranche earned for the 2023 performance period, with earned shares that remained subject to continued service vesting through the end of the full 2023–2025 performance cycle, and the final tranche earned based on performance over the 2024–2025 performance period. The payout represented 39.56% of the initial target grant value on the vest day after considering the change in market value of the Company’s common stock since the grant date.</w:t>
      </w:r>
    </w:p>
    <w:p>
      <w:pPr>
        <w:spacing w:after="0" w:line="133" w:lineRule="exact"/>
        <w:rPr>
          <w:rFonts w:ascii="Arial" w:cs="Arial" w:eastAsia="Arial" w:hAnsi="Arial"/>
          <w:sz w:val="10"/>
          <w:szCs w:val="10"/>
          <w:color w:val="010035"/>
        </w:rPr>
      </w:pPr>
    </w:p>
    <w:p>
      <w:pPr>
        <w:jc w:val="both"/>
        <w:ind w:left="180" w:right="240" w:hanging="171"/>
        <w:spacing w:after="0" w:line="326" w:lineRule="auto"/>
        <w:tabs>
          <w:tab w:leader="none" w:pos="73" w:val="left"/>
        </w:tabs>
        <w:numPr>
          <w:ilvl w:val="0"/>
          <w:numId w:val="51"/>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Committed to not adjust in-progress 2024 and 2025 performance metrics or targets:</w:t>
      </w:r>
      <w:r>
        <w:rPr>
          <w:rFonts w:ascii="Arial" w:cs="Arial" w:eastAsia="Arial" w:hAnsi="Arial"/>
          <w:sz w:val="10"/>
          <w:szCs w:val="10"/>
          <w:color w:val="010035"/>
        </w:rPr>
        <w:t xml:space="preserve"> In connection with the digital strategy realignment, the Committee has determined that no adjustments will be made to in-progress 2024 and 2025 PSUs, including the ESPN BET market share metric, which will be measured at 0% achievement, to ensure pay outcomes align with shareholder experience and Company performance.</w:t>
      </w:r>
    </w:p>
    <w:p>
      <w:pPr>
        <w:spacing w:after="0" w:line="125" w:lineRule="exact"/>
        <w:rPr>
          <w:rFonts w:ascii="Arial" w:cs="Arial" w:eastAsia="Arial" w:hAnsi="Arial"/>
          <w:sz w:val="10"/>
          <w:szCs w:val="10"/>
          <w:color w:val="010035"/>
        </w:rPr>
      </w:pPr>
    </w:p>
    <w:p>
      <w:pPr>
        <w:ind w:left="180" w:right="500" w:hanging="171"/>
        <w:spacing w:after="0" w:line="334" w:lineRule="auto"/>
        <w:tabs>
          <w:tab w:leader="none" w:pos="73" w:val="left"/>
        </w:tabs>
        <w:numPr>
          <w:ilvl w:val="0"/>
          <w:numId w:val="51"/>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All stock options issued over the last five-year period remain underwater:</w:t>
      </w:r>
      <w:r>
        <w:rPr>
          <w:rFonts w:ascii="Arial" w:cs="Arial" w:eastAsia="Arial" w:hAnsi="Arial"/>
          <w:sz w:val="10"/>
          <w:szCs w:val="10"/>
          <w:color w:val="010035"/>
        </w:rPr>
        <w:t xml:space="preserve"> All stock options granted to our executives since 2020 are underwater as of the Record Date, underscoring the performance-based nature of our program and strong alignment with shareholder returns.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SHAREHOLDER-ALIGNED 2026 COMPENSATION LEVELS</w:t>
      </w:r>
    </w:p>
    <w:p>
      <w:pPr>
        <w:spacing w:after="0" w:line="55" w:lineRule="exact"/>
        <w:rPr>
          <w:sz w:val="20"/>
          <w:szCs w:val="20"/>
          <w:color w:val="auto"/>
        </w:rPr>
      </w:pPr>
    </w:p>
    <w:p>
      <w:pPr>
        <w:ind w:left="180" w:right="240" w:hanging="171"/>
        <w:spacing w:after="0" w:line="294" w:lineRule="auto"/>
        <w:tabs>
          <w:tab w:leader="none" w:pos="73" w:val="left"/>
        </w:tabs>
        <w:numPr>
          <w:ilvl w:val="0"/>
          <w:numId w:val="52"/>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No 2026 target compensation increases for NEOs:</w:t>
      </w:r>
      <w:r>
        <w:rPr>
          <w:rFonts w:ascii="Arial" w:cs="Arial" w:eastAsia="Arial" w:hAnsi="Arial"/>
          <w:sz w:val="10"/>
          <w:szCs w:val="10"/>
          <w:color w:val="010035"/>
        </w:rPr>
        <w:t xml:space="preserve"> In light of the 2026 peer group changes, which resulted in NEO target pay above the new peer group median, and the Company’s 2025 performance, the Committee affirmed that</w:t>
      </w:r>
    </w:p>
    <w:p>
      <w:pPr>
        <w:ind w:left="180"/>
        <w:spacing w:after="0" w:line="188" w:lineRule="auto"/>
        <w:rPr>
          <w:sz w:val="20"/>
          <w:szCs w:val="20"/>
          <w:color w:val="auto"/>
        </w:rPr>
      </w:pPr>
      <w:r>
        <w:rPr>
          <w:rFonts w:ascii="Arial" w:cs="Arial" w:eastAsia="Arial" w:hAnsi="Arial"/>
          <w:sz w:val="6"/>
          <w:szCs w:val="6"/>
          <w:color w:val="010035"/>
        </w:rPr>
        <w:t>there will be no target pay increases for the other NEOs for fiscal 2026.</w:t>
      </w:r>
    </w:p>
    <w:p>
      <w:pPr>
        <w:ind w:left="200"/>
        <w:spacing w:after="0"/>
        <w:rPr>
          <w:sz w:val="20"/>
          <w:szCs w:val="20"/>
          <w:color w:val="auto"/>
        </w:rPr>
      </w:pPr>
      <w:r>
        <w:rPr>
          <w:rFonts w:ascii="Arial" w:cs="Arial" w:eastAsia="Arial" w:hAnsi="Arial"/>
          <w:sz w:val="13"/>
          <w:szCs w:val="13"/>
          <w:color w:val="010035"/>
        </w:rPr>
        <w:t> </w:t>
      </w:r>
    </w:p>
    <w:p>
      <w:pPr>
        <w:spacing w:after="0" w:line="200" w:lineRule="exact"/>
        <w:rPr>
          <w:sz w:val="20"/>
          <w:szCs w:val="20"/>
          <w:color w:val="auto"/>
        </w:rPr>
      </w:pPr>
    </w:p>
    <w:p>
      <w:pPr>
        <w:sectPr>
          <w:pgSz w:w="11900" w:h="16838" w:orient="portrait"/>
          <w:cols w:equalWidth="0" w:num="2">
            <w:col w:w="1820" w:space="620"/>
            <w:col w:w="6960"/>
          </w:cols>
          <w:pgMar w:left="1240" w:top="114" w:right="1259" w:bottom="1440" w:gutter="0" w:footer="0" w:header="0"/>
          <w:type w:val="continuous"/>
        </w:sectPr>
      </w:pPr>
    </w:p>
    <w:p>
      <w:pPr>
        <w:spacing w:after="0" w:line="168" w:lineRule="exact"/>
        <w:rPr>
          <w:sz w:val="20"/>
          <w:szCs w:val="20"/>
          <w:color w:val="auto"/>
        </w:rPr>
      </w:pPr>
    </w:p>
    <w:p>
      <w:pPr>
        <w:ind w:left="280"/>
        <w:spacing w:after="0" w:line="288" w:lineRule="auto"/>
        <w:rPr>
          <w:sz w:val="20"/>
          <w:szCs w:val="20"/>
          <w:color w:val="auto"/>
        </w:rPr>
      </w:pPr>
      <w:r>
        <w:rPr>
          <w:rFonts w:ascii="Arial" w:cs="Arial" w:eastAsia="Arial" w:hAnsi="Arial"/>
          <w:sz w:val="19"/>
          <w:szCs w:val="19"/>
          <w:b w:val="1"/>
          <w:bCs w:val="1"/>
          <w:color w:val="010035"/>
        </w:rPr>
        <w:t>PERFORMANCE METRICS SELECTION AND RIGOR</w:t>
      </w:r>
    </w:p>
    <w:p>
      <w:pPr>
        <w:spacing w:after="0" w:line="1" w:lineRule="exact"/>
        <w:rPr>
          <w:sz w:val="20"/>
          <w:szCs w:val="20"/>
          <w:color w:val="auto"/>
        </w:rPr>
      </w:pPr>
    </w:p>
    <w:p>
      <w:pPr>
        <w:ind w:left="280" w:right="180"/>
        <w:spacing w:after="0" w:line="239" w:lineRule="auto"/>
        <w:rPr>
          <w:sz w:val="20"/>
          <w:szCs w:val="20"/>
          <w:color w:val="auto"/>
        </w:rPr>
      </w:pPr>
      <w:r>
        <w:rPr>
          <w:rFonts w:ascii="Arial" w:cs="Arial" w:eastAsia="Arial" w:hAnsi="Arial"/>
          <w:sz w:val="12"/>
          <w:szCs w:val="12"/>
          <w:color w:val="010035"/>
        </w:rPr>
        <w:t>Several shareholders expressed a preference for differentiated performance metrics across the STIP and LTIP, with a preference for financial metrics, along with a better explanation of performance metric selection and rigor with strategic outcomes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both"/>
        <w:ind w:right="1220"/>
        <w:spacing w:after="0" w:line="290" w:lineRule="auto"/>
        <w:rPr>
          <w:sz w:val="20"/>
          <w:szCs w:val="20"/>
          <w:color w:val="auto"/>
        </w:rPr>
      </w:pPr>
      <w:r>
        <w:rPr>
          <w:rFonts w:ascii="Arial" w:cs="Arial" w:eastAsia="Arial" w:hAnsi="Arial"/>
          <w:sz w:val="19"/>
          <w:szCs w:val="19"/>
          <w:b w:val="1"/>
          <w:bCs w:val="1"/>
          <w:color w:val="69439A"/>
        </w:rPr>
        <w:t>REDESIGNED 2026 PSU PROGRAM TO REFLECT REALIGNED STRATEGIC PRIORITIES AND ENHANCED DISCLOSURES ON PERFORMANCE METRIC SELECTION AND RIGOR</w:t>
      </w:r>
    </w:p>
    <w:p>
      <w:pPr>
        <w:spacing w:after="0" w:line="1" w:lineRule="exact"/>
        <w:rPr>
          <w:sz w:val="20"/>
          <w:szCs w:val="20"/>
          <w:color w:val="auto"/>
        </w:rPr>
      </w:pPr>
    </w:p>
    <w:p>
      <w:pPr>
        <w:ind w:left="80" w:hanging="71"/>
        <w:spacing w:after="0"/>
        <w:tabs>
          <w:tab w:leader="none" w:pos="80" w:val="left"/>
        </w:tabs>
        <w:numPr>
          <w:ilvl w:val="0"/>
          <w:numId w:val="53"/>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Streamlined performance measures by eliminating duplicative metrics:</w:t>
      </w:r>
      <w:r>
        <w:rPr>
          <w:rFonts w:ascii="Arial" w:cs="Arial" w:eastAsia="Arial" w:hAnsi="Arial"/>
          <w:sz w:val="12"/>
          <w:szCs w:val="12"/>
          <w:color w:val="010035"/>
        </w:rPr>
        <w:t xml:space="preserve"> Beginning with the</w:t>
      </w:r>
    </w:p>
    <w:p>
      <w:pPr>
        <w:spacing w:after="0" w:line="9" w:lineRule="exact"/>
        <w:rPr>
          <w:sz w:val="20"/>
          <w:szCs w:val="20"/>
          <w:color w:val="auto"/>
        </w:rPr>
      </w:pPr>
    </w:p>
    <w:p>
      <w:pPr>
        <w:ind w:left="180" w:right="260"/>
        <w:spacing w:after="0" w:line="239" w:lineRule="auto"/>
        <w:rPr>
          <w:sz w:val="20"/>
          <w:szCs w:val="20"/>
          <w:color w:val="auto"/>
        </w:rPr>
      </w:pPr>
      <w:r>
        <w:rPr>
          <w:rFonts w:ascii="Arial" w:cs="Arial" w:eastAsia="Arial" w:hAnsi="Arial"/>
          <w:sz w:val="12"/>
          <w:szCs w:val="12"/>
          <w:color w:val="010035"/>
        </w:rPr>
        <w:t>2026-2028 performance cycle, PSUs will be tied to the achievement of a cash flow from operations goal, with a relative TSR payout modifier (±20% ) measured against the Russell 3000 Casino and Gambling Index. This incentive structure is designed to drive cash generation across our retail and digital operations, support disciplined capital allocation and ensure long-term financial performance is aligned with shareholder interests. We believe this is directly responsive to shareholder preferences for stronger performance-alignment in our pay program and diversified performance metrics across STIP and LTIP programs. This revised LTIP structure also incorporates a downside safeguard, such that no upward TSR modifier will apply if three-year absolute TSR is negative.</w:t>
      </w:r>
    </w:p>
    <w:p>
      <w:pPr>
        <w:spacing w:after="0" w:line="25" w:lineRule="exact"/>
        <w:rPr>
          <w:sz w:val="20"/>
          <w:szCs w:val="20"/>
          <w:color w:val="auto"/>
        </w:rPr>
      </w:pPr>
    </w:p>
    <w:p>
      <w:pPr>
        <w:ind w:left="180" w:right="320" w:hanging="171"/>
        <w:spacing w:after="0" w:line="366" w:lineRule="auto"/>
        <w:tabs>
          <w:tab w:leader="none" w:pos="73" w:val="left"/>
        </w:tabs>
        <w:numPr>
          <w:ilvl w:val="0"/>
          <w:numId w:val="54"/>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Enhanced transparency around performance metrics selection and rigor:</w:t>
      </w:r>
      <w:r>
        <w:rPr>
          <w:rFonts w:ascii="Arial" w:cs="Arial" w:eastAsia="Arial" w:hAnsi="Arial"/>
          <w:sz w:val="10"/>
          <w:szCs w:val="10"/>
          <w:color w:val="010035"/>
        </w:rPr>
        <w:t xml:space="preserve"> The Committee expanded disclosure regarding its process for setting rigorous incentive goals, with additional detail provided on page </w:t>
      </w:r>
      <w:r>
        <w:rPr>
          <w:rFonts w:ascii="Arial" w:cs="Arial" w:eastAsia="Arial" w:hAnsi="Arial"/>
          <w:sz w:val="10"/>
          <w:szCs w:val="10"/>
          <w:u w:val="single" w:color="auto"/>
          <w:color w:val="0000EE"/>
        </w:rPr>
        <w:t>61</w:t>
      </w:r>
      <w:r>
        <w:rPr>
          <w:rFonts w:ascii="Arial" w:cs="Arial" w:eastAsia="Arial" w:hAnsi="Arial"/>
          <w:sz w:val="10"/>
          <w:szCs w:val="10"/>
          <w:color w:val="010035"/>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217170</wp:posOffset>
            </wp:positionV>
            <wp:extent cx="59664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1860" w:space="580"/>
            <w:col w:w="6960"/>
          </w:cols>
          <w:pgMar w:left="1240" w:top="114" w:right="1259" w:bottom="1440" w:gutter="0" w:footer="0" w:header="0"/>
          <w:type w:val="continuous"/>
        </w:sectPr>
      </w:pPr>
    </w:p>
    <w:p>
      <w:pPr>
        <w:spacing w:after="0" w:line="79"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auto"/>
        </w:rPr>
        <w:t>We believe these incentive program design changes and compensation-related actions underscore our strong commitment to addressing shareholder concerns and maintaining close alignment between our executive compensation program, performance outcomes and investor expectations. Our Board and the Committee remain committed to transparency and leadership accountability, viewing this as a multi-year effort to restore confidence in our executive compensation program and ensure it supports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92710</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For 2025, the Compensation Committee has sharpened its focus on paying for performance, with a clearer connection between performance outcomes delivered by our executives and how they are compensated. The Company maintains a compensation philosophy that is reviewed annually by the Committee to ensure we attract and retain the executive talent needed to advance the strategic interests of our business. To achieve this, our executive compensation program is benchmarked to ensure it remains competitive with peers and reflects the skills and expertise of our executive team. Compensation priorities include: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2600" w:type="dxa"/>
            <w:vAlign w:val="bottom"/>
            <w:tcBorders>
              <w:top w:val="single" w:sz="8" w:color="69439A"/>
            </w:tcBorders>
            <w:shd w:val="clear" w:color="auto" w:fill="DED8EC"/>
          </w:tcPr>
          <w:p>
            <w:pPr>
              <w:ind w:left="100"/>
              <w:spacing w:after="0"/>
              <w:rPr>
                <w:sz w:val="20"/>
                <w:szCs w:val="20"/>
                <w:color w:val="auto"/>
              </w:rPr>
            </w:pPr>
            <w:r>
              <w:rPr>
                <w:rFonts w:ascii="Arial" w:cs="Arial" w:eastAsia="Arial" w:hAnsi="Arial"/>
                <w:sz w:val="22"/>
                <w:szCs w:val="22"/>
                <w:b w:val="1"/>
                <w:bCs w:val="1"/>
                <w:color w:val="010035"/>
                <w:w w:val="89"/>
              </w:rPr>
              <w:t>ATTRACT AND MOTIVATE</w:t>
            </w:r>
          </w:p>
        </w:tc>
        <w:tc>
          <w:tcPr>
            <w:tcW w:w="1800" w:type="dxa"/>
            <w:vAlign w:val="bottom"/>
            <w:tcBorders>
              <w:top w:val="single" w:sz="8" w:color="69439A"/>
            </w:tcBorders>
            <w:shd w:val="clear" w:color="auto" w:fill="DED8EC"/>
          </w:tcPr>
          <w:p>
            <w:pPr>
              <w:ind w:left="80"/>
              <w:spacing w:after="0"/>
              <w:rPr>
                <w:sz w:val="20"/>
                <w:szCs w:val="20"/>
                <w:color w:val="auto"/>
              </w:rPr>
            </w:pPr>
            <w:r>
              <w:rPr>
                <w:rFonts w:ascii="Arial" w:cs="Arial" w:eastAsia="Arial" w:hAnsi="Arial"/>
                <w:sz w:val="22"/>
                <w:szCs w:val="22"/>
                <w:b w:val="1"/>
                <w:bCs w:val="1"/>
                <w:color w:val="010035"/>
                <w:w w:val="97"/>
              </w:rPr>
              <w:t>ALIGN PAY AND</w:t>
            </w:r>
          </w:p>
        </w:tc>
        <w:tc>
          <w:tcPr>
            <w:tcW w:w="2720" w:type="dxa"/>
            <w:vAlign w:val="bottom"/>
            <w:tcBorders>
              <w:top w:val="single" w:sz="8" w:color="69439A"/>
            </w:tcBorders>
            <w:shd w:val="clear" w:color="auto" w:fill="DED8EC"/>
          </w:tcPr>
          <w:p>
            <w:pPr>
              <w:ind w:left="160"/>
              <w:spacing w:after="0"/>
              <w:rPr>
                <w:sz w:val="20"/>
                <w:szCs w:val="20"/>
                <w:color w:val="auto"/>
              </w:rPr>
            </w:pPr>
            <w:r>
              <w:rPr>
                <w:rFonts w:ascii="Arial" w:cs="Arial" w:eastAsia="Arial" w:hAnsi="Arial"/>
                <w:sz w:val="22"/>
                <w:szCs w:val="22"/>
                <w:b w:val="1"/>
                <w:bCs w:val="1"/>
                <w:color w:val="010035"/>
                <w:w w:val="91"/>
              </w:rPr>
              <w:t>REFLECT SHAREHOLDER</w:t>
            </w:r>
          </w:p>
        </w:tc>
        <w:tc>
          <w:tcPr>
            <w:tcW w:w="2280" w:type="dxa"/>
            <w:vAlign w:val="bottom"/>
            <w:tcBorders>
              <w:top w:val="single" w:sz="8" w:color="69439A"/>
            </w:tcBorders>
            <w:shd w:val="clear" w:color="auto" w:fill="DED8EC"/>
          </w:tcPr>
          <w:p>
            <w:pPr>
              <w:ind w:left="80"/>
              <w:spacing w:after="0"/>
              <w:rPr>
                <w:sz w:val="20"/>
                <w:szCs w:val="20"/>
                <w:color w:val="auto"/>
              </w:rPr>
            </w:pPr>
            <w:r>
              <w:rPr>
                <w:rFonts w:ascii="Arial" w:cs="Arial" w:eastAsia="Arial" w:hAnsi="Arial"/>
                <w:sz w:val="22"/>
                <w:szCs w:val="22"/>
                <w:b w:val="1"/>
                <w:bCs w:val="1"/>
                <w:color w:val="010035"/>
                <w:w w:val="90"/>
              </w:rPr>
              <w:t>SUPPORT STRATEGIC</w:t>
            </w:r>
          </w:p>
        </w:tc>
      </w:tr>
      <w:tr>
        <w:trPr>
          <w:trHeight w:val="297"/>
        </w:trPr>
        <w:tc>
          <w:tcPr>
            <w:tcW w:w="2600" w:type="dxa"/>
            <w:vAlign w:val="bottom"/>
            <w:shd w:val="clear" w:color="auto" w:fill="DED8EC"/>
          </w:tcPr>
          <w:p>
            <w:pPr>
              <w:ind w:left="100"/>
              <w:spacing w:after="0"/>
              <w:rPr>
                <w:sz w:val="20"/>
                <w:szCs w:val="20"/>
                <w:color w:val="auto"/>
              </w:rPr>
            </w:pPr>
            <w:r>
              <w:rPr>
                <w:rFonts w:ascii="Arial" w:cs="Arial" w:eastAsia="Arial" w:hAnsi="Arial"/>
                <w:sz w:val="22"/>
                <w:szCs w:val="22"/>
                <w:b w:val="1"/>
                <w:bCs w:val="1"/>
                <w:color w:val="010035"/>
              </w:rPr>
              <w:t>TOP TALENT</w:t>
            </w:r>
          </w:p>
        </w:tc>
        <w:tc>
          <w:tcPr>
            <w:tcW w:w="1800" w:type="dxa"/>
            <w:vAlign w:val="bottom"/>
            <w:shd w:val="clear" w:color="auto" w:fill="DED8EC"/>
          </w:tcPr>
          <w:p>
            <w:pPr>
              <w:ind w:left="80"/>
              <w:spacing w:after="0"/>
              <w:rPr>
                <w:sz w:val="20"/>
                <w:szCs w:val="20"/>
                <w:color w:val="auto"/>
              </w:rPr>
            </w:pPr>
            <w:r>
              <w:rPr>
                <w:rFonts w:ascii="Arial" w:cs="Arial" w:eastAsia="Arial" w:hAnsi="Arial"/>
                <w:sz w:val="22"/>
                <w:szCs w:val="22"/>
                <w:b w:val="1"/>
                <w:bCs w:val="1"/>
                <w:color w:val="010035"/>
                <w:w w:val="98"/>
              </w:rPr>
              <w:t>PERFORMANCE</w:t>
            </w:r>
          </w:p>
        </w:tc>
        <w:tc>
          <w:tcPr>
            <w:tcW w:w="2720" w:type="dxa"/>
            <w:vAlign w:val="bottom"/>
            <w:shd w:val="clear" w:color="auto" w:fill="DED8EC"/>
          </w:tcPr>
          <w:p>
            <w:pPr>
              <w:ind w:left="160"/>
              <w:spacing w:after="0"/>
              <w:rPr>
                <w:sz w:val="20"/>
                <w:szCs w:val="20"/>
                <w:color w:val="auto"/>
              </w:rPr>
            </w:pPr>
            <w:r>
              <w:rPr>
                <w:rFonts w:ascii="Arial" w:cs="Arial" w:eastAsia="Arial" w:hAnsi="Arial"/>
                <w:sz w:val="22"/>
                <w:szCs w:val="22"/>
                <w:b w:val="1"/>
                <w:bCs w:val="1"/>
                <w:color w:val="010035"/>
              </w:rPr>
              <w:t>INTERESTS</w:t>
            </w:r>
          </w:p>
        </w:tc>
        <w:tc>
          <w:tcPr>
            <w:tcW w:w="2280" w:type="dxa"/>
            <w:vAlign w:val="bottom"/>
            <w:shd w:val="clear" w:color="auto" w:fill="DED8EC"/>
          </w:tcPr>
          <w:p>
            <w:pPr>
              <w:ind w:left="80"/>
              <w:spacing w:after="0"/>
              <w:rPr>
                <w:sz w:val="20"/>
                <w:szCs w:val="20"/>
                <w:color w:val="auto"/>
              </w:rPr>
            </w:pPr>
            <w:r>
              <w:rPr>
                <w:rFonts w:ascii="Arial" w:cs="Arial" w:eastAsia="Arial" w:hAnsi="Arial"/>
                <w:sz w:val="22"/>
                <w:szCs w:val="22"/>
                <w:b w:val="1"/>
                <w:bCs w:val="1"/>
                <w:color w:val="010035"/>
              </w:rPr>
              <w:t>PRIORITIES</w:t>
            </w:r>
          </w:p>
        </w:tc>
      </w:tr>
      <w:tr>
        <w:trPr>
          <w:trHeight w:val="41"/>
        </w:trPr>
        <w:tc>
          <w:tcPr>
            <w:tcW w:w="2600" w:type="dxa"/>
            <w:vAlign w:val="bottom"/>
            <w:shd w:val="clear" w:color="auto" w:fill="DED8EC"/>
          </w:tcPr>
          <w:p>
            <w:pPr>
              <w:spacing w:after="0"/>
              <w:rPr>
                <w:sz w:val="3"/>
                <w:szCs w:val="3"/>
                <w:color w:val="auto"/>
              </w:rPr>
            </w:pPr>
          </w:p>
        </w:tc>
        <w:tc>
          <w:tcPr>
            <w:tcW w:w="1800" w:type="dxa"/>
            <w:vAlign w:val="bottom"/>
            <w:shd w:val="clear" w:color="auto" w:fill="DED8EC"/>
          </w:tcPr>
          <w:p>
            <w:pPr>
              <w:spacing w:after="0"/>
              <w:rPr>
                <w:sz w:val="3"/>
                <w:szCs w:val="3"/>
                <w:color w:val="auto"/>
              </w:rPr>
            </w:pPr>
          </w:p>
        </w:tc>
        <w:tc>
          <w:tcPr>
            <w:tcW w:w="2720" w:type="dxa"/>
            <w:vAlign w:val="bottom"/>
            <w:shd w:val="clear" w:color="auto" w:fill="DED8EC"/>
          </w:tcPr>
          <w:p>
            <w:pPr>
              <w:spacing w:after="0"/>
              <w:rPr>
                <w:sz w:val="3"/>
                <w:szCs w:val="3"/>
                <w:color w:val="auto"/>
              </w:rPr>
            </w:pPr>
          </w:p>
        </w:tc>
        <w:tc>
          <w:tcPr>
            <w:tcW w:w="2280" w:type="dxa"/>
            <w:vAlign w:val="bottom"/>
            <w:shd w:val="clear" w:color="auto" w:fill="DED8EC"/>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400"/>
          </w:cols>
          <w:pgMar w:left="1240" w:top="114" w:right="1259" w:bottom="1440" w:gutter="0" w:footer="0" w:header="0"/>
        </w:sectPr>
      </w:pPr>
    </w:p>
    <w:p>
      <w:pPr>
        <w:spacing w:after="0" w:line="4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Arial" w:cs="Arial" w:eastAsia="Arial" w:hAnsi="Arial"/>
                <w:sz w:val="14"/>
                <w:szCs w:val="14"/>
                <w:color w:val="010035"/>
              </w:rPr>
              <w:t>Attract, retain and motivate highly</w:t>
            </w:r>
          </w:p>
        </w:tc>
        <w:tc>
          <w:tcPr>
            <w:tcW w:w="2000" w:type="dxa"/>
            <w:vAlign w:val="bottom"/>
          </w:tcPr>
          <w:p>
            <w:pPr>
              <w:ind w:left="200"/>
              <w:spacing w:after="0"/>
              <w:rPr>
                <w:sz w:val="20"/>
                <w:szCs w:val="20"/>
                <w:color w:val="auto"/>
              </w:rPr>
            </w:pPr>
            <w:r>
              <w:rPr>
                <w:rFonts w:ascii="Arial" w:cs="Arial" w:eastAsia="Arial" w:hAnsi="Arial"/>
                <w:sz w:val="14"/>
                <w:szCs w:val="14"/>
                <w:color w:val="010035"/>
              </w:rPr>
              <w:t>Establish a strong link</w:t>
            </w:r>
          </w:p>
        </w:tc>
        <w:tc>
          <w:tcPr>
            <w:tcW w:w="2520" w:type="dxa"/>
            <w:vAlign w:val="bottom"/>
          </w:tcPr>
          <w:p>
            <w:pPr>
              <w:ind w:left="80"/>
              <w:spacing w:after="0"/>
              <w:rPr>
                <w:sz w:val="20"/>
                <w:szCs w:val="20"/>
                <w:color w:val="auto"/>
              </w:rPr>
            </w:pPr>
            <w:r>
              <w:rPr>
                <w:rFonts w:ascii="Arial" w:cs="Arial" w:eastAsia="Arial" w:hAnsi="Arial"/>
                <w:sz w:val="14"/>
                <w:szCs w:val="14"/>
                <w:color w:val="010035"/>
              </w:rPr>
              <w:t>Tie executives’ interests with the</w:t>
            </w: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010035"/>
              </w:rPr>
              <w:t>talented employees and executive</w:t>
            </w:r>
          </w:p>
        </w:tc>
        <w:tc>
          <w:tcPr>
            <w:tcW w:w="2000" w:type="dxa"/>
            <w:vAlign w:val="bottom"/>
          </w:tcPr>
          <w:p>
            <w:pPr>
              <w:ind w:left="200"/>
              <w:spacing w:after="0"/>
              <w:rPr>
                <w:sz w:val="20"/>
                <w:szCs w:val="20"/>
                <w:color w:val="auto"/>
              </w:rPr>
            </w:pPr>
            <w:r>
              <w:rPr>
                <w:rFonts w:ascii="Arial" w:cs="Arial" w:eastAsia="Arial" w:hAnsi="Arial"/>
                <w:sz w:val="14"/>
                <w:szCs w:val="14"/>
                <w:color w:val="010035"/>
              </w:rPr>
              <w:t>between pay and</w:t>
            </w:r>
          </w:p>
        </w:tc>
        <w:tc>
          <w:tcPr>
            <w:tcW w:w="2520" w:type="dxa"/>
            <w:vAlign w:val="bottom"/>
          </w:tcPr>
          <w:p>
            <w:pPr>
              <w:ind w:left="80"/>
              <w:spacing w:after="0"/>
              <w:rPr>
                <w:sz w:val="20"/>
                <w:szCs w:val="20"/>
                <w:color w:val="auto"/>
              </w:rPr>
            </w:pPr>
            <w:r>
              <w:rPr>
                <w:rFonts w:ascii="Arial" w:cs="Arial" w:eastAsia="Arial" w:hAnsi="Arial"/>
                <w:sz w:val="14"/>
                <w:szCs w:val="14"/>
                <w:color w:val="010035"/>
              </w:rPr>
              <w:t>interests of our shareholders to create</w:t>
            </w: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010035"/>
              </w:rPr>
              <w:t>leaders</w:t>
            </w:r>
          </w:p>
        </w:tc>
        <w:tc>
          <w:tcPr>
            <w:tcW w:w="2000" w:type="dxa"/>
            <w:vAlign w:val="bottom"/>
          </w:tcPr>
          <w:p>
            <w:pPr>
              <w:ind w:left="200"/>
              <w:spacing w:after="0"/>
              <w:rPr>
                <w:sz w:val="20"/>
                <w:szCs w:val="20"/>
                <w:color w:val="auto"/>
              </w:rPr>
            </w:pPr>
            <w:r>
              <w:rPr>
                <w:rFonts w:ascii="Arial" w:cs="Arial" w:eastAsia="Arial" w:hAnsi="Arial"/>
                <w:sz w:val="14"/>
                <w:szCs w:val="14"/>
                <w:color w:val="010035"/>
              </w:rPr>
              <w:t>performance through long-</w:t>
            </w:r>
          </w:p>
        </w:tc>
        <w:tc>
          <w:tcPr>
            <w:tcW w:w="2520" w:type="dxa"/>
            <w:vAlign w:val="bottom"/>
          </w:tcPr>
          <w:p>
            <w:pPr>
              <w:ind w:left="80"/>
              <w:spacing w:after="0"/>
              <w:rPr>
                <w:sz w:val="20"/>
                <w:szCs w:val="20"/>
                <w:color w:val="auto"/>
              </w:rPr>
            </w:pPr>
            <w:r>
              <w:rPr>
                <w:rFonts w:ascii="Arial" w:cs="Arial" w:eastAsia="Arial" w:hAnsi="Arial"/>
                <w:sz w:val="14"/>
                <w:szCs w:val="14"/>
                <w:color w:val="010035"/>
              </w:rPr>
              <w:t>close accountability</w:t>
            </w:r>
          </w:p>
        </w:tc>
      </w:tr>
      <w:tr>
        <w:trPr>
          <w:trHeight w:val="162"/>
        </w:trPr>
        <w:tc>
          <w:tcPr>
            <w:tcW w:w="2380" w:type="dxa"/>
            <w:vAlign w:val="bottom"/>
          </w:tcPr>
          <w:p>
            <w:pPr>
              <w:spacing w:after="0"/>
              <w:rPr>
                <w:sz w:val="14"/>
                <w:szCs w:val="14"/>
                <w:color w:val="auto"/>
              </w:rPr>
            </w:pPr>
          </w:p>
        </w:tc>
        <w:tc>
          <w:tcPr>
            <w:tcW w:w="2000" w:type="dxa"/>
            <w:vAlign w:val="bottom"/>
          </w:tcPr>
          <w:p>
            <w:pPr>
              <w:ind w:left="200"/>
              <w:spacing w:after="0"/>
              <w:rPr>
                <w:sz w:val="20"/>
                <w:szCs w:val="20"/>
                <w:color w:val="auto"/>
              </w:rPr>
            </w:pPr>
            <w:r>
              <w:rPr>
                <w:rFonts w:ascii="Arial" w:cs="Arial" w:eastAsia="Arial" w:hAnsi="Arial"/>
                <w:sz w:val="14"/>
                <w:szCs w:val="14"/>
                <w:color w:val="010035"/>
              </w:rPr>
              <w:t>term value creation, with</w:t>
            </w:r>
          </w:p>
        </w:tc>
        <w:tc>
          <w:tcPr>
            <w:tcW w:w="25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2000" w:type="dxa"/>
            <w:vAlign w:val="bottom"/>
          </w:tcPr>
          <w:p>
            <w:pPr>
              <w:ind w:left="200"/>
              <w:spacing w:after="0"/>
              <w:rPr>
                <w:sz w:val="20"/>
                <w:szCs w:val="20"/>
                <w:color w:val="auto"/>
              </w:rPr>
            </w:pPr>
            <w:r>
              <w:rPr>
                <w:rFonts w:ascii="Arial" w:cs="Arial" w:eastAsia="Arial" w:hAnsi="Arial"/>
                <w:sz w:val="14"/>
                <w:szCs w:val="14"/>
                <w:color w:val="010035"/>
              </w:rPr>
              <w:t>the aim of</w:t>
            </w:r>
          </w:p>
        </w:tc>
        <w:tc>
          <w:tcPr>
            <w:tcW w:w="25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2000" w:type="dxa"/>
            <w:vAlign w:val="bottom"/>
          </w:tcPr>
          <w:p>
            <w:pPr>
              <w:ind w:left="200"/>
              <w:spacing w:after="0"/>
              <w:rPr>
                <w:sz w:val="20"/>
                <w:szCs w:val="20"/>
                <w:color w:val="auto"/>
              </w:rPr>
            </w:pPr>
            <w:r>
              <w:rPr>
                <w:rFonts w:ascii="Arial" w:cs="Arial" w:eastAsia="Arial" w:hAnsi="Arial"/>
                <w:sz w:val="14"/>
                <w:szCs w:val="14"/>
                <w:color w:val="010035"/>
              </w:rPr>
              <w:t>creating sustainable</w:t>
            </w:r>
          </w:p>
        </w:tc>
        <w:tc>
          <w:tcPr>
            <w:tcW w:w="2520" w:type="dxa"/>
            <w:vAlign w:val="bottom"/>
          </w:tcPr>
          <w:p>
            <w:pPr>
              <w:spacing w:after="0"/>
              <w:rPr>
                <w:sz w:val="14"/>
                <w:szCs w:val="14"/>
                <w:color w:val="auto"/>
              </w:rPr>
            </w:pPr>
          </w:p>
        </w:tc>
      </w:tr>
      <w:tr>
        <w:trPr>
          <w:trHeight w:val="190"/>
        </w:trPr>
        <w:tc>
          <w:tcPr>
            <w:tcW w:w="2380" w:type="dxa"/>
            <w:vAlign w:val="bottom"/>
          </w:tcPr>
          <w:p>
            <w:pPr>
              <w:spacing w:after="0"/>
              <w:rPr>
                <w:sz w:val="16"/>
                <w:szCs w:val="16"/>
                <w:color w:val="auto"/>
              </w:rPr>
            </w:pPr>
          </w:p>
        </w:tc>
        <w:tc>
          <w:tcPr>
            <w:tcW w:w="2000" w:type="dxa"/>
            <w:vAlign w:val="bottom"/>
          </w:tcPr>
          <w:p>
            <w:pPr>
              <w:ind w:left="200"/>
              <w:spacing w:after="0"/>
              <w:rPr>
                <w:sz w:val="20"/>
                <w:szCs w:val="20"/>
                <w:color w:val="auto"/>
              </w:rPr>
            </w:pPr>
            <w:r>
              <w:rPr>
                <w:rFonts w:ascii="Arial" w:cs="Arial" w:eastAsia="Arial" w:hAnsi="Arial"/>
                <w:sz w:val="14"/>
                <w:szCs w:val="14"/>
                <w:color w:val="010035"/>
              </w:rPr>
              <w:t>shareholder value</w:t>
            </w:r>
          </w:p>
        </w:tc>
        <w:tc>
          <w:tcPr>
            <w:tcW w:w="25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4"/>
          <w:szCs w:val="14"/>
          <w:color w:val="010035"/>
        </w:rPr>
        <w:t>Reinforce business initiatives, strategic priorities and capital allocation discipline that drive long-term and sustained shareholder value</w:t>
      </w:r>
    </w:p>
    <w:p>
      <w:pPr>
        <w:spacing w:after="0" w:line="517" w:lineRule="exact"/>
        <w:rPr>
          <w:sz w:val="20"/>
          <w:szCs w:val="20"/>
          <w:color w:val="auto"/>
        </w:rPr>
      </w:pPr>
    </w:p>
    <w:p>
      <w:pPr>
        <w:sectPr>
          <w:pgSz w:w="11900" w:h="16838" w:orient="portrait"/>
          <w:cols w:equalWidth="0" w:num="2">
            <w:col w:w="7000" w:space="200"/>
            <w:col w:w="2200"/>
          </w:cols>
          <w:pgMar w:left="1240" w:top="114" w:right="1259" w:bottom="1440" w:gutter="0" w:footer="0" w:header="0"/>
          <w:type w:val="continuous"/>
        </w:sectPr>
      </w:pPr>
    </w:p>
    <w:p>
      <w:pPr>
        <w:spacing w:after="0" w:line="163" w:lineRule="exact"/>
        <w:rPr>
          <w:sz w:val="20"/>
          <w:szCs w:val="20"/>
          <w:color w:val="auto"/>
        </w:rPr>
      </w:pPr>
    </w:p>
    <w:p>
      <w:pPr>
        <w:ind w:right="260"/>
        <w:spacing w:after="0" w:line="256" w:lineRule="auto"/>
        <w:rPr>
          <w:sz w:val="20"/>
          <w:szCs w:val="20"/>
          <w:color w:val="auto"/>
        </w:rPr>
      </w:pPr>
      <w:r>
        <w:rPr>
          <w:rFonts w:ascii="Arial" w:cs="Arial" w:eastAsia="Arial" w:hAnsi="Arial"/>
          <w:sz w:val="14"/>
          <w:szCs w:val="14"/>
          <w:color w:val="auto"/>
        </w:rPr>
        <w:t>When reviewing and establishing the target pay of our NEOs, the Committee, in consultation with its independent compensation consultant, references pay levels within our compensation peer group and considers adjustments as deemed appropriate to reflect each NEO’s experience, contributions, tenure and any potential retention considerations. The Company’s executive compensation program is designed to motivate and reward executives for achieving and exceeding targeted performance goals that drive long-term shareholder value.</w:t>
      </w:r>
    </w:p>
    <w:p>
      <w:pPr>
        <w:spacing w:after="0" w:line="69" w:lineRule="exact"/>
        <w:rPr>
          <w:sz w:val="20"/>
          <w:szCs w:val="20"/>
          <w:color w:val="auto"/>
        </w:rPr>
      </w:pPr>
    </w:p>
    <w:p>
      <w:pPr>
        <w:ind w:right="260"/>
        <w:spacing w:after="0" w:line="256" w:lineRule="auto"/>
        <w:rPr>
          <w:sz w:val="20"/>
          <w:szCs w:val="20"/>
          <w:color w:val="auto"/>
        </w:rPr>
      </w:pPr>
      <w:r>
        <w:rPr>
          <w:rFonts w:ascii="Arial" w:cs="Arial" w:eastAsia="Arial" w:hAnsi="Arial"/>
          <w:sz w:val="14"/>
          <w:szCs w:val="14"/>
          <w:color w:val="auto"/>
        </w:rPr>
        <w:t>Our executive compensation program is predominantly at-risk and long-term focused, with the majority of target opportunities delivered through annual and long-term incentives tied to the achievement of rigorous pre-established goals. We believe this structure supports our value-creation strategy, demonstrates strong alignment with shareholders’ interests, and aligns executive compensation outcomes with the Company’s performance, individual contributions and long-term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92710</wp:posOffset>
            </wp:positionV>
            <wp:extent cx="699516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Compensation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40"/>
        <w:spacing w:after="0"/>
        <w:rPr>
          <w:sz w:val="20"/>
          <w:szCs w:val="20"/>
          <w:color w:val="auto"/>
        </w:rPr>
      </w:pPr>
      <w:r>
        <w:rPr>
          <w:rFonts w:ascii="Arial" w:cs="Arial" w:eastAsia="Arial" w:hAnsi="Arial"/>
          <w:sz w:val="13"/>
          <w:szCs w:val="13"/>
          <w:color w:val="auto"/>
        </w:rPr>
        <w:t xml:space="preserve">The primary components of our executive compensation program are base salary, short-term incentive compensation (cash bonus plan) and long-term equity incentive compensation (RSUs, PSUs and stock options). The components of our 2025 executive compensation program are described in </w:t>
      </w:r>
      <w:r>
        <w:rPr>
          <w:rFonts w:ascii="Arial" w:cs="Arial" w:eastAsia="Arial" w:hAnsi="Arial"/>
          <w:sz w:val="37"/>
          <w:szCs w:val="37"/>
          <w:b w:val="1"/>
          <w:bCs w:val="1"/>
          <w:color w:val="010035"/>
          <w:vertAlign w:val="subscript"/>
        </w:rPr>
        <w:t xml:space="preserve"> </w:t>
      </w:r>
      <w:r>
        <w:rPr>
          <w:rFonts w:ascii="Arial" w:cs="Arial" w:eastAsia="Arial" w:hAnsi="Arial"/>
          <w:sz w:val="13"/>
          <w:szCs w:val="13"/>
          <w:color w:val="auto"/>
        </w:rPr>
        <w:t>more detail below.</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397" w:type="dxa"/>
        <w:tblCellMar>
          <w:top w:w="0" w:type="dxa"/>
          <w:left w:w="0" w:type="dxa"/>
          <w:bottom w:w="0" w:type="dxa"/>
          <w:right w:w="0" w:type="dxa"/>
        </w:tblCellMar>
      </w:tblPr>
      <w:tr>
        <w:trPr>
          <w:trHeight w:val="100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FFFFFF"/>
              </w:rPr>
              <w:t>FIXED PAY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-657225</wp:posOffset>
            </wp:positionV>
            <wp:extent cx="651510" cy="54089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51510" cy="5408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1560" w:type="dxa"/>
            <w:vAlign w:val="bottom"/>
            <w:tcBorders>
              <w:top w:val="single" w:sz="8" w:color="69439A"/>
            </w:tcBorders>
            <w:vMerge w:val="restart"/>
            <w:shd w:val="clear" w:color="auto" w:fill="DED8EC"/>
          </w:tcPr>
          <w:p>
            <w:pPr>
              <w:ind w:left="80"/>
              <w:spacing w:after="0"/>
              <w:rPr>
                <w:sz w:val="20"/>
                <w:szCs w:val="20"/>
                <w:color w:val="auto"/>
              </w:rPr>
            </w:pPr>
            <w:r>
              <w:rPr>
                <w:rFonts w:ascii="Arial" w:cs="Arial" w:eastAsia="Arial" w:hAnsi="Arial"/>
                <w:sz w:val="22"/>
                <w:szCs w:val="22"/>
                <w:b w:val="1"/>
                <w:bCs w:val="1"/>
                <w:color w:val="010035"/>
              </w:rPr>
              <w:t>COMPONENT</w:t>
            </w:r>
          </w:p>
        </w:tc>
        <w:tc>
          <w:tcPr>
            <w:tcW w:w="920" w:type="dxa"/>
            <w:vAlign w:val="bottom"/>
            <w:tcBorders>
              <w:top w:val="single" w:sz="8" w:color="69439A"/>
            </w:tcBorders>
            <w:vMerge w:val="restart"/>
            <w:shd w:val="clear" w:color="auto" w:fill="DED8EC"/>
          </w:tcPr>
          <w:p>
            <w:pPr>
              <w:ind w:left="220"/>
              <w:spacing w:after="0"/>
              <w:rPr>
                <w:sz w:val="20"/>
                <w:szCs w:val="20"/>
                <w:color w:val="auto"/>
              </w:rPr>
            </w:pPr>
            <w:r>
              <w:rPr>
                <w:rFonts w:ascii="Arial" w:cs="Arial" w:eastAsia="Arial" w:hAnsi="Arial"/>
                <w:sz w:val="22"/>
                <w:szCs w:val="22"/>
                <w:b w:val="1"/>
                <w:bCs w:val="1"/>
                <w:color w:val="010035"/>
              </w:rPr>
              <w:t>CEO*</w:t>
            </w:r>
          </w:p>
        </w:tc>
        <w:tc>
          <w:tcPr>
            <w:tcW w:w="1160" w:type="dxa"/>
            <w:vAlign w:val="bottom"/>
            <w:tcBorders>
              <w:top w:val="single" w:sz="8" w:color="69439A"/>
            </w:tcBorders>
            <w:shd w:val="clear" w:color="auto" w:fill="DED8EC"/>
          </w:tcPr>
          <w:p>
            <w:pPr>
              <w:ind w:left="220"/>
              <w:spacing w:after="0"/>
              <w:rPr>
                <w:sz w:val="20"/>
                <w:szCs w:val="20"/>
                <w:color w:val="auto"/>
              </w:rPr>
            </w:pPr>
            <w:r>
              <w:rPr>
                <w:rFonts w:ascii="Arial" w:cs="Arial" w:eastAsia="Arial" w:hAnsi="Arial"/>
                <w:sz w:val="22"/>
                <w:szCs w:val="22"/>
                <w:b w:val="1"/>
                <w:bCs w:val="1"/>
                <w:color w:val="010035"/>
              </w:rPr>
              <w:t>OTHER</w:t>
            </w:r>
          </w:p>
        </w:tc>
        <w:tc>
          <w:tcPr>
            <w:tcW w:w="2460" w:type="dxa"/>
            <w:vAlign w:val="bottom"/>
            <w:tcBorders>
              <w:top w:val="single" w:sz="8" w:color="69439A"/>
            </w:tcBorders>
            <w:shd w:val="clear" w:color="auto" w:fill="DED8EC"/>
          </w:tcPr>
          <w:p>
            <w:pPr>
              <w:ind w:left="260"/>
              <w:spacing w:after="0"/>
              <w:rPr>
                <w:sz w:val="20"/>
                <w:szCs w:val="20"/>
                <w:color w:val="auto"/>
              </w:rPr>
            </w:pPr>
            <w:r>
              <w:rPr>
                <w:rFonts w:ascii="Arial" w:cs="Arial" w:eastAsia="Arial" w:hAnsi="Arial"/>
                <w:sz w:val="22"/>
                <w:szCs w:val="22"/>
                <w:b w:val="1"/>
                <w:bCs w:val="1"/>
                <w:color w:val="010035"/>
              </w:rPr>
              <w:t>KEY</w:t>
            </w:r>
          </w:p>
        </w:tc>
        <w:tc>
          <w:tcPr>
            <w:tcW w:w="2260" w:type="dxa"/>
            <w:vAlign w:val="bottom"/>
            <w:tcBorders>
              <w:top w:val="single" w:sz="8" w:color="69439A"/>
            </w:tcBorders>
            <w:shd w:val="clear" w:color="auto" w:fill="DED8EC"/>
          </w:tcPr>
          <w:p>
            <w:pPr>
              <w:ind w:left="120"/>
              <w:spacing w:after="0"/>
              <w:rPr>
                <w:sz w:val="20"/>
                <w:szCs w:val="20"/>
                <w:color w:val="auto"/>
              </w:rPr>
            </w:pPr>
            <w:r>
              <w:rPr>
                <w:rFonts w:ascii="Arial" w:cs="Arial" w:eastAsia="Arial" w:hAnsi="Arial"/>
                <w:sz w:val="22"/>
                <w:szCs w:val="22"/>
                <w:b w:val="1"/>
                <w:bCs w:val="1"/>
                <w:color w:val="010035"/>
                <w:w w:val="93"/>
              </w:rPr>
              <w:t>2025 PERFORMANCE</w:t>
            </w:r>
          </w:p>
        </w:tc>
        <w:tc>
          <w:tcPr>
            <w:tcW w:w="0" w:type="dxa"/>
            <w:vAlign w:val="bottom"/>
          </w:tcPr>
          <w:p>
            <w:pPr>
              <w:spacing w:after="0"/>
              <w:rPr>
                <w:sz w:val="1"/>
                <w:szCs w:val="1"/>
                <w:color w:val="auto"/>
              </w:rPr>
            </w:pPr>
          </w:p>
        </w:tc>
      </w:tr>
      <w:tr>
        <w:trPr>
          <w:trHeight w:val="176"/>
        </w:trPr>
        <w:tc>
          <w:tcPr>
            <w:tcW w:w="1560" w:type="dxa"/>
            <w:vAlign w:val="bottom"/>
            <w:vMerge w:val="continue"/>
            <w:shd w:val="clear" w:color="auto" w:fill="DED8EC"/>
          </w:tcPr>
          <w:p>
            <w:pPr>
              <w:spacing w:after="0"/>
              <w:rPr>
                <w:sz w:val="15"/>
                <w:szCs w:val="15"/>
                <w:color w:val="auto"/>
              </w:rPr>
            </w:pPr>
          </w:p>
        </w:tc>
        <w:tc>
          <w:tcPr>
            <w:tcW w:w="920" w:type="dxa"/>
            <w:vAlign w:val="bottom"/>
            <w:vMerge w:val="continue"/>
            <w:shd w:val="clear" w:color="auto" w:fill="DED8EC"/>
          </w:tcPr>
          <w:p>
            <w:pPr>
              <w:spacing w:after="0"/>
              <w:rPr>
                <w:sz w:val="15"/>
                <w:szCs w:val="15"/>
                <w:color w:val="auto"/>
              </w:rPr>
            </w:pPr>
          </w:p>
        </w:tc>
        <w:tc>
          <w:tcPr>
            <w:tcW w:w="1160" w:type="dxa"/>
            <w:vAlign w:val="bottom"/>
            <w:vMerge w:val="restart"/>
            <w:shd w:val="clear" w:color="auto" w:fill="DED8EC"/>
          </w:tcPr>
          <w:p>
            <w:pPr>
              <w:ind w:left="220"/>
              <w:spacing w:after="0"/>
              <w:rPr>
                <w:sz w:val="20"/>
                <w:szCs w:val="20"/>
                <w:color w:val="auto"/>
              </w:rPr>
            </w:pPr>
            <w:r>
              <w:rPr>
                <w:rFonts w:ascii="Arial" w:cs="Arial" w:eastAsia="Arial" w:hAnsi="Arial"/>
                <w:sz w:val="22"/>
                <w:szCs w:val="22"/>
                <w:b w:val="1"/>
                <w:bCs w:val="1"/>
                <w:color w:val="010035"/>
              </w:rPr>
              <w:t>NEOS*</w:t>
            </w:r>
          </w:p>
        </w:tc>
        <w:tc>
          <w:tcPr>
            <w:tcW w:w="2460" w:type="dxa"/>
            <w:vAlign w:val="bottom"/>
            <w:vMerge w:val="restart"/>
            <w:shd w:val="clear" w:color="auto" w:fill="DED8EC"/>
          </w:tcPr>
          <w:p>
            <w:pPr>
              <w:ind w:left="260"/>
              <w:spacing w:after="0"/>
              <w:rPr>
                <w:sz w:val="20"/>
                <w:szCs w:val="20"/>
                <w:color w:val="auto"/>
              </w:rPr>
            </w:pPr>
            <w:r>
              <w:rPr>
                <w:rFonts w:ascii="Arial" w:cs="Arial" w:eastAsia="Arial" w:hAnsi="Arial"/>
                <w:sz w:val="22"/>
                <w:szCs w:val="22"/>
                <w:b w:val="1"/>
                <w:bCs w:val="1"/>
                <w:color w:val="010035"/>
              </w:rPr>
              <w:t>CHARACTERISTICS</w:t>
            </w:r>
          </w:p>
        </w:tc>
        <w:tc>
          <w:tcPr>
            <w:tcW w:w="2260" w:type="dxa"/>
            <w:vAlign w:val="bottom"/>
            <w:vMerge w:val="restart"/>
            <w:shd w:val="clear" w:color="auto" w:fill="DED8EC"/>
          </w:tcPr>
          <w:p>
            <w:pPr>
              <w:ind w:left="120"/>
              <w:spacing w:after="0"/>
              <w:rPr>
                <w:sz w:val="20"/>
                <w:szCs w:val="20"/>
                <w:color w:val="auto"/>
              </w:rPr>
            </w:pPr>
            <w:r>
              <w:rPr>
                <w:rFonts w:ascii="Arial" w:cs="Arial" w:eastAsia="Arial" w:hAnsi="Arial"/>
                <w:sz w:val="22"/>
                <w:szCs w:val="22"/>
                <w:b w:val="1"/>
                <w:bCs w:val="1"/>
                <w:color w:val="010035"/>
              </w:rPr>
              <w:t>METRICS</w:t>
            </w:r>
          </w:p>
        </w:tc>
        <w:tc>
          <w:tcPr>
            <w:tcW w:w="0" w:type="dxa"/>
            <w:vAlign w:val="bottom"/>
          </w:tcPr>
          <w:p>
            <w:pPr>
              <w:spacing w:after="0"/>
              <w:rPr>
                <w:sz w:val="1"/>
                <w:szCs w:val="1"/>
                <w:color w:val="auto"/>
              </w:rPr>
            </w:pPr>
          </w:p>
        </w:tc>
      </w:tr>
      <w:tr>
        <w:trPr>
          <w:trHeight w:val="143"/>
        </w:trPr>
        <w:tc>
          <w:tcPr>
            <w:tcW w:w="1560" w:type="dxa"/>
            <w:vAlign w:val="bottom"/>
            <w:tcBorders>
              <w:bottom w:val="single" w:sz="8" w:color="DED8EC"/>
            </w:tcBorders>
            <w:shd w:val="clear" w:color="auto" w:fill="DED8EC"/>
          </w:tcPr>
          <w:p>
            <w:pPr>
              <w:spacing w:after="0"/>
              <w:rPr>
                <w:sz w:val="12"/>
                <w:szCs w:val="12"/>
                <w:color w:val="auto"/>
              </w:rPr>
            </w:pPr>
          </w:p>
        </w:tc>
        <w:tc>
          <w:tcPr>
            <w:tcW w:w="920" w:type="dxa"/>
            <w:vAlign w:val="bottom"/>
            <w:tcBorders>
              <w:bottom w:val="single" w:sz="8" w:color="DED8EC"/>
            </w:tcBorders>
            <w:shd w:val="clear" w:color="auto" w:fill="DED8EC"/>
          </w:tcPr>
          <w:p>
            <w:pPr>
              <w:spacing w:after="0"/>
              <w:rPr>
                <w:sz w:val="12"/>
                <w:szCs w:val="12"/>
                <w:color w:val="auto"/>
              </w:rPr>
            </w:pPr>
          </w:p>
        </w:tc>
        <w:tc>
          <w:tcPr>
            <w:tcW w:w="1160" w:type="dxa"/>
            <w:vAlign w:val="bottom"/>
            <w:tcBorders>
              <w:bottom w:val="single" w:sz="8" w:color="DED8EC"/>
            </w:tcBorders>
            <w:vMerge w:val="continue"/>
            <w:shd w:val="clear" w:color="auto" w:fill="DED8EC"/>
          </w:tcPr>
          <w:p>
            <w:pPr>
              <w:spacing w:after="0"/>
              <w:rPr>
                <w:sz w:val="12"/>
                <w:szCs w:val="12"/>
                <w:color w:val="auto"/>
              </w:rPr>
            </w:pPr>
          </w:p>
        </w:tc>
        <w:tc>
          <w:tcPr>
            <w:tcW w:w="2460" w:type="dxa"/>
            <w:vAlign w:val="bottom"/>
            <w:tcBorders>
              <w:bottom w:val="single" w:sz="8" w:color="DED8EC"/>
            </w:tcBorders>
            <w:vMerge w:val="continue"/>
            <w:shd w:val="clear" w:color="auto" w:fill="DED8EC"/>
          </w:tcPr>
          <w:p>
            <w:pPr>
              <w:spacing w:after="0"/>
              <w:rPr>
                <w:sz w:val="12"/>
                <w:szCs w:val="12"/>
                <w:color w:val="auto"/>
              </w:rPr>
            </w:pPr>
          </w:p>
        </w:tc>
        <w:tc>
          <w:tcPr>
            <w:tcW w:w="2260" w:type="dxa"/>
            <w:vAlign w:val="bottom"/>
            <w:tcBorders>
              <w:bottom w:val="single" w:sz="8" w:color="DED8EC"/>
            </w:tcBorders>
            <w:vMerge w:val="continue"/>
            <w:shd w:val="clear" w:color="auto" w:fill="DED8E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tcPr>
          <w:p>
            <w:pPr>
              <w:ind w:left="260"/>
              <w:spacing w:after="0"/>
              <w:rPr>
                <w:sz w:val="20"/>
                <w:szCs w:val="20"/>
                <w:color w:val="auto"/>
              </w:rPr>
            </w:pPr>
            <w:r>
              <w:rPr>
                <w:rFonts w:ascii="Arial" w:cs="Arial" w:eastAsia="Arial" w:hAnsi="Arial"/>
                <w:sz w:val="13"/>
                <w:szCs w:val="13"/>
                <w:color w:val="010035"/>
                <w:w w:val="99"/>
              </w:rPr>
              <w:t>•  Fixed cash compensation designed</w:t>
            </w:r>
          </w:p>
        </w:tc>
        <w:tc>
          <w:tcPr>
            <w:tcW w:w="2260" w:type="dxa"/>
            <w:vAlign w:val="bottom"/>
          </w:tcPr>
          <w:p>
            <w:pPr>
              <w:ind w:left="120"/>
              <w:spacing w:after="0"/>
              <w:rPr>
                <w:sz w:val="20"/>
                <w:szCs w:val="20"/>
                <w:color w:val="auto"/>
              </w:rPr>
            </w:pPr>
            <w:r>
              <w:rPr>
                <w:rFonts w:ascii="Arial" w:cs="Arial" w:eastAsia="Arial" w:hAnsi="Arial"/>
                <w:sz w:val="13"/>
                <w:szCs w:val="13"/>
                <w:color w:val="010035"/>
              </w:rPr>
              <w:t>N/A</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ind w:left="380"/>
              <w:spacing w:after="0" w:line="135" w:lineRule="exact"/>
              <w:rPr>
                <w:sz w:val="20"/>
                <w:szCs w:val="20"/>
                <w:color w:val="auto"/>
              </w:rPr>
            </w:pPr>
            <w:r>
              <w:rPr>
                <w:rFonts w:ascii="Arial" w:cs="Arial" w:eastAsia="Arial" w:hAnsi="Arial"/>
                <w:sz w:val="13"/>
                <w:szCs w:val="13"/>
                <w:color w:val="010035"/>
              </w:rPr>
              <w:t>to provide executives with market-</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vMerge w:val="restart"/>
          </w:tcPr>
          <w:p>
            <w:pPr>
              <w:ind w:left="80"/>
              <w:spacing w:after="0"/>
              <w:rPr>
                <w:sz w:val="20"/>
                <w:szCs w:val="20"/>
                <w:color w:val="auto"/>
              </w:rPr>
            </w:pPr>
            <w:r>
              <w:rPr>
                <w:rFonts w:ascii="Arial" w:cs="Arial" w:eastAsia="Arial" w:hAnsi="Arial"/>
                <w:sz w:val="13"/>
                <w:szCs w:val="13"/>
                <w:b w:val="1"/>
                <w:bCs w:val="1"/>
                <w:color w:val="010035"/>
              </w:rPr>
              <w:t>Base Salary</w:t>
            </w: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ind w:left="380"/>
              <w:spacing w:after="0" w:line="135" w:lineRule="exact"/>
              <w:rPr>
                <w:sz w:val="20"/>
                <w:szCs w:val="20"/>
                <w:color w:val="auto"/>
              </w:rPr>
            </w:pPr>
            <w:r>
              <w:rPr>
                <w:rFonts w:ascii="Arial" w:cs="Arial" w:eastAsia="Arial" w:hAnsi="Arial"/>
                <w:sz w:val="13"/>
                <w:szCs w:val="13"/>
                <w:color w:val="010035"/>
              </w:rPr>
              <w:t>competitive pay for their day-to-day</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ind w:left="380"/>
              <w:spacing w:after="0" w:line="135" w:lineRule="exact"/>
              <w:rPr>
                <w:sz w:val="20"/>
                <w:szCs w:val="20"/>
                <w:color w:val="auto"/>
              </w:rPr>
            </w:pPr>
            <w:r>
              <w:rPr>
                <w:rFonts w:ascii="Arial" w:cs="Arial" w:eastAsia="Arial" w:hAnsi="Arial"/>
                <w:sz w:val="13"/>
                <w:szCs w:val="13"/>
                <w:color w:val="010035"/>
              </w:rPr>
              <w:t>responsibilities, based on their role,</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ind w:left="380"/>
              <w:spacing w:after="0" w:line="135" w:lineRule="exact"/>
              <w:rPr>
                <w:sz w:val="20"/>
                <w:szCs w:val="20"/>
                <w:color w:val="auto"/>
              </w:rPr>
            </w:pPr>
            <w:r>
              <w:rPr>
                <w:rFonts w:ascii="Arial" w:cs="Arial" w:eastAsia="Arial" w:hAnsi="Arial"/>
                <w:sz w:val="13"/>
                <w:szCs w:val="13"/>
                <w:color w:val="010035"/>
              </w:rPr>
              <w:t>individual performance, experience,</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tcPr>
          <w:p>
            <w:pPr>
              <w:ind w:left="380"/>
              <w:spacing w:after="0"/>
              <w:rPr>
                <w:sz w:val="20"/>
                <w:szCs w:val="20"/>
                <w:color w:val="auto"/>
              </w:rPr>
            </w:pPr>
            <w:r>
              <w:rPr>
                <w:rFonts w:ascii="Arial" w:cs="Arial" w:eastAsia="Arial" w:hAnsi="Arial"/>
                <w:sz w:val="13"/>
                <w:szCs w:val="13"/>
                <w:color w:val="010035"/>
              </w:rPr>
              <w:t>expertise and qualifications</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100" w:type="dxa"/>
            <w:vAlign w:val="bottom"/>
            <w:gridSpan w:val="4"/>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100" w:type="dxa"/>
            <w:vAlign w:val="bottom"/>
            <w:tcBorders>
              <w:bottom w:val="single" w:sz="8" w:color="DED8EC"/>
            </w:tcBorders>
            <w:gridSpan w:val="4"/>
            <w:shd w:val="clear" w:color="auto" w:fill="DED8EC"/>
          </w:tcPr>
          <w:p>
            <w:pPr>
              <w:ind w:left="80"/>
              <w:spacing w:after="0"/>
              <w:rPr>
                <w:sz w:val="20"/>
                <w:szCs w:val="20"/>
                <w:color w:val="auto"/>
              </w:rPr>
            </w:pPr>
            <w:r>
              <w:rPr>
                <w:rFonts w:ascii="Arial" w:cs="Arial" w:eastAsia="Arial" w:hAnsi="Arial"/>
                <w:sz w:val="22"/>
                <w:szCs w:val="22"/>
                <w:b w:val="1"/>
                <w:bCs w:val="1"/>
                <w:color w:val="010035"/>
              </w:rPr>
              <w:t>SHORT-TERM INCENTIVE PROGRAM (“STIP”)</w:t>
            </w:r>
          </w:p>
        </w:tc>
        <w:tc>
          <w:tcPr>
            <w:tcW w:w="2260" w:type="dxa"/>
            <w:vAlign w:val="bottom"/>
            <w:tcBorders>
              <w:bottom w:val="single" w:sz="8" w:color="DED8EC"/>
            </w:tcBorders>
            <w:shd w:val="clear" w:color="auto" w:fill="DED8EC"/>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tcPr>
          <w:p>
            <w:pPr>
              <w:ind w:left="260"/>
              <w:spacing w:after="0"/>
              <w:rPr>
                <w:sz w:val="20"/>
                <w:szCs w:val="20"/>
                <w:color w:val="auto"/>
              </w:rPr>
            </w:pPr>
            <w:r>
              <w:rPr>
                <w:rFonts w:ascii="Arial" w:cs="Arial" w:eastAsia="Arial" w:hAnsi="Arial"/>
                <w:sz w:val="13"/>
                <w:szCs w:val="13"/>
                <w:color w:val="010035"/>
              </w:rPr>
              <w:t>•  Cash compensation tied to the</w:t>
            </w:r>
          </w:p>
        </w:tc>
        <w:tc>
          <w:tcPr>
            <w:tcW w:w="2260" w:type="dxa"/>
            <w:vAlign w:val="bottom"/>
          </w:tcPr>
          <w:p>
            <w:pPr>
              <w:ind w:left="120"/>
              <w:spacing w:after="0"/>
              <w:rPr>
                <w:sz w:val="20"/>
                <w:szCs w:val="20"/>
                <w:color w:val="auto"/>
              </w:rPr>
            </w:pPr>
            <w:r>
              <w:rPr>
                <w:rFonts w:ascii="Arial" w:cs="Arial" w:eastAsia="Arial" w:hAnsi="Arial"/>
                <w:sz w:val="13"/>
                <w:szCs w:val="13"/>
                <w:b w:val="1"/>
                <w:bCs w:val="1"/>
                <w:color w:val="010035"/>
              </w:rPr>
              <w:t>Adjusted EBITDAR (100%)</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ind w:left="380"/>
              <w:spacing w:after="0" w:line="135" w:lineRule="exact"/>
              <w:rPr>
                <w:sz w:val="20"/>
                <w:szCs w:val="20"/>
                <w:color w:val="auto"/>
              </w:rPr>
            </w:pPr>
            <w:r>
              <w:rPr>
                <w:rFonts w:ascii="Arial" w:cs="Arial" w:eastAsia="Arial" w:hAnsi="Arial"/>
                <w:sz w:val="13"/>
                <w:szCs w:val="13"/>
                <w:color w:val="010035"/>
              </w:rPr>
              <w:t>achievement of a rigorous pre-set</w:t>
            </w:r>
          </w:p>
        </w:tc>
        <w:tc>
          <w:tcPr>
            <w:tcW w:w="2260" w:type="dxa"/>
            <w:vAlign w:val="bottom"/>
          </w:tcPr>
          <w:p>
            <w:pPr>
              <w:ind w:left="120"/>
              <w:spacing w:after="0" w:line="135" w:lineRule="exact"/>
              <w:rPr>
                <w:sz w:val="20"/>
                <w:szCs w:val="20"/>
                <w:color w:val="auto"/>
              </w:rPr>
            </w:pPr>
            <w:r>
              <w:rPr>
                <w:rFonts w:ascii="Arial" w:cs="Arial" w:eastAsia="Arial" w:hAnsi="Arial"/>
                <w:sz w:val="13"/>
                <w:szCs w:val="13"/>
                <w:color w:val="010035"/>
              </w:rPr>
              <w:t>(consolidated results from the</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ind w:left="380"/>
              <w:spacing w:after="0" w:line="135" w:lineRule="exact"/>
              <w:rPr>
                <w:sz w:val="20"/>
                <w:szCs w:val="20"/>
                <w:color w:val="auto"/>
              </w:rPr>
            </w:pPr>
            <w:r>
              <w:rPr>
                <w:rFonts w:ascii="Arial" w:cs="Arial" w:eastAsia="Arial" w:hAnsi="Arial"/>
                <w:sz w:val="13"/>
                <w:szCs w:val="13"/>
                <w:color w:val="010035"/>
              </w:rPr>
              <w:t>quantitative performance goal</w:t>
            </w:r>
          </w:p>
        </w:tc>
        <w:tc>
          <w:tcPr>
            <w:tcW w:w="2260" w:type="dxa"/>
            <w:vAlign w:val="bottom"/>
          </w:tcPr>
          <w:p>
            <w:pPr>
              <w:ind w:left="120"/>
              <w:spacing w:after="0" w:line="135" w:lineRule="exact"/>
              <w:rPr>
                <w:sz w:val="20"/>
                <w:szCs w:val="20"/>
                <w:color w:val="auto"/>
              </w:rPr>
            </w:pPr>
            <w:r>
              <w:rPr>
                <w:rFonts w:ascii="Arial" w:cs="Arial" w:eastAsia="Arial" w:hAnsi="Arial"/>
                <w:sz w:val="13"/>
                <w:szCs w:val="13"/>
                <w:color w:val="010035"/>
              </w:rPr>
              <w:t>Company’s Retail and Interactive</w:t>
            </w:r>
          </w:p>
        </w:tc>
        <w:tc>
          <w:tcPr>
            <w:tcW w:w="0" w:type="dxa"/>
            <w:vAlign w:val="bottom"/>
          </w:tcPr>
          <w:p>
            <w:pPr>
              <w:spacing w:after="0"/>
              <w:rPr>
                <w:sz w:val="1"/>
                <w:szCs w:val="1"/>
                <w:color w:val="auto"/>
              </w:rPr>
            </w:pPr>
          </w:p>
        </w:tc>
      </w:tr>
      <w:tr>
        <w:trPr>
          <w:trHeight w:val="135"/>
        </w:trPr>
        <w:tc>
          <w:tcPr>
            <w:tcW w:w="1560" w:type="dxa"/>
            <w:vAlign w:val="bottom"/>
            <w:vMerge w:val="restart"/>
          </w:tcPr>
          <w:p>
            <w:pPr>
              <w:ind w:left="80"/>
              <w:spacing w:after="0"/>
              <w:rPr>
                <w:sz w:val="20"/>
                <w:szCs w:val="20"/>
                <w:color w:val="auto"/>
              </w:rPr>
            </w:pPr>
            <w:r>
              <w:rPr>
                <w:rFonts w:ascii="Arial" w:cs="Arial" w:eastAsia="Arial" w:hAnsi="Arial"/>
                <w:sz w:val="13"/>
                <w:szCs w:val="13"/>
                <w:b w:val="1"/>
                <w:bCs w:val="1"/>
                <w:color w:val="010035"/>
              </w:rPr>
              <w:t>STIP</w:t>
            </w: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ind w:left="260"/>
              <w:spacing w:after="0" w:line="135" w:lineRule="exact"/>
              <w:rPr>
                <w:sz w:val="20"/>
                <w:szCs w:val="20"/>
                <w:color w:val="auto"/>
              </w:rPr>
            </w:pPr>
            <w:r>
              <w:rPr>
                <w:rFonts w:ascii="Arial" w:cs="Arial" w:eastAsia="Arial" w:hAnsi="Arial"/>
                <w:sz w:val="13"/>
                <w:szCs w:val="13"/>
                <w:color w:val="010035"/>
              </w:rPr>
              <w:t>•  Intended to drive near-term results</w:t>
            </w:r>
          </w:p>
        </w:tc>
        <w:tc>
          <w:tcPr>
            <w:tcW w:w="2260" w:type="dxa"/>
            <w:vAlign w:val="bottom"/>
          </w:tcPr>
          <w:p>
            <w:pPr>
              <w:ind w:left="120"/>
              <w:spacing w:after="0" w:line="135" w:lineRule="exact"/>
              <w:rPr>
                <w:sz w:val="20"/>
                <w:szCs w:val="20"/>
                <w:color w:val="auto"/>
              </w:rPr>
            </w:pPr>
            <w:r>
              <w:rPr>
                <w:rFonts w:ascii="Arial" w:cs="Arial" w:eastAsia="Arial" w:hAnsi="Arial"/>
                <w:sz w:val="13"/>
                <w:szCs w:val="13"/>
                <w:color w:val="010035"/>
              </w:rPr>
              <w:t>segments and Other (including</w:t>
            </w:r>
          </w:p>
        </w:tc>
        <w:tc>
          <w:tcPr>
            <w:tcW w:w="0" w:type="dxa"/>
            <w:vAlign w:val="bottom"/>
          </w:tcPr>
          <w:p>
            <w:pPr>
              <w:spacing w:after="0"/>
              <w:rPr>
                <w:sz w:val="1"/>
                <w:szCs w:val="1"/>
                <w:color w:val="auto"/>
              </w:rPr>
            </w:pPr>
          </w:p>
        </w:tc>
      </w:tr>
      <w:tr>
        <w:trPr>
          <w:trHeight w:val="91"/>
        </w:trPr>
        <w:tc>
          <w:tcPr>
            <w:tcW w:w="15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60" w:type="dxa"/>
            <w:vAlign w:val="bottom"/>
            <w:vMerge w:val="restart"/>
          </w:tcPr>
          <w:p>
            <w:pPr>
              <w:ind w:left="380"/>
              <w:spacing w:after="0" w:line="147" w:lineRule="exact"/>
              <w:rPr>
                <w:sz w:val="20"/>
                <w:szCs w:val="20"/>
                <w:color w:val="auto"/>
              </w:rPr>
            </w:pPr>
            <w:r>
              <w:rPr>
                <w:rFonts w:ascii="Arial" w:cs="Arial" w:eastAsia="Arial" w:hAnsi="Arial"/>
                <w:sz w:val="13"/>
                <w:szCs w:val="13"/>
                <w:color w:val="010035"/>
              </w:rPr>
              <w:t>that are aligned with our long-term</w:t>
            </w:r>
          </w:p>
        </w:tc>
        <w:tc>
          <w:tcPr>
            <w:tcW w:w="2260" w:type="dxa"/>
            <w:vAlign w:val="bottom"/>
            <w:vMerge w:val="restart"/>
          </w:tcPr>
          <w:p>
            <w:pPr>
              <w:ind w:left="120"/>
              <w:spacing w:after="0" w:line="147" w:lineRule="exact"/>
              <w:rPr>
                <w:sz w:val="20"/>
                <w:szCs w:val="20"/>
                <w:color w:val="auto"/>
              </w:rPr>
            </w:pPr>
            <w:r>
              <w:rPr>
                <w:rFonts w:ascii="Arial" w:cs="Arial" w:eastAsia="Arial" w:hAnsi="Arial"/>
                <w:sz w:val="13"/>
                <w:szCs w:val="13"/>
                <w:color w:val="010035"/>
              </w:rPr>
              <w:t>Corporate Overhead)</w:t>
            </w:r>
          </w:p>
        </w:tc>
        <w:tc>
          <w:tcPr>
            <w:tcW w:w="0" w:type="dxa"/>
            <w:vAlign w:val="bottom"/>
          </w:tcPr>
          <w:p>
            <w:pPr>
              <w:spacing w:after="0"/>
              <w:rPr>
                <w:sz w:val="1"/>
                <w:szCs w:val="1"/>
                <w:color w:val="auto"/>
              </w:rPr>
            </w:pPr>
          </w:p>
        </w:tc>
      </w:tr>
      <w:tr>
        <w:trPr>
          <w:trHeight w:val="56"/>
        </w:trPr>
        <w:tc>
          <w:tcPr>
            <w:tcW w:w="1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-1367155</wp:posOffset>
            </wp:positionV>
            <wp:extent cx="1371600" cy="6083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0" cy="60833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-389890</wp:posOffset>
            </wp:positionV>
            <wp:extent cx="1371600" cy="6083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71600" cy="608330"/>
                    </a:xfrm>
                    <a:prstGeom prst="rect">
                      <a:avLst/>
                    </a:prstGeom>
                    <a:noFill/>
                  </pic:spPr>
                </pic:pic>
              </a:graphicData>
            </a:graphic>
          </wp:anchor>
        </w:drawing>
      </w:r>
    </w:p>
    <w:p>
      <w:pPr>
        <w:ind w:left="4020"/>
        <w:spacing w:after="0"/>
        <w:rPr>
          <w:sz w:val="20"/>
          <w:szCs w:val="20"/>
          <w:color w:val="auto"/>
        </w:rPr>
      </w:pPr>
      <w:r>
        <w:rPr>
          <w:rFonts w:ascii="Arial" w:cs="Arial" w:eastAsia="Arial" w:hAnsi="Arial"/>
          <w:sz w:val="13"/>
          <w:szCs w:val="13"/>
          <w:color w:val="010035"/>
        </w:rPr>
        <w:t>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405765</wp:posOffset>
            </wp:positionV>
            <wp:extent cx="5314950" cy="2400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3149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010035"/>
        </w:rPr>
        <w:t>LONG-TERM INCENTIVE PROGRAM (“LTIP”)</w:t>
      </w:r>
    </w:p>
    <w:p>
      <w:pPr>
        <w:spacing w:after="0" w:line="133" w:lineRule="exact"/>
        <w:rPr>
          <w:sz w:val="20"/>
          <w:szCs w:val="20"/>
          <w:color w:val="auto"/>
        </w:rPr>
      </w:pPr>
    </w:p>
    <w:p>
      <w:pPr>
        <w:sectPr>
          <w:pgSz w:w="11900" w:h="16838" w:orient="portrait"/>
          <w:cols w:equalWidth="0" w:num="2">
            <w:col w:w="604" w:space="436"/>
            <w:col w:w="836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397" w:type="dxa"/>
        <w:tblCellMar>
          <w:top w:w="0" w:type="dxa"/>
          <w:left w:w="0" w:type="dxa"/>
          <w:bottom w:w="0" w:type="dxa"/>
          <w:right w:w="0" w:type="dxa"/>
        </w:tblCellMar>
      </w:tblPr>
      <w:tr>
        <w:trPr>
          <w:trHeight w:val="140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FFFFFF"/>
              </w:rPr>
              <w:t>VARIABLE PAY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-271780</wp:posOffset>
            </wp:positionV>
            <wp:extent cx="608330" cy="6083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08330" cy="60833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010035"/>
        </w:rPr>
        <w:t>50% of Total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875030</wp:posOffset>
            </wp:positionV>
            <wp:extent cx="608330" cy="6083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083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RSUs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010035"/>
        </w:rPr>
        <w:t>25% of Total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326390</wp:posOffset>
            </wp:positionV>
            <wp:extent cx="608330" cy="6083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083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b w:val="1"/>
          <w:bCs w:val="1"/>
          <w:color w:val="010035"/>
        </w:rPr>
        <w:t>Stock Options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010035"/>
        </w:rPr>
        <w:t>25% of Total LTIP</w:t>
      </w:r>
    </w:p>
    <w:p>
      <w:pPr>
        <w:spacing w:after="0" w:line="20" w:lineRule="exact"/>
        <w:rPr>
          <w:sz w:val="20"/>
          <w:szCs w:val="20"/>
          <w:color w:val="auto"/>
        </w:rPr>
      </w:pPr>
      <w:r>
        <w:rPr>
          <w:sz w:val="20"/>
          <w:szCs w:val="20"/>
          <w:color w:val="auto"/>
        </w:rPr>
        <w:br w:type="column"/>
      </w:r>
    </w:p>
    <w:p>
      <w:pPr>
        <w:spacing w:after="0"/>
        <w:tabs>
          <w:tab w:leader="none" w:pos="2300" w:val="left"/>
        </w:tabs>
        <w:rPr>
          <w:sz w:val="20"/>
          <w:szCs w:val="20"/>
          <w:color w:val="auto"/>
        </w:rPr>
      </w:pPr>
      <w:r>
        <w:rPr>
          <w:rFonts w:ascii="Arial" w:cs="Arial" w:eastAsia="Arial" w:hAnsi="Arial"/>
          <w:sz w:val="13"/>
          <w:szCs w:val="13"/>
          <w:color w:val="010035"/>
        </w:rPr>
        <w:t>•  Equity incentive designed to</w:t>
      </w:r>
      <w:r>
        <w:rPr>
          <w:sz w:val="20"/>
          <w:szCs w:val="20"/>
          <w:color w:val="auto"/>
        </w:rPr>
        <w:tab/>
      </w:r>
      <w:r>
        <w:rPr>
          <w:rFonts w:ascii="Arial" w:cs="Arial" w:eastAsia="Arial" w:hAnsi="Arial"/>
          <w:sz w:val="12"/>
          <w:szCs w:val="12"/>
          <w:b w:val="1"/>
          <w:bCs w:val="1"/>
          <w:color w:val="010035"/>
        </w:rPr>
        <w:t>Financial Metrics (80%)</w:t>
      </w:r>
    </w:p>
    <w:p>
      <w:pPr>
        <w:ind w:left="120"/>
        <w:spacing w:after="0" w:line="234" w:lineRule="auto"/>
        <w:tabs>
          <w:tab w:leader="none" w:pos="2300" w:val="left"/>
        </w:tabs>
        <w:rPr>
          <w:sz w:val="20"/>
          <w:szCs w:val="20"/>
          <w:color w:val="auto"/>
        </w:rPr>
      </w:pPr>
      <w:r>
        <w:rPr>
          <w:rFonts w:ascii="Arial" w:cs="Arial" w:eastAsia="Arial" w:hAnsi="Arial"/>
          <w:sz w:val="13"/>
          <w:szCs w:val="13"/>
          <w:color w:val="010035"/>
        </w:rPr>
        <w:t>motivate achievement of robust pre-</w:t>
      </w:r>
      <w:r>
        <w:rPr>
          <w:sz w:val="20"/>
          <w:szCs w:val="20"/>
          <w:color w:val="auto"/>
        </w:rPr>
        <w:tab/>
      </w:r>
      <w:r>
        <w:rPr>
          <w:rFonts w:ascii="Arial" w:cs="Arial" w:eastAsia="Arial" w:hAnsi="Arial"/>
          <w:sz w:val="12"/>
          <w:szCs w:val="12"/>
          <w:color w:val="010035"/>
        </w:rPr>
        <w:t>•  Retail Adj. EBITDAR (60%)</w:t>
      </w:r>
    </w:p>
    <w:p>
      <w:pPr>
        <w:ind w:left="120"/>
        <w:spacing w:after="0" w:line="235" w:lineRule="auto"/>
        <w:tabs>
          <w:tab w:leader="none" w:pos="2300" w:val="left"/>
        </w:tabs>
        <w:rPr>
          <w:sz w:val="20"/>
          <w:szCs w:val="20"/>
          <w:color w:val="auto"/>
        </w:rPr>
      </w:pPr>
      <w:r>
        <w:rPr>
          <w:rFonts w:ascii="Arial" w:cs="Arial" w:eastAsia="Arial" w:hAnsi="Arial"/>
          <w:sz w:val="13"/>
          <w:szCs w:val="13"/>
          <w:color w:val="010035"/>
        </w:rPr>
        <w:t>determined performance goals over</w:t>
      </w:r>
      <w:r>
        <w:rPr>
          <w:sz w:val="20"/>
          <w:szCs w:val="20"/>
          <w:color w:val="auto"/>
        </w:rPr>
        <w:tab/>
      </w:r>
      <w:r>
        <w:rPr>
          <w:rFonts w:ascii="Arial" w:cs="Arial" w:eastAsia="Arial" w:hAnsi="Arial"/>
          <w:sz w:val="12"/>
          <w:szCs w:val="12"/>
          <w:color w:val="010035"/>
        </w:rPr>
        <w:t>•  Interactive Adj. EBITDA (20%)</w:t>
      </w:r>
    </w:p>
    <w:p>
      <w:pPr>
        <w:ind w:left="120"/>
        <w:spacing w:after="0"/>
        <w:tabs>
          <w:tab w:leader="none" w:pos="2300" w:val="left"/>
        </w:tabs>
        <w:rPr>
          <w:sz w:val="20"/>
          <w:szCs w:val="20"/>
          <w:color w:val="auto"/>
        </w:rPr>
      </w:pPr>
      <w:r>
        <w:rPr>
          <w:rFonts w:ascii="Arial" w:cs="Arial" w:eastAsia="Arial" w:hAnsi="Arial"/>
          <w:sz w:val="13"/>
          <w:szCs w:val="13"/>
          <w:color w:val="010035"/>
        </w:rPr>
        <w:t>a three-year performance period</w:t>
      </w:r>
      <w:r>
        <w:rPr>
          <w:sz w:val="20"/>
          <w:szCs w:val="20"/>
          <w:color w:val="auto"/>
        </w:rPr>
        <w:tab/>
      </w:r>
      <w:r>
        <w:rPr>
          <w:rFonts w:ascii="Arial" w:cs="Arial" w:eastAsia="Arial" w:hAnsi="Arial"/>
          <w:sz w:val="4"/>
          <w:szCs w:val="4"/>
          <w:color w:val="010035"/>
        </w:rPr>
        <w:t> </w:t>
      </w:r>
    </w:p>
    <w:p>
      <w:pPr>
        <w:ind w:left="120"/>
        <w:spacing w:after="0" w:line="235" w:lineRule="auto"/>
        <w:tabs>
          <w:tab w:leader="none" w:pos="2300" w:val="left"/>
        </w:tabs>
        <w:rPr>
          <w:sz w:val="20"/>
          <w:szCs w:val="20"/>
          <w:color w:val="auto"/>
        </w:rPr>
      </w:pPr>
      <w:r>
        <w:rPr>
          <w:rFonts w:ascii="Arial" w:cs="Arial" w:eastAsia="Arial" w:hAnsi="Arial"/>
          <w:sz w:val="13"/>
          <w:szCs w:val="13"/>
          <w:color w:val="010035"/>
        </w:rPr>
        <w:t>and drive long-term shareholder</w:t>
      </w:r>
      <w:r>
        <w:rPr>
          <w:sz w:val="20"/>
          <w:szCs w:val="20"/>
          <w:color w:val="auto"/>
        </w:rPr>
        <w:tab/>
      </w:r>
      <w:r>
        <w:rPr>
          <w:rFonts w:ascii="Arial" w:cs="Arial" w:eastAsia="Arial" w:hAnsi="Arial"/>
          <w:sz w:val="12"/>
          <w:szCs w:val="12"/>
          <w:b w:val="1"/>
          <w:bCs w:val="1"/>
          <w:color w:val="010035"/>
        </w:rPr>
        <w:t>Operational Metrics (20%)</w:t>
      </w:r>
    </w:p>
    <w:p>
      <w:pPr>
        <w:ind w:left="120"/>
        <w:spacing w:after="0" w:line="216" w:lineRule="auto"/>
        <w:tabs>
          <w:tab w:leader="none" w:pos="2300" w:val="left"/>
        </w:tabs>
        <w:rPr>
          <w:sz w:val="20"/>
          <w:szCs w:val="20"/>
          <w:color w:val="auto"/>
        </w:rPr>
      </w:pPr>
      <w:r>
        <w:rPr>
          <w:rFonts w:ascii="Arial" w:cs="Arial" w:eastAsia="Arial" w:hAnsi="Arial"/>
          <w:sz w:val="13"/>
          <w:szCs w:val="13"/>
          <w:color w:val="010035"/>
        </w:rPr>
        <w:t>value</w:t>
      </w:r>
      <w:r>
        <w:rPr>
          <w:sz w:val="20"/>
          <w:szCs w:val="20"/>
          <w:color w:val="auto"/>
        </w:rPr>
        <w:tab/>
      </w:r>
      <w:r>
        <w:rPr>
          <w:rFonts w:ascii="Arial" w:cs="Arial" w:eastAsia="Arial" w:hAnsi="Arial"/>
          <w:sz w:val="13"/>
          <w:szCs w:val="13"/>
          <w:color w:val="010035"/>
        </w:rPr>
        <w:t>•  Database growth (10%)</w:t>
      </w:r>
    </w:p>
    <w:p>
      <w:pPr>
        <w:spacing w:after="0" w:line="235" w:lineRule="auto"/>
        <w:tabs>
          <w:tab w:leader="none" w:pos="2300" w:val="left"/>
        </w:tabs>
        <w:rPr>
          <w:sz w:val="20"/>
          <w:szCs w:val="20"/>
          <w:color w:val="auto"/>
        </w:rPr>
      </w:pPr>
      <w:r>
        <w:rPr>
          <w:rFonts w:ascii="Arial" w:cs="Arial" w:eastAsia="Arial" w:hAnsi="Arial"/>
          <w:sz w:val="13"/>
          <w:szCs w:val="13"/>
          <w:color w:val="010035"/>
        </w:rPr>
        <w:t>•  Performance metrics reflect key</w:t>
      </w:r>
      <w:r>
        <w:rPr>
          <w:sz w:val="20"/>
          <w:szCs w:val="20"/>
          <w:color w:val="auto"/>
        </w:rPr>
        <w:tab/>
      </w:r>
      <w:r>
        <w:rPr>
          <w:rFonts w:ascii="Arial" w:cs="Arial" w:eastAsia="Arial" w:hAnsi="Arial"/>
          <w:sz w:val="12"/>
          <w:szCs w:val="12"/>
          <w:color w:val="010035"/>
        </w:rPr>
        <w:t>•  Omnichannel play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-46990</wp:posOffset>
            </wp:positionV>
            <wp:extent cx="608965" cy="60833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08965" cy="608330"/>
                    </a:xfrm>
                    <a:prstGeom prst="rect">
                      <a:avLst/>
                    </a:prstGeom>
                    <a:noFill/>
                  </pic:spPr>
                </pic:pic>
              </a:graphicData>
            </a:graphic>
          </wp:anchor>
        </w:drawing>
      </w:r>
    </w:p>
    <w:p>
      <w:pPr>
        <w:ind w:left="120"/>
        <w:spacing w:after="0" w:line="217" w:lineRule="auto"/>
        <w:rPr>
          <w:sz w:val="20"/>
          <w:szCs w:val="20"/>
          <w:color w:val="auto"/>
        </w:rPr>
      </w:pPr>
      <w:r>
        <w:rPr>
          <w:rFonts w:ascii="Arial" w:cs="Arial" w:eastAsia="Arial" w:hAnsi="Arial"/>
          <w:sz w:val="13"/>
          <w:szCs w:val="13"/>
          <w:color w:val="010035"/>
        </w:rPr>
        <w:t>drivers of our long-term growth,</w:t>
      </w:r>
    </w:p>
    <w:p>
      <w:pPr>
        <w:ind w:left="120"/>
        <w:spacing w:after="0" w:line="216" w:lineRule="auto"/>
        <w:rPr>
          <w:sz w:val="20"/>
          <w:szCs w:val="20"/>
          <w:color w:val="auto"/>
        </w:rPr>
      </w:pPr>
      <w:r>
        <w:rPr>
          <w:rFonts w:ascii="Arial" w:cs="Arial" w:eastAsia="Arial" w:hAnsi="Arial"/>
          <w:sz w:val="13"/>
          <w:szCs w:val="13"/>
          <w:color w:val="010035"/>
        </w:rPr>
        <w:t>including both financial and</w:t>
      </w:r>
    </w:p>
    <w:p>
      <w:pPr>
        <w:ind w:left="120"/>
        <w:spacing w:after="0" w:line="217" w:lineRule="auto"/>
        <w:rPr>
          <w:sz w:val="20"/>
          <w:szCs w:val="20"/>
          <w:color w:val="auto"/>
        </w:rPr>
      </w:pPr>
      <w:r>
        <w:rPr>
          <w:rFonts w:ascii="Arial" w:cs="Arial" w:eastAsia="Arial" w:hAnsi="Arial"/>
          <w:sz w:val="13"/>
          <w:szCs w:val="13"/>
          <w:color w:val="010035"/>
        </w:rPr>
        <w:t>operational objectives related to the</w:t>
      </w:r>
    </w:p>
    <w:p>
      <w:pPr>
        <w:ind w:left="120"/>
        <w:spacing w:after="0" w:line="217" w:lineRule="auto"/>
        <w:rPr>
          <w:sz w:val="20"/>
          <w:szCs w:val="20"/>
          <w:color w:val="auto"/>
        </w:rPr>
      </w:pPr>
      <w:r>
        <w:rPr>
          <w:rFonts w:ascii="Arial" w:cs="Arial" w:eastAsia="Arial" w:hAnsi="Arial"/>
          <w:sz w:val="13"/>
          <w:szCs w:val="13"/>
          <w:color w:val="010035"/>
        </w:rPr>
        <w:t>advancement of our omnichannel</w:t>
      </w:r>
    </w:p>
    <w:p>
      <w:pPr>
        <w:ind w:left="120"/>
        <w:spacing w:after="0" w:line="217" w:lineRule="auto"/>
        <w:rPr>
          <w:sz w:val="20"/>
          <w:szCs w:val="20"/>
          <w:color w:val="auto"/>
        </w:rPr>
      </w:pPr>
      <w:r>
        <w:rPr>
          <w:rFonts w:ascii="Arial" w:cs="Arial" w:eastAsia="Arial" w:hAnsi="Arial"/>
          <w:sz w:val="13"/>
          <w:szCs w:val="13"/>
          <w:color w:val="010035"/>
        </w:rPr>
        <w:t>growth strategy</w:t>
      </w:r>
    </w:p>
    <w:p>
      <w:pPr>
        <w:spacing w:after="0" w:line="216" w:lineRule="auto"/>
        <w:rPr>
          <w:sz w:val="20"/>
          <w:szCs w:val="20"/>
          <w:color w:val="auto"/>
        </w:rPr>
      </w:pPr>
      <w:r>
        <w:rPr>
          <w:rFonts w:ascii="Arial" w:cs="Arial" w:eastAsia="Arial" w:hAnsi="Arial"/>
          <w:sz w:val="13"/>
          <w:szCs w:val="13"/>
          <w:color w:val="010035"/>
        </w:rPr>
        <w:t>•  Promote an ownership mentality,</w:t>
      </w:r>
    </w:p>
    <w:p>
      <w:pPr>
        <w:ind w:left="120"/>
        <w:spacing w:after="0" w:line="217" w:lineRule="auto"/>
        <w:rPr>
          <w:sz w:val="20"/>
          <w:szCs w:val="20"/>
          <w:color w:val="auto"/>
        </w:rPr>
      </w:pPr>
      <w:r>
        <w:rPr>
          <w:rFonts w:ascii="Arial" w:cs="Arial" w:eastAsia="Arial" w:hAnsi="Arial"/>
          <w:sz w:val="13"/>
          <w:szCs w:val="13"/>
          <w:color w:val="010035"/>
        </w:rPr>
        <w:t>and motivate long-term shareholder</w:t>
      </w:r>
    </w:p>
    <w:p>
      <w:pPr>
        <w:ind w:left="120"/>
        <w:spacing w:after="0"/>
        <w:rPr>
          <w:sz w:val="20"/>
          <w:szCs w:val="20"/>
          <w:color w:val="auto"/>
        </w:rPr>
      </w:pPr>
      <w:r>
        <w:rPr>
          <w:rFonts w:ascii="Arial" w:cs="Arial" w:eastAsia="Arial" w:hAnsi="Arial"/>
          <w:sz w:val="13"/>
          <w:szCs w:val="13"/>
          <w:color w:val="010035"/>
        </w:rPr>
        <w:t>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457200</wp:posOffset>
            </wp:positionV>
            <wp:extent cx="531495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2300" w:val="left"/>
        </w:tabs>
        <w:rPr>
          <w:sz w:val="20"/>
          <w:szCs w:val="20"/>
          <w:color w:val="auto"/>
        </w:rPr>
      </w:pPr>
      <w:r>
        <w:rPr>
          <w:rFonts w:ascii="Arial" w:cs="Arial" w:eastAsia="Arial" w:hAnsi="Arial"/>
          <w:sz w:val="13"/>
          <w:szCs w:val="13"/>
          <w:color w:val="010035"/>
        </w:rPr>
        <w:t>•  Vest ratably over a three-year period</w:t>
      </w:r>
      <w:r>
        <w:rPr>
          <w:sz w:val="20"/>
          <w:szCs w:val="20"/>
          <w:color w:val="auto"/>
        </w:rPr>
        <w:tab/>
      </w:r>
      <w:r>
        <w:rPr>
          <w:rFonts w:ascii="Arial" w:cs="Arial" w:eastAsia="Arial" w:hAnsi="Arial"/>
          <w:sz w:val="12"/>
          <w:szCs w:val="12"/>
          <w:color w:val="010035"/>
        </w:rPr>
        <w:t>RSUs are subject to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-46990</wp:posOffset>
            </wp:positionV>
            <wp:extent cx="608965" cy="6083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08965" cy="608330"/>
                    </a:xfrm>
                    <a:prstGeom prst="rect">
                      <a:avLst/>
                    </a:prstGeom>
                    <a:noFill/>
                  </pic:spPr>
                </pic:pic>
              </a:graphicData>
            </a:graphic>
          </wp:anchor>
        </w:drawing>
      </w:r>
    </w:p>
    <w:p>
      <w:pPr>
        <w:ind w:left="120"/>
        <w:spacing w:after="0" w:line="234" w:lineRule="auto"/>
        <w:tabs>
          <w:tab w:leader="none" w:pos="2300" w:val="left"/>
        </w:tabs>
        <w:rPr>
          <w:sz w:val="20"/>
          <w:szCs w:val="20"/>
          <w:color w:val="auto"/>
        </w:rPr>
      </w:pPr>
      <w:r>
        <w:rPr>
          <w:rFonts w:ascii="Arial" w:cs="Arial" w:eastAsia="Arial" w:hAnsi="Arial"/>
          <w:sz w:val="13"/>
          <w:szCs w:val="13"/>
          <w:color w:val="010035"/>
        </w:rPr>
        <w:t>to encourage long-term retention,</w:t>
      </w:r>
      <w:r>
        <w:rPr>
          <w:sz w:val="20"/>
          <w:szCs w:val="20"/>
          <w:color w:val="auto"/>
        </w:rPr>
        <w:tab/>
      </w:r>
      <w:r>
        <w:rPr>
          <w:rFonts w:ascii="Arial" w:cs="Arial" w:eastAsia="Arial" w:hAnsi="Arial"/>
          <w:sz w:val="12"/>
          <w:szCs w:val="12"/>
          <w:color w:val="010035"/>
        </w:rPr>
        <w:t>employment through the applicable</w:t>
      </w:r>
    </w:p>
    <w:p>
      <w:pPr>
        <w:ind w:left="120"/>
        <w:spacing w:after="0" w:line="235" w:lineRule="auto"/>
        <w:tabs>
          <w:tab w:leader="none" w:pos="2300" w:val="left"/>
        </w:tabs>
        <w:rPr>
          <w:sz w:val="20"/>
          <w:szCs w:val="20"/>
          <w:color w:val="auto"/>
        </w:rPr>
      </w:pPr>
      <w:r>
        <w:rPr>
          <w:rFonts w:ascii="Arial" w:cs="Arial" w:eastAsia="Arial" w:hAnsi="Arial"/>
          <w:sz w:val="13"/>
          <w:szCs w:val="13"/>
          <w:color w:val="010035"/>
        </w:rPr>
        <w:t>reflect peer group practices and</w:t>
      </w:r>
      <w:r>
        <w:rPr>
          <w:sz w:val="20"/>
          <w:szCs w:val="20"/>
          <w:color w:val="auto"/>
        </w:rPr>
        <w:tab/>
      </w:r>
      <w:r>
        <w:rPr>
          <w:rFonts w:ascii="Arial" w:cs="Arial" w:eastAsia="Arial" w:hAnsi="Arial"/>
          <w:sz w:val="12"/>
          <w:szCs w:val="12"/>
          <w:color w:val="010035"/>
        </w:rPr>
        <w:t>vesting date to promote retention</w:t>
      </w:r>
    </w:p>
    <w:p>
      <w:pPr>
        <w:ind w:left="120"/>
        <w:spacing w:after="0" w:line="217" w:lineRule="auto"/>
        <w:rPr>
          <w:sz w:val="20"/>
          <w:szCs w:val="20"/>
          <w:color w:val="auto"/>
        </w:rPr>
      </w:pPr>
      <w:r>
        <w:rPr>
          <w:rFonts w:ascii="Arial" w:cs="Arial" w:eastAsia="Arial" w:hAnsi="Arial"/>
          <w:sz w:val="13"/>
          <w:szCs w:val="13"/>
          <w:color w:val="010035"/>
        </w:rPr>
        <w:t>strengthen the resiliency of our</w:t>
      </w:r>
    </w:p>
    <w:p>
      <w:pPr>
        <w:ind w:left="120"/>
        <w:spacing w:after="0"/>
        <w:rPr>
          <w:sz w:val="20"/>
          <w:szCs w:val="20"/>
          <w:color w:val="auto"/>
        </w:rPr>
      </w:pPr>
      <w:r>
        <w:rPr>
          <w:rFonts w:ascii="Arial" w:cs="Arial" w:eastAsia="Arial" w:hAnsi="Arial"/>
          <w:sz w:val="13"/>
          <w:szCs w:val="13"/>
          <w:color w:val="010035"/>
        </w:rPr>
        <w:t>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285750</wp:posOffset>
            </wp:positionV>
            <wp:extent cx="531495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2300" w:val="left"/>
        </w:tabs>
        <w:rPr>
          <w:sz w:val="20"/>
          <w:szCs w:val="20"/>
          <w:color w:val="auto"/>
        </w:rPr>
      </w:pPr>
      <w:r>
        <w:rPr>
          <w:rFonts w:ascii="Arial" w:cs="Arial" w:eastAsia="Arial" w:hAnsi="Arial"/>
          <w:sz w:val="13"/>
          <w:szCs w:val="13"/>
          <w:color w:val="010035"/>
        </w:rPr>
        <w:t>•  Equity incentives motivate</w:t>
      </w:r>
      <w:r>
        <w:rPr>
          <w:sz w:val="20"/>
          <w:szCs w:val="20"/>
          <w:color w:val="auto"/>
        </w:rPr>
        <w:tab/>
      </w:r>
      <w:r>
        <w:rPr>
          <w:rFonts w:ascii="Arial" w:cs="Arial" w:eastAsia="Arial" w:hAnsi="Arial"/>
          <w:sz w:val="12"/>
          <w:szCs w:val="12"/>
          <w:color w:val="010035"/>
        </w:rPr>
        <w:t>Stock options only deliver value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-81280</wp:posOffset>
            </wp:positionV>
            <wp:extent cx="608965" cy="6083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08965" cy="608330"/>
                    </a:xfrm>
                    <a:prstGeom prst="rect">
                      <a:avLst/>
                    </a:prstGeom>
                    <a:noFill/>
                  </pic:spPr>
                </pic:pic>
              </a:graphicData>
            </a:graphic>
          </wp:anchor>
        </w:drawing>
      </w:r>
    </w:p>
    <w:p>
      <w:pPr>
        <w:ind w:left="120"/>
        <w:spacing w:after="0" w:line="234" w:lineRule="auto"/>
        <w:tabs>
          <w:tab w:leader="none" w:pos="2300" w:val="left"/>
        </w:tabs>
        <w:rPr>
          <w:sz w:val="20"/>
          <w:szCs w:val="20"/>
          <w:color w:val="auto"/>
        </w:rPr>
      </w:pPr>
      <w:r>
        <w:rPr>
          <w:rFonts w:ascii="Arial" w:cs="Arial" w:eastAsia="Arial" w:hAnsi="Arial"/>
          <w:sz w:val="13"/>
          <w:szCs w:val="13"/>
          <w:color w:val="010035"/>
        </w:rPr>
        <w:t>executives to build long-term</w:t>
      </w:r>
      <w:r>
        <w:rPr>
          <w:sz w:val="20"/>
          <w:szCs w:val="20"/>
          <w:color w:val="auto"/>
        </w:rPr>
        <w:tab/>
      </w:r>
      <w:r>
        <w:rPr>
          <w:rFonts w:ascii="Arial" w:cs="Arial" w:eastAsia="Arial" w:hAnsi="Arial"/>
          <w:sz w:val="12"/>
          <w:szCs w:val="12"/>
          <w:color w:val="010035"/>
        </w:rPr>
        <w:t>executives to the degree our stock</w:t>
      </w:r>
    </w:p>
    <w:p>
      <w:pPr>
        <w:ind w:left="120"/>
        <w:spacing w:after="0" w:line="235" w:lineRule="auto"/>
        <w:tabs>
          <w:tab w:leader="none" w:pos="2300" w:val="left"/>
        </w:tabs>
        <w:rPr>
          <w:sz w:val="20"/>
          <w:szCs w:val="20"/>
          <w:color w:val="auto"/>
        </w:rPr>
      </w:pPr>
      <w:r>
        <w:rPr>
          <w:rFonts w:ascii="Arial" w:cs="Arial" w:eastAsia="Arial" w:hAnsi="Arial"/>
          <w:sz w:val="13"/>
          <w:szCs w:val="13"/>
          <w:color w:val="010035"/>
        </w:rPr>
        <w:t>shareholder value</w:t>
      </w:r>
      <w:r>
        <w:rPr>
          <w:sz w:val="20"/>
          <w:szCs w:val="20"/>
          <w:color w:val="auto"/>
        </w:rPr>
        <w:tab/>
      </w:r>
      <w:r>
        <w:rPr>
          <w:rFonts w:ascii="Arial" w:cs="Arial" w:eastAsia="Arial" w:hAnsi="Arial"/>
          <w:sz w:val="12"/>
          <w:szCs w:val="12"/>
          <w:color w:val="010035"/>
        </w:rPr>
        <w:t>price appreciates after the grant</w:t>
      </w:r>
    </w:p>
    <w:p>
      <w:pPr>
        <w:spacing w:after="0" w:line="235" w:lineRule="auto"/>
        <w:tabs>
          <w:tab w:leader="none" w:pos="2300" w:val="left"/>
        </w:tabs>
        <w:rPr>
          <w:sz w:val="20"/>
          <w:szCs w:val="20"/>
          <w:color w:val="auto"/>
        </w:rPr>
      </w:pPr>
      <w:r>
        <w:rPr>
          <w:rFonts w:ascii="Arial" w:cs="Arial" w:eastAsia="Arial" w:hAnsi="Arial"/>
          <w:sz w:val="13"/>
          <w:szCs w:val="13"/>
          <w:color w:val="010035"/>
        </w:rPr>
        <w:t>•  Vest ratably over a three-year period</w:t>
      </w:r>
      <w:r>
        <w:rPr>
          <w:sz w:val="20"/>
          <w:szCs w:val="20"/>
          <w:color w:val="auto"/>
        </w:rPr>
        <w:tab/>
      </w:r>
      <w:r>
        <w:rPr>
          <w:rFonts w:ascii="Arial" w:cs="Arial" w:eastAsia="Arial" w:hAnsi="Arial"/>
          <w:sz w:val="12"/>
          <w:szCs w:val="12"/>
          <w:color w:val="010035"/>
        </w:rPr>
        <w:t>date, fostering a strong alignment</w:t>
      </w:r>
    </w:p>
    <w:p>
      <w:pPr>
        <w:ind w:left="120"/>
        <w:spacing w:after="0" w:line="235" w:lineRule="auto"/>
        <w:tabs>
          <w:tab w:leader="none" w:pos="2300" w:val="left"/>
        </w:tabs>
        <w:rPr>
          <w:sz w:val="20"/>
          <w:szCs w:val="20"/>
          <w:color w:val="auto"/>
        </w:rPr>
      </w:pPr>
      <w:r>
        <w:rPr>
          <w:rFonts w:ascii="Arial" w:cs="Arial" w:eastAsia="Arial" w:hAnsi="Arial"/>
          <w:sz w:val="13"/>
          <w:szCs w:val="13"/>
          <w:color w:val="010035"/>
        </w:rPr>
        <w:t>to encourage long-term retention</w:t>
      </w:r>
      <w:r>
        <w:rPr>
          <w:sz w:val="20"/>
          <w:szCs w:val="20"/>
          <w:color w:val="auto"/>
        </w:rPr>
        <w:tab/>
      </w:r>
      <w:r>
        <w:rPr>
          <w:rFonts w:ascii="Arial" w:cs="Arial" w:eastAsia="Arial" w:hAnsi="Arial"/>
          <w:sz w:val="12"/>
          <w:szCs w:val="12"/>
          <w:color w:val="010035"/>
        </w:rPr>
        <w:t>with shareholder value creation and</w:t>
      </w:r>
    </w:p>
    <w:p>
      <w:pPr>
        <w:ind w:left="2320"/>
        <w:spacing w:after="0" w:line="216" w:lineRule="auto"/>
        <w:rPr>
          <w:sz w:val="20"/>
          <w:szCs w:val="20"/>
          <w:color w:val="auto"/>
        </w:rPr>
      </w:pPr>
      <w:r>
        <w:rPr>
          <w:rFonts w:ascii="Arial" w:cs="Arial" w:eastAsia="Arial" w:hAnsi="Arial"/>
          <w:sz w:val="13"/>
          <w:szCs w:val="13"/>
          <w:color w:val="010035"/>
        </w:rPr>
        <w:t>motivating sustained, long-term</w:t>
      </w:r>
    </w:p>
    <w:p>
      <w:pPr>
        <w:ind w:left="2320"/>
        <w:spacing w:after="0"/>
        <w:rPr>
          <w:sz w:val="20"/>
          <w:szCs w:val="20"/>
          <w:color w:val="auto"/>
        </w:rPr>
      </w:pPr>
      <w:r>
        <w:rPr>
          <w:rFonts w:ascii="Arial" w:cs="Arial" w:eastAsia="Arial" w:hAnsi="Arial"/>
          <w:sz w:val="13"/>
          <w:szCs w:val="13"/>
          <w:color w:val="010035"/>
        </w:rPr>
        <w:t>outperformance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37465</wp:posOffset>
            </wp:positionV>
            <wp:extent cx="596646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3">
            <w:col w:w="604" w:space="516"/>
            <w:col w:w="3100" w:space="720"/>
            <w:col w:w="4460"/>
          </w:cols>
          <w:pgMar w:left="1240" w:top="114" w:right="1259" w:bottom="1440" w:gutter="0" w:footer="0" w:header="0"/>
          <w:type w:val="continuous"/>
        </w:sectPr>
      </w:pPr>
    </w:p>
    <w:p>
      <w:pPr>
        <w:ind w:left="180" w:hanging="174"/>
        <w:spacing w:after="0"/>
        <w:tabs>
          <w:tab w:leader="none" w:pos="180" w:val="left"/>
        </w:tabs>
        <w:numPr>
          <w:ilvl w:val="0"/>
          <w:numId w:val="55"/>
        </w:numPr>
        <w:rPr>
          <w:rFonts w:ascii="Times New Roman" w:cs="Times New Roman" w:eastAsia="Times New Roman" w:hAnsi="Times New Roman"/>
          <w:sz w:val="10"/>
          <w:szCs w:val="10"/>
          <w:color w:val="010035"/>
        </w:rPr>
      </w:pPr>
      <w:r>
        <w:rPr>
          <w:rFonts w:ascii="Times New Roman" w:cs="Times New Roman" w:eastAsia="Times New Roman" w:hAnsi="Times New Roman"/>
          <w:sz w:val="10"/>
          <w:szCs w:val="10"/>
          <w:color w:val="010035"/>
        </w:rPr>
        <w:t>Weighting of each compensation element in the table is rounded to the nearest whole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124460</wp:posOffset>
            </wp:positionV>
            <wp:extent cx="699516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Compensation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The Committee is solely responsible for approving compensation for our NEOs, other than for our CEO, whose compensation is approved by the independent members of the Board.</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The Committee is supported by an independent compensation consultant and, in its discretion, has sole authority to select, approve, retain, terminate and oversee its relationship with the independent compensation consultant. As in prior years, the Committee retained Exequity to advise on the fiscal 2025 executive compensation program. Following the 2025 Annual Meeting, in September 2025, the Compensation Committee retained Semler Brossy to provide a fresh, comprehensive perspective on our executive compensation program and its alignment with leading market practices and our shareholder priorities.</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Neither Exequity nor Semler Brossy provided any consulting services to the Committee or PENN other than those related to executive compensation matters. The Committee reviewed the independence of both Exequity and Semler Brossy in accordance with Nasdaq standards, SEC rules and other applicable laws relating to independence of advisors and concluded there were no conflicts of interest that would impair their ability to independently advise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284607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966460" cy="2846070"/>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240" w:right="120"/>
        <w:spacing w:after="0" w:line="290" w:lineRule="auto"/>
        <w:rPr>
          <w:sz w:val="20"/>
          <w:szCs w:val="20"/>
          <w:color w:val="auto"/>
        </w:rPr>
      </w:pPr>
      <w:r>
        <w:rPr>
          <w:rFonts w:ascii="Arial" w:cs="Arial" w:eastAsia="Arial" w:hAnsi="Arial"/>
          <w:sz w:val="15"/>
          <w:szCs w:val="15"/>
          <w:b w:val="1"/>
          <w:bCs w:val="1"/>
          <w:color w:val="010035"/>
        </w:rPr>
        <w:t>COMPENSATION COMMITTEE</w:t>
      </w:r>
    </w:p>
    <w:p>
      <w:pPr>
        <w:spacing w:after="0" w:line="1" w:lineRule="exact"/>
        <w:rPr>
          <w:sz w:val="20"/>
          <w:szCs w:val="20"/>
          <w:color w:val="auto"/>
        </w:rPr>
      </w:pPr>
    </w:p>
    <w:p>
      <w:pPr>
        <w:ind w:left="240" w:right="320"/>
        <w:spacing w:after="0" w:line="216" w:lineRule="auto"/>
        <w:rPr>
          <w:sz w:val="20"/>
          <w:szCs w:val="20"/>
          <w:color w:val="auto"/>
        </w:rPr>
      </w:pPr>
      <w:r>
        <w:rPr>
          <w:rFonts w:ascii="Arial" w:cs="Arial" w:eastAsia="Arial" w:hAnsi="Arial"/>
          <w:sz w:val="13"/>
          <w:szCs w:val="13"/>
          <w:color w:val="010035"/>
        </w:rPr>
        <w:t>(comprised solely of independent</w:t>
      </w:r>
    </w:p>
    <w:p>
      <w:pPr>
        <w:spacing w:after="0" w:line="1" w:lineRule="exact"/>
        <w:rPr>
          <w:sz w:val="20"/>
          <w:szCs w:val="20"/>
          <w:color w:val="auto"/>
        </w:rPr>
      </w:pPr>
    </w:p>
    <w:p>
      <w:pPr>
        <w:ind w:left="240"/>
        <w:spacing w:after="0" w:line="231" w:lineRule="auto"/>
        <w:rPr>
          <w:sz w:val="20"/>
          <w:szCs w:val="20"/>
          <w:color w:val="auto"/>
        </w:rPr>
      </w:pPr>
      <w:r>
        <w:rPr>
          <w:rFonts w:ascii="Arial" w:cs="Arial" w:eastAsia="Arial" w:hAnsi="Arial"/>
          <w:sz w:val="13"/>
          <w:szCs w:val="13"/>
          <w:color w:val="010035"/>
        </w:rPr>
        <w:t>directors who report to the Board)</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010035"/>
        </w:rPr>
        <w:t>•  Oversees risks associated with the Company’s compensation policies and practices;</w:t>
      </w:r>
    </w:p>
    <w:p>
      <w:pPr>
        <w:ind w:right="1900"/>
        <w:spacing w:after="0" w:line="216" w:lineRule="auto"/>
        <w:rPr>
          <w:sz w:val="20"/>
          <w:szCs w:val="20"/>
          <w:color w:val="auto"/>
        </w:rPr>
      </w:pPr>
      <w:r>
        <w:rPr>
          <w:rFonts w:ascii="Arial" w:cs="Arial" w:eastAsia="Arial" w:hAnsi="Arial"/>
          <w:sz w:val="13"/>
          <w:szCs w:val="13"/>
          <w:color w:val="010035"/>
        </w:rPr>
        <w:t>•  Evaluates and determines the appropriate executive compensation philosophy and objectives; •  Reviews and approves annually the compensation peer group;</w:t>
      </w:r>
    </w:p>
    <w:p>
      <w:pPr>
        <w:spacing w:after="0" w:line="1" w:lineRule="exact"/>
        <w:rPr>
          <w:sz w:val="20"/>
          <w:szCs w:val="20"/>
          <w:color w:val="auto"/>
        </w:rPr>
      </w:pPr>
    </w:p>
    <w:p>
      <w:pPr>
        <w:ind w:left="100" w:right="200" w:hanging="106"/>
        <w:spacing w:after="0" w:line="216" w:lineRule="auto"/>
        <w:rPr>
          <w:sz w:val="20"/>
          <w:szCs w:val="20"/>
          <w:color w:val="auto"/>
        </w:rPr>
      </w:pPr>
      <w:r>
        <w:rPr>
          <w:rFonts w:ascii="Arial" w:cs="Arial" w:eastAsia="Arial" w:hAnsi="Arial"/>
          <w:sz w:val="13"/>
          <w:szCs w:val="13"/>
          <w:color w:val="010035"/>
        </w:rPr>
        <w:t>•  Approves the appropriate design and levels of our executive compensation program and compensation arrangements for our NEOs, other than our CEO;</w:t>
      </w:r>
    </w:p>
    <w:p>
      <w:pPr>
        <w:spacing w:after="0" w:line="1" w:lineRule="exact"/>
        <w:rPr>
          <w:sz w:val="20"/>
          <w:szCs w:val="20"/>
          <w:color w:val="auto"/>
        </w:rPr>
      </w:pPr>
    </w:p>
    <w:p>
      <w:pPr>
        <w:ind w:right="1120"/>
        <w:spacing w:after="0" w:line="216" w:lineRule="auto"/>
        <w:rPr>
          <w:sz w:val="20"/>
          <w:szCs w:val="20"/>
          <w:color w:val="auto"/>
        </w:rPr>
      </w:pPr>
      <w:r>
        <w:rPr>
          <w:rFonts w:ascii="Arial" w:cs="Arial" w:eastAsia="Arial" w:hAnsi="Arial"/>
          <w:sz w:val="13"/>
          <w:szCs w:val="13"/>
          <w:color w:val="010035"/>
        </w:rPr>
        <w:t>•  Recommends the compensation of our CEO, subject to approval by the independent members of the Board; •  Assesses the Company’s leadership and CEO succession planning program;</w:t>
      </w:r>
    </w:p>
    <w:p>
      <w:pPr>
        <w:spacing w:after="0" w:line="1" w:lineRule="exact"/>
        <w:rPr>
          <w:sz w:val="20"/>
          <w:szCs w:val="20"/>
          <w:color w:val="auto"/>
        </w:rPr>
      </w:pPr>
    </w:p>
    <w:p>
      <w:pPr>
        <w:ind w:left="100" w:right="240" w:hanging="106"/>
        <w:spacing w:after="0" w:line="234" w:lineRule="auto"/>
        <w:rPr>
          <w:sz w:val="20"/>
          <w:szCs w:val="20"/>
          <w:color w:val="auto"/>
        </w:rPr>
      </w:pPr>
      <w:r>
        <w:rPr>
          <w:rFonts w:ascii="Arial" w:cs="Arial" w:eastAsia="Arial" w:hAnsi="Arial"/>
          <w:sz w:val="12"/>
          <w:szCs w:val="12"/>
          <w:color w:val="010035"/>
        </w:rPr>
        <w:t>•  Approves the performance metrics, goals, payout ranges and other elements used in the incentive performance-based compensation plans for our non-CEO NEOs and recommends these same items for our CEO to the Board for approval;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010035"/>
        </w:rPr>
        <w:t>•  Conducts an annual evaluation of our CEO’s performance in executive session.</w:t>
      </w:r>
    </w:p>
    <w:p>
      <w:pPr>
        <w:spacing w:after="0" w:line="200" w:lineRule="exact"/>
        <w:rPr>
          <w:sz w:val="20"/>
          <w:szCs w:val="20"/>
          <w:color w:val="auto"/>
        </w:rPr>
      </w:pPr>
    </w:p>
    <w:p>
      <w:pPr>
        <w:sectPr>
          <w:pgSz w:w="11900" w:h="16838" w:orient="portrait"/>
          <w:cols w:equalWidth="0" w:num="2">
            <w:col w:w="1660" w:space="400"/>
            <w:col w:w="7240"/>
          </w:cols>
          <w:pgMar w:left="1240" w:top="114" w:right="1359" w:bottom="1440" w:gutter="0" w:footer="0" w:header="0"/>
          <w:type w:val="continuous"/>
        </w:sectPr>
      </w:pPr>
    </w:p>
    <w:p>
      <w:pPr>
        <w:spacing w:after="0" w:line="29" w:lineRule="exact"/>
        <w:rPr>
          <w:sz w:val="20"/>
          <w:szCs w:val="20"/>
          <w:color w:val="auto"/>
        </w:rPr>
      </w:pPr>
    </w:p>
    <w:p>
      <w:pPr>
        <w:ind w:left="240"/>
        <w:spacing w:after="0" w:line="257" w:lineRule="auto"/>
        <w:rPr>
          <w:sz w:val="20"/>
          <w:szCs w:val="20"/>
          <w:color w:val="auto"/>
        </w:rPr>
      </w:pPr>
      <w:r>
        <w:rPr>
          <w:rFonts w:ascii="Arial" w:cs="Arial" w:eastAsia="Arial" w:hAnsi="Arial"/>
          <w:sz w:val="18"/>
          <w:szCs w:val="18"/>
          <w:b w:val="1"/>
          <w:bCs w:val="1"/>
          <w:color w:val="010035"/>
        </w:rPr>
        <w:t>INDEPENDENT MEMBERS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010035"/>
        </w:rPr>
        <w:t>•  Review the Committee’s annual evaluation of the CEO’s performance;</w:t>
      </w:r>
    </w:p>
    <w:p>
      <w:pPr>
        <w:ind w:left="100" w:right="620" w:hanging="106"/>
        <w:spacing w:after="0" w:line="216" w:lineRule="auto"/>
        <w:rPr>
          <w:sz w:val="20"/>
          <w:szCs w:val="20"/>
          <w:color w:val="auto"/>
        </w:rPr>
      </w:pPr>
      <w:r>
        <w:rPr>
          <w:rFonts w:ascii="Arial" w:cs="Arial" w:eastAsia="Arial" w:hAnsi="Arial"/>
          <w:sz w:val="13"/>
          <w:szCs w:val="13"/>
          <w:color w:val="010035"/>
        </w:rPr>
        <w:t>•  Approve the performance metrics, goals, payout ranges and other elements used in the incentive performance-based compensation plans for our CEO; and</w:t>
      </w:r>
    </w:p>
    <w:p>
      <w:pPr>
        <w:spacing w:after="0" w:line="1" w:lineRule="exact"/>
        <w:rPr>
          <w:sz w:val="20"/>
          <w:szCs w:val="20"/>
          <w:color w:val="auto"/>
        </w:rPr>
      </w:pPr>
    </w:p>
    <w:p>
      <w:pPr>
        <w:ind w:left="100" w:right="220" w:hanging="106"/>
        <w:spacing w:after="0" w:line="231" w:lineRule="auto"/>
        <w:rPr>
          <w:sz w:val="20"/>
          <w:szCs w:val="20"/>
          <w:color w:val="auto"/>
        </w:rPr>
      </w:pPr>
      <w:r>
        <w:rPr>
          <w:rFonts w:ascii="Arial" w:cs="Arial" w:eastAsia="Arial" w:hAnsi="Arial"/>
          <w:sz w:val="13"/>
          <w:szCs w:val="13"/>
          <w:color w:val="010035"/>
        </w:rPr>
        <w:t>•  Consider the Committee’s recommendations with regards to our CEO compensation and, if appropriate, approve changes in target pay levels, incentive program design and final payouts.</w:t>
      </w:r>
    </w:p>
    <w:p>
      <w:pPr>
        <w:spacing w:after="0" w:line="200" w:lineRule="exact"/>
        <w:rPr>
          <w:sz w:val="20"/>
          <w:szCs w:val="20"/>
          <w:color w:val="auto"/>
        </w:rPr>
      </w:pPr>
    </w:p>
    <w:p>
      <w:pPr>
        <w:sectPr>
          <w:pgSz w:w="11900" w:h="16838" w:orient="portrait"/>
          <w:cols w:equalWidth="0" w:num="2">
            <w:col w:w="1700" w:space="360"/>
            <w:col w:w="7240"/>
          </w:cols>
          <w:pgMar w:left="1240" w:top="114" w:right="1359" w:bottom="1440" w:gutter="0" w:footer="0" w:header="0"/>
          <w:type w:val="continuous"/>
        </w:sectPr>
      </w:pPr>
    </w:p>
    <w:p>
      <w:pPr>
        <w:spacing w:after="0" w:line="26" w:lineRule="exact"/>
        <w:rPr>
          <w:sz w:val="20"/>
          <w:szCs w:val="20"/>
          <w:color w:val="auto"/>
        </w:rPr>
      </w:pPr>
    </w:p>
    <w:p>
      <w:pPr>
        <w:ind w:left="240"/>
        <w:spacing w:after="0" w:line="333" w:lineRule="auto"/>
        <w:rPr>
          <w:sz w:val="20"/>
          <w:szCs w:val="20"/>
          <w:color w:val="auto"/>
        </w:rPr>
      </w:pPr>
      <w:r>
        <w:rPr>
          <w:rFonts w:ascii="Arial" w:cs="Arial" w:eastAsia="Arial" w:hAnsi="Arial"/>
          <w:sz w:val="15"/>
          <w:szCs w:val="15"/>
          <w:b w:val="1"/>
          <w:bCs w:val="1"/>
          <w:color w:val="010035"/>
        </w:rPr>
        <w:t>INDEPENDENT COMPENSATION CONSULTANT</w:t>
      </w:r>
    </w:p>
    <w:p>
      <w:pPr>
        <w:spacing w:after="0" w:line="20" w:lineRule="exact"/>
        <w:rPr>
          <w:sz w:val="20"/>
          <w:szCs w:val="20"/>
          <w:color w:val="auto"/>
        </w:rPr>
      </w:pPr>
      <w:r>
        <w:rPr>
          <w:sz w:val="20"/>
          <w:szCs w:val="20"/>
          <w:color w:val="auto"/>
        </w:rPr>
        <w:br w:type="column"/>
      </w:r>
    </w:p>
    <w:p>
      <w:pPr>
        <w:ind w:left="100" w:right="200" w:hanging="106"/>
        <w:spacing w:after="0" w:line="226" w:lineRule="auto"/>
        <w:rPr>
          <w:sz w:val="20"/>
          <w:szCs w:val="20"/>
          <w:color w:val="auto"/>
        </w:rPr>
      </w:pPr>
      <w:r>
        <w:rPr>
          <w:rFonts w:ascii="Arial" w:cs="Arial" w:eastAsia="Arial" w:hAnsi="Arial"/>
          <w:sz w:val="13"/>
          <w:szCs w:val="13"/>
          <w:color w:val="010035"/>
        </w:rPr>
        <w:t>•  Provides advice and assistance to the Committee in carrying out its duties and responsibilities with respect to the Company’s executive compensation program and non-employee director compensation;</w:t>
      </w:r>
    </w:p>
    <w:p>
      <w:pPr>
        <w:spacing w:after="0" w:line="217" w:lineRule="auto"/>
        <w:rPr>
          <w:sz w:val="20"/>
          <w:szCs w:val="20"/>
          <w:color w:val="auto"/>
        </w:rPr>
      </w:pPr>
      <w:r>
        <w:rPr>
          <w:rFonts w:ascii="Arial" w:cs="Arial" w:eastAsia="Arial" w:hAnsi="Arial"/>
          <w:sz w:val="13"/>
          <w:szCs w:val="13"/>
          <w:color w:val="010035"/>
        </w:rPr>
        <w:t>•  Participates in executive sessions with the Committee, when appropriate; and</w:t>
      </w:r>
    </w:p>
    <w:p>
      <w:pPr>
        <w:ind w:left="100" w:right="280" w:hanging="106"/>
        <w:spacing w:after="0" w:line="231" w:lineRule="auto"/>
        <w:rPr>
          <w:sz w:val="20"/>
          <w:szCs w:val="20"/>
          <w:color w:val="auto"/>
        </w:rPr>
      </w:pPr>
      <w:r>
        <w:rPr>
          <w:rFonts w:ascii="Arial" w:cs="Arial" w:eastAsia="Arial" w:hAnsi="Arial"/>
          <w:sz w:val="13"/>
          <w:szCs w:val="13"/>
          <w:color w:val="010035"/>
        </w:rPr>
        <w:t>•  Regularly attends Committee meetings and communicates with the Committee Chair outside of meetings regarding matters related to the Committee’s responsibilities.</w:t>
      </w:r>
    </w:p>
    <w:p>
      <w:pPr>
        <w:spacing w:after="0" w:line="199" w:lineRule="exact"/>
        <w:rPr>
          <w:sz w:val="20"/>
          <w:szCs w:val="20"/>
          <w:color w:val="auto"/>
        </w:rPr>
      </w:pPr>
    </w:p>
    <w:p>
      <w:pPr>
        <w:sectPr>
          <w:pgSz w:w="11900" w:h="16838" w:orient="portrait"/>
          <w:cols w:equalWidth="0" w:num="2">
            <w:col w:w="1540" w:space="520"/>
            <w:col w:w="7240"/>
          </w:cols>
          <w:pgMar w:left="1240" w:top="114" w:right="1359" w:bottom="1440" w:gutter="0" w:footer="0" w:header="0"/>
          <w:type w:val="continuous"/>
        </w:sectPr>
      </w:pPr>
    </w:p>
    <w:p>
      <w:pPr>
        <w:ind w:left="240"/>
        <w:spacing w:after="0" w:line="290" w:lineRule="auto"/>
        <w:rPr>
          <w:sz w:val="20"/>
          <w:szCs w:val="20"/>
          <w:color w:val="auto"/>
        </w:rPr>
      </w:pPr>
      <w:r>
        <w:rPr>
          <w:rFonts w:ascii="Arial" w:cs="Arial" w:eastAsia="Arial" w:hAnsi="Arial"/>
          <w:sz w:val="15"/>
          <w:szCs w:val="15"/>
          <w:b w:val="1"/>
          <w:bCs w:val="1"/>
          <w:color w:val="010035"/>
        </w:rPr>
        <w:t>CHIEF EXECUTIVE OFFICER</w:t>
      </w:r>
    </w:p>
    <w:p>
      <w:pPr>
        <w:spacing w:after="0" w:line="1" w:lineRule="exact"/>
        <w:rPr>
          <w:sz w:val="20"/>
          <w:szCs w:val="20"/>
          <w:color w:val="auto"/>
        </w:rPr>
      </w:pPr>
    </w:p>
    <w:p>
      <w:pPr>
        <w:ind w:left="240"/>
        <w:spacing w:after="0" w:line="226" w:lineRule="auto"/>
        <w:rPr>
          <w:sz w:val="20"/>
          <w:szCs w:val="20"/>
          <w:color w:val="auto"/>
        </w:rPr>
      </w:pPr>
      <w:r>
        <w:rPr>
          <w:rFonts w:ascii="Arial" w:cs="Arial" w:eastAsia="Arial" w:hAnsi="Arial"/>
          <w:sz w:val="13"/>
          <w:szCs w:val="13"/>
          <w:color w:val="010035"/>
        </w:rPr>
        <w:t>(with the assistance of the Chief Human Resources Officer)</w:t>
      </w:r>
    </w:p>
    <w:p>
      <w:pPr>
        <w:spacing w:after="0" w:line="20" w:lineRule="exact"/>
        <w:rPr>
          <w:sz w:val="20"/>
          <w:szCs w:val="20"/>
          <w:color w:val="auto"/>
        </w:rPr>
      </w:pPr>
      <w:r>
        <w:rPr>
          <w:sz w:val="20"/>
          <w:szCs w:val="20"/>
          <w:color w:val="auto"/>
        </w:rPr>
        <w:br w:type="column"/>
      </w:r>
    </w:p>
    <w:p>
      <w:pPr>
        <w:ind w:left="100" w:right="180" w:hanging="106"/>
        <w:spacing w:after="0" w:line="226" w:lineRule="auto"/>
        <w:rPr>
          <w:sz w:val="20"/>
          <w:szCs w:val="20"/>
          <w:color w:val="auto"/>
        </w:rPr>
      </w:pPr>
      <w:r>
        <w:rPr>
          <w:rFonts w:ascii="Arial" w:cs="Arial" w:eastAsia="Arial" w:hAnsi="Arial"/>
          <w:sz w:val="13"/>
          <w:szCs w:val="13"/>
          <w:color w:val="010035"/>
        </w:rPr>
        <w:t>•  Provides input to the Committee with respect to the compensation-setting process to ensure that compensation programs are aligned with the Company’s strategic objectives and reflect appropriate performance goals;</w:t>
      </w:r>
    </w:p>
    <w:p>
      <w:pPr>
        <w:spacing w:after="0" w:line="217" w:lineRule="auto"/>
        <w:rPr>
          <w:sz w:val="20"/>
          <w:szCs w:val="20"/>
          <w:color w:val="auto"/>
        </w:rPr>
      </w:pPr>
      <w:r>
        <w:rPr>
          <w:rFonts w:ascii="Arial" w:cs="Arial" w:eastAsia="Arial" w:hAnsi="Arial"/>
          <w:sz w:val="13"/>
          <w:szCs w:val="13"/>
          <w:color w:val="010035"/>
        </w:rPr>
        <w:t>•  Shares input with the Committee regarding performance of NEOs (other than himself); and</w:t>
      </w:r>
    </w:p>
    <w:p>
      <w:pPr>
        <w:jc w:val="both"/>
        <w:ind w:left="100" w:right="220" w:hanging="106"/>
        <w:spacing w:after="0" w:line="226" w:lineRule="auto"/>
        <w:rPr>
          <w:sz w:val="20"/>
          <w:szCs w:val="20"/>
          <w:color w:val="auto"/>
        </w:rPr>
      </w:pPr>
      <w:r>
        <w:rPr>
          <w:rFonts w:ascii="Arial" w:cs="Arial" w:eastAsia="Arial" w:hAnsi="Arial"/>
          <w:sz w:val="13"/>
          <w:szCs w:val="13"/>
          <w:color w:val="010035"/>
        </w:rPr>
        <w:t>•  Contributes to the Committee’s discussions on executive performance and recommends base salary and annual short- and long-term incentive targets for the NEOs (other than himself). Our CEO is not present during deliberations regarding his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35560</wp:posOffset>
            </wp:positionV>
            <wp:extent cx="59664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155575</wp:posOffset>
            </wp:positionV>
            <wp:extent cx="699516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660" w:space="400"/>
            <w:col w:w="7240"/>
          </w:cols>
          <w:pgMar w:left="1240" w:top="114" w:right="1359" w:bottom="1440" w:gutter="0" w:footer="0" w:header="0"/>
          <w:type w:val="continuous"/>
        </w:sectPr>
      </w:pPr>
    </w:p>
    <w:bookmarkStart w:id="72" w:name="page73"/>
    <w:bookmarkEnd w:id="72"/>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102870</wp:posOffset>
            </wp:positionV>
            <wp:extent cx="4414520" cy="1371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ind w:right="820"/>
        <w:spacing w:after="0"/>
        <w:tabs>
          <w:tab w:leader="none" w:pos="96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32385</wp:posOffset>
            </wp:positionV>
            <wp:extent cx="5966460" cy="1968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ind w:left="800"/>
        <w:spacing w:after="0"/>
        <w:rPr>
          <w:sz w:val="20"/>
          <w:szCs w:val="20"/>
          <w:color w:val="auto"/>
        </w:rPr>
      </w:pPr>
      <w:r>
        <w:rPr>
          <w:sz w:val="1"/>
          <w:szCs w:val="1"/>
          <w:color w:val="auto"/>
        </w:rPr>
        <w:drawing>
          <wp:inline distT="0" distB="0" distL="0" distR="0">
            <wp:extent cx="137160" cy="485775"/>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-299085</wp:posOffset>
            </wp:positionV>
            <wp:extent cx="5829300" cy="3003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Executive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010035"/>
        </w:rPr>
        <w:t>2025 Compensation Peer Group</w:t>
      </w:r>
    </w:p>
    <w:p>
      <w:pPr>
        <w:spacing w:after="0" w:line="145" w:lineRule="exact"/>
        <w:rPr>
          <w:sz w:val="20"/>
          <w:szCs w:val="20"/>
          <w:color w:val="auto"/>
        </w:rPr>
      </w:pPr>
    </w:p>
    <w:p>
      <w:pPr>
        <w:ind w:left="800" w:right="860"/>
        <w:spacing w:after="0" w:line="252" w:lineRule="auto"/>
        <w:rPr>
          <w:sz w:val="20"/>
          <w:szCs w:val="20"/>
          <w:color w:val="auto"/>
        </w:rPr>
      </w:pPr>
      <w:r>
        <w:rPr>
          <w:rFonts w:ascii="Arial" w:cs="Arial" w:eastAsia="Arial" w:hAnsi="Arial"/>
          <w:sz w:val="14"/>
          <w:szCs w:val="14"/>
          <w:color w:val="auto"/>
        </w:rPr>
        <w:t>To ensure total direct compensation for our executives remains competitive, the Committee annually reviews benchmark data for our compensation peer group, with companies selected based on data analysis prepared by the Committee’s independent compensation consultant. Consistent with the objectives of our executive compensation program, the Committee compares NEO compensation to the median compensation opportunities within the compensation peer group to support our ability to attract and retain highly qualified executive talent. With the assistance of its independent consultant, the Committee also evaluates the compensation peer group each year to determine whether updates are warranted.</w:t>
      </w:r>
    </w:p>
    <w:p>
      <w:pPr>
        <w:spacing w:after="0" w:line="73" w:lineRule="exact"/>
        <w:rPr>
          <w:sz w:val="20"/>
          <w:szCs w:val="20"/>
          <w:color w:val="auto"/>
        </w:rPr>
      </w:pPr>
    </w:p>
    <w:p>
      <w:pPr>
        <w:ind w:left="800" w:right="920"/>
        <w:spacing w:after="0" w:line="263" w:lineRule="auto"/>
        <w:rPr>
          <w:sz w:val="20"/>
          <w:szCs w:val="20"/>
          <w:color w:val="auto"/>
        </w:rPr>
      </w:pPr>
      <w:r>
        <w:rPr>
          <w:rFonts w:ascii="Arial" w:cs="Arial" w:eastAsia="Arial" w:hAnsi="Arial"/>
          <w:sz w:val="14"/>
          <w:szCs w:val="14"/>
          <w:color w:val="auto"/>
        </w:rPr>
        <w:t>At the end of 2024, the Committee reviewed the input of its independent compensation consultant, Exequity, and approved the compensation peer group of 12 companies as listed in the table below. The compensation peer group remained unchanged from the prior year and was used to set target compensation levels for our NEOs for 2025.</w:t>
      </w:r>
    </w:p>
    <w:p>
      <w:pPr>
        <w:spacing w:after="0" w:line="108" w:lineRule="exact"/>
        <w:rPr>
          <w:sz w:val="20"/>
          <w:szCs w:val="20"/>
          <w:color w:val="auto"/>
        </w:rPr>
      </w:pPr>
    </w:p>
    <w:tbl>
      <w:tblPr>
        <w:tblLayout w:type="fixed"/>
        <w:tblInd w:w="2100" w:type="dxa"/>
        <w:tblCellMar>
          <w:top w:w="0" w:type="dxa"/>
          <w:left w:w="0" w:type="dxa"/>
          <w:bottom w:w="0" w:type="dxa"/>
          <w:right w:w="0" w:type="dxa"/>
        </w:tblCellMar>
      </w:tblPr>
      <w:tr>
        <w:trPr>
          <w:trHeight w:val="498"/>
        </w:trPr>
        <w:tc>
          <w:tcPr>
            <w:tcW w:w="3360" w:type="dxa"/>
            <w:vAlign w:val="bottom"/>
            <w:tcBorders>
              <w:top w:val="single" w:sz="8" w:color="69439A"/>
            </w:tcBorders>
            <w:shd w:val="clear" w:color="auto" w:fill="010035"/>
          </w:tcPr>
          <w:p>
            <w:pPr>
              <w:ind w:left="160"/>
              <w:spacing w:after="0"/>
              <w:rPr>
                <w:sz w:val="20"/>
                <w:szCs w:val="20"/>
                <w:color w:val="auto"/>
              </w:rPr>
            </w:pPr>
            <w:r>
              <w:rPr>
                <w:rFonts w:ascii="Arial" w:cs="Arial" w:eastAsia="Arial" w:hAnsi="Arial"/>
                <w:sz w:val="18"/>
                <w:szCs w:val="18"/>
                <w:b w:val="1"/>
                <w:bCs w:val="1"/>
                <w:color w:val="FFFFFF"/>
              </w:rPr>
              <w:t>2025 COMPENSATION PEER GROUP</w:t>
            </w:r>
          </w:p>
        </w:tc>
        <w:tc>
          <w:tcPr>
            <w:tcW w:w="3440" w:type="dxa"/>
            <w:vAlign w:val="bottom"/>
            <w:tcBorders>
              <w:top w:val="single" w:sz="8" w:color="69439A"/>
            </w:tcBorders>
            <w:shd w:val="clear" w:color="auto" w:fill="010035"/>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360" w:type="dxa"/>
            <w:vAlign w:val="bottom"/>
            <w:shd w:val="clear" w:color="auto" w:fill="010035"/>
          </w:tcPr>
          <w:p>
            <w:pPr>
              <w:spacing w:after="0"/>
              <w:rPr>
                <w:sz w:val="8"/>
                <w:szCs w:val="8"/>
                <w:color w:val="auto"/>
              </w:rPr>
            </w:pPr>
          </w:p>
        </w:tc>
        <w:tc>
          <w:tcPr>
            <w:tcW w:w="3440" w:type="dxa"/>
            <w:vAlign w:val="bottom"/>
            <w:shd w:val="clear" w:color="auto" w:fill="010035"/>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360" w:type="dxa"/>
            <w:vAlign w:val="bottom"/>
          </w:tcPr>
          <w:p>
            <w:pPr>
              <w:ind w:left="160"/>
              <w:spacing w:after="0"/>
              <w:rPr>
                <w:sz w:val="20"/>
                <w:szCs w:val="20"/>
                <w:color w:val="auto"/>
              </w:rPr>
            </w:pPr>
            <w:r>
              <w:rPr>
                <w:rFonts w:ascii="Arial" w:cs="Arial" w:eastAsia="Arial" w:hAnsi="Arial"/>
                <w:sz w:val="14"/>
                <w:szCs w:val="14"/>
                <w:color w:val="010035"/>
              </w:rPr>
              <w:t>Boyd Gaming Corporation</w:t>
            </w:r>
          </w:p>
        </w:tc>
        <w:tc>
          <w:tcPr>
            <w:tcW w:w="3440" w:type="dxa"/>
            <w:vAlign w:val="bottom"/>
            <w:vMerge w:val="restart"/>
          </w:tcPr>
          <w:p>
            <w:pPr>
              <w:ind w:left="160"/>
              <w:spacing w:after="0"/>
              <w:rPr>
                <w:sz w:val="20"/>
                <w:szCs w:val="20"/>
                <w:color w:val="auto"/>
              </w:rPr>
            </w:pPr>
            <w:r>
              <w:rPr>
                <w:rFonts w:ascii="Arial" w:cs="Arial" w:eastAsia="Arial" w:hAnsi="Arial"/>
                <w:sz w:val="14"/>
                <w:szCs w:val="14"/>
                <w:color w:val="010035"/>
              </w:rPr>
              <w:t>Live Nation Entertainment, Inc.</w:t>
            </w:r>
          </w:p>
        </w:tc>
        <w:tc>
          <w:tcPr>
            <w:tcW w:w="0" w:type="dxa"/>
            <w:vAlign w:val="bottom"/>
          </w:tcPr>
          <w:p>
            <w:pPr>
              <w:spacing w:after="0"/>
              <w:rPr>
                <w:sz w:val="1"/>
                <w:szCs w:val="1"/>
                <w:color w:val="auto"/>
              </w:rPr>
            </w:pPr>
          </w:p>
        </w:tc>
      </w:tr>
      <w:tr>
        <w:trPr>
          <w:trHeight w:val="68"/>
        </w:trPr>
        <w:tc>
          <w:tcPr>
            <w:tcW w:w="336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3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tcBorders>
              <w:bottom w:val="single" w:sz="8" w:color="DED8EC"/>
            </w:tcBorders>
            <w:shd w:val="clear" w:color="auto" w:fill="DED8EC"/>
          </w:tcPr>
          <w:p>
            <w:pPr>
              <w:ind w:left="160"/>
              <w:spacing w:after="0"/>
              <w:rPr>
                <w:sz w:val="20"/>
                <w:szCs w:val="20"/>
                <w:color w:val="auto"/>
              </w:rPr>
            </w:pPr>
            <w:r>
              <w:rPr>
                <w:rFonts w:ascii="Arial" w:cs="Arial" w:eastAsia="Arial" w:hAnsi="Arial"/>
                <w:sz w:val="14"/>
                <w:szCs w:val="14"/>
                <w:color w:val="010035"/>
              </w:rPr>
              <w:t>Caesars Entertainment, Inc.</w:t>
            </w:r>
          </w:p>
        </w:tc>
        <w:tc>
          <w:tcPr>
            <w:tcW w:w="3440" w:type="dxa"/>
            <w:vAlign w:val="bottom"/>
            <w:tcBorders>
              <w:bottom w:val="single" w:sz="8" w:color="DED8EC"/>
            </w:tcBorders>
            <w:shd w:val="clear" w:color="auto" w:fill="DED8EC"/>
          </w:tcPr>
          <w:p>
            <w:pPr>
              <w:ind w:left="160"/>
              <w:spacing w:after="0"/>
              <w:rPr>
                <w:sz w:val="20"/>
                <w:szCs w:val="20"/>
                <w:color w:val="auto"/>
              </w:rPr>
            </w:pPr>
            <w:r>
              <w:rPr>
                <w:rFonts w:ascii="Arial" w:cs="Arial" w:eastAsia="Arial" w:hAnsi="Arial"/>
                <w:sz w:val="14"/>
                <w:szCs w:val="14"/>
                <w:color w:val="010035"/>
              </w:rPr>
              <w:t>MGM Resorts International</w:t>
            </w:r>
          </w:p>
        </w:tc>
        <w:tc>
          <w:tcPr>
            <w:tcW w:w="0" w:type="dxa"/>
            <w:vAlign w:val="bottom"/>
          </w:tcPr>
          <w:p>
            <w:pPr>
              <w:spacing w:after="0"/>
              <w:rPr>
                <w:sz w:val="1"/>
                <w:szCs w:val="1"/>
                <w:color w:val="auto"/>
              </w:rPr>
            </w:pPr>
          </w:p>
        </w:tc>
      </w:tr>
      <w:tr>
        <w:trPr>
          <w:trHeight w:val="221"/>
        </w:trPr>
        <w:tc>
          <w:tcPr>
            <w:tcW w:w="3360" w:type="dxa"/>
            <w:vAlign w:val="bottom"/>
          </w:tcPr>
          <w:p>
            <w:pPr>
              <w:ind w:left="160"/>
              <w:spacing w:after="0"/>
              <w:rPr>
                <w:sz w:val="20"/>
                <w:szCs w:val="20"/>
                <w:color w:val="auto"/>
              </w:rPr>
            </w:pPr>
            <w:r>
              <w:rPr>
                <w:rFonts w:ascii="Arial" w:cs="Arial" w:eastAsia="Arial" w:hAnsi="Arial"/>
                <w:sz w:val="14"/>
                <w:szCs w:val="14"/>
                <w:color w:val="010035"/>
              </w:rPr>
              <w:t>DraftKings, Inc.</w:t>
            </w:r>
          </w:p>
        </w:tc>
        <w:tc>
          <w:tcPr>
            <w:tcW w:w="3440" w:type="dxa"/>
            <w:vAlign w:val="bottom"/>
          </w:tcPr>
          <w:p>
            <w:pPr>
              <w:ind w:left="160"/>
              <w:spacing w:after="0"/>
              <w:rPr>
                <w:sz w:val="20"/>
                <w:szCs w:val="20"/>
                <w:color w:val="auto"/>
              </w:rPr>
            </w:pPr>
            <w:r>
              <w:rPr>
                <w:rFonts w:ascii="Arial" w:cs="Arial" w:eastAsia="Arial" w:hAnsi="Arial"/>
                <w:sz w:val="14"/>
                <w:szCs w:val="14"/>
                <w:color w:val="010035"/>
              </w:rPr>
              <w:t>Red Rock Resorts, Inc.</w:t>
            </w:r>
          </w:p>
        </w:tc>
        <w:tc>
          <w:tcPr>
            <w:tcW w:w="0" w:type="dxa"/>
            <w:vAlign w:val="bottom"/>
          </w:tcPr>
          <w:p>
            <w:pPr>
              <w:spacing w:after="0"/>
              <w:rPr>
                <w:sz w:val="1"/>
                <w:szCs w:val="1"/>
                <w:color w:val="auto"/>
              </w:rPr>
            </w:pPr>
          </w:p>
        </w:tc>
      </w:tr>
      <w:tr>
        <w:trPr>
          <w:trHeight w:val="22"/>
        </w:trPr>
        <w:tc>
          <w:tcPr>
            <w:tcW w:w="3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tcBorders>
              <w:bottom w:val="single" w:sz="8" w:color="DED8EC"/>
            </w:tcBorders>
            <w:shd w:val="clear" w:color="auto" w:fill="DED8EC"/>
          </w:tcPr>
          <w:p>
            <w:pPr>
              <w:ind w:left="160"/>
              <w:spacing w:after="0"/>
              <w:rPr>
                <w:sz w:val="20"/>
                <w:szCs w:val="20"/>
                <w:color w:val="auto"/>
              </w:rPr>
            </w:pPr>
            <w:r>
              <w:rPr>
                <w:rFonts w:ascii="Arial" w:cs="Arial" w:eastAsia="Arial" w:hAnsi="Arial"/>
                <w:sz w:val="14"/>
                <w:szCs w:val="14"/>
                <w:color w:val="010035"/>
              </w:rPr>
              <w:t>Electronic Arts, Inc.</w:t>
            </w:r>
          </w:p>
        </w:tc>
        <w:tc>
          <w:tcPr>
            <w:tcW w:w="3440" w:type="dxa"/>
            <w:vAlign w:val="bottom"/>
            <w:tcBorders>
              <w:bottom w:val="single" w:sz="8" w:color="DED8EC"/>
            </w:tcBorders>
            <w:shd w:val="clear" w:color="auto" w:fill="DED8EC"/>
          </w:tcPr>
          <w:p>
            <w:pPr>
              <w:ind w:left="160"/>
              <w:spacing w:after="0"/>
              <w:rPr>
                <w:sz w:val="20"/>
                <w:szCs w:val="20"/>
                <w:color w:val="auto"/>
              </w:rPr>
            </w:pPr>
            <w:r>
              <w:rPr>
                <w:rFonts w:ascii="Arial" w:cs="Arial" w:eastAsia="Arial" w:hAnsi="Arial"/>
                <w:sz w:val="14"/>
                <w:szCs w:val="14"/>
                <w:color w:val="010035"/>
              </w:rPr>
              <w:t>Roku, Inc.</w:t>
            </w:r>
          </w:p>
        </w:tc>
        <w:tc>
          <w:tcPr>
            <w:tcW w:w="0" w:type="dxa"/>
            <w:vAlign w:val="bottom"/>
          </w:tcPr>
          <w:p>
            <w:pPr>
              <w:spacing w:after="0"/>
              <w:rPr>
                <w:sz w:val="1"/>
                <w:szCs w:val="1"/>
                <w:color w:val="auto"/>
              </w:rPr>
            </w:pPr>
          </w:p>
        </w:tc>
      </w:tr>
      <w:tr>
        <w:trPr>
          <w:trHeight w:val="222"/>
        </w:trPr>
        <w:tc>
          <w:tcPr>
            <w:tcW w:w="3360" w:type="dxa"/>
            <w:vAlign w:val="bottom"/>
          </w:tcPr>
          <w:p>
            <w:pPr>
              <w:ind w:left="160"/>
              <w:spacing w:after="0"/>
              <w:rPr>
                <w:sz w:val="20"/>
                <w:szCs w:val="20"/>
                <w:color w:val="auto"/>
              </w:rPr>
            </w:pPr>
            <w:r>
              <w:rPr>
                <w:rFonts w:ascii="Arial" w:cs="Arial" w:eastAsia="Arial" w:hAnsi="Arial"/>
                <w:sz w:val="14"/>
                <w:szCs w:val="14"/>
                <w:color w:val="010035"/>
              </w:rPr>
              <w:t>Las Vegas Sands Corp.</w:t>
            </w:r>
          </w:p>
        </w:tc>
        <w:tc>
          <w:tcPr>
            <w:tcW w:w="3440" w:type="dxa"/>
            <w:vAlign w:val="bottom"/>
          </w:tcPr>
          <w:p>
            <w:pPr>
              <w:ind w:left="160"/>
              <w:spacing w:after="0"/>
              <w:rPr>
                <w:sz w:val="20"/>
                <w:szCs w:val="20"/>
                <w:color w:val="auto"/>
              </w:rPr>
            </w:pPr>
            <w:r>
              <w:rPr>
                <w:rFonts w:ascii="Arial" w:cs="Arial" w:eastAsia="Arial" w:hAnsi="Arial"/>
                <w:sz w:val="14"/>
                <w:szCs w:val="14"/>
                <w:color w:val="010035"/>
              </w:rPr>
              <w:t>Sirius XM Holdings, Inc.</w:t>
            </w:r>
          </w:p>
        </w:tc>
        <w:tc>
          <w:tcPr>
            <w:tcW w:w="0" w:type="dxa"/>
            <w:vAlign w:val="bottom"/>
          </w:tcPr>
          <w:p>
            <w:pPr>
              <w:spacing w:after="0"/>
              <w:rPr>
                <w:sz w:val="1"/>
                <w:szCs w:val="1"/>
                <w:color w:val="auto"/>
              </w:rPr>
            </w:pPr>
          </w:p>
        </w:tc>
      </w:tr>
      <w:tr>
        <w:trPr>
          <w:trHeight w:val="22"/>
        </w:trPr>
        <w:tc>
          <w:tcPr>
            <w:tcW w:w="3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Borders>
              <w:bottom w:val="single" w:sz="8" w:color="DED8EC"/>
            </w:tcBorders>
            <w:shd w:val="clear" w:color="auto" w:fill="DED8EC"/>
          </w:tcPr>
          <w:p>
            <w:pPr>
              <w:ind w:left="160"/>
              <w:spacing w:after="0"/>
              <w:rPr>
                <w:sz w:val="20"/>
                <w:szCs w:val="20"/>
                <w:color w:val="auto"/>
              </w:rPr>
            </w:pPr>
            <w:r>
              <w:rPr>
                <w:rFonts w:ascii="Arial" w:cs="Arial" w:eastAsia="Arial" w:hAnsi="Arial"/>
                <w:sz w:val="14"/>
                <w:szCs w:val="14"/>
                <w:color w:val="010035"/>
              </w:rPr>
              <w:t>Lions Gate Entertainment Corporation</w:t>
            </w:r>
          </w:p>
        </w:tc>
        <w:tc>
          <w:tcPr>
            <w:tcW w:w="3440" w:type="dxa"/>
            <w:vAlign w:val="bottom"/>
            <w:tcBorders>
              <w:bottom w:val="single" w:sz="8" w:color="DED8EC"/>
            </w:tcBorders>
            <w:shd w:val="clear" w:color="auto" w:fill="DED8EC"/>
          </w:tcPr>
          <w:p>
            <w:pPr>
              <w:ind w:left="160"/>
              <w:spacing w:after="0"/>
              <w:rPr>
                <w:sz w:val="20"/>
                <w:szCs w:val="20"/>
                <w:color w:val="auto"/>
              </w:rPr>
            </w:pPr>
            <w:r>
              <w:rPr>
                <w:rFonts w:ascii="Arial" w:cs="Arial" w:eastAsia="Arial" w:hAnsi="Arial"/>
                <w:sz w:val="14"/>
                <w:szCs w:val="14"/>
                <w:color w:val="010035"/>
              </w:rPr>
              <w:t>Wynn Resorts, Ltd.</w:t>
            </w:r>
          </w:p>
        </w:tc>
        <w:tc>
          <w:tcPr>
            <w:tcW w:w="0" w:type="dxa"/>
            <w:vAlign w:val="bottom"/>
          </w:tcPr>
          <w:p>
            <w:pPr>
              <w:spacing w:after="0"/>
              <w:rPr>
                <w:sz w:val="1"/>
                <w:szCs w:val="1"/>
                <w:color w:val="auto"/>
              </w:rPr>
            </w:pPr>
          </w:p>
        </w:tc>
      </w:tr>
      <w:tr>
        <w:trPr>
          <w:trHeight w:val="20"/>
        </w:trPr>
        <w:tc>
          <w:tcPr>
            <w:tcW w:w="3360" w:type="dxa"/>
            <w:vAlign w:val="bottom"/>
            <w:shd w:val="clear" w:color="auto" w:fill="010035"/>
          </w:tcPr>
          <w:p>
            <w:pPr>
              <w:spacing w:after="0" w:line="20" w:lineRule="exact"/>
              <w:rPr>
                <w:sz w:val="1"/>
                <w:szCs w:val="1"/>
                <w:color w:val="auto"/>
              </w:rPr>
            </w:pPr>
          </w:p>
        </w:tc>
        <w:tc>
          <w:tcPr>
            <w:tcW w:w="3440" w:type="dxa"/>
            <w:vAlign w:val="bottom"/>
            <w:shd w:val="clear" w:color="auto" w:fill="0100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800" w:right="1060"/>
        <w:spacing w:after="0" w:line="245" w:lineRule="auto"/>
        <w:rPr>
          <w:sz w:val="20"/>
          <w:szCs w:val="20"/>
          <w:color w:val="auto"/>
        </w:rPr>
      </w:pPr>
      <w:r>
        <w:rPr>
          <w:rFonts w:ascii="Arial" w:cs="Arial" w:eastAsia="Arial" w:hAnsi="Arial"/>
          <w:sz w:val="14"/>
          <w:szCs w:val="14"/>
          <w:color w:val="auto"/>
        </w:rPr>
        <w:t>This compensation peer group encompassed gaming, online and digital entertainment companies, reflecting PENN’s operational complexity and growth strategy at the time of the peer group review and approval. These peer companies were selected based on similarity of their business models, market capitalization and annual revenues, and their relevance as competitors for executive talent. When the Committee reviewed the</w:t>
      </w:r>
    </w:p>
    <w:p>
      <w:pPr>
        <w:spacing w:after="0" w:line="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compensation peer group in October 2024, the Company ranked at the 44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of this peer set based on annual revenue.</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010035"/>
        </w:rPr>
        <w:t>2026 Compensation Peer Group</w:t>
      </w:r>
    </w:p>
    <w:p>
      <w:pPr>
        <w:spacing w:after="0" w:line="118" w:lineRule="exact"/>
        <w:rPr>
          <w:sz w:val="20"/>
          <w:szCs w:val="20"/>
          <w:color w:val="auto"/>
        </w:rPr>
      </w:pPr>
    </w:p>
    <w:p>
      <w:pPr>
        <w:ind w:left="800" w:right="820"/>
        <w:spacing w:after="0" w:line="263" w:lineRule="auto"/>
        <w:rPr>
          <w:sz w:val="20"/>
          <w:szCs w:val="20"/>
          <w:color w:val="auto"/>
        </w:rPr>
      </w:pPr>
      <w:r>
        <w:rPr>
          <w:rFonts w:ascii="Arial" w:cs="Arial" w:eastAsia="Arial" w:hAnsi="Arial"/>
          <w:sz w:val="14"/>
          <w:szCs w:val="14"/>
          <w:color w:val="auto"/>
        </w:rPr>
        <w:t>As part of its in-depth assessment of the executive compensation program following the Company’s strategic realignment, the Committee, with the support of its new independent compensation consultant, oversaw a significant update to the Company’s compensation peer group. This action also considered shareholder feedback received following the 2025 ‘Say-on-Pay’ vote outcome.</w:t>
      </w:r>
    </w:p>
    <w:p>
      <w:pPr>
        <w:spacing w:after="0" w:line="65" w:lineRule="exact"/>
        <w:rPr>
          <w:sz w:val="20"/>
          <w:szCs w:val="20"/>
          <w:color w:val="auto"/>
        </w:rPr>
      </w:pPr>
    </w:p>
    <w:p>
      <w:pPr>
        <w:ind w:left="800" w:right="900"/>
        <w:spacing w:after="0" w:line="252" w:lineRule="auto"/>
        <w:rPr>
          <w:sz w:val="20"/>
          <w:szCs w:val="20"/>
          <w:color w:val="auto"/>
        </w:rPr>
      </w:pPr>
      <w:r>
        <w:rPr>
          <w:rFonts w:ascii="Arial" w:cs="Arial" w:eastAsia="Arial" w:hAnsi="Arial"/>
          <w:sz w:val="14"/>
          <w:szCs w:val="14"/>
          <w:color w:val="auto"/>
        </w:rPr>
        <w:t>For fiscal 2026, the Committee approved several changes to the compensation peer group composition, including the removal of five digital and entertainment companies and the addition of six casino, gaming and/or hospitality peers. These adjustments reflect a deliberate shift toward companies whose business models, revenue mix and competitive dynamics more closely mirror the Company’s go-forward strategic direction. The Committee believes the revised compensation peer group better reflects the Company’s realigned strategic focus areas, improves the relevance of competitive benchmarking and provides a more accurate representation of the Company’s closest operational and talent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86360</wp:posOffset>
            </wp:positionV>
            <wp:extent cx="5966460" cy="1714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966460" cy="171450"/>
                    </a:xfrm>
                    <a:prstGeom prst="rect">
                      <a:avLst/>
                    </a:prstGeom>
                    <a:noFill/>
                  </pic:spPr>
                </pic:pic>
              </a:graphicData>
            </a:graphic>
          </wp:anchor>
        </w:drawing>
      </w:r>
    </w:p>
    <w:p>
      <w:pPr>
        <w:spacing w:after="0" w:line="132" w:lineRule="exact"/>
        <w:rPr>
          <w:sz w:val="20"/>
          <w:szCs w:val="20"/>
          <w:color w:val="auto"/>
        </w:rPr>
      </w:pPr>
    </w:p>
    <w:p>
      <w:pPr>
        <w:ind w:left="800"/>
        <w:spacing w:after="0"/>
        <w:rPr>
          <w:sz w:val="20"/>
          <w:szCs w:val="20"/>
          <w:color w:val="auto"/>
        </w:rPr>
      </w:pPr>
      <w:r>
        <w:rPr>
          <w:sz w:val="1"/>
          <w:szCs w:val="1"/>
          <w:color w:val="auto"/>
        </w:rPr>
        <w:drawing>
          <wp:inline distT="0" distB="0" distL="0" distR="0">
            <wp:extent cx="68580" cy="34290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342900"/>
                    </a:xfrm>
                    <a:prstGeom prst="rect">
                      <a:avLst/>
                    </a:prstGeom>
                    <a:noFill/>
                    <a:ln>
                      <a:noFill/>
                    </a:ln>
                  </pic:spPr>
                </pic:pic>
              </a:graphicData>
            </a:graphic>
          </wp:inline>
        </w:drawing>
      </w:r>
      <w:r>
        <w:rPr>
          <w:rFonts w:ascii="Arial" w:cs="Arial" w:eastAsia="Arial" w:hAnsi="Arial"/>
          <w:sz w:val="18"/>
          <w:szCs w:val="18"/>
          <w:b w:val="1"/>
          <w:bCs w:val="1"/>
          <w:color w:val="FFFFFF"/>
        </w:rPr>
        <w:t xml:space="preserve"> FISCAL 2026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-205105</wp:posOffset>
            </wp:positionV>
            <wp:extent cx="5897880" cy="2057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89788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5"/>
        </w:trPr>
        <w:tc>
          <w:tcPr>
            <w:tcW w:w="800" w:type="dxa"/>
            <w:vAlign w:val="bottom"/>
          </w:tcPr>
          <w:p>
            <w:pPr>
              <w:spacing w:after="0"/>
              <w:rPr>
                <w:sz w:val="24"/>
                <w:szCs w:val="24"/>
                <w:color w:val="auto"/>
              </w:rPr>
            </w:pPr>
          </w:p>
        </w:tc>
        <w:tc>
          <w:tcPr>
            <w:tcW w:w="1520" w:type="dxa"/>
            <w:vAlign w:val="bottom"/>
            <w:vMerge w:val="restart"/>
            <w:shd w:val="clear" w:color="auto" w:fill="DED8EC"/>
          </w:tcPr>
          <w:p>
            <w:pPr>
              <w:ind w:left="500"/>
              <w:spacing w:after="0"/>
              <w:rPr>
                <w:sz w:val="20"/>
                <w:szCs w:val="20"/>
                <w:color w:val="auto"/>
              </w:rPr>
            </w:pPr>
            <w:r>
              <w:rPr>
                <w:rFonts w:ascii="Arial" w:cs="Arial" w:eastAsia="Arial" w:hAnsi="Arial"/>
                <w:sz w:val="14"/>
                <w:szCs w:val="14"/>
                <w:b w:val="1"/>
                <w:bCs w:val="1"/>
                <w:color w:val="010035"/>
              </w:rPr>
              <w:t>REMOVED</w:t>
            </w:r>
          </w:p>
        </w:tc>
        <w:tc>
          <w:tcPr>
            <w:tcW w:w="2460" w:type="dxa"/>
            <w:vAlign w:val="bottom"/>
            <w:shd w:val="clear" w:color="auto" w:fill="DED8EC"/>
          </w:tcPr>
          <w:p>
            <w:pPr>
              <w:ind w:left="100"/>
              <w:spacing w:after="0"/>
              <w:rPr>
                <w:sz w:val="20"/>
                <w:szCs w:val="20"/>
                <w:color w:val="auto"/>
              </w:rPr>
            </w:pPr>
            <w:r>
              <w:rPr>
                <w:rFonts w:ascii="Arial" w:cs="Arial" w:eastAsia="Arial" w:hAnsi="Arial"/>
                <w:sz w:val="14"/>
                <w:szCs w:val="14"/>
                <w:color w:val="010035"/>
              </w:rPr>
              <w:t>Digital and Entertainment</w:t>
            </w:r>
          </w:p>
        </w:tc>
        <w:tc>
          <w:tcPr>
            <w:tcW w:w="2180" w:type="dxa"/>
            <w:vAlign w:val="bottom"/>
            <w:vMerge w:val="restart"/>
            <w:shd w:val="clear" w:color="auto" w:fill="DED8EC"/>
          </w:tcPr>
          <w:p>
            <w:pPr>
              <w:ind w:left="1120"/>
              <w:spacing w:after="0"/>
              <w:rPr>
                <w:sz w:val="20"/>
                <w:szCs w:val="20"/>
                <w:color w:val="auto"/>
              </w:rPr>
            </w:pPr>
            <w:r>
              <w:rPr>
                <w:rFonts w:ascii="Arial" w:cs="Arial" w:eastAsia="Arial" w:hAnsi="Arial"/>
                <w:sz w:val="14"/>
                <w:szCs w:val="14"/>
                <w:b w:val="1"/>
                <w:bCs w:val="1"/>
                <w:color w:val="010035"/>
              </w:rPr>
              <w:t>ADDED</w:t>
            </w:r>
          </w:p>
        </w:tc>
        <w:tc>
          <w:tcPr>
            <w:tcW w:w="32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Casinos, Gaming and/or Hospitality</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520" w:type="dxa"/>
            <w:vAlign w:val="bottom"/>
            <w:vMerge w:val="continue"/>
            <w:shd w:val="clear" w:color="auto" w:fill="DED8EC"/>
          </w:tcPr>
          <w:p>
            <w:pPr>
              <w:spacing w:after="0"/>
              <w:rPr>
                <w:sz w:val="7"/>
                <w:szCs w:val="7"/>
                <w:color w:val="auto"/>
              </w:rPr>
            </w:pPr>
          </w:p>
        </w:tc>
        <w:tc>
          <w:tcPr>
            <w:tcW w:w="2460" w:type="dxa"/>
            <w:vAlign w:val="bottom"/>
            <w:vMerge w:val="restart"/>
            <w:shd w:val="clear" w:color="auto" w:fill="DED8EC"/>
          </w:tcPr>
          <w:p>
            <w:pPr>
              <w:ind w:left="100"/>
              <w:spacing w:after="0"/>
              <w:rPr>
                <w:sz w:val="20"/>
                <w:szCs w:val="20"/>
                <w:color w:val="auto"/>
              </w:rPr>
            </w:pPr>
            <w:r>
              <w:rPr>
                <w:rFonts w:ascii="Arial" w:cs="Arial" w:eastAsia="Arial" w:hAnsi="Arial"/>
                <w:sz w:val="14"/>
                <w:szCs w:val="14"/>
                <w:color w:val="010035"/>
              </w:rPr>
              <w:t>Companies Removed</w:t>
            </w:r>
          </w:p>
        </w:tc>
        <w:tc>
          <w:tcPr>
            <w:tcW w:w="2180" w:type="dxa"/>
            <w:vAlign w:val="bottom"/>
            <w:vMerge w:val="continue"/>
            <w:shd w:val="clear" w:color="auto" w:fill="DED8EC"/>
          </w:tcPr>
          <w:p>
            <w:pPr>
              <w:spacing w:after="0"/>
              <w:rPr>
                <w:sz w:val="7"/>
                <w:szCs w:val="7"/>
                <w:color w:val="auto"/>
              </w:rPr>
            </w:pPr>
          </w:p>
        </w:tc>
        <w:tc>
          <w:tcPr>
            <w:tcW w:w="3240" w:type="dxa"/>
            <w:vAlign w:val="bottom"/>
            <w:vMerge w:val="restart"/>
            <w:shd w:val="clear" w:color="auto" w:fill="DED8EC"/>
          </w:tcPr>
          <w:p>
            <w:pPr>
              <w:ind w:left="80"/>
              <w:spacing w:after="0"/>
              <w:rPr>
                <w:sz w:val="20"/>
                <w:szCs w:val="20"/>
                <w:color w:val="auto"/>
              </w:rPr>
            </w:pPr>
            <w:r>
              <w:rPr>
                <w:rFonts w:ascii="Arial" w:cs="Arial" w:eastAsia="Arial" w:hAnsi="Arial"/>
                <w:sz w:val="14"/>
                <w:szCs w:val="14"/>
                <w:color w:val="010035"/>
              </w:rPr>
              <w:t>Companies Added</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1520" w:type="dxa"/>
            <w:vAlign w:val="bottom"/>
            <w:vMerge w:val="restart"/>
            <w:shd w:val="clear" w:color="auto" w:fill="DED8EC"/>
          </w:tcPr>
          <w:p>
            <w:pPr>
              <w:ind w:left="160"/>
              <w:spacing w:after="0"/>
              <w:rPr>
                <w:sz w:val="20"/>
                <w:szCs w:val="20"/>
                <w:color w:val="auto"/>
              </w:rPr>
            </w:pPr>
            <w:r>
              <w:rPr>
                <w:rFonts w:ascii="Arial" w:cs="Arial" w:eastAsia="Arial" w:hAnsi="Arial"/>
                <w:sz w:val="14"/>
                <w:szCs w:val="14"/>
                <w:color w:val="010035"/>
              </w:rPr>
              <w:t xml:space="preserve">  </w:t>
            </w:r>
          </w:p>
        </w:tc>
        <w:tc>
          <w:tcPr>
            <w:tcW w:w="2460" w:type="dxa"/>
            <w:vAlign w:val="bottom"/>
            <w:vMerge w:val="continue"/>
            <w:shd w:val="clear" w:color="auto" w:fill="DED8EC"/>
          </w:tcPr>
          <w:p>
            <w:pPr>
              <w:spacing w:after="0"/>
              <w:rPr>
                <w:sz w:val="9"/>
                <w:szCs w:val="9"/>
                <w:color w:val="auto"/>
              </w:rPr>
            </w:pPr>
          </w:p>
        </w:tc>
        <w:tc>
          <w:tcPr>
            <w:tcW w:w="2180" w:type="dxa"/>
            <w:vAlign w:val="bottom"/>
            <w:shd w:val="clear" w:color="auto" w:fill="DED8EC"/>
          </w:tcPr>
          <w:p>
            <w:pPr>
              <w:spacing w:after="0"/>
              <w:rPr>
                <w:sz w:val="9"/>
                <w:szCs w:val="9"/>
                <w:color w:val="auto"/>
              </w:rPr>
            </w:pPr>
          </w:p>
        </w:tc>
        <w:tc>
          <w:tcPr>
            <w:tcW w:w="3240" w:type="dxa"/>
            <w:vAlign w:val="bottom"/>
            <w:vMerge w:val="continue"/>
            <w:shd w:val="clear" w:color="auto" w:fill="DED8EC"/>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800" w:type="dxa"/>
            <w:vAlign w:val="bottom"/>
          </w:tcPr>
          <w:p>
            <w:pPr>
              <w:spacing w:after="0"/>
              <w:rPr>
                <w:sz w:val="7"/>
                <w:szCs w:val="7"/>
                <w:color w:val="auto"/>
              </w:rPr>
            </w:pPr>
          </w:p>
        </w:tc>
        <w:tc>
          <w:tcPr>
            <w:tcW w:w="1520" w:type="dxa"/>
            <w:vAlign w:val="bottom"/>
            <w:tcBorders>
              <w:bottom w:val="single" w:sz="8" w:color="DED8EC"/>
            </w:tcBorders>
            <w:vMerge w:val="continue"/>
            <w:shd w:val="clear" w:color="auto" w:fill="DED8EC"/>
          </w:tcPr>
          <w:p>
            <w:pPr>
              <w:spacing w:after="0"/>
              <w:rPr>
                <w:sz w:val="7"/>
                <w:szCs w:val="7"/>
                <w:color w:val="auto"/>
              </w:rPr>
            </w:pPr>
          </w:p>
        </w:tc>
        <w:tc>
          <w:tcPr>
            <w:tcW w:w="2460" w:type="dxa"/>
            <w:vAlign w:val="bottom"/>
            <w:tcBorders>
              <w:bottom w:val="single" w:sz="8" w:color="DED8EC"/>
            </w:tcBorders>
            <w:shd w:val="clear" w:color="auto" w:fill="DED8EC"/>
          </w:tcPr>
          <w:p>
            <w:pPr>
              <w:spacing w:after="0"/>
              <w:rPr>
                <w:sz w:val="7"/>
                <w:szCs w:val="7"/>
                <w:color w:val="auto"/>
              </w:rPr>
            </w:pPr>
          </w:p>
        </w:tc>
        <w:tc>
          <w:tcPr>
            <w:tcW w:w="2180" w:type="dxa"/>
            <w:vAlign w:val="bottom"/>
            <w:tcBorders>
              <w:bottom w:val="single" w:sz="8" w:color="DED8EC"/>
            </w:tcBorders>
            <w:shd w:val="clear" w:color="auto" w:fill="DED8EC"/>
          </w:tcPr>
          <w:p>
            <w:pPr>
              <w:spacing w:after="0"/>
              <w:rPr>
                <w:sz w:val="7"/>
                <w:szCs w:val="7"/>
                <w:color w:val="auto"/>
              </w:rPr>
            </w:pPr>
          </w:p>
        </w:tc>
        <w:tc>
          <w:tcPr>
            <w:tcW w:w="3240" w:type="dxa"/>
            <w:vAlign w:val="bottom"/>
            <w:tcBorders>
              <w:bottom w:val="single" w:sz="8" w:color="DED8EC"/>
            </w:tcBorders>
            <w:shd w:val="clear" w:color="auto" w:fill="DED8EC"/>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520" w:type="dxa"/>
            <w:vAlign w:val="bottom"/>
          </w:tcPr>
          <w:p>
            <w:pPr>
              <w:ind w:left="160"/>
              <w:spacing w:after="0"/>
              <w:rPr>
                <w:sz w:val="20"/>
                <w:szCs w:val="20"/>
                <w:color w:val="auto"/>
              </w:rPr>
            </w:pPr>
            <w:r>
              <w:rPr>
                <w:rFonts w:ascii="Arial" w:cs="Arial" w:eastAsia="Arial" w:hAnsi="Arial"/>
                <w:sz w:val="14"/>
                <w:szCs w:val="14"/>
                <w:color w:val="010035"/>
              </w:rPr>
              <w:t>Electronic Arts, Inc.</w:t>
            </w:r>
          </w:p>
        </w:tc>
        <w:tc>
          <w:tcPr>
            <w:tcW w:w="2460" w:type="dxa"/>
            <w:vAlign w:val="bottom"/>
          </w:tcPr>
          <w:p>
            <w:pPr>
              <w:spacing w:after="0"/>
              <w:rPr>
                <w:sz w:val="19"/>
                <w:szCs w:val="19"/>
                <w:color w:val="auto"/>
              </w:rPr>
            </w:pPr>
          </w:p>
        </w:tc>
        <w:tc>
          <w:tcPr>
            <w:tcW w:w="2180" w:type="dxa"/>
            <w:vAlign w:val="bottom"/>
          </w:tcPr>
          <w:p>
            <w:pPr>
              <w:ind w:left="760"/>
              <w:spacing w:after="0"/>
              <w:rPr>
                <w:sz w:val="20"/>
                <w:szCs w:val="20"/>
                <w:color w:val="auto"/>
              </w:rPr>
            </w:pPr>
            <w:r>
              <w:rPr>
                <w:rFonts w:ascii="Arial" w:cs="Arial" w:eastAsia="Arial" w:hAnsi="Arial"/>
                <w:sz w:val="14"/>
                <w:szCs w:val="14"/>
                <w:color w:val="010035"/>
              </w:rPr>
              <w:t>Churchill Downs, Inc.</w:t>
            </w:r>
          </w:p>
        </w:tc>
        <w:tc>
          <w:tcPr>
            <w:tcW w:w="3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00" w:type="dxa"/>
            <w:vAlign w:val="bottom"/>
          </w:tcPr>
          <w:p>
            <w:pPr>
              <w:spacing w:after="0"/>
              <w:rPr>
                <w:sz w:val="17"/>
                <w:szCs w:val="17"/>
                <w:color w:val="auto"/>
              </w:rPr>
            </w:pPr>
          </w:p>
        </w:tc>
        <w:tc>
          <w:tcPr>
            <w:tcW w:w="3980" w:type="dxa"/>
            <w:vAlign w:val="bottom"/>
            <w:gridSpan w:val="2"/>
          </w:tcPr>
          <w:p>
            <w:pPr>
              <w:ind w:left="160"/>
              <w:spacing w:after="0"/>
              <w:rPr>
                <w:sz w:val="20"/>
                <w:szCs w:val="20"/>
                <w:color w:val="auto"/>
              </w:rPr>
            </w:pPr>
            <w:r>
              <w:rPr>
                <w:rFonts w:ascii="Arial" w:cs="Arial" w:eastAsia="Arial" w:hAnsi="Arial"/>
                <w:sz w:val="14"/>
                <w:szCs w:val="14"/>
                <w:color w:val="010035"/>
              </w:rPr>
              <w:t>Lions Gate Entertainment Corporation</w:t>
            </w:r>
          </w:p>
        </w:tc>
        <w:tc>
          <w:tcPr>
            <w:tcW w:w="5420" w:type="dxa"/>
            <w:vAlign w:val="bottom"/>
            <w:gridSpan w:val="2"/>
          </w:tcPr>
          <w:p>
            <w:pPr>
              <w:ind w:left="760"/>
              <w:spacing w:after="0"/>
              <w:rPr>
                <w:sz w:val="20"/>
                <w:szCs w:val="20"/>
                <w:color w:val="auto"/>
              </w:rPr>
            </w:pPr>
            <w:r>
              <w:rPr>
                <w:rFonts w:ascii="Arial" w:cs="Arial" w:eastAsia="Arial" w:hAnsi="Arial"/>
                <w:sz w:val="14"/>
                <w:szCs w:val="14"/>
                <w:color w:val="010035"/>
              </w:rPr>
              <w:t>Hilton Worldwide Holdings, Inc.</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980" w:type="dxa"/>
            <w:vAlign w:val="bottom"/>
            <w:gridSpan w:val="2"/>
          </w:tcPr>
          <w:p>
            <w:pPr>
              <w:ind w:left="160"/>
              <w:spacing w:after="0"/>
              <w:rPr>
                <w:sz w:val="20"/>
                <w:szCs w:val="20"/>
                <w:color w:val="auto"/>
              </w:rPr>
            </w:pPr>
            <w:r>
              <w:rPr>
                <w:rFonts w:ascii="Arial" w:cs="Arial" w:eastAsia="Arial" w:hAnsi="Arial"/>
                <w:sz w:val="14"/>
                <w:szCs w:val="14"/>
                <w:color w:val="010035"/>
              </w:rPr>
              <w:t>Live Nation Entertainment, Inc.</w:t>
            </w:r>
          </w:p>
        </w:tc>
        <w:tc>
          <w:tcPr>
            <w:tcW w:w="5420" w:type="dxa"/>
            <w:vAlign w:val="bottom"/>
            <w:gridSpan w:val="2"/>
          </w:tcPr>
          <w:p>
            <w:pPr>
              <w:ind w:left="760"/>
              <w:spacing w:after="0"/>
              <w:rPr>
                <w:sz w:val="20"/>
                <w:szCs w:val="20"/>
                <w:color w:val="auto"/>
              </w:rPr>
            </w:pPr>
            <w:r>
              <w:rPr>
                <w:rFonts w:ascii="Arial" w:cs="Arial" w:eastAsia="Arial" w:hAnsi="Arial"/>
                <w:sz w:val="14"/>
                <w:szCs w:val="14"/>
                <w:color w:val="010035"/>
              </w:rPr>
              <w:t>Hyatt Hotels Corporation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Arial" w:cs="Arial" w:eastAsia="Arial" w:hAnsi="Arial"/>
                <w:sz w:val="14"/>
                <w:szCs w:val="14"/>
                <w:color w:val="010035"/>
              </w:rPr>
              <w:t>Roku, Inc.</w:t>
            </w:r>
          </w:p>
        </w:tc>
        <w:tc>
          <w:tcPr>
            <w:tcW w:w="2460" w:type="dxa"/>
            <w:vAlign w:val="bottom"/>
          </w:tcPr>
          <w:p>
            <w:pPr>
              <w:spacing w:after="0"/>
              <w:rPr>
                <w:sz w:val="17"/>
                <w:szCs w:val="17"/>
                <w:color w:val="auto"/>
              </w:rPr>
            </w:pPr>
          </w:p>
        </w:tc>
        <w:tc>
          <w:tcPr>
            <w:tcW w:w="2180" w:type="dxa"/>
            <w:vAlign w:val="bottom"/>
          </w:tcPr>
          <w:p>
            <w:pPr>
              <w:ind w:left="760"/>
              <w:spacing w:after="0"/>
              <w:rPr>
                <w:sz w:val="20"/>
                <w:szCs w:val="20"/>
                <w:color w:val="auto"/>
              </w:rPr>
            </w:pPr>
            <w:r>
              <w:rPr>
                <w:rFonts w:ascii="Arial" w:cs="Arial" w:eastAsia="Arial" w:hAnsi="Arial"/>
                <w:sz w:val="14"/>
                <w:szCs w:val="14"/>
                <w:color w:val="010035"/>
              </w:rPr>
              <w:t>Light &amp; Wonder, Inc.</w:t>
            </w:r>
          </w:p>
        </w:tc>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0" w:type="dxa"/>
            <w:vAlign w:val="bottom"/>
          </w:tcPr>
          <w:p>
            <w:pPr>
              <w:spacing w:after="0"/>
              <w:rPr>
                <w:sz w:val="17"/>
                <w:szCs w:val="17"/>
                <w:color w:val="auto"/>
              </w:rPr>
            </w:pPr>
          </w:p>
        </w:tc>
        <w:tc>
          <w:tcPr>
            <w:tcW w:w="3980" w:type="dxa"/>
            <w:vAlign w:val="bottom"/>
            <w:gridSpan w:val="2"/>
          </w:tcPr>
          <w:p>
            <w:pPr>
              <w:ind w:left="160"/>
              <w:spacing w:after="0"/>
              <w:rPr>
                <w:sz w:val="20"/>
                <w:szCs w:val="20"/>
                <w:color w:val="auto"/>
              </w:rPr>
            </w:pPr>
            <w:r>
              <w:rPr>
                <w:rFonts w:ascii="Arial" w:cs="Arial" w:eastAsia="Arial" w:hAnsi="Arial"/>
                <w:sz w:val="14"/>
                <w:szCs w:val="14"/>
                <w:color w:val="010035"/>
              </w:rPr>
              <w:t>Sirius XM Holdings, Inc.</w:t>
            </w:r>
          </w:p>
        </w:tc>
        <w:tc>
          <w:tcPr>
            <w:tcW w:w="5420" w:type="dxa"/>
            <w:vAlign w:val="bottom"/>
            <w:gridSpan w:val="2"/>
          </w:tcPr>
          <w:p>
            <w:pPr>
              <w:ind w:left="760"/>
              <w:spacing w:after="0"/>
              <w:rPr>
                <w:sz w:val="20"/>
                <w:szCs w:val="20"/>
                <w:color w:val="auto"/>
              </w:rPr>
            </w:pPr>
            <w:r>
              <w:rPr>
                <w:rFonts w:ascii="Arial" w:cs="Arial" w:eastAsia="Arial" w:hAnsi="Arial"/>
                <w:sz w:val="14"/>
                <w:szCs w:val="14"/>
                <w:color w:val="010035"/>
              </w:rPr>
              <w:t>Norwegian Cruise Line Holdings Ltd.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520" w:type="dxa"/>
            <w:vAlign w:val="bottom"/>
            <w:tcBorders>
              <w:bottom w:val="single" w:sz="8" w:color="010035"/>
            </w:tcBorders>
          </w:tcPr>
          <w:p>
            <w:pPr>
              <w:spacing w:after="0"/>
              <w:rPr>
                <w:sz w:val="16"/>
                <w:szCs w:val="16"/>
                <w:color w:val="auto"/>
              </w:rPr>
            </w:pPr>
          </w:p>
        </w:tc>
        <w:tc>
          <w:tcPr>
            <w:tcW w:w="2460" w:type="dxa"/>
            <w:vAlign w:val="bottom"/>
            <w:tcBorders>
              <w:bottom w:val="single" w:sz="8" w:color="010035"/>
            </w:tcBorders>
          </w:tcPr>
          <w:p>
            <w:pPr>
              <w:spacing w:after="0"/>
              <w:rPr>
                <w:sz w:val="16"/>
                <w:szCs w:val="16"/>
                <w:color w:val="auto"/>
              </w:rPr>
            </w:pPr>
          </w:p>
        </w:tc>
        <w:tc>
          <w:tcPr>
            <w:tcW w:w="5420" w:type="dxa"/>
            <w:vAlign w:val="bottom"/>
            <w:tcBorders>
              <w:bottom w:val="single" w:sz="8" w:color="010035"/>
            </w:tcBorders>
            <w:gridSpan w:val="2"/>
          </w:tcPr>
          <w:p>
            <w:pPr>
              <w:ind w:left="760"/>
              <w:spacing w:after="0"/>
              <w:rPr>
                <w:sz w:val="20"/>
                <w:szCs w:val="20"/>
                <w:color w:val="auto"/>
              </w:rPr>
            </w:pPr>
            <w:r>
              <w:rPr>
                <w:rFonts w:ascii="Arial" w:cs="Arial" w:eastAsia="Arial" w:hAnsi="Arial"/>
                <w:sz w:val="14"/>
                <w:szCs w:val="14"/>
                <w:color w:val="010035"/>
              </w:rPr>
              <w:t>Royal Caribbean Cruises Ltd.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-1242695</wp:posOffset>
            </wp:positionV>
            <wp:extent cx="205740" cy="2057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-1191260</wp:posOffset>
            </wp:positionV>
            <wp:extent cx="205740" cy="2057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73" w:name="page74"/>
    <w:bookmarkEnd w:id="73"/>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102870</wp:posOffset>
            </wp:positionV>
            <wp:extent cx="4423410" cy="11112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ind w:left="800"/>
        <w:spacing w:after="0"/>
        <w:tabs>
          <w:tab w:leader="none" w:pos="122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6350</wp:posOffset>
            </wp:positionV>
            <wp:extent cx="5966460" cy="1974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ind w:left="800"/>
        <w:spacing w:after="0"/>
        <w:rPr>
          <w:sz w:val="20"/>
          <w:szCs w:val="20"/>
          <w:color w:val="auto"/>
        </w:rPr>
      </w:pPr>
      <w:r>
        <w:rPr>
          <w:sz w:val="1"/>
          <w:szCs w:val="1"/>
          <w:color w:val="auto"/>
        </w:rPr>
        <w:drawing>
          <wp:inline distT="0" distB="0" distL="0" distR="0">
            <wp:extent cx="137160" cy="45720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-295910</wp:posOffset>
            </wp:positionV>
            <wp:extent cx="5829300" cy="3003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Fiscal 2025 Compensation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010035"/>
        </w:rPr>
        <w:t>Base Salary</w:t>
      </w:r>
    </w:p>
    <w:p>
      <w:pPr>
        <w:spacing w:after="0" w:line="158" w:lineRule="exact"/>
        <w:rPr>
          <w:sz w:val="20"/>
          <w:szCs w:val="20"/>
          <w:color w:val="auto"/>
        </w:rPr>
      </w:pPr>
    </w:p>
    <w:p>
      <w:pPr>
        <w:ind w:left="800" w:right="940"/>
        <w:spacing w:after="0" w:line="252" w:lineRule="auto"/>
        <w:rPr>
          <w:sz w:val="20"/>
          <w:szCs w:val="20"/>
          <w:color w:val="auto"/>
        </w:rPr>
      </w:pPr>
      <w:r>
        <w:rPr>
          <w:rFonts w:ascii="Arial" w:cs="Arial" w:eastAsia="Arial" w:hAnsi="Arial"/>
          <w:sz w:val="14"/>
          <w:szCs w:val="14"/>
          <w:color w:val="auto"/>
        </w:rPr>
        <w:t>Base salary is the fixed element of annual cash compensation for our NEOs and is intended to attract and retain highly qualified executives and to compensate them for expected day-to-day performance. The Committee reviews the base salary for each of our NEOs on an annual basis. When establishing our NEOs’ annual base salaries, the Committee references the compensation peer group median salaries, as well as considers the following factors in making its determinations, as applicable:</w:t>
      </w:r>
    </w:p>
    <w:p>
      <w:pPr>
        <w:ind w:left="1100" w:hanging="78"/>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NEO’s position and responsibilities associated with that position;</w:t>
      </w:r>
    </w:p>
    <w:p>
      <w:pPr>
        <w:spacing w:after="0" w:line="40" w:lineRule="exact"/>
        <w:rPr>
          <w:rFonts w:ascii="Arial" w:cs="Arial" w:eastAsia="Arial" w:hAnsi="Arial"/>
          <w:sz w:val="14"/>
          <w:szCs w:val="14"/>
          <w:color w:val="auto"/>
        </w:rPr>
      </w:pPr>
    </w:p>
    <w:p>
      <w:pPr>
        <w:ind w:left="1100" w:hanging="78"/>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Experience, expertise, knowledge and qualifications;</w:t>
      </w:r>
    </w:p>
    <w:p>
      <w:pPr>
        <w:spacing w:after="0" w:line="41" w:lineRule="exact"/>
        <w:rPr>
          <w:rFonts w:ascii="Arial" w:cs="Arial" w:eastAsia="Arial" w:hAnsi="Arial"/>
          <w:sz w:val="14"/>
          <w:szCs w:val="14"/>
          <w:color w:val="auto"/>
        </w:rPr>
      </w:pPr>
    </w:p>
    <w:p>
      <w:pPr>
        <w:ind w:left="1100" w:hanging="78"/>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Individual contributions;</w:t>
      </w:r>
    </w:p>
    <w:p>
      <w:pPr>
        <w:spacing w:after="0" w:line="29" w:lineRule="exact"/>
        <w:rPr>
          <w:rFonts w:ascii="Arial" w:cs="Arial" w:eastAsia="Arial" w:hAnsi="Arial"/>
          <w:sz w:val="14"/>
          <w:szCs w:val="14"/>
          <w:color w:val="auto"/>
        </w:rPr>
      </w:pPr>
    </w:p>
    <w:p>
      <w:pPr>
        <w:ind w:left="1100" w:hanging="78"/>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Market factors and the industries in which we operate and compete for talent;</w:t>
      </w:r>
    </w:p>
    <w:p>
      <w:pPr>
        <w:spacing w:after="0" w:line="40" w:lineRule="exact"/>
        <w:rPr>
          <w:rFonts w:ascii="Arial" w:cs="Arial" w:eastAsia="Arial" w:hAnsi="Arial"/>
          <w:sz w:val="14"/>
          <w:szCs w:val="14"/>
          <w:color w:val="auto"/>
        </w:rPr>
      </w:pPr>
    </w:p>
    <w:p>
      <w:pPr>
        <w:ind w:left="1100" w:hanging="78"/>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Recruitment and retention factors;</w:t>
      </w:r>
    </w:p>
    <w:p>
      <w:pPr>
        <w:spacing w:after="0" w:line="41" w:lineRule="exact"/>
        <w:rPr>
          <w:rFonts w:ascii="Arial" w:cs="Arial" w:eastAsia="Arial" w:hAnsi="Arial"/>
          <w:sz w:val="14"/>
          <w:szCs w:val="14"/>
          <w:color w:val="auto"/>
        </w:rPr>
      </w:pPr>
    </w:p>
    <w:p>
      <w:pPr>
        <w:ind w:left="1100" w:hanging="78"/>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Individual compensation history;</w:t>
      </w:r>
    </w:p>
    <w:p>
      <w:pPr>
        <w:spacing w:after="0" w:line="29" w:lineRule="exact"/>
        <w:rPr>
          <w:rFonts w:ascii="Arial" w:cs="Arial" w:eastAsia="Arial" w:hAnsi="Arial"/>
          <w:sz w:val="14"/>
          <w:szCs w:val="14"/>
          <w:color w:val="auto"/>
        </w:rPr>
      </w:pPr>
    </w:p>
    <w:p>
      <w:pPr>
        <w:ind w:left="1100" w:hanging="78"/>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Salary levels of the other members of our executive team;</w:t>
      </w:r>
    </w:p>
    <w:p>
      <w:pPr>
        <w:spacing w:after="0" w:line="40" w:lineRule="exact"/>
        <w:rPr>
          <w:rFonts w:ascii="Arial" w:cs="Arial" w:eastAsia="Arial" w:hAnsi="Arial"/>
          <w:sz w:val="14"/>
          <w:szCs w:val="14"/>
          <w:color w:val="auto"/>
        </w:rPr>
      </w:pPr>
    </w:p>
    <w:p>
      <w:pPr>
        <w:ind w:left="1100" w:hanging="78"/>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median salaries of similarly situated, comparable executives in our compensation peer group; and</w:t>
      </w:r>
    </w:p>
    <w:p>
      <w:pPr>
        <w:spacing w:after="0" w:line="41" w:lineRule="exact"/>
        <w:rPr>
          <w:rFonts w:ascii="Arial" w:cs="Arial" w:eastAsia="Arial" w:hAnsi="Arial"/>
          <w:sz w:val="14"/>
          <w:szCs w:val="14"/>
          <w:color w:val="auto"/>
        </w:rPr>
      </w:pPr>
    </w:p>
    <w:p>
      <w:pPr>
        <w:ind w:left="1100" w:hanging="78"/>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overall compensation philosophy.</w:t>
      </w:r>
    </w:p>
    <w:p>
      <w:pPr>
        <w:spacing w:after="0" w:line="109" w:lineRule="exact"/>
        <w:rPr>
          <w:sz w:val="20"/>
          <w:szCs w:val="20"/>
          <w:color w:val="auto"/>
        </w:rPr>
      </w:pPr>
    </w:p>
    <w:p>
      <w:pPr>
        <w:ind w:left="800" w:right="820"/>
        <w:spacing w:after="0" w:line="258" w:lineRule="auto"/>
        <w:rPr>
          <w:sz w:val="20"/>
          <w:szCs w:val="20"/>
          <w:color w:val="auto"/>
        </w:rPr>
      </w:pPr>
      <w:r>
        <w:rPr>
          <w:rFonts w:ascii="Arial" w:cs="Arial" w:eastAsia="Arial" w:hAnsi="Arial"/>
          <w:sz w:val="14"/>
          <w:szCs w:val="14"/>
          <w:color w:val="auto"/>
        </w:rPr>
        <w:t>Set forth in the table below are the 2025 and 2024 base salaries for each of our NEOs. The Committee approved modest, merit-based increases to base salary in 2025 for Ms. Hendrix, and Messrs. George and Rogers. As noted above, the Committee determined that base salaries for NEOs should remain unchanged for fiscal 2026, and the Board likewise maintained the CEO’s base salary for 2026, which has remained unchanged since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800" w:type="dxa"/>
            <w:vAlign w:val="bottom"/>
          </w:tcPr>
          <w:p>
            <w:pPr>
              <w:spacing w:after="0"/>
              <w:rPr>
                <w:sz w:val="24"/>
                <w:szCs w:val="24"/>
                <w:color w:val="auto"/>
              </w:rPr>
            </w:pPr>
          </w:p>
        </w:tc>
        <w:tc>
          <w:tcPr>
            <w:tcW w:w="2660" w:type="dxa"/>
            <w:vAlign w:val="bottom"/>
            <w:tcBorders>
              <w:top w:val="single" w:sz="8" w:color="69439A"/>
              <w:bottom w:val="single" w:sz="8" w:color="010035"/>
            </w:tcBorders>
            <w:shd w:val="clear" w:color="auto" w:fill="010035"/>
          </w:tcPr>
          <w:p>
            <w:pPr>
              <w:ind w:left="60"/>
              <w:spacing w:after="0"/>
              <w:rPr>
                <w:sz w:val="20"/>
                <w:szCs w:val="20"/>
                <w:color w:val="auto"/>
              </w:rPr>
            </w:pPr>
            <w:r>
              <w:rPr>
                <w:rFonts w:ascii="Arial" w:cs="Arial" w:eastAsia="Arial" w:hAnsi="Arial"/>
                <w:sz w:val="18"/>
                <w:szCs w:val="18"/>
                <w:b w:val="1"/>
                <w:bCs w:val="1"/>
                <w:color w:val="FFFFFF"/>
              </w:rPr>
              <w:t>NAMED EXECUTIVE OFFICER</w:t>
            </w:r>
          </w:p>
        </w:tc>
        <w:tc>
          <w:tcPr>
            <w:tcW w:w="2040" w:type="dxa"/>
            <w:vAlign w:val="bottom"/>
            <w:tcBorders>
              <w:top w:val="single" w:sz="8" w:color="69439A"/>
              <w:bottom w:val="single" w:sz="8" w:color="010035"/>
            </w:tcBorders>
            <w:shd w:val="clear" w:color="auto" w:fill="010035"/>
          </w:tcPr>
          <w:p>
            <w:pPr>
              <w:ind w:left="340"/>
              <w:spacing w:after="0"/>
              <w:rPr>
                <w:sz w:val="20"/>
                <w:szCs w:val="20"/>
                <w:color w:val="auto"/>
              </w:rPr>
            </w:pPr>
            <w:r>
              <w:rPr>
                <w:rFonts w:ascii="Arial" w:cs="Arial" w:eastAsia="Arial" w:hAnsi="Arial"/>
                <w:sz w:val="14"/>
                <w:szCs w:val="14"/>
                <w:b w:val="1"/>
                <w:bCs w:val="1"/>
                <w:color w:val="FFFFFF"/>
              </w:rPr>
              <w:t>2025 BASE SALARY</w:t>
            </w:r>
          </w:p>
        </w:tc>
        <w:tc>
          <w:tcPr>
            <w:tcW w:w="2080" w:type="dxa"/>
            <w:vAlign w:val="bottom"/>
            <w:tcBorders>
              <w:top w:val="single" w:sz="8" w:color="69439A"/>
              <w:bottom w:val="single" w:sz="8" w:color="010035"/>
            </w:tcBorders>
            <w:shd w:val="clear" w:color="auto" w:fill="010035"/>
          </w:tcPr>
          <w:p>
            <w:pPr>
              <w:ind w:left="380"/>
              <w:spacing w:after="0"/>
              <w:rPr>
                <w:sz w:val="20"/>
                <w:szCs w:val="20"/>
                <w:color w:val="auto"/>
              </w:rPr>
            </w:pPr>
            <w:r>
              <w:rPr>
                <w:rFonts w:ascii="Arial" w:cs="Arial" w:eastAsia="Arial" w:hAnsi="Arial"/>
                <w:sz w:val="14"/>
                <w:szCs w:val="14"/>
                <w:b w:val="1"/>
                <w:bCs w:val="1"/>
                <w:color w:val="FFFFFF"/>
              </w:rPr>
              <w:t>2024 BASE SALARY</w:t>
            </w:r>
          </w:p>
        </w:tc>
        <w:tc>
          <w:tcPr>
            <w:tcW w:w="2620" w:type="dxa"/>
            <w:vAlign w:val="bottom"/>
            <w:tcBorders>
              <w:top w:val="single" w:sz="8" w:color="69439A"/>
              <w:bottom w:val="single" w:sz="8" w:color="010035"/>
            </w:tcBorders>
            <w:shd w:val="clear" w:color="auto" w:fill="010035"/>
          </w:tcPr>
          <w:p>
            <w:pPr>
              <w:jc w:val="center"/>
              <w:ind w:left="228"/>
              <w:spacing w:after="0"/>
              <w:rPr>
                <w:sz w:val="20"/>
                <w:szCs w:val="20"/>
                <w:color w:val="auto"/>
              </w:rPr>
            </w:pPr>
            <w:r>
              <w:rPr>
                <w:rFonts w:ascii="Arial" w:cs="Arial" w:eastAsia="Arial" w:hAnsi="Arial"/>
                <w:sz w:val="14"/>
                <w:szCs w:val="14"/>
                <w:b w:val="1"/>
                <w:bCs w:val="1"/>
                <w:color w:val="FFFFFF"/>
                <w:w w:val="98"/>
              </w:rPr>
              <w:t>PERCENT INCREASE FROM 2024</w:t>
            </w:r>
          </w:p>
        </w:tc>
        <w:tc>
          <w:tcPr>
            <w:tcW w:w="820" w:type="dxa"/>
            <w:vAlign w:val="bottom"/>
          </w:tcPr>
          <w:p>
            <w:pPr>
              <w:spacing w:after="0"/>
              <w:rPr>
                <w:sz w:val="24"/>
                <w:szCs w:val="24"/>
                <w:color w:val="auto"/>
              </w:rPr>
            </w:pPr>
          </w:p>
        </w:tc>
      </w:tr>
      <w:tr>
        <w:trPr>
          <w:trHeight w:val="254"/>
        </w:trPr>
        <w:tc>
          <w:tcPr>
            <w:tcW w:w="800" w:type="dxa"/>
            <w:vAlign w:val="bottom"/>
          </w:tcPr>
          <w:p>
            <w:pPr>
              <w:spacing w:after="0"/>
              <w:rPr>
                <w:sz w:val="22"/>
                <w:szCs w:val="22"/>
                <w:color w:val="auto"/>
              </w:rPr>
            </w:pPr>
          </w:p>
        </w:tc>
        <w:tc>
          <w:tcPr>
            <w:tcW w:w="2660" w:type="dxa"/>
            <w:vAlign w:val="bottom"/>
          </w:tcPr>
          <w:p>
            <w:pPr>
              <w:ind w:left="60"/>
              <w:spacing w:after="0"/>
              <w:rPr>
                <w:sz w:val="20"/>
                <w:szCs w:val="20"/>
                <w:color w:val="auto"/>
              </w:rPr>
            </w:pPr>
            <w:r>
              <w:rPr>
                <w:rFonts w:ascii="Arial" w:cs="Arial" w:eastAsia="Arial" w:hAnsi="Arial"/>
                <w:sz w:val="14"/>
                <w:szCs w:val="14"/>
                <w:b w:val="1"/>
                <w:bCs w:val="1"/>
                <w:color w:val="010035"/>
              </w:rPr>
              <w:t>Jay Snowden</w:t>
            </w:r>
          </w:p>
        </w:tc>
        <w:tc>
          <w:tcPr>
            <w:tcW w:w="2040" w:type="dxa"/>
            <w:vAlign w:val="bottom"/>
          </w:tcPr>
          <w:p>
            <w:pPr>
              <w:jc w:val="center"/>
              <w:spacing w:after="0"/>
              <w:rPr>
                <w:sz w:val="20"/>
                <w:szCs w:val="20"/>
                <w:color w:val="auto"/>
              </w:rPr>
            </w:pPr>
            <w:r>
              <w:rPr>
                <w:rFonts w:ascii="Arial" w:cs="Arial" w:eastAsia="Arial" w:hAnsi="Arial"/>
                <w:sz w:val="14"/>
                <w:szCs w:val="14"/>
                <w:color w:val="010035"/>
              </w:rPr>
              <w:t>$1,800,000</w:t>
            </w:r>
          </w:p>
        </w:tc>
        <w:tc>
          <w:tcPr>
            <w:tcW w:w="2080" w:type="dxa"/>
            <w:vAlign w:val="bottom"/>
          </w:tcPr>
          <w:p>
            <w:pPr>
              <w:jc w:val="center"/>
              <w:spacing w:after="0"/>
              <w:rPr>
                <w:sz w:val="20"/>
                <w:szCs w:val="20"/>
                <w:color w:val="auto"/>
              </w:rPr>
            </w:pPr>
            <w:r>
              <w:rPr>
                <w:rFonts w:ascii="Arial" w:cs="Arial" w:eastAsia="Arial" w:hAnsi="Arial"/>
                <w:sz w:val="14"/>
                <w:szCs w:val="14"/>
                <w:color w:val="010035"/>
              </w:rPr>
              <w:t>$1,800,000</w:t>
            </w:r>
          </w:p>
        </w:tc>
        <w:tc>
          <w:tcPr>
            <w:tcW w:w="2620" w:type="dxa"/>
            <w:vAlign w:val="bottom"/>
          </w:tcPr>
          <w:p>
            <w:pPr>
              <w:jc w:val="center"/>
              <w:ind w:left="228"/>
              <w:spacing w:after="0"/>
              <w:rPr>
                <w:sz w:val="20"/>
                <w:szCs w:val="20"/>
                <w:color w:val="auto"/>
              </w:rPr>
            </w:pPr>
            <w:r>
              <w:rPr>
                <w:rFonts w:ascii="Arial" w:cs="Arial" w:eastAsia="Arial" w:hAnsi="Arial"/>
                <w:sz w:val="14"/>
                <w:szCs w:val="14"/>
                <w:color w:val="010035"/>
                <w:w w:val="98"/>
              </w:rPr>
              <w:t>0%</w:t>
            </w:r>
          </w:p>
        </w:tc>
        <w:tc>
          <w:tcPr>
            <w:tcW w:w="820" w:type="dxa"/>
            <w:vAlign w:val="bottom"/>
          </w:tcPr>
          <w:p>
            <w:pPr>
              <w:spacing w:after="0"/>
              <w:rPr>
                <w:sz w:val="22"/>
                <w:szCs w:val="22"/>
                <w:color w:val="auto"/>
              </w:rPr>
            </w:pPr>
          </w:p>
        </w:tc>
      </w:tr>
      <w:tr>
        <w:trPr>
          <w:trHeight w:val="56"/>
        </w:trPr>
        <w:tc>
          <w:tcPr>
            <w:tcW w:w="8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0"/>
        </w:trPr>
        <w:tc>
          <w:tcPr>
            <w:tcW w:w="800" w:type="dxa"/>
            <w:vAlign w:val="bottom"/>
          </w:tcPr>
          <w:p>
            <w:pPr>
              <w:spacing w:after="0"/>
              <w:rPr>
                <w:sz w:val="24"/>
                <w:szCs w:val="24"/>
                <w:color w:val="auto"/>
              </w:rPr>
            </w:pPr>
          </w:p>
        </w:tc>
        <w:tc>
          <w:tcPr>
            <w:tcW w:w="2660" w:type="dxa"/>
            <w:vAlign w:val="bottom"/>
            <w:tcBorders>
              <w:bottom w:val="single" w:sz="8" w:color="DED8EC"/>
            </w:tcBorders>
            <w:shd w:val="clear" w:color="auto" w:fill="DED8EC"/>
          </w:tcPr>
          <w:p>
            <w:pPr>
              <w:ind w:left="60"/>
              <w:spacing w:after="0"/>
              <w:rPr>
                <w:sz w:val="20"/>
                <w:szCs w:val="20"/>
                <w:color w:val="auto"/>
              </w:rPr>
            </w:pPr>
            <w:r>
              <w:rPr>
                <w:rFonts w:ascii="Arial" w:cs="Arial" w:eastAsia="Arial" w:hAnsi="Arial"/>
                <w:sz w:val="14"/>
                <w:szCs w:val="14"/>
                <w:b w:val="1"/>
                <w:bCs w:val="1"/>
                <w:color w:val="010035"/>
              </w:rPr>
              <w:t>Felicia Hendrix</w:t>
            </w:r>
          </w:p>
        </w:tc>
        <w:tc>
          <w:tcPr>
            <w:tcW w:w="20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$927,000</w:t>
            </w:r>
          </w:p>
        </w:tc>
        <w:tc>
          <w:tcPr>
            <w:tcW w:w="208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$900,000</w:t>
            </w:r>
          </w:p>
        </w:tc>
        <w:tc>
          <w:tcPr>
            <w:tcW w:w="2620" w:type="dxa"/>
            <w:vAlign w:val="bottom"/>
            <w:tcBorders>
              <w:bottom w:val="single" w:sz="8" w:color="DED8EC"/>
            </w:tcBorders>
            <w:shd w:val="clear" w:color="auto" w:fill="DED8EC"/>
          </w:tcPr>
          <w:p>
            <w:pPr>
              <w:jc w:val="center"/>
              <w:ind w:left="228"/>
              <w:spacing w:after="0"/>
              <w:rPr>
                <w:sz w:val="20"/>
                <w:szCs w:val="20"/>
                <w:color w:val="auto"/>
              </w:rPr>
            </w:pPr>
            <w:r>
              <w:rPr>
                <w:rFonts w:ascii="Arial" w:cs="Arial" w:eastAsia="Arial" w:hAnsi="Arial"/>
                <w:sz w:val="14"/>
                <w:szCs w:val="14"/>
                <w:color w:val="010035"/>
                <w:w w:val="98"/>
              </w:rPr>
              <w:t>3%</w:t>
            </w:r>
          </w:p>
        </w:tc>
        <w:tc>
          <w:tcPr>
            <w:tcW w:w="820" w:type="dxa"/>
            <w:vAlign w:val="bottom"/>
          </w:tcPr>
          <w:p>
            <w:pPr>
              <w:spacing w:after="0"/>
              <w:rPr>
                <w:sz w:val="24"/>
                <w:szCs w:val="24"/>
                <w:color w:val="auto"/>
              </w:rPr>
            </w:pPr>
          </w:p>
        </w:tc>
      </w:tr>
      <w:tr>
        <w:trPr>
          <w:trHeight w:val="255"/>
        </w:trPr>
        <w:tc>
          <w:tcPr>
            <w:tcW w:w="800" w:type="dxa"/>
            <w:vAlign w:val="bottom"/>
          </w:tcPr>
          <w:p>
            <w:pPr>
              <w:spacing w:after="0"/>
              <w:rPr>
                <w:sz w:val="22"/>
                <w:szCs w:val="22"/>
                <w:color w:val="auto"/>
              </w:rPr>
            </w:pPr>
          </w:p>
        </w:tc>
        <w:tc>
          <w:tcPr>
            <w:tcW w:w="2660" w:type="dxa"/>
            <w:vAlign w:val="bottom"/>
          </w:tcPr>
          <w:p>
            <w:pPr>
              <w:ind w:left="60"/>
              <w:spacing w:after="0"/>
              <w:rPr>
                <w:sz w:val="20"/>
                <w:szCs w:val="20"/>
                <w:color w:val="auto"/>
              </w:rPr>
            </w:pPr>
            <w:r>
              <w:rPr>
                <w:rFonts w:ascii="Arial" w:cs="Arial" w:eastAsia="Arial" w:hAnsi="Arial"/>
                <w:sz w:val="14"/>
                <w:szCs w:val="14"/>
                <w:b w:val="1"/>
                <w:bCs w:val="1"/>
                <w:color w:val="010035"/>
              </w:rPr>
              <w:t>Chris Rogers</w:t>
            </w:r>
          </w:p>
        </w:tc>
        <w:tc>
          <w:tcPr>
            <w:tcW w:w="2040" w:type="dxa"/>
            <w:vAlign w:val="bottom"/>
          </w:tcPr>
          <w:p>
            <w:pPr>
              <w:jc w:val="center"/>
              <w:spacing w:after="0"/>
              <w:rPr>
                <w:sz w:val="20"/>
                <w:szCs w:val="20"/>
                <w:color w:val="auto"/>
              </w:rPr>
            </w:pPr>
            <w:r>
              <w:rPr>
                <w:rFonts w:ascii="Arial" w:cs="Arial" w:eastAsia="Arial" w:hAnsi="Arial"/>
                <w:sz w:val="14"/>
                <w:szCs w:val="14"/>
                <w:color w:val="010035"/>
              </w:rPr>
              <w:t>$824,000</w:t>
            </w:r>
          </w:p>
        </w:tc>
        <w:tc>
          <w:tcPr>
            <w:tcW w:w="2080" w:type="dxa"/>
            <w:vAlign w:val="bottom"/>
          </w:tcPr>
          <w:p>
            <w:pPr>
              <w:jc w:val="center"/>
              <w:spacing w:after="0"/>
              <w:rPr>
                <w:sz w:val="20"/>
                <w:szCs w:val="20"/>
                <w:color w:val="auto"/>
              </w:rPr>
            </w:pPr>
            <w:r>
              <w:rPr>
                <w:rFonts w:ascii="Arial" w:cs="Arial" w:eastAsia="Arial" w:hAnsi="Arial"/>
                <w:sz w:val="14"/>
                <w:szCs w:val="14"/>
                <w:color w:val="010035"/>
              </w:rPr>
              <w:t>$800,000</w:t>
            </w:r>
          </w:p>
        </w:tc>
        <w:tc>
          <w:tcPr>
            <w:tcW w:w="2620" w:type="dxa"/>
            <w:vAlign w:val="bottom"/>
          </w:tcPr>
          <w:p>
            <w:pPr>
              <w:jc w:val="center"/>
              <w:ind w:left="228"/>
              <w:spacing w:after="0"/>
              <w:rPr>
                <w:sz w:val="20"/>
                <w:szCs w:val="20"/>
                <w:color w:val="auto"/>
              </w:rPr>
            </w:pPr>
            <w:r>
              <w:rPr>
                <w:rFonts w:ascii="Arial" w:cs="Arial" w:eastAsia="Arial" w:hAnsi="Arial"/>
                <w:sz w:val="14"/>
                <w:szCs w:val="14"/>
                <w:color w:val="010035"/>
                <w:w w:val="98"/>
              </w:rPr>
              <w:t>3%</w:t>
            </w:r>
          </w:p>
        </w:tc>
        <w:tc>
          <w:tcPr>
            <w:tcW w:w="820" w:type="dxa"/>
            <w:vAlign w:val="bottom"/>
          </w:tcPr>
          <w:p>
            <w:pPr>
              <w:spacing w:after="0"/>
              <w:rPr>
                <w:sz w:val="22"/>
                <w:szCs w:val="22"/>
                <w:color w:val="auto"/>
              </w:rPr>
            </w:pPr>
          </w:p>
        </w:tc>
      </w:tr>
      <w:tr>
        <w:trPr>
          <w:trHeight w:val="56"/>
        </w:trPr>
        <w:tc>
          <w:tcPr>
            <w:tcW w:w="8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88"/>
        </w:trPr>
        <w:tc>
          <w:tcPr>
            <w:tcW w:w="800" w:type="dxa"/>
            <w:vAlign w:val="bottom"/>
          </w:tcPr>
          <w:p>
            <w:pPr>
              <w:spacing w:after="0"/>
              <w:rPr>
                <w:sz w:val="24"/>
                <w:szCs w:val="24"/>
                <w:color w:val="auto"/>
              </w:rPr>
            </w:pPr>
          </w:p>
        </w:tc>
        <w:tc>
          <w:tcPr>
            <w:tcW w:w="2660" w:type="dxa"/>
            <w:vAlign w:val="bottom"/>
            <w:tcBorders>
              <w:bottom w:val="single" w:sz="8" w:color="DED8EC"/>
            </w:tcBorders>
            <w:shd w:val="clear" w:color="auto" w:fill="DED8EC"/>
          </w:tcPr>
          <w:p>
            <w:pPr>
              <w:ind w:left="60"/>
              <w:spacing w:after="0"/>
              <w:rPr>
                <w:sz w:val="20"/>
                <w:szCs w:val="20"/>
                <w:color w:val="auto"/>
              </w:rPr>
            </w:pPr>
            <w:r>
              <w:rPr>
                <w:rFonts w:ascii="Arial" w:cs="Arial" w:eastAsia="Arial" w:hAnsi="Arial"/>
                <w:sz w:val="14"/>
                <w:szCs w:val="14"/>
                <w:b w:val="1"/>
                <w:bCs w:val="1"/>
                <w:color w:val="010035"/>
              </w:rPr>
              <w:t>Todd George</w:t>
            </w:r>
          </w:p>
        </w:tc>
        <w:tc>
          <w:tcPr>
            <w:tcW w:w="20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$1,030,000</w:t>
            </w:r>
          </w:p>
        </w:tc>
        <w:tc>
          <w:tcPr>
            <w:tcW w:w="208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$1,000,000</w:t>
            </w:r>
          </w:p>
        </w:tc>
        <w:tc>
          <w:tcPr>
            <w:tcW w:w="2620" w:type="dxa"/>
            <w:vAlign w:val="bottom"/>
            <w:tcBorders>
              <w:bottom w:val="single" w:sz="8" w:color="DED8EC"/>
            </w:tcBorders>
            <w:shd w:val="clear" w:color="auto" w:fill="DED8EC"/>
          </w:tcPr>
          <w:p>
            <w:pPr>
              <w:jc w:val="center"/>
              <w:ind w:left="228"/>
              <w:spacing w:after="0"/>
              <w:rPr>
                <w:sz w:val="20"/>
                <w:szCs w:val="20"/>
                <w:color w:val="auto"/>
              </w:rPr>
            </w:pPr>
            <w:r>
              <w:rPr>
                <w:rFonts w:ascii="Arial" w:cs="Arial" w:eastAsia="Arial" w:hAnsi="Arial"/>
                <w:sz w:val="14"/>
                <w:szCs w:val="14"/>
                <w:color w:val="010035"/>
                <w:w w:val="98"/>
              </w:rPr>
              <w:t>3%</w:t>
            </w:r>
          </w:p>
        </w:tc>
        <w:tc>
          <w:tcPr>
            <w:tcW w:w="820" w:type="dxa"/>
            <w:vAlign w:val="bottom"/>
          </w:tcPr>
          <w:p>
            <w:pPr>
              <w:spacing w:after="0"/>
              <w:rPr>
                <w:sz w:val="24"/>
                <w:szCs w:val="24"/>
                <w:color w:val="auto"/>
              </w:rPr>
            </w:pPr>
          </w:p>
        </w:tc>
      </w:tr>
      <w:tr>
        <w:trPr>
          <w:trHeight w:val="176"/>
        </w:trPr>
        <w:tc>
          <w:tcPr>
            <w:tcW w:w="800" w:type="dxa"/>
            <w:vAlign w:val="bottom"/>
            <w:tcBorders>
              <w:bottom w:val="single" w:sz="8" w:color="auto"/>
            </w:tcBorders>
          </w:tcPr>
          <w:p>
            <w:pPr>
              <w:spacing w:after="0"/>
              <w:rPr>
                <w:sz w:val="15"/>
                <w:szCs w:val="15"/>
                <w:color w:val="auto"/>
              </w:rPr>
            </w:pPr>
          </w:p>
        </w:tc>
        <w:tc>
          <w:tcPr>
            <w:tcW w:w="2660" w:type="dxa"/>
            <w:vAlign w:val="bottom"/>
            <w:tcBorders>
              <w:top w:val="single" w:sz="8" w:color="010035"/>
              <w:bottom w:val="single" w:sz="8" w:color="auto"/>
            </w:tcBorders>
          </w:tcPr>
          <w:p>
            <w:pPr>
              <w:spacing w:after="0"/>
              <w:rPr>
                <w:sz w:val="15"/>
                <w:szCs w:val="15"/>
                <w:color w:val="auto"/>
              </w:rPr>
            </w:pPr>
          </w:p>
        </w:tc>
        <w:tc>
          <w:tcPr>
            <w:tcW w:w="2040" w:type="dxa"/>
            <w:vAlign w:val="bottom"/>
            <w:tcBorders>
              <w:top w:val="single" w:sz="8" w:color="010035"/>
              <w:bottom w:val="single" w:sz="8" w:color="auto"/>
            </w:tcBorders>
          </w:tcPr>
          <w:p>
            <w:pPr>
              <w:spacing w:after="0"/>
              <w:rPr>
                <w:sz w:val="15"/>
                <w:szCs w:val="15"/>
                <w:color w:val="auto"/>
              </w:rPr>
            </w:pPr>
          </w:p>
        </w:tc>
        <w:tc>
          <w:tcPr>
            <w:tcW w:w="2080" w:type="dxa"/>
            <w:vAlign w:val="bottom"/>
            <w:tcBorders>
              <w:top w:val="single" w:sz="8" w:color="010035"/>
              <w:bottom w:val="single" w:sz="8" w:color="auto"/>
            </w:tcBorders>
          </w:tcPr>
          <w:p>
            <w:pPr>
              <w:spacing w:after="0"/>
              <w:rPr>
                <w:sz w:val="15"/>
                <w:szCs w:val="15"/>
                <w:color w:val="auto"/>
              </w:rPr>
            </w:pPr>
          </w:p>
        </w:tc>
        <w:tc>
          <w:tcPr>
            <w:tcW w:w="2620" w:type="dxa"/>
            <w:vAlign w:val="bottom"/>
            <w:tcBorders>
              <w:top w:val="single" w:sz="8" w:color="010035"/>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74" w:name="page75"/>
    <w:bookmarkEnd w:id="74"/>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102870</wp:posOffset>
            </wp:positionV>
            <wp:extent cx="4414520" cy="13716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ind w:right="820"/>
        <w:spacing w:after="0"/>
        <w:tabs>
          <w:tab w:leader="none" w:pos="96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32385</wp:posOffset>
            </wp:positionV>
            <wp:extent cx="5966460" cy="1968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ind w:left="800"/>
        <w:spacing w:after="0"/>
        <w:rPr>
          <w:sz w:val="20"/>
          <w:szCs w:val="20"/>
          <w:color w:val="auto"/>
        </w:rPr>
      </w:pPr>
      <w:r>
        <w:rPr>
          <w:sz w:val="1"/>
          <w:szCs w:val="1"/>
          <w:color w:val="auto"/>
        </w:rPr>
        <w:drawing>
          <wp:inline distT="0" distB="0" distL="0" distR="0">
            <wp:extent cx="137160" cy="485775"/>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-299085</wp:posOffset>
            </wp:positionV>
            <wp:extent cx="5829300" cy="3003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Annual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left="800" w:right="1020"/>
        <w:spacing w:after="0" w:line="285" w:lineRule="auto"/>
        <w:rPr>
          <w:sz w:val="20"/>
          <w:szCs w:val="20"/>
          <w:color w:val="auto"/>
        </w:rPr>
      </w:pPr>
      <w:r>
        <w:rPr>
          <w:rFonts w:ascii="Arial" w:cs="Arial" w:eastAsia="Arial" w:hAnsi="Arial"/>
          <w:sz w:val="14"/>
          <w:szCs w:val="14"/>
          <w:color w:val="auto"/>
        </w:rPr>
        <w:t>Our NEOs are eligible to participate in the STIP, which is designed to motivate achievement of near-term performance objectives that support the Company’s long-term success and ability to create sustained shareholder value.</w:t>
      </w:r>
    </w:p>
    <w:p>
      <w:pPr>
        <w:spacing w:after="0" w:line="50" w:lineRule="exact"/>
        <w:rPr>
          <w:sz w:val="20"/>
          <w:szCs w:val="20"/>
          <w:color w:val="auto"/>
        </w:rPr>
      </w:pPr>
    </w:p>
    <w:p>
      <w:pPr>
        <w:ind w:left="800" w:right="1000"/>
        <w:spacing w:after="0" w:line="252" w:lineRule="auto"/>
        <w:rPr>
          <w:sz w:val="20"/>
          <w:szCs w:val="20"/>
          <w:color w:val="auto"/>
        </w:rPr>
      </w:pPr>
      <w:r>
        <w:rPr>
          <w:rFonts w:ascii="Arial" w:cs="Arial" w:eastAsia="Arial" w:hAnsi="Arial"/>
          <w:sz w:val="14"/>
          <w:szCs w:val="14"/>
          <w:color w:val="auto"/>
        </w:rPr>
        <w:t>The STIP payout opportunities are based on performance against pre-established corporate performance objective(s), with actual STIP bonuses earned based on the achievement of such performance objective(s) each fiscal year. The Committee sets the range of the STIP opportunity payable to each executive as a percentage of annual base salary, consistent with compensation peer group practices, with reference to the compensation peer group median target bonus levels. If actual performance falls between threshold and target, or between target and maximum, payouts are determined by linear interpolation between threshold and target or target and maximum level of achievement, as applicable.</w:t>
      </w:r>
    </w:p>
    <w:p>
      <w:pPr>
        <w:spacing w:after="0" w:line="35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2025 STIP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left="800" w:right="920"/>
        <w:spacing w:after="0" w:line="285" w:lineRule="auto"/>
        <w:rPr>
          <w:sz w:val="20"/>
          <w:szCs w:val="20"/>
          <w:color w:val="auto"/>
        </w:rPr>
      </w:pPr>
      <w:r>
        <w:rPr>
          <w:rFonts w:ascii="Arial" w:cs="Arial" w:eastAsia="Arial" w:hAnsi="Arial"/>
          <w:sz w:val="14"/>
          <w:szCs w:val="14"/>
          <w:color w:val="auto"/>
        </w:rPr>
        <w:t>For 2025, the Committee maintained all target STIP opportunities for NEOs from 2024, with no increases. Our CEO’s annual STIP opportunity has remained the same since 2021.</w:t>
      </w:r>
    </w:p>
    <w:p>
      <w:pPr>
        <w:spacing w:after="0" w:line="50" w:lineRule="exact"/>
        <w:rPr>
          <w:sz w:val="20"/>
          <w:szCs w:val="20"/>
          <w:color w:val="auto"/>
        </w:rPr>
      </w:pPr>
    </w:p>
    <w:p>
      <w:pPr>
        <w:ind w:left="800" w:right="960"/>
        <w:spacing w:after="0" w:line="256" w:lineRule="auto"/>
        <w:rPr>
          <w:sz w:val="20"/>
          <w:szCs w:val="20"/>
          <w:color w:val="auto"/>
        </w:rPr>
      </w:pPr>
      <w:r>
        <w:rPr>
          <w:rFonts w:ascii="Arial" w:cs="Arial" w:eastAsia="Arial" w:hAnsi="Arial"/>
          <w:sz w:val="14"/>
          <w:szCs w:val="14"/>
          <w:color w:val="auto"/>
        </w:rPr>
        <w:t>The Committee approved Adjusted EBITDAR as the performance metric for the 2025 STIP, defined as the consolidated results for the Company’s Retail, Interactive and Other (including Corporate Overhead). The Committee determined that Adjusted EBITDAR is an objective and quantifiable measurement of the Company’s financial performance, balancing a forward-looking approach to executing on our strategic initiatives with a disciplined approach to supporting our long-term growth priorities.</w:t>
      </w:r>
    </w:p>
    <w:p>
      <w:pPr>
        <w:spacing w:after="0" w:line="69" w:lineRule="exact"/>
        <w:rPr>
          <w:sz w:val="20"/>
          <w:szCs w:val="20"/>
          <w:color w:val="auto"/>
        </w:rPr>
      </w:pPr>
    </w:p>
    <w:p>
      <w:pPr>
        <w:ind w:left="800" w:right="900"/>
        <w:spacing w:after="0" w:line="252" w:lineRule="auto"/>
        <w:rPr>
          <w:sz w:val="20"/>
          <w:szCs w:val="20"/>
          <w:color w:val="auto"/>
        </w:rPr>
      </w:pPr>
      <w:r>
        <w:rPr>
          <w:rFonts w:ascii="Arial" w:cs="Arial" w:eastAsia="Arial" w:hAnsi="Arial"/>
          <w:sz w:val="14"/>
          <w:szCs w:val="14"/>
          <w:color w:val="auto"/>
        </w:rPr>
        <w:t>To ensure the Adjusted EBITDAR goal for the 2025 STIP reflected appropriate rigor, the Committee conducted a comprehensive review of both internal and external considerations. Specifically, the Committee evaluated the Company’s 2025 operating plan, projected market conditions, expected progress against our long-term growth strategy, and perspectives gathered from analysts and shareholders. This review was designed to ensure that the Adjusted EBITDAR goal established for the year was both grounded in the Company’s financial outlook and aligned with shareholder expectations for disciplined target setting.</w:t>
      </w:r>
    </w:p>
    <w:p>
      <w:pPr>
        <w:spacing w:after="0" w:line="73" w:lineRule="exact"/>
        <w:rPr>
          <w:sz w:val="20"/>
          <w:szCs w:val="20"/>
          <w:color w:val="auto"/>
        </w:rPr>
      </w:pPr>
    </w:p>
    <w:p>
      <w:pPr>
        <w:ind w:left="800" w:right="860"/>
        <w:spacing w:after="0" w:line="248" w:lineRule="auto"/>
        <w:rPr>
          <w:sz w:val="20"/>
          <w:szCs w:val="20"/>
          <w:color w:val="auto"/>
        </w:rPr>
      </w:pPr>
      <w:r>
        <w:rPr>
          <w:rFonts w:ascii="Arial" w:cs="Arial" w:eastAsia="Arial" w:hAnsi="Arial"/>
          <w:sz w:val="14"/>
          <w:szCs w:val="14"/>
          <w:color w:val="auto"/>
        </w:rPr>
        <w:t>Following this analysis, the Committee approved the threshold, target, and maximum performance levels for Adjusted EBITDAR. The target goal was set 12% above the prior year’s target and 26% above the actual result achieved in 2024, reflecting the Company’s approved operating plan and public financial guidance for the year. Threshold and maximum performance levels were informed by sensitivity analyses around the Company’s operating plan, which was approved by the Committee and the Board. The threshold level reflected performance at the lower end of the anticipated range, while the maximum level required a significant degree of outperformance relative to the operating plan and public financial guidance. The Committee believes the maximum goal appropriately represented stretch performance that would require exceptional execution by the management team to achieve.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800" w:type="dxa"/>
            <w:vAlign w:val="bottom"/>
          </w:tcPr>
          <w:p>
            <w:pPr>
              <w:spacing w:after="0"/>
              <w:rPr>
                <w:sz w:val="24"/>
                <w:szCs w:val="24"/>
                <w:color w:val="auto"/>
              </w:rPr>
            </w:pPr>
          </w:p>
        </w:tc>
        <w:tc>
          <w:tcPr>
            <w:tcW w:w="2420" w:type="dxa"/>
            <w:vAlign w:val="bottom"/>
            <w:tcBorders>
              <w:top w:val="single" w:sz="8" w:color="69439A"/>
            </w:tcBorders>
            <w:shd w:val="clear" w:color="auto" w:fill="010035"/>
          </w:tcPr>
          <w:p>
            <w:pPr>
              <w:spacing w:after="0"/>
              <w:rPr>
                <w:sz w:val="24"/>
                <w:szCs w:val="24"/>
                <w:color w:val="auto"/>
              </w:rPr>
            </w:pPr>
          </w:p>
        </w:tc>
        <w:tc>
          <w:tcPr>
            <w:tcW w:w="128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THRESHOLD</w:t>
            </w:r>
          </w:p>
        </w:tc>
        <w:tc>
          <w:tcPr>
            <w:tcW w:w="114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TARGET</w:t>
            </w:r>
          </w:p>
        </w:tc>
        <w:tc>
          <w:tcPr>
            <w:tcW w:w="124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MAXIMUM</w:t>
            </w:r>
          </w:p>
        </w:tc>
        <w:tc>
          <w:tcPr>
            <w:tcW w:w="2340" w:type="dxa"/>
            <w:vAlign w:val="bottom"/>
            <w:tcBorders>
              <w:top w:val="single" w:sz="8" w:color="69439A"/>
            </w:tcBorders>
            <w:gridSpan w:val="2"/>
            <w:vMerge w:val="restart"/>
            <w:shd w:val="clear" w:color="auto" w:fill="010035"/>
          </w:tcPr>
          <w:p>
            <w:pPr>
              <w:jc w:val="right"/>
              <w:ind w:right="108"/>
              <w:spacing w:after="0"/>
              <w:rPr>
                <w:sz w:val="20"/>
                <w:szCs w:val="20"/>
                <w:color w:val="auto"/>
              </w:rPr>
            </w:pPr>
            <w:r>
              <w:rPr>
                <w:rFonts w:ascii="Arial" w:cs="Arial" w:eastAsia="Arial" w:hAnsi="Arial"/>
                <w:sz w:val="14"/>
                <w:szCs w:val="14"/>
                <w:b w:val="1"/>
                <w:bCs w:val="1"/>
                <w:color w:val="FFFFFF"/>
              </w:rPr>
              <w:t>ACHIEVEMENT ACHIEVEMENT</w:t>
            </w:r>
          </w:p>
        </w:tc>
        <w:tc>
          <w:tcPr>
            <w:tcW w:w="980" w:type="dxa"/>
            <w:vAlign w:val="bottom"/>
            <w:tcBorders>
              <w:top w:val="single" w:sz="8" w:color="69439A"/>
            </w:tcBorders>
            <w:vMerge w:val="restart"/>
            <w:shd w:val="clear" w:color="auto" w:fill="010035"/>
          </w:tcPr>
          <w:p>
            <w:pPr>
              <w:jc w:val="center"/>
              <w:ind w:right="28"/>
              <w:spacing w:after="0"/>
              <w:rPr>
                <w:sz w:val="20"/>
                <w:szCs w:val="20"/>
                <w:color w:val="auto"/>
              </w:rPr>
            </w:pPr>
            <w:r>
              <w:rPr>
                <w:rFonts w:ascii="Arial" w:cs="Arial" w:eastAsia="Arial" w:hAnsi="Arial"/>
                <w:sz w:val="14"/>
                <w:szCs w:val="14"/>
                <w:b w:val="1"/>
                <w:bCs w:val="1"/>
                <w:color w:val="FFFFFF"/>
                <w:w w:val="95"/>
              </w:rPr>
              <w:t>PAYOUT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2420" w:type="dxa"/>
            <w:vAlign w:val="bottom"/>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w w:val="99"/>
              </w:rPr>
              <w:t>2025 STIP PERFORMANCE METRIC</w:t>
            </w:r>
          </w:p>
        </w:tc>
        <w:tc>
          <w:tcPr>
            <w:tcW w:w="12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50% OF</w:t>
            </w:r>
          </w:p>
        </w:tc>
        <w:tc>
          <w:tcPr>
            <w:tcW w:w="114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100% OF</w:t>
            </w:r>
          </w:p>
        </w:tc>
        <w:tc>
          <w:tcPr>
            <w:tcW w:w="124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rPr>
              <w:t>200% OF</w:t>
            </w:r>
          </w:p>
        </w:tc>
        <w:tc>
          <w:tcPr>
            <w:tcW w:w="2340" w:type="dxa"/>
            <w:vAlign w:val="bottom"/>
            <w:gridSpan w:val="2"/>
            <w:vMerge w:val="continue"/>
            <w:shd w:val="clear" w:color="auto" w:fill="010035"/>
          </w:tcPr>
          <w:p>
            <w:pPr>
              <w:spacing w:after="0"/>
              <w:rPr>
                <w:sz w:val="7"/>
                <w:szCs w:val="7"/>
                <w:color w:val="auto"/>
              </w:rPr>
            </w:pPr>
          </w:p>
        </w:tc>
        <w:tc>
          <w:tcPr>
            <w:tcW w:w="980" w:type="dxa"/>
            <w:vAlign w:val="bottom"/>
            <w:vMerge w:val="continue"/>
            <w:shd w:val="clear" w:color="auto" w:fill="010035"/>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2420" w:type="dxa"/>
            <w:vAlign w:val="bottom"/>
            <w:vMerge w:val="continue"/>
            <w:shd w:val="clear" w:color="auto" w:fill="010035"/>
          </w:tcPr>
          <w:p>
            <w:pPr>
              <w:spacing w:after="0"/>
              <w:rPr>
                <w:sz w:val="7"/>
                <w:szCs w:val="7"/>
                <w:color w:val="auto"/>
              </w:rPr>
            </w:pPr>
          </w:p>
        </w:tc>
        <w:tc>
          <w:tcPr>
            <w:tcW w:w="1280" w:type="dxa"/>
            <w:vAlign w:val="bottom"/>
            <w:vMerge w:val="continue"/>
            <w:shd w:val="clear" w:color="auto" w:fill="010035"/>
          </w:tcPr>
          <w:p>
            <w:pPr>
              <w:spacing w:after="0"/>
              <w:rPr>
                <w:sz w:val="7"/>
                <w:szCs w:val="7"/>
                <w:color w:val="auto"/>
              </w:rPr>
            </w:pPr>
          </w:p>
        </w:tc>
        <w:tc>
          <w:tcPr>
            <w:tcW w:w="1140" w:type="dxa"/>
            <w:vAlign w:val="bottom"/>
            <w:vMerge w:val="continue"/>
            <w:shd w:val="clear" w:color="auto" w:fill="010035"/>
          </w:tcPr>
          <w:p>
            <w:pPr>
              <w:spacing w:after="0"/>
              <w:rPr>
                <w:sz w:val="7"/>
                <w:szCs w:val="7"/>
                <w:color w:val="auto"/>
              </w:rPr>
            </w:pPr>
          </w:p>
        </w:tc>
        <w:tc>
          <w:tcPr>
            <w:tcW w:w="1240" w:type="dxa"/>
            <w:vAlign w:val="bottom"/>
            <w:vMerge w:val="continue"/>
            <w:shd w:val="clear" w:color="auto" w:fill="010035"/>
          </w:tcPr>
          <w:p>
            <w:pPr>
              <w:spacing w:after="0"/>
              <w:rPr>
                <w:sz w:val="7"/>
                <w:szCs w:val="7"/>
                <w:color w:val="auto"/>
              </w:rPr>
            </w:pPr>
          </w:p>
        </w:tc>
        <w:tc>
          <w:tcPr>
            <w:tcW w:w="1020" w:type="dxa"/>
            <w:vAlign w:val="bottom"/>
            <w:vMerge w:val="restart"/>
            <w:shd w:val="clear" w:color="auto" w:fill="010035"/>
          </w:tcPr>
          <w:p>
            <w:pPr>
              <w:jc w:val="right"/>
              <w:ind w:right="308"/>
              <w:spacing w:after="0"/>
              <w:rPr>
                <w:sz w:val="20"/>
                <w:szCs w:val="20"/>
                <w:color w:val="auto"/>
              </w:rPr>
            </w:pPr>
            <w:r>
              <w:rPr>
                <w:rFonts w:ascii="Arial" w:cs="Arial" w:eastAsia="Arial" w:hAnsi="Arial"/>
                <w:sz w:val="14"/>
                <w:szCs w:val="14"/>
                <w:b w:val="1"/>
                <w:bCs w:val="1"/>
                <w:color w:val="FFFFFF"/>
              </w:rPr>
              <w:t>($)</w:t>
            </w:r>
          </w:p>
        </w:tc>
        <w:tc>
          <w:tcPr>
            <w:tcW w:w="2300" w:type="dxa"/>
            <w:vAlign w:val="bottom"/>
            <w:gridSpan w:val="2"/>
            <w:vMerge w:val="restart"/>
            <w:shd w:val="clear" w:color="auto" w:fill="010035"/>
          </w:tcPr>
          <w:p>
            <w:pPr>
              <w:ind w:left="120"/>
              <w:spacing w:after="0"/>
              <w:rPr>
                <w:sz w:val="20"/>
                <w:szCs w:val="20"/>
                <w:color w:val="auto"/>
              </w:rPr>
            </w:pPr>
            <w:r>
              <w:rPr>
                <w:rFonts w:ascii="Arial" w:cs="Arial" w:eastAsia="Arial" w:hAnsi="Arial"/>
                <w:sz w:val="14"/>
                <w:szCs w:val="14"/>
                <w:b w:val="1"/>
                <w:bCs w:val="1"/>
                <w:color w:val="FFFFFF"/>
                <w:w w:val="99"/>
              </w:rPr>
              <w:t>(% OF TARGET) (% OF TARGET)</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2420" w:type="dxa"/>
            <w:vAlign w:val="bottom"/>
            <w:shd w:val="clear" w:color="auto" w:fill="010035"/>
          </w:tcPr>
          <w:p>
            <w:pPr>
              <w:spacing w:after="0"/>
              <w:rPr>
                <w:sz w:val="10"/>
                <w:szCs w:val="10"/>
                <w:color w:val="auto"/>
              </w:rPr>
            </w:pPr>
          </w:p>
        </w:tc>
        <w:tc>
          <w:tcPr>
            <w:tcW w:w="3660" w:type="dxa"/>
            <w:vAlign w:val="bottom"/>
            <w:gridSpan w:val="3"/>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TARGET PAYOUT TARGET PAYOUT TARGET PAYOUT</w:t>
            </w:r>
          </w:p>
        </w:tc>
        <w:tc>
          <w:tcPr>
            <w:tcW w:w="1020" w:type="dxa"/>
            <w:vAlign w:val="bottom"/>
            <w:vMerge w:val="continue"/>
            <w:shd w:val="clear" w:color="auto" w:fill="010035"/>
          </w:tcPr>
          <w:p>
            <w:pPr>
              <w:spacing w:after="0"/>
              <w:rPr>
                <w:sz w:val="10"/>
                <w:szCs w:val="10"/>
                <w:color w:val="auto"/>
              </w:rPr>
            </w:pPr>
          </w:p>
        </w:tc>
        <w:tc>
          <w:tcPr>
            <w:tcW w:w="2300" w:type="dxa"/>
            <w:vAlign w:val="bottom"/>
            <w:gridSpan w:val="2"/>
            <w:vMerge w:val="continue"/>
            <w:shd w:val="clear" w:color="auto" w:fill="010035"/>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800" w:type="dxa"/>
            <w:vAlign w:val="bottom"/>
          </w:tcPr>
          <w:p>
            <w:pPr>
              <w:spacing w:after="0"/>
              <w:rPr>
                <w:sz w:val="9"/>
                <w:szCs w:val="9"/>
                <w:color w:val="auto"/>
              </w:rPr>
            </w:pPr>
          </w:p>
        </w:tc>
        <w:tc>
          <w:tcPr>
            <w:tcW w:w="2420" w:type="dxa"/>
            <w:vAlign w:val="bottom"/>
            <w:tcBorders>
              <w:bottom w:val="single" w:sz="8" w:color="010035"/>
            </w:tcBorders>
            <w:shd w:val="clear" w:color="auto" w:fill="010035"/>
          </w:tcPr>
          <w:p>
            <w:pPr>
              <w:spacing w:after="0"/>
              <w:rPr>
                <w:sz w:val="9"/>
                <w:szCs w:val="9"/>
                <w:color w:val="auto"/>
              </w:rPr>
            </w:pPr>
          </w:p>
        </w:tc>
        <w:tc>
          <w:tcPr>
            <w:tcW w:w="3660" w:type="dxa"/>
            <w:vAlign w:val="bottom"/>
            <w:tcBorders>
              <w:bottom w:val="single" w:sz="8" w:color="010035"/>
            </w:tcBorders>
            <w:gridSpan w:val="3"/>
            <w:vMerge w:val="continue"/>
            <w:shd w:val="clear" w:color="auto" w:fill="010035"/>
          </w:tcPr>
          <w:p>
            <w:pPr>
              <w:spacing w:after="0"/>
              <w:rPr>
                <w:sz w:val="9"/>
                <w:szCs w:val="9"/>
                <w:color w:val="auto"/>
              </w:rPr>
            </w:pPr>
          </w:p>
        </w:tc>
        <w:tc>
          <w:tcPr>
            <w:tcW w:w="1020" w:type="dxa"/>
            <w:vAlign w:val="bottom"/>
            <w:tcBorders>
              <w:bottom w:val="single" w:sz="8" w:color="010035"/>
            </w:tcBorders>
            <w:shd w:val="clear" w:color="auto" w:fill="010035"/>
          </w:tcPr>
          <w:p>
            <w:pPr>
              <w:spacing w:after="0"/>
              <w:rPr>
                <w:sz w:val="9"/>
                <w:szCs w:val="9"/>
                <w:color w:val="auto"/>
              </w:rPr>
            </w:pPr>
          </w:p>
        </w:tc>
        <w:tc>
          <w:tcPr>
            <w:tcW w:w="1320" w:type="dxa"/>
            <w:vAlign w:val="bottom"/>
            <w:tcBorders>
              <w:bottom w:val="single" w:sz="8" w:color="010035"/>
            </w:tcBorders>
            <w:shd w:val="clear" w:color="auto" w:fill="010035"/>
          </w:tcPr>
          <w:p>
            <w:pPr>
              <w:spacing w:after="0"/>
              <w:rPr>
                <w:sz w:val="9"/>
                <w:szCs w:val="9"/>
                <w:color w:val="auto"/>
              </w:rPr>
            </w:pPr>
          </w:p>
        </w:tc>
        <w:tc>
          <w:tcPr>
            <w:tcW w:w="980" w:type="dxa"/>
            <w:vAlign w:val="bottom"/>
            <w:tcBorders>
              <w:bottom w:val="single" w:sz="8" w:color="010035"/>
            </w:tcBorders>
            <w:shd w:val="clear" w:color="auto" w:fill="010035"/>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800" w:type="dxa"/>
            <w:vAlign w:val="bottom"/>
          </w:tcPr>
          <w:p>
            <w:pPr>
              <w:spacing w:after="0"/>
              <w:rPr>
                <w:sz w:val="21"/>
                <w:szCs w:val="21"/>
                <w:color w:val="auto"/>
              </w:rPr>
            </w:pPr>
          </w:p>
        </w:tc>
        <w:tc>
          <w:tcPr>
            <w:tcW w:w="2420" w:type="dxa"/>
            <w:vAlign w:val="bottom"/>
          </w:tcPr>
          <w:p>
            <w:pPr>
              <w:ind w:left="40"/>
              <w:spacing w:after="0"/>
              <w:rPr>
                <w:sz w:val="20"/>
                <w:szCs w:val="20"/>
                <w:color w:val="auto"/>
              </w:rPr>
            </w:pPr>
            <w:r>
              <w:rPr>
                <w:rFonts w:ascii="Arial" w:cs="Arial" w:eastAsia="Arial" w:hAnsi="Arial"/>
                <w:sz w:val="14"/>
                <w:szCs w:val="14"/>
                <w:color w:val="010035"/>
              </w:rPr>
              <w:t>Adjusted EBITDAR</w:t>
            </w:r>
          </w:p>
        </w:tc>
        <w:tc>
          <w:tcPr>
            <w:tcW w:w="1280" w:type="dxa"/>
            <w:vAlign w:val="bottom"/>
          </w:tcPr>
          <w:p>
            <w:pPr>
              <w:jc w:val="center"/>
              <w:spacing w:after="0"/>
              <w:rPr>
                <w:sz w:val="20"/>
                <w:szCs w:val="20"/>
                <w:color w:val="auto"/>
              </w:rPr>
            </w:pPr>
            <w:r>
              <w:rPr>
                <w:rFonts w:ascii="Arial" w:cs="Arial" w:eastAsia="Arial" w:hAnsi="Arial"/>
                <w:sz w:val="14"/>
                <w:szCs w:val="14"/>
                <w:color w:val="010035"/>
              </w:rPr>
              <w:t>$1,382M</w:t>
            </w:r>
          </w:p>
        </w:tc>
        <w:tc>
          <w:tcPr>
            <w:tcW w:w="1140" w:type="dxa"/>
            <w:vAlign w:val="bottom"/>
          </w:tcPr>
          <w:p>
            <w:pPr>
              <w:jc w:val="center"/>
              <w:spacing w:after="0"/>
              <w:rPr>
                <w:sz w:val="20"/>
                <w:szCs w:val="20"/>
                <w:color w:val="auto"/>
              </w:rPr>
            </w:pPr>
            <w:r>
              <w:rPr>
                <w:rFonts w:ascii="Arial" w:cs="Arial" w:eastAsia="Arial" w:hAnsi="Arial"/>
                <w:sz w:val="14"/>
                <w:szCs w:val="14"/>
                <w:color w:val="010035"/>
              </w:rPr>
              <w:t>$1,626M</w:t>
            </w:r>
          </w:p>
        </w:tc>
        <w:tc>
          <w:tcPr>
            <w:tcW w:w="1240" w:type="dxa"/>
            <w:vAlign w:val="bottom"/>
          </w:tcPr>
          <w:p>
            <w:pPr>
              <w:jc w:val="center"/>
              <w:spacing w:after="0"/>
              <w:rPr>
                <w:sz w:val="20"/>
                <w:szCs w:val="20"/>
                <w:color w:val="auto"/>
              </w:rPr>
            </w:pPr>
            <w:r>
              <w:rPr>
                <w:rFonts w:ascii="Arial" w:cs="Arial" w:eastAsia="Arial" w:hAnsi="Arial"/>
                <w:sz w:val="14"/>
                <w:szCs w:val="14"/>
                <w:color w:val="010035"/>
              </w:rPr>
              <w:t>$1,869M</w:t>
            </w:r>
          </w:p>
        </w:tc>
        <w:tc>
          <w:tcPr>
            <w:tcW w:w="1020" w:type="dxa"/>
            <w:vAlign w:val="bottom"/>
          </w:tcPr>
          <w:p>
            <w:pPr>
              <w:jc w:val="center"/>
              <w:spacing w:after="0"/>
              <w:rPr>
                <w:sz w:val="20"/>
                <w:szCs w:val="20"/>
                <w:color w:val="auto"/>
              </w:rPr>
            </w:pPr>
            <w:r>
              <w:rPr>
                <w:rFonts w:ascii="Arial" w:cs="Arial" w:eastAsia="Arial" w:hAnsi="Arial"/>
                <w:sz w:val="14"/>
                <w:szCs w:val="14"/>
                <w:color w:val="010035"/>
              </w:rPr>
              <w:t>$1,461.8M</w:t>
            </w:r>
          </w:p>
        </w:tc>
        <w:tc>
          <w:tcPr>
            <w:tcW w:w="1320" w:type="dxa"/>
            <w:vAlign w:val="bottom"/>
          </w:tcPr>
          <w:p>
            <w:pPr>
              <w:jc w:val="right"/>
              <w:ind w:right="408"/>
              <w:spacing w:after="0"/>
              <w:rPr>
                <w:sz w:val="20"/>
                <w:szCs w:val="20"/>
                <w:color w:val="auto"/>
              </w:rPr>
            </w:pPr>
            <w:r>
              <w:rPr>
                <w:rFonts w:ascii="Arial" w:cs="Arial" w:eastAsia="Arial" w:hAnsi="Arial"/>
                <w:sz w:val="14"/>
                <w:szCs w:val="14"/>
                <w:color w:val="010035"/>
              </w:rPr>
              <w:t>89.9%</w:t>
            </w:r>
          </w:p>
        </w:tc>
        <w:tc>
          <w:tcPr>
            <w:tcW w:w="980" w:type="dxa"/>
            <w:vAlign w:val="bottom"/>
          </w:tcPr>
          <w:p>
            <w:pPr>
              <w:jc w:val="right"/>
              <w:ind w:right="228"/>
              <w:spacing w:after="0"/>
              <w:rPr>
                <w:sz w:val="20"/>
                <w:szCs w:val="20"/>
                <w:color w:val="auto"/>
              </w:rPr>
            </w:pPr>
            <w:r>
              <w:rPr>
                <w:rFonts w:ascii="Arial" w:cs="Arial" w:eastAsia="Arial" w:hAnsi="Arial"/>
                <w:sz w:val="14"/>
                <w:szCs w:val="14"/>
                <w:color w:val="010035"/>
              </w:rPr>
              <w:t>~66.3%</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800" w:type="dxa"/>
            <w:vAlign w:val="bottom"/>
          </w:tcPr>
          <w:p>
            <w:pPr>
              <w:spacing w:after="0"/>
              <w:rPr>
                <w:sz w:val="3"/>
                <w:szCs w:val="3"/>
                <w:color w:val="auto"/>
              </w:rPr>
            </w:pPr>
          </w:p>
        </w:tc>
        <w:tc>
          <w:tcPr>
            <w:tcW w:w="2420" w:type="dxa"/>
            <w:vAlign w:val="bottom"/>
            <w:tcBorders>
              <w:bottom w:val="single" w:sz="8" w:color="010035"/>
            </w:tcBorders>
          </w:tcPr>
          <w:p>
            <w:pPr>
              <w:spacing w:after="0"/>
              <w:rPr>
                <w:sz w:val="3"/>
                <w:szCs w:val="3"/>
                <w:color w:val="auto"/>
              </w:rPr>
            </w:pPr>
          </w:p>
        </w:tc>
        <w:tc>
          <w:tcPr>
            <w:tcW w:w="1280" w:type="dxa"/>
            <w:vAlign w:val="bottom"/>
            <w:tcBorders>
              <w:bottom w:val="single" w:sz="8" w:color="010035"/>
            </w:tcBorders>
          </w:tcPr>
          <w:p>
            <w:pPr>
              <w:spacing w:after="0"/>
              <w:rPr>
                <w:sz w:val="3"/>
                <w:szCs w:val="3"/>
                <w:color w:val="auto"/>
              </w:rPr>
            </w:pPr>
          </w:p>
        </w:tc>
        <w:tc>
          <w:tcPr>
            <w:tcW w:w="1140" w:type="dxa"/>
            <w:vAlign w:val="bottom"/>
            <w:tcBorders>
              <w:bottom w:val="single" w:sz="8" w:color="010035"/>
            </w:tcBorders>
          </w:tcPr>
          <w:p>
            <w:pPr>
              <w:spacing w:after="0"/>
              <w:rPr>
                <w:sz w:val="3"/>
                <w:szCs w:val="3"/>
                <w:color w:val="auto"/>
              </w:rPr>
            </w:pPr>
          </w:p>
        </w:tc>
        <w:tc>
          <w:tcPr>
            <w:tcW w:w="1240" w:type="dxa"/>
            <w:vAlign w:val="bottom"/>
            <w:tcBorders>
              <w:bottom w:val="single" w:sz="8" w:color="010035"/>
            </w:tcBorders>
          </w:tcPr>
          <w:p>
            <w:pPr>
              <w:spacing w:after="0"/>
              <w:rPr>
                <w:sz w:val="3"/>
                <w:szCs w:val="3"/>
                <w:color w:val="auto"/>
              </w:rPr>
            </w:pPr>
          </w:p>
        </w:tc>
        <w:tc>
          <w:tcPr>
            <w:tcW w:w="1020" w:type="dxa"/>
            <w:vAlign w:val="bottom"/>
            <w:tcBorders>
              <w:bottom w:val="single" w:sz="8" w:color="010035"/>
            </w:tcBorders>
          </w:tcPr>
          <w:p>
            <w:pPr>
              <w:spacing w:after="0"/>
              <w:rPr>
                <w:sz w:val="3"/>
                <w:szCs w:val="3"/>
                <w:color w:val="auto"/>
              </w:rPr>
            </w:pPr>
          </w:p>
        </w:tc>
        <w:tc>
          <w:tcPr>
            <w:tcW w:w="1320" w:type="dxa"/>
            <w:vAlign w:val="bottom"/>
            <w:tcBorders>
              <w:bottom w:val="single" w:sz="8" w:color="010035"/>
            </w:tcBorders>
          </w:tcPr>
          <w:p>
            <w:pPr>
              <w:spacing w:after="0"/>
              <w:rPr>
                <w:sz w:val="3"/>
                <w:szCs w:val="3"/>
                <w:color w:val="auto"/>
              </w:rPr>
            </w:pPr>
          </w:p>
        </w:tc>
        <w:tc>
          <w:tcPr>
            <w:tcW w:w="980" w:type="dxa"/>
            <w:vAlign w:val="bottom"/>
            <w:tcBorders>
              <w:bottom w:val="single" w:sz="8" w:color="010035"/>
            </w:tcBorders>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75" w:name="page76"/>
    <w:bookmarkEnd w:id="75"/>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102870</wp:posOffset>
            </wp:positionV>
            <wp:extent cx="4423410" cy="11112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ind w:left="800"/>
        <w:spacing w:after="0"/>
        <w:tabs>
          <w:tab w:leader="none" w:pos="122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6350</wp:posOffset>
            </wp:positionV>
            <wp:extent cx="5966460" cy="1974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ind w:left="800"/>
        <w:spacing w:after="0"/>
        <w:rPr>
          <w:sz w:val="20"/>
          <w:szCs w:val="20"/>
          <w:color w:val="auto"/>
        </w:rPr>
      </w:pPr>
      <w:r>
        <w:rPr>
          <w:sz w:val="1"/>
          <w:szCs w:val="1"/>
          <w:color w:val="auto"/>
        </w:rPr>
        <w:drawing>
          <wp:inline distT="0" distB="0" distL="0" distR="0">
            <wp:extent cx="137160" cy="457200"/>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-295910</wp:posOffset>
            </wp:positionV>
            <wp:extent cx="5829300" cy="3003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2025 STIP Awards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During the first quarter of 2026, the Committee certified the Adjusted EBITDAR achievement level and associated STIP payouts for 2025, and the</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Board approved the CEO’s STIP award following the Committee’s recommendation, as set forth below:</w:t>
      </w:r>
    </w:p>
    <w:p>
      <w:pPr>
        <w:spacing w:after="0" w:line="57" w:lineRule="exact"/>
        <w:rPr>
          <w:sz w:val="20"/>
          <w:szCs w:val="20"/>
          <w:color w:val="auto"/>
        </w:rPr>
      </w:pPr>
    </w:p>
    <w:tbl>
      <w:tblPr>
        <w:tblLayout w:type="fixed"/>
        <w:tblInd w:w="800" w:type="dxa"/>
        <w:tblCellMar>
          <w:top w:w="0" w:type="dxa"/>
          <w:left w:w="0" w:type="dxa"/>
          <w:bottom w:w="0" w:type="dxa"/>
          <w:right w:w="0" w:type="dxa"/>
        </w:tblCellMar>
      </w:tblPr>
      <w:tr>
        <w:trPr>
          <w:trHeight w:val="315"/>
        </w:trPr>
        <w:tc>
          <w:tcPr>
            <w:tcW w:w="40" w:type="dxa"/>
            <w:vAlign w:val="bottom"/>
            <w:tcBorders>
              <w:top w:val="single" w:sz="8" w:color="69439A"/>
            </w:tcBorders>
            <w:shd w:val="clear" w:color="auto" w:fill="010035"/>
          </w:tcPr>
          <w:p>
            <w:pPr>
              <w:spacing w:after="0"/>
              <w:rPr>
                <w:sz w:val="24"/>
                <w:szCs w:val="24"/>
                <w:color w:val="auto"/>
              </w:rPr>
            </w:pPr>
          </w:p>
        </w:tc>
        <w:tc>
          <w:tcPr>
            <w:tcW w:w="2340" w:type="dxa"/>
            <w:vAlign w:val="bottom"/>
            <w:tcBorders>
              <w:top w:val="single" w:sz="8" w:color="69439A"/>
            </w:tcBorders>
            <w:vMerge w:val="restart"/>
            <w:shd w:val="clear" w:color="auto" w:fill="010035"/>
          </w:tcPr>
          <w:p>
            <w:pPr>
              <w:ind w:left="20"/>
              <w:spacing w:after="0"/>
              <w:rPr>
                <w:sz w:val="20"/>
                <w:szCs w:val="20"/>
                <w:color w:val="auto"/>
              </w:rPr>
            </w:pPr>
            <w:r>
              <w:rPr>
                <w:rFonts w:ascii="Arial" w:cs="Arial" w:eastAsia="Arial" w:hAnsi="Arial"/>
                <w:sz w:val="18"/>
                <w:szCs w:val="18"/>
                <w:b w:val="1"/>
                <w:bCs w:val="1"/>
                <w:color w:val="FFFFFF"/>
                <w:w w:val="89"/>
              </w:rPr>
              <w:t>NAMED EXECUTIVE OFFICER</w:t>
            </w:r>
          </w:p>
        </w:tc>
        <w:tc>
          <w:tcPr>
            <w:tcW w:w="1120" w:type="dxa"/>
            <w:vAlign w:val="bottom"/>
            <w:tcBorders>
              <w:top w:val="single" w:sz="8" w:color="69439A"/>
            </w:tcBorders>
            <w:shd w:val="clear" w:color="auto" w:fill="010035"/>
          </w:tcPr>
          <w:p>
            <w:pPr>
              <w:spacing w:after="0"/>
              <w:rPr>
                <w:sz w:val="24"/>
                <w:szCs w:val="24"/>
                <w:color w:val="auto"/>
              </w:rPr>
            </w:pPr>
          </w:p>
        </w:tc>
        <w:tc>
          <w:tcPr>
            <w:tcW w:w="192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2025 ANNUAL</w:t>
            </w:r>
          </w:p>
        </w:tc>
        <w:tc>
          <w:tcPr>
            <w:tcW w:w="124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TARGET STIP</w:t>
            </w:r>
          </w:p>
        </w:tc>
        <w:tc>
          <w:tcPr>
            <w:tcW w:w="106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2"/>
              </w:rPr>
              <w:t>PAYOUT</w:t>
            </w:r>
          </w:p>
        </w:tc>
        <w:tc>
          <w:tcPr>
            <w:tcW w:w="168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ACTUAL 2025 ANNUAL</w:t>
            </w:r>
          </w:p>
        </w:tc>
        <w:tc>
          <w:tcPr>
            <w:tcW w:w="0" w:type="dxa"/>
            <w:vAlign w:val="bottom"/>
          </w:tcPr>
          <w:p>
            <w:pPr>
              <w:spacing w:after="0"/>
              <w:rPr>
                <w:sz w:val="1"/>
                <w:szCs w:val="1"/>
                <w:color w:val="auto"/>
              </w:rPr>
            </w:pPr>
          </w:p>
        </w:tc>
      </w:tr>
      <w:tr>
        <w:trPr>
          <w:trHeight w:val="144"/>
        </w:trPr>
        <w:tc>
          <w:tcPr>
            <w:tcW w:w="40" w:type="dxa"/>
            <w:vAlign w:val="bottom"/>
            <w:shd w:val="clear" w:color="auto" w:fill="010035"/>
          </w:tcPr>
          <w:p>
            <w:pPr>
              <w:spacing w:after="0"/>
              <w:rPr>
                <w:sz w:val="12"/>
                <w:szCs w:val="12"/>
                <w:color w:val="auto"/>
              </w:rPr>
            </w:pPr>
          </w:p>
        </w:tc>
        <w:tc>
          <w:tcPr>
            <w:tcW w:w="2340" w:type="dxa"/>
            <w:vAlign w:val="bottom"/>
            <w:vMerge w:val="continue"/>
            <w:shd w:val="clear" w:color="auto" w:fill="010035"/>
          </w:tcPr>
          <w:p>
            <w:pPr>
              <w:spacing w:after="0"/>
              <w:rPr>
                <w:sz w:val="12"/>
                <w:szCs w:val="12"/>
                <w:color w:val="auto"/>
              </w:rPr>
            </w:pPr>
          </w:p>
        </w:tc>
        <w:tc>
          <w:tcPr>
            <w:tcW w:w="1120" w:type="dxa"/>
            <w:vAlign w:val="bottom"/>
            <w:shd w:val="clear" w:color="auto" w:fill="010035"/>
          </w:tcPr>
          <w:p>
            <w:pPr>
              <w:ind w:left="40"/>
              <w:spacing w:after="0" w:line="145" w:lineRule="exact"/>
              <w:rPr>
                <w:sz w:val="20"/>
                <w:szCs w:val="20"/>
                <w:color w:val="auto"/>
              </w:rPr>
            </w:pPr>
            <w:r>
              <w:rPr>
                <w:rFonts w:ascii="Arial" w:cs="Arial" w:eastAsia="Arial" w:hAnsi="Arial"/>
                <w:sz w:val="14"/>
                <w:szCs w:val="14"/>
                <w:b w:val="1"/>
                <w:bCs w:val="1"/>
                <w:color w:val="FFFFFF"/>
              </w:rPr>
              <w:t>BASE SALARY</w:t>
            </w:r>
          </w:p>
        </w:tc>
        <w:tc>
          <w:tcPr>
            <w:tcW w:w="192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9"/>
              </w:rPr>
              <w:t>INCENTIVE OPPORTUNITY</w:t>
            </w:r>
          </w:p>
        </w:tc>
        <w:tc>
          <w:tcPr>
            <w:tcW w:w="1240" w:type="dxa"/>
            <w:vAlign w:val="bottom"/>
            <w:vMerge w:val="continue"/>
            <w:shd w:val="clear" w:color="auto" w:fill="010035"/>
          </w:tcPr>
          <w:p>
            <w:pPr>
              <w:spacing w:after="0"/>
              <w:rPr>
                <w:sz w:val="12"/>
                <w:szCs w:val="12"/>
                <w:color w:val="auto"/>
              </w:rPr>
            </w:pPr>
          </w:p>
        </w:tc>
        <w:tc>
          <w:tcPr>
            <w:tcW w:w="1060" w:type="dxa"/>
            <w:vAlign w:val="bottom"/>
            <w:vMerge w:val="continue"/>
            <w:shd w:val="clear" w:color="auto" w:fill="010035"/>
          </w:tcPr>
          <w:p>
            <w:pPr>
              <w:spacing w:after="0"/>
              <w:rPr>
                <w:sz w:val="12"/>
                <w:szCs w:val="12"/>
                <w:color w:val="auto"/>
              </w:rPr>
            </w:pPr>
          </w:p>
        </w:tc>
        <w:tc>
          <w:tcPr>
            <w:tcW w:w="1680" w:type="dxa"/>
            <w:vAlign w:val="bottom"/>
            <w:vMerge w:val="continue"/>
            <w:shd w:val="clear" w:color="auto" w:fill="010035"/>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10035"/>
          </w:tcPr>
          <w:p>
            <w:pPr>
              <w:spacing w:after="0"/>
              <w:rPr>
                <w:sz w:val="14"/>
                <w:szCs w:val="14"/>
                <w:color w:val="auto"/>
              </w:rPr>
            </w:pPr>
          </w:p>
        </w:tc>
        <w:tc>
          <w:tcPr>
            <w:tcW w:w="2340" w:type="dxa"/>
            <w:vAlign w:val="bottom"/>
            <w:shd w:val="clear" w:color="auto" w:fill="010035"/>
          </w:tcPr>
          <w:p>
            <w:pPr>
              <w:spacing w:after="0"/>
              <w:rPr>
                <w:sz w:val="14"/>
                <w:szCs w:val="14"/>
                <w:color w:val="auto"/>
              </w:rPr>
            </w:pPr>
          </w:p>
        </w:tc>
        <w:tc>
          <w:tcPr>
            <w:tcW w:w="1120" w:type="dxa"/>
            <w:vAlign w:val="bottom"/>
            <w:shd w:val="clear" w:color="auto" w:fill="010035"/>
          </w:tcPr>
          <w:p>
            <w:pPr>
              <w:spacing w:after="0"/>
              <w:rPr>
                <w:sz w:val="14"/>
                <w:szCs w:val="14"/>
                <w:color w:val="auto"/>
              </w:rPr>
            </w:pPr>
          </w:p>
        </w:tc>
        <w:tc>
          <w:tcPr>
            <w:tcW w:w="19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 of Base Salary)</w:t>
            </w:r>
          </w:p>
        </w:tc>
        <w:tc>
          <w:tcPr>
            <w:tcW w:w="124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OPPORTUNITY</w:t>
            </w:r>
          </w:p>
        </w:tc>
        <w:tc>
          <w:tcPr>
            <w:tcW w:w="106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5"/>
              </w:rPr>
              <w:t>(% of Target)</w:t>
            </w:r>
          </w:p>
        </w:tc>
        <w:tc>
          <w:tcPr>
            <w:tcW w:w="168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INCENTIVE PAYOUT</w:t>
            </w:r>
          </w:p>
        </w:tc>
        <w:tc>
          <w:tcPr>
            <w:tcW w:w="0" w:type="dxa"/>
            <w:vAlign w:val="bottom"/>
          </w:tcPr>
          <w:p>
            <w:pPr>
              <w:spacing w:after="0"/>
              <w:rPr>
                <w:sz w:val="1"/>
                <w:szCs w:val="1"/>
                <w:color w:val="auto"/>
              </w:rPr>
            </w:pPr>
          </w:p>
        </w:tc>
      </w:tr>
      <w:tr>
        <w:trPr>
          <w:trHeight w:val="75"/>
        </w:trPr>
        <w:tc>
          <w:tcPr>
            <w:tcW w:w="40" w:type="dxa"/>
            <w:vAlign w:val="bottom"/>
            <w:tcBorders>
              <w:bottom w:val="single" w:sz="8" w:color="010035"/>
            </w:tcBorders>
            <w:shd w:val="clear" w:color="auto" w:fill="010035"/>
          </w:tcPr>
          <w:p>
            <w:pPr>
              <w:spacing w:after="0"/>
              <w:rPr>
                <w:sz w:val="6"/>
                <w:szCs w:val="6"/>
                <w:color w:val="auto"/>
              </w:rPr>
            </w:pPr>
          </w:p>
        </w:tc>
        <w:tc>
          <w:tcPr>
            <w:tcW w:w="2340" w:type="dxa"/>
            <w:vAlign w:val="bottom"/>
            <w:tcBorders>
              <w:bottom w:val="single" w:sz="8" w:color="010035"/>
            </w:tcBorders>
            <w:shd w:val="clear" w:color="auto" w:fill="010035"/>
          </w:tcPr>
          <w:p>
            <w:pPr>
              <w:spacing w:after="0"/>
              <w:rPr>
                <w:sz w:val="6"/>
                <w:szCs w:val="6"/>
                <w:color w:val="auto"/>
              </w:rPr>
            </w:pPr>
          </w:p>
        </w:tc>
        <w:tc>
          <w:tcPr>
            <w:tcW w:w="1120" w:type="dxa"/>
            <w:vAlign w:val="bottom"/>
            <w:tcBorders>
              <w:bottom w:val="single" w:sz="8" w:color="010035"/>
            </w:tcBorders>
            <w:shd w:val="clear" w:color="auto" w:fill="010035"/>
          </w:tcPr>
          <w:p>
            <w:pPr>
              <w:spacing w:after="0"/>
              <w:rPr>
                <w:sz w:val="6"/>
                <w:szCs w:val="6"/>
                <w:color w:val="auto"/>
              </w:rPr>
            </w:pPr>
          </w:p>
        </w:tc>
        <w:tc>
          <w:tcPr>
            <w:tcW w:w="1920" w:type="dxa"/>
            <w:vAlign w:val="bottom"/>
            <w:tcBorders>
              <w:bottom w:val="single" w:sz="8" w:color="010035"/>
            </w:tcBorders>
            <w:vMerge w:val="continue"/>
            <w:shd w:val="clear" w:color="auto" w:fill="010035"/>
          </w:tcPr>
          <w:p>
            <w:pPr>
              <w:spacing w:after="0"/>
              <w:rPr>
                <w:sz w:val="6"/>
                <w:szCs w:val="6"/>
                <w:color w:val="auto"/>
              </w:rPr>
            </w:pPr>
          </w:p>
        </w:tc>
        <w:tc>
          <w:tcPr>
            <w:tcW w:w="1240" w:type="dxa"/>
            <w:vAlign w:val="bottom"/>
            <w:tcBorders>
              <w:bottom w:val="single" w:sz="8" w:color="010035"/>
            </w:tcBorders>
            <w:shd w:val="clear" w:color="auto" w:fill="010035"/>
          </w:tcPr>
          <w:p>
            <w:pPr>
              <w:spacing w:after="0"/>
              <w:rPr>
                <w:sz w:val="6"/>
                <w:szCs w:val="6"/>
                <w:color w:val="auto"/>
              </w:rPr>
            </w:pPr>
          </w:p>
        </w:tc>
        <w:tc>
          <w:tcPr>
            <w:tcW w:w="1060" w:type="dxa"/>
            <w:vAlign w:val="bottom"/>
            <w:tcBorders>
              <w:bottom w:val="single" w:sz="8" w:color="010035"/>
            </w:tcBorders>
            <w:shd w:val="clear" w:color="auto" w:fill="010035"/>
          </w:tcPr>
          <w:p>
            <w:pPr>
              <w:spacing w:after="0"/>
              <w:rPr>
                <w:sz w:val="6"/>
                <w:szCs w:val="6"/>
                <w:color w:val="auto"/>
              </w:rPr>
            </w:pPr>
          </w:p>
        </w:tc>
        <w:tc>
          <w:tcPr>
            <w:tcW w:w="1680" w:type="dxa"/>
            <w:vAlign w:val="bottom"/>
            <w:tcBorders>
              <w:bottom w:val="single" w:sz="8" w:color="010035"/>
            </w:tcBorders>
            <w:shd w:val="clear" w:color="auto" w:fill="010035"/>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2340" w:type="dxa"/>
            <w:vAlign w:val="bottom"/>
          </w:tcPr>
          <w:p>
            <w:pPr>
              <w:ind w:left="20"/>
              <w:spacing w:after="0"/>
              <w:rPr>
                <w:sz w:val="20"/>
                <w:szCs w:val="20"/>
                <w:color w:val="auto"/>
              </w:rPr>
            </w:pPr>
            <w:r>
              <w:rPr>
                <w:rFonts w:ascii="Arial" w:cs="Arial" w:eastAsia="Arial" w:hAnsi="Arial"/>
                <w:sz w:val="14"/>
                <w:szCs w:val="14"/>
                <w:b w:val="1"/>
                <w:bCs w:val="1"/>
                <w:color w:val="010035"/>
              </w:rPr>
              <w:t>Jay Snowden</w:t>
            </w:r>
          </w:p>
        </w:tc>
        <w:tc>
          <w:tcPr>
            <w:tcW w:w="1120" w:type="dxa"/>
            <w:vAlign w:val="bottom"/>
          </w:tcPr>
          <w:p>
            <w:pPr>
              <w:jc w:val="center"/>
              <w:spacing w:after="0"/>
              <w:rPr>
                <w:sz w:val="20"/>
                <w:szCs w:val="20"/>
                <w:color w:val="auto"/>
              </w:rPr>
            </w:pPr>
            <w:r>
              <w:rPr>
                <w:rFonts w:ascii="Arial" w:cs="Arial" w:eastAsia="Arial" w:hAnsi="Arial"/>
                <w:sz w:val="14"/>
                <w:szCs w:val="14"/>
                <w:color w:val="010035"/>
              </w:rPr>
              <w:t>$1,800,000</w:t>
            </w:r>
          </w:p>
        </w:tc>
        <w:tc>
          <w:tcPr>
            <w:tcW w:w="1920" w:type="dxa"/>
            <w:vAlign w:val="bottom"/>
          </w:tcPr>
          <w:p>
            <w:pPr>
              <w:jc w:val="center"/>
              <w:spacing w:after="0"/>
              <w:rPr>
                <w:sz w:val="20"/>
                <w:szCs w:val="20"/>
                <w:color w:val="auto"/>
              </w:rPr>
            </w:pPr>
            <w:r>
              <w:rPr>
                <w:rFonts w:ascii="Arial" w:cs="Arial" w:eastAsia="Arial" w:hAnsi="Arial"/>
                <w:sz w:val="14"/>
                <w:szCs w:val="14"/>
                <w:color w:val="010035"/>
              </w:rPr>
              <w:t>250%</w:t>
            </w:r>
          </w:p>
        </w:tc>
        <w:tc>
          <w:tcPr>
            <w:tcW w:w="1240" w:type="dxa"/>
            <w:vAlign w:val="bottom"/>
          </w:tcPr>
          <w:p>
            <w:pPr>
              <w:jc w:val="center"/>
              <w:ind w:right="8"/>
              <w:spacing w:after="0"/>
              <w:rPr>
                <w:sz w:val="20"/>
                <w:szCs w:val="20"/>
                <w:color w:val="auto"/>
              </w:rPr>
            </w:pPr>
            <w:r>
              <w:rPr>
                <w:rFonts w:ascii="Arial" w:cs="Arial" w:eastAsia="Arial" w:hAnsi="Arial"/>
                <w:sz w:val="14"/>
                <w:szCs w:val="14"/>
                <w:color w:val="010035"/>
              </w:rPr>
              <w:t>$4,500,000</w:t>
            </w:r>
          </w:p>
        </w:tc>
        <w:tc>
          <w:tcPr>
            <w:tcW w:w="1060" w:type="dxa"/>
            <w:vAlign w:val="bottom"/>
          </w:tcPr>
          <w:p>
            <w:pPr>
              <w:jc w:val="center"/>
              <w:spacing w:after="0"/>
              <w:rPr>
                <w:sz w:val="20"/>
                <w:szCs w:val="20"/>
                <w:color w:val="auto"/>
              </w:rPr>
            </w:pPr>
            <w:r>
              <w:rPr>
                <w:rFonts w:ascii="Arial" w:cs="Arial" w:eastAsia="Arial" w:hAnsi="Arial"/>
                <w:sz w:val="14"/>
                <w:szCs w:val="14"/>
                <w:color w:val="010035"/>
              </w:rPr>
              <w:t>66.3%</w:t>
            </w:r>
          </w:p>
        </w:tc>
        <w:tc>
          <w:tcPr>
            <w:tcW w:w="1680" w:type="dxa"/>
            <w:vAlign w:val="bottom"/>
          </w:tcPr>
          <w:p>
            <w:pPr>
              <w:jc w:val="center"/>
              <w:ind w:left="8"/>
              <w:spacing w:after="0"/>
              <w:rPr>
                <w:sz w:val="20"/>
                <w:szCs w:val="20"/>
                <w:color w:val="auto"/>
              </w:rPr>
            </w:pPr>
            <w:r>
              <w:rPr>
                <w:rFonts w:ascii="Arial" w:cs="Arial" w:eastAsia="Arial" w:hAnsi="Arial"/>
                <w:sz w:val="14"/>
                <w:szCs w:val="14"/>
                <w:color w:val="010035"/>
              </w:rPr>
              <w:t>$2,984,400</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0" w:type="dxa"/>
            <w:vAlign w:val="bottom"/>
            <w:tcBorders>
              <w:bottom w:val="single" w:sz="8" w:color="DED8EC"/>
            </w:tcBorders>
            <w:shd w:val="clear" w:color="auto" w:fill="DED8EC"/>
          </w:tcPr>
          <w:p>
            <w:pPr>
              <w:spacing w:after="0"/>
              <w:rPr>
                <w:sz w:val="24"/>
                <w:szCs w:val="24"/>
                <w:color w:val="auto"/>
              </w:rPr>
            </w:pPr>
          </w:p>
        </w:tc>
        <w:tc>
          <w:tcPr>
            <w:tcW w:w="2340" w:type="dxa"/>
            <w:vAlign w:val="bottom"/>
            <w:tcBorders>
              <w:bottom w:val="single" w:sz="8" w:color="DED8EC"/>
            </w:tcBorders>
            <w:shd w:val="clear" w:color="auto" w:fill="DED8EC"/>
          </w:tcPr>
          <w:p>
            <w:pPr>
              <w:ind w:left="20"/>
              <w:spacing w:after="0"/>
              <w:rPr>
                <w:sz w:val="20"/>
                <w:szCs w:val="20"/>
                <w:color w:val="auto"/>
              </w:rPr>
            </w:pPr>
            <w:r>
              <w:rPr>
                <w:rFonts w:ascii="Arial" w:cs="Arial" w:eastAsia="Arial" w:hAnsi="Arial"/>
                <w:sz w:val="14"/>
                <w:szCs w:val="14"/>
                <w:b w:val="1"/>
                <w:bCs w:val="1"/>
                <w:color w:val="010035"/>
              </w:rPr>
              <w:t>Felicia Hendrix</w:t>
            </w:r>
          </w:p>
        </w:tc>
        <w:tc>
          <w:tcPr>
            <w:tcW w:w="11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$927,000</w:t>
            </w:r>
          </w:p>
        </w:tc>
        <w:tc>
          <w:tcPr>
            <w:tcW w:w="19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125%</w:t>
            </w:r>
          </w:p>
        </w:tc>
        <w:tc>
          <w:tcPr>
            <w:tcW w:w="1240" w:type="dxa"/>
            <w:vAlign w:val="bottom"/>
            <w:tcBorders>
              <w:bottom w:val="single" w:sz="8" w:color="DED8EC"/>
            </w:tcBorders>
            <w:shd w:val="clear" w:color="auto" w:fill="DED8EC"/>
          </w:tcPr>
          <w:p>
            <w:pPr>
              <w:jc w:val="center"/>
              <w:ind w:right="8"/>
              <w:spacing w:after="0"/>
              <w:rPr>
                <w:sz w:val="20"/>
                <w:szCs w:val="20"/>
                <w:color w:val="auto"/>
              </w:rPr>
            </w:pPr>
            <w:r>
              <w:rPr>
                <w:rFonts w:ascii="Arial" w:cs="Arial" w:eastAsia="Arial" w:hAnsi="Arial"/>
                <w:sz w:val="14"/>
                <w:szCs w:val="14"/>
                <w:color w:val="010035"/>
              </w:rPr>
              <w:t>$1,158,750</w:t>
            </w:r>
          </w:p>
        </w:tc>
        <w:tc>
          <w:tcPr>
            <w:tcW w:w="106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66.3%</w:t>
            </w:r>
          </w:p>
        </w:tc>
        <w:tc>
          <w:tcPr>
            <w:tcW w:w="1680" w:type="dxa"/>
            <w:vAlign w:val="bottom"/>
            <w:tcBorders>
              <w:bottom w:val="single" w:sz="8" w:color="DED8EC"/>
            </w:tcBorders>
            <w:shd w:val="clear" w:color="auto" w:fill="DED8EC"/>
          </w:tcPr>
          <w:p>
            <w:pPr>
              <w:jc w:val="center"/>
              <w:ind w:left="8"/>
              <w:spacing w:after="0"/>
              <w:rPr>
                <w:sz w:val="20"/>
                <w:szCs w:val="20"/>
                <w:color w:val="auto"/>
              </w:rPr>
            </w:pPr>
            <w:r>
              <w:rPr>
                <w:rFonts w:ascii="Arial" w:cs="Arial" w:eastAsia="Arial" w:hAnsi="Arial"/>
                <w:sz w:val="14"/>
                <w:szCs w:val="14"/>
                <w:color w:val="010035"/>
              </w:rPr>
              <w:t>$768,638</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2340" w:type="dxa"/>
            <w:vAlign w:val="bottom"/>
          </w:tcPr>
          <w:p>
            <w:pPr>
              <w:ind w:left="20"/>
              <w:spacing w:after="0"/>
              <w:rPr>
                <w:sz w:val="20"/>
                <w:szCs w:val="20"/>
                <w:color w:val="auto"/>
              </w:rPr>
            </w:pPr>
            <w:r>
              <w:rPr>
                <w:rFonts w:ascii="Arial" w:cs="Arial" w:eastAsia="Arial" w:hAnsi="Arial"/>
                <w:sz w:val="14"/>
                <w:szCs w:val="14"/>
                <w:b w:val="1"/>
                <w:bCs w:val="1"/>
                <w:color w:val="010035"/>
              </w:rPr>
              <w:t>Chris Rogers</w:t>
            </w:r>
          </w:p>
        </w:tc>
        <w:tc>
          <w:tcPr>
            <w:tcW w:w="1120" w:type="dxa"/>
            <w:vAlign w:val="bottom"/>
          </w:tcPr>
          <w:p>
            <w:pPr>
              <w:jc w:val="center"/>
              <w:spacing w:after="0"/>
              <w:rPr>
                <w:sz w:val="20"/>
                <w:szCs w:val="20"/>
                <w:color w:val="auto"/>
              </w:rPr>
            </w:pPr>
            <w:r>
              <w:rPr>
                <w:rFonts w:ascii="Arial" w:cs="Arial" w:eastAsia="Arial" w:hAnsi="Arial"/>
                <w:sz w:val="14"/>
                <w:szCs w:val="14"/>
                <w:color w:val="010035"/>
              </w:rPr>
              <w:t>$824,000</w:t>
            </w:r>
          </w:p>
        </w:tc>
        <w:tc>
          <w:tcPr>
            <w:tcW w:w="1920" w:type="dxa"/>
            <w:vAlign w:val="bottom"/>
          </w:tcPr>
          <w:p>
            <w:pPr>
              <w:jc w:val="center"/>
              <w:spacing w:after="0"/>
              <w:rPr>
                <w:sz w:val="20"/>
                <w:szCs w:val="20"/>
                <w:color w:val="auto"/>
              </w:rPr>
            </w:pPr>
            <w:r>
              <w:rPr>
                <w:rFonts w:ascii="Arial" w:cs="Arial" w:eastAsia="Arial" w:hAnsi="Arial"/>
                <w:sz w:val="14"/>
                <w:szCs w:val="14"/>
                <w:color w:val="010035"/>
              </w:rPr>
              <w:t>125%</w:t>
            </w:r>
          </w:p>
        </w:tc>
        <w:tc>
          <w:tcPr>
            <w:tcW w:w="1240" w:type="dxa"/>
            <w:vAlign w:val="bottom"/>
          </w:tcPr>
          <w:p>
            <w:pPr>
              <w:jc w:val="center"/>
              <w:ind w:right="8"/>
              <w:spacing w:after="0"/>
              <w:rPr>
                <w:sz w:val="20"/>
                <w:szCs w:val="20"/>
                <w:color w:val="auto"/>
              </w:rPr>
            </w:pPr>
            <w:r>
              <w:rPr>
                <w:rFonts w:ascii="Arial" w:cs="Arial" w:eastAsia="Arial" w:hAnsi="Arial"/>
                <w:sz w:val="14"/>
                <w:szCs w:val="14"/>
                <w:color w:val="010035"/>
              </w:rPr>
              <w:t>$1,030,000</w:t>
            </w:r>
          </w:p>
        </w:tc>
        <w:tc>
          <w:tcPr>
            <w:tcW w:w="1060" w:type="dxa"/>
            <w:vAlign w:val="bottom"/>
          </w:tcPr>
          <w:p>
            <w:pPr>
              <w:jc w:val="center"/>
              <w:spacing w:after="0"/>
              <w:rPr>
                <w:sz w:val="20"/>
                <w:szCs w:val="20"/>
                <w:color w:val="auto"/>
              </w:rPr>
            </w:pPr>
            <w:r>
              <w:rPr>
                <w:rFonts w:ascii="Arial" w:cs="Arial" w:eastAsia="Arial" w:hAnsi="Arial"/>
                <w:sz w:val="14"/>
                <w:szCs w:val="14"/>
                <w:color w:val="010035"/>
              </w:rPr>
              <w:t>66.3%</w:t>
            </w:r>
          </w:p>
        </w:tc>
        <w:tc>
          <w:tcPr>
            <w:tcW w:w="1680" w:type="dxa"/>
            <w:vAlign w:val="bottom"/>
          </w:tcPr>
          <w:p>
            <w:pPr>
              <w:jc w:val="center"/>
              <w:ind w:left="8"/>
              <w:spacing w:after="0"/>
              <w:rPr>
                <w:sz w:val="20"/>
                <w:szCs w:val="20"/>
                <w:color w:val="auto"/>
              </w:rPr>
            </w:pPr>
            <w:r>
              <w:rPr>
                <w:rFonts w:ascii="Arial" w:cs="Arial" w:eastAsia="Arial" w:hAnsi="Arial"/>
                <w:sz w:val="14"/>
                <w:szCs w:val="14"/>
                <w:color w:val="010035"/>
              </w:rPr>
              <w:t>$683,233</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DED8EC"/>
            </w:tcBorders>
            <w:shd w:val="clear" w:color="auto" w:fill="DED8EC"/>
          </w:tcPr>
          <w:p>
            <w:pPr>
              <w:spacing w:after="0"/>
              <w:rPr>
                <w:sz w:val="22"/>
                <w:szCs w:val="22"/>
                <w:color w:val="auto"/>
              </w:rPr>
            </w:pPr>
          </w:p>
        </w:tc>
        <w:tc>
          <w:tcPr>
            <w:tcW w:w="2340" w:type="dxa"/>
            <w:vAlign w:val="bottom"/>
            <w:tcBorders>
              <w:bottom w:val="single" w:sz="8" w:color="DED8EC"/>
            </w:tcBorders>
            <w:shd w:val="clear" w:color="auto" w:fill="DED8EC"/>
          </w:tcPr>
          <w:p>
            <w:pPr>
              <w:ind w:left="20"/>
              <w:spacing w:after="0"/>
              <w:rPr>
                <w:sz w:val="20"/>
                <w:szCs w:val="20"/>
                <w:color w:val="auto"/>
              </w:rPr>
            </w:pPr>
            <w:r>
              <w:rPr>
                <w:rFonts w:ascii="Arial" w:cs="Arial" w:eastAsia="Arial" w:hAnsi="Arial"/>
                <w:sz w:val="14"/>
                <w:szCs w:val="14"/>
                <w:b w:val="1"/>
                <w:bCs w:val="1"/>
                <w:color w:val="010035"/>
              </w:rPr>
              <w:t>Todd George</w:t>
            </w:r>
          </w:p>
        </w:tc>
        <w:tc>
          <w:tcPr>
            <w:tcW w:w="11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$1,030,000</w:t>
            </w:r>
          </w:p>
        </w:tc>
        <w:tc>
          <w:tcPr>
            <w:tcW w:w="19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125%</w:t>
            </w:r>
          </w:p>
        </w:tc>
        <w:tc>
          <w:tcPr>
            <w:tcW w:w="1240" w:type="dxa"/>
            <w:vAlign w:val="bottom"/>
            <w:tcBorders>
              <w:bottom w:val="single" w:sz="8" w:color="DED8EC"/>
            </w:tcBorders>
            <w:shd w:val="clear" w:color="auto" w:fill="DED8EC"/>
          </w:tcPr>
          <w:p>
            <w:pPr>
              <w:jc w:val="center"/>
              <w:ind w:right="8"/>
              <w:spacing w:after="0"/>
              <w:rPr>
                <w:sz w:val="20"/>
                <w:szCs w:val="20"/>
                <w:color w:val="auto"/>
              </w:rPr>
            </w:pPr>
            <w:r>
              <w:rPr>
                <w:rFonts w:ascii="Arial" w:cs="Arial" w:eastAsia="Arial" w:hAnsi="Arial"/>
                <w:sz w:val="14"/>
                <w:szCs w:val="14"/>
                <w:color w:val="010035"/>
              </w:rPr>
              <w:t>$1,287,500</w:t>
            </w:r>
          </w:p>
        </w:tc>
        <w:tc>
          <w:tcPr>
            <w:tcW w:w="106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66.3%</w:t>
            </w:r>
          </w:p>
        </w:tc>
        <w:tc>
          <w:tcPr>
            <w:tcW w:w="1680" w:type="dxa"/>
            <w:vAlign w:val="bottom"/>
            <w:tcBorders>
              <w:bottom w:val="single" w:sz="8" w:color="DED8EC"/>
            </w:tcBorders>
            <w:shd w:val="clear" w:color="auto" w:fill="DED8EC"/>
          </w:tcPr>
          <w:p>
            <w:pPr>
              <w:jc w:val="center"/>
              <w:ind w:left="8"/>
              <w:spacing w:after="0"/>
              <w:rPr>
                <w:sz w:val="20"/>
                <w:szCs w:val="20"/>
                <w:color w:val="auto"/>
              </w:rPr>
            </w:pPr>
            <w:r>
              <w:rPr>
                <w:rFonts w:ascii="Arial" w:cs="Arial" w:eastAsia="Arial" w:hAnsi="Arial"/>
                <w:sz w:val="14"/>
                <w:szCs w:val="14"/>
                <w:color w:val="010035"/>
              </w:rPr>
              <w:t>$854,042</w:t>
            </w:r>
          </w:p>
        </w:tc>
        <w:tc>
          <w:tcPr>
            <w:tcW w:w="0" w:type="dxa"/>
            <w:vAlign w:val="bottom"/>
          </w:tcPr>
          <w:p>
            <w:pPr>
              <w:spacing w:after="0"/>
              <w:rPr>
                <w:sz w:val="1"/>
                <w:szCs w:val="1"/>
                <w:color w:val="auto"/>
              </w:rPr>
            </w:pPr>
          </w:p>
        </w:tc>
      </w:tr>
      <w:tr>
        <w:trPr>
          <w:trHeight w:val="20"/>
        </w:trPr>
        <w:tc>
          <w:tcPr>
            <w:tcW w:w="40" w:type="dxa"/>
            <w:vAlign w:val="bottom"/>
            <w:shd w:val="clear" w:color="auto" w:fill="010035"/>
          </w:tcPr>
          <w:p>
            <w:pPr>
              <w:spacing w:after="0" w:line="20" w:lineRule="exact"/>
              <w:rPr>
                <w:sz w:val="1"/>
                <w:szCs w:val="1"/>
                <w:color w:val="auto"/>
              </w:rPr>
            </w:pPr>
          </w:p>
        </w:tc>
        <w:tc>
          <w:tcPr>
            <w:tcW w:w="2340" w:type="dxa"/>
            <w:vAlign w:val="bottom"/>
            <w:shd w:val="clear" w:color="auto" w:fill="010035"/>
          </w:tcPr>
          <w:p>
            <w:pPr>
              <w:spacing w:after="0" w:line="20" w:lineRule="exact"/>
              <w:rPr>
                <w:sz w:val="1"/>
                <w:szCs w:val="1"/>
                <w:color w:val="auto"/>
              </w:rPr>
            </w:pPr>
          </w:p>
        </w:tc>
        <w:tc>
          <w:tcPr>
            <w:tcW w:w="1120" w:type="dxa"/>
            <w:vAlign w:val="bottom"/>
            <w:shd w:val="clear" w:color="auto" w:fill="010035"/>
          </w:tcPr>
          <w:p>
            <w:pPr>
              <w:spacing w:after="0" w:line="20" w:lineRule="exact"/>
              <w:rPr>
                <w:sz w:val="1"/>
                <w:szCs w:val="1"/>
                <w:color w:val="auto"/>
              </w:rPr>
            </w:pPr>
          </w:p>
        </w:tc>
        <w:tc>
          <w:tcPr>
            <w:tcW w:w="1920" w:type="dxa"/>
            <w:vAlign w:val="bottom"/>
            <w:shd w:val="clear" w:color="auto" w:fill="010035"/>
          </w:tcPr>
          <w:p>
            <w:pPr>
              <w:spacing w:after="0" w:line="20" w:lineRule="exact"/>
              <w:rPr>
                <w:sz w:val="1"/>
                <w:szCs w:val="1"/>
                <w:color w:val="auto"/>
              </w:rPr>
            </w:pPr>
          </w:p>
        </w:tc>
        <w:tc>
          <w:tcPr>
            <w:tcW w:w="1240" w:type="dxa"/>
            <w:vAlign w:val="bottom"/>
            <w:shd w:val="clear" w:color="auto" w:fill="010035"/>
          </w:tcPr>
          <w:p>
            <w:pPr>
              <w:spacing w:after="0" w:line="20" w:lineRule="exact"/>
              <w:rPr>
                <w:sz w:val="1"/>
                <w:szCs w:val="1"/>
                <w:color w:val="auto"/>
              </w:rPr>
            </w:pPr>
          </w:p>
        </w:tc>
        <w:tc>
          <w:tcPr>
            <w:tcW w:w="1060" w:type="dxa"/>
            <w:vAlign w:val="bottom"/>
            <w:shd w:val="clear" w:color="auto" w:fill="010035"/>
          </w:tcPr>
          <w:p>
            <w:pPr>
              <w:spacing w:after="0" w:line="20" w:lineRule="exact"/>
              <w:rPr>
                <w:sz w:val="1"/>
                <w:szCs w:val="1"/>
                <w:color w:val="auto"/>
              </w:rPr>
            </w:pPr>
          </w:p>
        </w:tc>
        <w:tc>
          <w:tcPr>
            <w:tcW w:w="1680" w:type="dxa"/>
            <w:vAlign w:val="bottom"/>
            <w:shd w:val="clear" w:color="auto" w:fill="0100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left="800" w:right="940"/>
        <w:spacing w:after="0" w:line="252" w:lineRule="auto"/>
        <w:rPr>
          <w:sz w:val="20"/>
          <w:szCs w:val="20"/>
          <w:color w:val="auto"/>
        </w:rPr>
      </w:pPr>
      <w:r>
        <w:rPr>
          <w:rFonts w:ascii="Arial" w:cs="Arial" w:eastAsia="Arial" w:hAnsi="Arial"/>
          <w:sz w:val="14"/>
          <w:szCs w:val="14"/>
          <w:color w:val="auto"/>
        </w:rPr>
        <w:t>We maintain the LTIP for our executives to encourage an ownership mindset and incentivize long-term shareholder value creation. The LTIP is delivered through a combination of performance- and time- based equity awards, designed to drive progress toward our strategic and operational priorities, which are critical for the Company’s ability to create long-term shareholder value. Both performance- and time-based awards vest over a three-year period to incentivize executives to generate sustained value creation by successfully executing a range of financial and strategic initiatives that advance our long-term growth priorities.</w:t>
      </w:r>
    </w:p>
    <w:p>
      <w:pPr>
        <w:spacing w:after="0" w:line="35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69439A"/>
        </w:rPr>
        <w:t>2025 LTIP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12065</wp:posOffset>
            </wp:positionV>
            <wp:extent cx="596646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left="800" w:right="860"/>
        <w:spacing w:after="0" w:line="263" w:lineRule="auto"/>
        <w:rPr>
          <w:sz w:val="20"/>
          <w:szCs w:val="20"/>
          <w:color w:val="auto"/>
        </w:rPr>
      </w:pPr>
      <w:r>
        <w:rPr>
          <w:rFonts w:ascii="Arial" w:cs="Arial" w:eastAsia="Arial" w:hAnsi="Arial"/>
          <w:sz w:val="14"/>
          <w:szCs w:val="14"/>
          <w:color w:val="auto"/>
        </w:rPr>
        <w:t>For 2025, the Committee approved an LTIP mix for our NEOs consisting of 50% PSUs, 25% stock options, and 25% RSUs. The Committee determined that the addition of RSUs strengthens the overall balance of the LTIP design, aligns it with peer practices, and reflects the preference of some shareholders to incorporate service-based awards into the LTIP to support the resiliency of the incentive structure.</w:t>
      </w:r>
    </w:p>
    <w:p>
      <w:pPr>
        <w:spacing w:after="0" w:line="65" w:lineRule="exact"/>
        <w:rPr>
          <w:sz w:val="20"/>
          <w:szCs w:val="20"/>
          <w:color w:val="auto"/>
        </w:rPr>
      </w:pPr>
    </w:p>
    <w:p>
      <w:pPr>
        <w:ind w:left="800" w:right="920"/>
        <w:spacing w:after="0" w:line="256" w:lineRule="auto"/>
        <w:rPr>
          <w:sz w:val="20"/>
          <w:szCs w:val="20"/>
          <w:color w:val="auto"/>
        </w:rPr>
      </w:pPr>
      <w:r>
        <w:rPr>
          <w:rFonts w:ascii="Arial" w:cs="Arial" w:eastAsia="Arial" w:hAnsi="Arial"/>
          <w:sz w:val="14"/>
          <w:szCs w:val="14"/>
          <w:color w:val="auto"/>
        </w:rPr>
        <w:t>Under the 2025 LTIP, target opportunities for our NEOs remained predominantly performance-based, with 50% allocated to PSUs that vest only upon achievement of rigorous performance goals, and 25% allocated to stock options that deliver value only if our stock price appreciates from the grant date. We believe this performance-based mix reinforces alignment with shareholder interests and supports the Company’s long-term value-creation strategy.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800" w:type="dxa"/>
            <w:vAlign w:val="bottom"/>
          </w:tcPr>
          <w:p>
            <w:pPr>
              <w:spacing w:after="0"/>
              <w:rPr>
                <w:sz w:val="24"/>
                <w:szCs w:val="24"/>
                <w:color w:val="auto"/>
              </w:rPr>
            </w:pPr>
          </w:p>
        </w:tc>
        <w:tc>
          <w:tcPr>
            <w:tcW w:w="2440" w:type="dxa"/>
            <w:vAlign w:val="bottom"/>
            <w:tcBorders>
              <w:top w:val="single" w:sz="8" w:color="69439A"/>
            </w:tcBorders>
            <w:shd w:val="clear" w:color="auto" w:fill="010035"/>
          </w:tcPr>
          <w:p>
            <w:pPr>
              <w:ind w:left="80"/>
              <w:spacing w:after="0"/>
              <w:rPr>
                <w:sz w:val="20"/>
                <w:szCs w:val="20"/>
                <w:color w:val="auto"/>
              </w:rPr>
            </w:pPr>
            <w:r>
              <w:rPr>
                <w:rFonts w:ascii="Arial" w:cs="Arial" w:eastAsia="Arial" w:hAnsi="Arial"/>
                <w:sz w:val="18"/>
                <w:szCs w:val="18"/>
                <w:b w:val="1"/>
                <w:bCs w:val="1"/>
                <w:color w:val="FFFFFF"/>
                <w:w w:val="91"/>
              </w:rPr>
              <w:t>NAMED EXECUTIVE OFFICER</w:t>
            </w:r>
          </w:p>
        </w:tc>
        <w:tc>
          <w:tcPr>
            <w:tcW w:w="1720" w:type="dxa"/>
            <w:vAlign w:val="bottom"/>
            <w:tcBorders>
              <w:top w:val="single" w:sz="8" w:color="69439A"/>
            </w:tcBorders>
            <w:shd w:val="clear" w:color="auto" w:fill="010035"/>
          </w:tcPr>
          <w:p>
            <w:pPr>
              <w:jc w:val="center"/>
              <w:ind w:right="68"/>
              <w:spacing w:after="0"/>
              <w:rPr>
                <w:sz w:val="20"/>
                <w:szCs w:val="20"/>
                <w:color w:val="auto"/>
              </w:rPr>
            </w:pPr>
            <w:r>
              <w:rPr>
                <w:rFonts w:ascii="Arial" w:cs="Arial" w:eastAsia="Arial" w:hAnsi="Arial"/>
                <w:sz w:val="14"/>
                <w:szCs w:val="14"/>
                <w:b w:val="1"/>
                <w:bCs w:val="1"/>
                <w:color w:val="FFFFFF"/>
                <w:w w:val="97"/>
              </w:rPr>
              <w:t>2025 TARGET</w:t>
            </w:r>
          </w:p>
        </w:tc>
        <w:tc>
          <w:tcPr>
            <w:tcW w:w="172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rPr>
              <w:t>PSUs</w:t>
            </w:r>
          </w:p>
        </w:tc>
        <w:tc>
          <w:tcPr>
            <w:tcW w:w="1860" w:type="dxa"/>
            <w:vAlign w:val="bottom"/>
            <w:tcBorders>
              <w:top w:val="single" w:sz="8" w:color="69439A"/>
            </w:tcBorders>
            <w:shd w:val="clear" w:color="auto" w:fill="010035"/>
          </w:tcPr>
          <w:p>
            <w:pPr>
              <w:ind w:left="300"/>
              <w:spacing w:after="0"/>
              <w:rPr>
                <w:sz w:val="20"/>
                <w:szCs w:val="20"/>
                <w:color w:val="auto"/>
              </w:rPr>
            </w:pPr>
            <w:r>
              <w:rPr>
                <w:rFonts w:ascii="Arial" w:cs="Arial" w:eastAsia="Arial" w:hAnsi="Arial"/>
                <w:sz w:val="14"/>
                <w:szCs w:val="14"/>
                <w:b w:val="1"/>
                <w:bCs w:val="1"/>
                <w:color w:val="FFFFFF"/>
              </w:rPr>
              <w:t>STOCK OPTIONS</w:t>
            </w:r>
          </w:p>
        </w:tc>
        <w:tc>
          <w:tcPr>
            <w:tcW w:w="1660" w:type="dxa"/>
            <w:vAlign w:val="bottom"/>
            <w:tcBorders>
              <w:top w:val="single" w:sz="8" w:color="69439A"/>
            </w:tcBorders>
            <w:shd w:val="clear" w:color="auto" w:fill="010035"/>
          </w:tcPr>
          <w:p>
            <w:pPr>
              <w:ind w:left="600"/>
              <w:spacing w:after="0"/>
              <w:rPr>
                <w:sz w:val="20"/>
                <w:szCs w:val="20"/>
                <w:color w:val="auto"/>
              </w:rPr>
            </w:pPr>
            <w:r>
              <w:rPr>
                <w:rFonts w:ascii="Arial" w:cs="Arial" w:eastAsia="Arial" w:hAnsi="Arial"/>
                <w:sz w:val="14"/>
                <w:szCs w:val="14"/>
                <w:b w:val="1"/>
                <w:bCs w:val="1"/>
                <w:color w:val="FFFFFF"/>
              </w:rPr>
              <w:t>RSUs</w:t>
            </w:r>
          </w:p>
        </w:tc>
        <w:tc>
          <w:tcPr>
            <w:tcW w:w="820" w:type="dxa"/>
            <w:vAlign w:val="bottom"/>
          </w:tcPr>
          <w:p>
            <w:pPr>
              <w:spacing w:after="0"/>
              <w:rPr>
                <w:sz w:val="24"/>
                <w:szCs w:val="24"/>
                <w:color w:val="auto"/>
              </w:rPr>
            </w:pPr>
          </w:p>
        </w:tc>
      </w:tr>
      <w:tr>
        <w:trPr>
          <w:trHeight w:val="175"/>
        </w:trPr>
        <w:tc>
          <w:tcPr>
            <w:tcW w:w="800" w:type="dxa"/>
            <w:vAlign w:val="bottom"/>
          </w:tcPr>
          <w:p>
            <w:pPr>
              <w:spacing w:after="0"/>
              <w:rPr>
                <w:sz w:val="15"/>
                <w:szCs w:val="15"/>
                <w:color w:val="auto"/>
              </w:rPr>
            </w:pPr>
          </w:p>
        </w:tc>
        <w:tc>
          <w:tcPr>
            <w:tcW w:w="2440" w:type="dxa"/>
            <w:vAlign w:val="bottom"/>
            <w:shd w:val="clear" w:color="auto" w:fill="010035"/>
          </w:tcPr>
          <w:p>
            <w:pPr>
              <w:spacing w:after="0"/>
              <w:rPr>
                <w:sz w:val="15"/>
                <w:szCs w:val="15"/>
                <w:color w:val="auto"/>
              </w:rPr>
            </w:pPr>
          </w:p>
        </w:tc>
        <w:tc>
          <w:tcPr>
            <w:tcW w:w="1720" w:type="dxa"/>
            <w:vAlign w:val="bottom"/>
            <w:shd w:val="clear" w:color="auto" w:fill="010035"/>
          </w:tcPr>
          <w:p>
            <w:pPr>
              <w:jc w:val="center"/>
              <w:ind w:right="68"/>
              <w:spacing w:after="0"/>
              <w:rPr>
                <w:sz w:val="20"/>
                <w:szCs w:val="20"/>
                <w:color w:val="auto"/>
              </w:rPr>
            </w:pPr>
            <w:r>
              <w:rPr>
                <w:rFonts w:ascii="Arial" w:cs="Arial" w:eastAsia="Arial" w:hAnsi="Arial"/>
                <w:sz w:val="14"/>
                <w:szCs w:val="14"/>
                <w:b w:val="1"/>
                <w:bCs w:val="1"/>
                <w:color w:val="FFFFFF"/>
                <w:w w:val="96"/>
              </w:rPr>
              <w:t>LTIP AWARD VALUE</w:t>
            </w:r>
          </w:p>
        </w:tc>
        <w:tc>
          <w:tcPr>
            <w:tcW w:w="17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(TARGET VALUE)</w:t>
            </w:r>
          </w:p>
        </w:tc>
        <w:tc>
          <w:tcPr>
            <w:tcW w:w="1860" w:type="dxa"/>
            <w:vAlign w:val="bottom"/>
            <w:shd w:val="clear" w:color="auto" w:fill="010035"/>
          </w:tcPr>
          <w:p>
            <w:pPr>
              <w:spacing w:after="0"/>
              <w:rPr>
                <w:sz w:val="15"/>
                <w:szCs w:val="15"/>
                <w:color w:val="auto"/>
              </w:rPr>
            </w:pPr>
          </w:p>
        </w:tc>
        <w:tc>
          <w:tcPr>
            <w:tcW w:w="1660" w:type="dxa"/>
            <w:vAlign w:val="bottom"/>
            <w:shd w:val="clear" w:color="auto" w:fill="010035"/>
          </w:tcPr>
          <w:p>
            <w:pPr>
              <w:spacing w:after="0"/>
              <w:rPr>
                <w:sz w:val="15"/>
                <w:szCs w:val="15"/>
                <w:color w:val="auto"/>
              </w:rPr>
            </w:pPr>
          </w:p>
        </w:tc>
        <w:tc>
          <w:tcPr>
            <w:tcW w:w="820" w:type="dxa"/>
            <w:vAlign w:val="bottom"/>
          </w:tcPr>
          <w:p>
            <w:pPr>
              <w:spacing w:after="0"/>
              <w:rPr>
                <w:sz w:val="15"/>
                <w:szCs w:val="15"/>
                <w:color w:val="auto"/>
              </w:rPr>
            </w:pPr>
          </w:p>
        </w:tc>
      </w:tr>
      <w:tr>
        <w:trPr>
          <w:trHeight w:val="255"/>
        </w:trPr>
        <w:tc>
          <w:tcPr>
            <w:tcW w:w="800" w:type="dxa"/>
            <w:vAlign w:val="bottom"/>
          </w:tcPr>
          <w:p>
            <w:pPr>
              <w:spacing w:after="0"/>
              <w:rPr>
                <w:sz w:val="22"/>
                <w:szCs w:val="22"/>
                <w:color w:val="auto"/>
              </w:rPr>
            </w:pPr>
          </w:p>
        </w:tc>
        <w:tc>
          <w:tcPr>
            <w:tcW w:w="2440" w:type="dxa"/>
            <w:vAlign w:val="bottom"/>
          </w:tcPr>
          <w:p>
            <w:pPr>
              <w:ind w:left="80"/>
              <w:spacing w:after="0"/>
              <w:rPr>
                <w:sz w:val="20"/>
                <w:szCs w:val="20"/>
                <w:color w:val="auto"/>
              </w:rPr>
            </w:pPr>
            <w:r>
              <w:rPr>
                <w:rFonts w:ascii="Arial" w:cs="Arial" w:eastAsia="Arial" w:hAnsi="Arial"/>
                <w:sz w:val="14"/>
                <w:szCs w:val="14"/>
                <w:b w:val="1"/>
                <w:bCs w:val="1"/>
                <w:color w:val="010035"/>
              </w:rPr>
              <w:t>Jay Snowden</w:t>
            </w:r>
          </w:p>
        </w:tc>
        <w:tc>
          <w:tcPr>
            <w:tcW w:w="1720" w:type="dxa"/>
            <w:vAlign w:val="bottom"/>
          </w:tcPr>
          <w:p>
            <w:pPr>
              <w:jc w:val="center"/>
              <w:ind w:right="48"/>
              <w:spacing w:after="0"/>
              <w:rPr>
                <w:sz w:val="20"/>
                <w:szCs w:val="20"/>
                <w:color w:val="auto"/>
              </w:rPr>
            </w:pPr>
            <w:r>
              <w:rPr>
                <w:rFonts w:ascii="Arial" w:cs="Arial" w:eastAsia="Arial" w:hAnsi="Arial"/>
                <w:sz w:val="14"/>
                <w:szCs w:val="14"/>
                <w:color w:val="010035"/>
              </w:rPr>
              <w:t>$19,000,000</w:t>
            </w:r>
          </w:p>
        </w:tc>
        <w:tc>
          <w:tcPr>
            <w:tcW w:w="1720" w:type="dxa"/>
            <w:vAlign w:val="bottom"/>
          </w:tcPr>
          <w:p>
            <w:pPr>
              <w:jc w:val="center"/>
              <w:ind w:right="8"/>
              <w:spacing w:after="0"/>
              <w:rPr>
                <w:sz w:val="20"/>
                <w:szCs w:val="20"/>
                <w:color w:val="auto"/>
              </w:rPr>
            </w:pPr>
            <w:r>
              <w:rPr>
                <w:rFonts w:ascii="Arial" w:cs="Arial" w:eastAsia="Arial" w:hAnsi="Arial"/>
                <w:sz w:val="14"/>
                <w:szCs w:val="14"/>
                <w:color w:val="010035"/>
              </w:rPr>
              <w:t>$9,500,000</w:t>
            </w:r>
          </w:p>
        </w:tc>
        <w:tc>
          <w:tcPr>
            <w:tcW w:w="1860" w:type="dxa"/>
            <w:vAlign w:val="bottom"/>
          </w:tcPr>
          <w:p>
            <w:pPr>
              <w:jc w:val="center"/>
              <w:ind w:right="68"/>
              <w:spacing w:after="0"/>
              <w:rPr>
                <w:sz w:val="20"/>
                <w:szCs w:val="20"/>
                <w:color w:val="auto"/>
              </w:rPr>
            </w:pPr>
            <w:r>
              <w:rPr>
                <w:rFonts w:ascii="Arial" w:cs="Arial" w:eastAsia="Arial" w:hAnsi="Arial"/>
                <w:sz w:val="14"/>
                <w:szCs w:val="14"/>
                <w:color w:val="010035"/>
              </w:rPr>
              <w:t>$4,750,000</w:t>
            </w:r>
          </w:p>
        </w:tc>
        <w:tc>
          <w:tcPr>
            <w:tcW w:w="1660" w:type="dxa"/>
            <w:vAlign w:val="bottom"/>
          </w:tcPr>
          <w:p>
            <w:pPr>
              <w:jc w:val="center"/>
              <w:ind w:right="28"/>
              <w:spacing w:after="0"/>
              <w:rPr>
                <w:sz w:val="20"/>
                <w:szCs w:val="20"/>
                <w:color w:val="auto"/>
              </w:rPr>
            </w:pPr>
            <w:r>
              <w:rPr>
                <w:rFonts w:ascii="Arial" w:cs="Arial" w:eastAsia="Arial" w:hAnsi="Arial"/>
                <w:sz w:val="14"/>
                <w:szCs w:val="14"/>
                <w:color w:val="010035"/>
              </w:rPr>
              <w:t>$4,750,000</w:t>
            </w:r>
          </w:p>
        </w:tc>
        <w:tc>
          <w:tcPr>
            <w:tcW w:w="820" w:type="dxa"/>
            <w:vAlign w:val="bottom"/>
          </w:tcPr>
          <w:p>
            <w:pPr>
              <w:spacing w:after="0"/>
              <w:rPr>
                <w:sz w:val="22"/>
                <w:szCs w:val="22"/>
                <w:color w:val="auto"/>
              </w:rPr>
            </w:pPr>
          </w:p>
        </w:tc>
      </w:tr>
      <w:tr>
        <w:trPr>
          <w:trHeight w:val="56"/>
        </w:trPr>
        <w:tc>
          <w:tcPr>
            <w:tcW w:w="8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0"/>
        </w:trPr>
        <w:tc>
          <w:tcPr>
            <w:tcW w:w="800" w:type="dxa"/>
            <w:vAlign w:val="bottom"/>
          </w:tcPr>
          <w:p>
            <w:pPr>
              <w:spacing w:after="0"/>
              <w:rPr>
                <w:sz w:val="24"/>
                <w:szCs w:val="24"/>
                <w:color w:val="auto"/>
              </w:rPr>
            </w:pPr>
          </w:p>
        </w:tc>
        <w:tc>
          <w:tcPr>
            <w:tcW w:w="2440" w:type="dxa"/>
            <w:vAlign w:val="bottom"/>
            <w:tcBorders>
              <w:bottom w:val="single" w:sz="8" w:color="DED8EC"/>
            </w:tcBorders>
            <w:shd w:val="clear" w:color="auto" w:fill="DED8EC"/>
          </w:tcPr>
          <w:p>
            <w:pPr>
              <w:ind w:left="80"/>
              <w:spacing w:after="0"/>
              <w:rPr>
                <w:sz w:val="20"/>
                <w:szCs w:val="20"/>
                <w:color w:val="auto"/>
              </w:rPr>
            </w:pPr>
            <w:r>
              <w:rPr>
                <w:rFonts w:ascii="Arial" w:cs="Arial" w:eastAsia="Arial" w:hAnsi="Arial"/>
                <w:sz w:val="14"/>
                <w:szCs w:val="14"/>
                <w:b w:val="1"/>
                <w:bCs w:val="1"/>
                <w:color w:val="010035"/>
              </w:rPr>
              <w:t>Felicia Hendrix</w:t>
            </w:r>
          </w:p>
        </w:tc>
        <w:tc>
          <w:tcPr>
            <w:tcW w:w="1720" w:type="dxa"/>
            <w:vAlign w:val="bottom"/>
            <w:tcBorders>
              <w:bottom w:val="single" w:sz="8" w:color="DED8EC"/>
            </w:tcBorders>
            <w:shd w:val="clear" w:color="auto" w:fill="DED8EC"/>
          </w:tcPr>
          <w:p>
            <w:pPr>
              <w:jc w:val="center"/>
              <w:ind w:right="48"/>
              <w:spacing w:after="0"/>
              <w:rPr>
                <w:sz w:val="20"/>
                <w:szCs w:val="20"/>
                <w:color w:val="auto"/>
              </w:rPr>
            </w:pPr>
            <w:r>
              <w:rPr>
                <w:rFonts w:ascii="Arial" w:cs="Arial" w:eastAsia="Arial" w:hAnsi="Arial"/>
                <w:sz w:val="14"/>
                <w:szCs w:val="14"/>
                <w:color w:val="010035"/>
              </w:rPr>
              <w:t>$3,708,000</w:t>
            </w:r>
          </w:p>
        </w:tc>
        <w:tc>
          <w:tcPr>
            <w:tcW w:w="1720" w:type="dxa"/>
            <w:vAlign w:val="bottom"/>
            <w:tcBorders>
              <w:bottom w:val="single" w:sz="8" w:color="DED8EC"/>
            </w:tcBorders>
            <w:shd w:val="clear" w:color="auto" w:fill="DED8EC"/>
          </w:tcPr>
          <w:p>
            <w:pPr>
              <w:jc w:val="center"/>
              <w:ind w:right="8"/>
              <w:spacing w:after="0"/>
              <w:rPr>
                <w:sz w:val="20"/>
                <w:szCs w:val="20"/>
                <w:color w:val="auto"/>
              </w:rPr>
            </w:pPr>
            <w:r>
              <w:rPr>
                <w:rFonts w:ascii="Arial" w:cs="Arial" w:eastAsia="Arial" w:hAnsi="Arial"/>
                <w:sz w:val="14"/>
                <w:szCs w:val="14"/>
                <w:color w:val="010035"/>
              </w:rPr>
              <w:t>$1,854,000</w:t>
            </w:r>
          </w:p>
        </w:tc>
        <w:tc>
          <w:tcPr>
            <w:tcW w:w="1860" w:type="dxa"/>
            <w:vAlign w:val="bottom"/>
            <w:tcBorders>
              <w:bottom w:val="single" w:sz="8" w:color="DED8EC"/>
            </w:tcBorders>
            <w:shd w:val="clear" w:color="auto" w:fill="DED8EC"/>
          </w:tcPr>
          <w:p>
            <w:pPr>
              <w:jc w:val="center"/>
              <w:ind w:right="68"/>
              <w:spacing w:after="0"/>
              <w:rPr>
                <w:sz w:val="20"/>
                <w:szCs w:val="20"/>
                <w:color w:val="auto"/>
              </w:rPr>
            </w:pPr>
            <w:r>
              <w:rPr>
                <w:rFonts w:ascii="Arial" w:cs="Arial" w:eastAsia="Arial" w:hAnsi="Arial"/>
                <w:sz w:val="14"/>
                <w:szCs w:val="14"/>
                <w:color w:val="010035"/>
              </w:rPr>
              <w:t>$927,000</w:t>
            </w:r>
          </w:p>
        </w:tc>
        <w:tc>
          <w:tcPr>
            <w:tcW w:w="1660" w:type="dxa"/>
            <w:vAlign w:val="bottom"/>
            <w:tcBorders>
              <w:bottom w:val="single" w:sz="8" w:color="DED8EC"/>
            </w:tcBorders>
            <w:shd w:val="clear" w:color="auto" w:fill="DED8EC"/>
          </w:tcPr>
          <w:p>
            <w:pPr>
              <w:jc w:val="center"/>
              <w:ind w:right="28"/>
              <w:spacing w:after="0"/>
              <w:rPr>
                <w:sz w:val="20"/>
                <w:szCs w:val="20"/>
                <w:color w:val="auto"/>
              </w:rPr>
            </w:pPr>
            <w:r>
              <w:rPr>
                <w:rFonts w:ascii="Arial" w:cs="Arial" w:eastAsia="Arial" w:hAnsi="Arial"/>
                <w:sz w:val="14"/>
                <w:szCs w:val="14"/>
                <w:color w:val="010035"/>
              </w:rPr>
              <w:t>$927,000</w:t>
            </w:r>
          </w:p>
        </w:tc>
        <w:tc>
          <w:tcPr>
            <w:tcW w:w="820" w:type="dxa"/>
            <w:vAlign w:val="bottom"/>
          </w:tcPr>
          <w:p>
            <w:pPr>
              <w:spacing w:after="0"/>
              <w:rPr>
                <w:sz w:val="24"/>
                <w:szCs w:val="24"/>
                <w:color w:val="auto"/>
              </w:rPr>
            </w:pPr>
          </w:p>
        </w:tc>
      </w:tr>
      <w:tr>
        <w:trPr>
          <w:trHeight w:val="255"/>
        </w:trPr>
        <w:tc>
          <w:tcPr>
            <w:tcW w:w="800" w:type="dxa"/>
            <w:vAlign w:val="bottom"/>
          </w:tcPr>
          <w:p>
            <w:pPr>
              <w:spacing w:after="0"/>
              <w:rPr>
                <w:sz w:val="22"/>
                <w:szCs w:val="22"/>
                <w:color w:val="auto"/>
              </w:rPr>
            </w:pPr>
          </w:p>
        </w:tc>
        <w:tc>
          <w:tcPr>
            <w:tcW w:w="2440" w:type="dxa"/>
            <w:vAlign w:val="bottom"/>
          </w:tcPr>
          <w:p>
            <w:pPr>
              <w:ind w:left="80"/>
              <w:spacing w:after="0"/>
              <w:rPr>
                <w:sz w:val="20"/>
                <w:szCs w:val="20"/>
                <w:color w:val="auto"/>
              </w:rPr>
            </w:pPr>
            <w:r>
              <w:rPr>
                <w:rFonts w:ascii="Arial" w:cs="Arial" w:eastAsia="Arial" w:hAnsi="Arial"/>
                <w:sz w:val="14"/>
                <w:szCs w:val="14"/>
                <w:b w:val="1"/>
                <w:bCs w:val="1"/>
                <w:color w:val="010035"/>
              </w:rPr>
              <w:t>Chris Rogers</w:t>
            </w:r>
          </w:p>
        </w:tc>
        <w:tc>
          <w:tcPr>
            <w:tcW w:w="1720" w:type="dxa"/>
            <w:vAlign w:val="bottom"/>
          </w:tcPr>
          <w:p>
            <w:pPr>
              <w:jc w:val="center"/>
              <w:ind w:right="48"/>
              <w:spacing w:after="0"/>
              <w:rPr>
                <w:sz w:val="20"/>
                <w:szCs w:val="20"/>
                <w:color w:val="auto"/>
              </w:rPr>
            </w:pPr>
            <w:r>
              <w:rPr>
                <w:rFonts w:ascii="Arial" w:cs="Arial" w:eastAsia="Arial" w:hAnsi="Arial"/>
                <w:sz w:val="14"/>
                <w:szCs w:val="14"/>
                <w:color w:val="010035"/>
              </w:rPr>
              <w:t>$3,296,000</w:t>
            </w:r>
          </w:p>
        </w:tc>
        <w:tc>
          <w:tcPr>
            <w:tcW w:w="1720" w:type="dxa"/>
            <w:vAlign w:val="bottom"/>
          </w:tcPr>
          <w:p>
            <w:pPr>
              <w:jc w:val="center"/>
              <w:ind w:right="8"/>
              <w:spacing w:after="0"/>
              <w:rPr>
                <w:sz w:val="20"/>
                <w:szCs w:val="20"/>
                <w:color w:val="auto"/>
              </w:rPr>
            </w:pPr>
            <w:r>
              <w:rPr>
                <w:rFonts w:ascii="Arial" w:cs="Arial" w:eastAsia="Arial" w:hAnsi="Arial"/>
                <w:sz w:val="14"/>
                <w:szCs w:val="14"/>
                <w:color w:val="010035"/>
              </w:rPr>
              <w:t>$1,648,000</w:t>
            </w:r>
          </w:p>
        </w:tc>
        <w:tc>
          <w:tcPr>
            <w:tcW w:w="1860" w:type="dxa"/>
            <w:vAlign w:val="bottom"/>
          </w:tcPr>
          <w:p>
            <w:pPr>
              <w:jc w:val="center"/>
              <w:ind w:right="68"/>
              <w:spacing w:after="0"/>
              <w:rPr>
                <w:sz w:val="20"/>
                <w:szCs w:val="20"/>
                <w:color w:val="auto"/>
              </w:rPr>
            </w:pPr>
            <w:r>
              <w:rPr>
                <w:rFonts w:ascii="Arial" w:cs="Arial" w:eastAsia="Arial" w:hAnsi="Arial"/>
                <w:sz w:val="14"/>
                <w:szCs w:val="14"/>
                <w:color w:val="010035"/>
              </w:rPr>
              <w:t>$824,000</w:t>
            </w:r>
          </w:p>
        </w:tc>
        <w:tc>
          <w:tcPr>
            <w:tcW w:w="1660" w:type="dxa"/>
            <w:vAlign w:val="bottom"/>
          </w:tcPr>
          <w:p>
            <w:pPr>
              <w:jc w:val="center"/>
              <w:ind w:right="28"/>
              <w:spacing w:after="0"/>
              <w:rPr>
                <w:sz w:val="20"/>
                <w:szCs w:val="20"/>
                <w:color w:val="auto"/>
              </w:rPr>
            </w:pPr>
            <w:r>
              <w:rPr>
                <w:rFonts w:ascii="Arial" w:cs="Arial" w:eastAsia="Arial" w:hAnsi="Arial"/>
                <w:sz w:val="14"/>
                <w:szCs w:val="14"/>
                <w:color w:val="010035"/>
              </w:rPr>
              <w:t>$824,000</w:t>
            </w:r>
          </w:p>
        </w:tc>
        <w:tc>
          <w:tcPr>
            <w:tcW w:w="820" w:type="dxa"/>
            <w:vAlign w:val="bottom"/>
          </w:tcPr>
          <w:p>
            <w:pPr>
              <w:spacing w:after="0"/>
              <w:rPr>
                <w:sz w:val="22"/>
                <w:szCs w:val="22"/>
                <w:color w:val="auto"/>
              </w:rPr>
            </w:pPr>
          </w:p>
        </w:tc>
      </w:tr>
      <w:tr>
        <w:trPr>
          <w:trHeight w:val="56"/>
        </w:trPr>
        <w:tc>
          <w:tcPr>
            <w:tcW w:w="8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89"/>
        </w:trPr>
        <w:tc>
          <w:tcPr>
            <w:tcW w:w="800" w:type="dxa"/>
            <w:vAlign w:val="bottom"/>
          </w:tcPr>
          <w:p>
            <w:pPr>
              <w:spacing w:after="0"/>
              <w:rPr>
                <w:sz w:val="24"/>
                <w:szCs w:val="24"/>
                <w:color w:val="auto"/>
              </w:rPr>
            </w:pPr>
          </w:p>
        </w:tc>
        <w:tc>
          <w:tcPr>
            <w:tcW w:w="2440" w:type="dxa"/>
            <w:vAlign w:val="bottom"/>
            <w:tcBorders>
              <w:bottom w:val="single" w:sz="8" w:color="DED8EC"/>
            </w:tcBorders>
            <w:shd w:val="clear" w:color="auto" w:fill="DED8EC"/>
          </w:tcPr>
          <w:p>
            <w:pPr>
              <w:ind w:left="80"/>
              <w:spacing w:after="0"/>
              <w:rPr>
                <w:sz w:val="20"/>
                <w:szCs w:val="20"/>
                <w:color w:val="auto"/>
              </w:rPr>
            </w:pPr>
            <w:r>
              <w:rPr>
                <w:rFonts w:ascii="Arial" w:cs="Arial" w:eastAsia="Arial" w:hAnsi="Arial"/>
                <w:sz w:val="14"/>
                <w:szCs w:val="14"/>
                <w:b w:val="1"/>
                <w:bCs w:val="1"/>
                <w:color w:val="010035"/>
              </w:rPr>
              <w:t>Todd George</w:t>
            </w:r>
          </w:p>
        </w:tc>
        <w:tc>
          <w:tcPr>
            <w:tcW w:w="1720" w:type="dxa"/>
            <w:vAlign w:val="bottom"/>
            <w:tcBorders>
              <w:bottom w:val="single" w:sz="8" w:color="DED8EC"/>
            </w:tcBorders>
            <w:shd w:val="clear" w:color="auto" w:fill="DED8EC"/>
          </w:tcPr>
          <w:p>
            <w:pPr>
              <w:jc w:val="center"/>
              <w:ind w:right="48"/>
              <w:spacing w:after="0"/>
              <w:rPr>
                <w:sz w:val="20"/>
                <w:szCs w:val="20"/>
                <w:color w:val="auto"/>
              </w:rPr>
            </w:pPr>
            <w:r>
              <w:rPr>
                <w:rFonts w:ascii="Arial" w:cs="Arial" w:eastAsia="Arial" w:hAnsi="Arial"/>
                <w:sz w:val="14"/>
                <w:szCs w:val="14"/>
                <w:color w:val="010035"/>
              </w:rPr>
              <w:t>$5,150,000</w:t>
            </w:r>
          </w:p>
        </w:tc>
        <w:tc>
          <w:tcPr>
            <w:tcW w:w="1720" w:type="dxa"/>
            <w:vAlign w:val="bottom"/>
            <w:tcBorders>
              <w:bottom w:val="single" w:sz="8" w:color="DED8EC"/>
            </w:tcBorders>
            <w:shd w:val="clear" w:color="auto" w:fill="DED8EC"/>
          </w:tcPr>
          <w:p>
            <w:pPr>
              <w:jc w:val="center"/>
              <w:ind w:right="8"/>
              <w:spacing w:after="0"/>
              <w:rPr>
                <w:sz w:val="20"/>
                <w:szCs w:val="20"/>
                <w:color w:val="auto"/>
              </w:rPr>
            </w:pPr>
            <w:r>
              <w:rPr>
                <w:rFonts w:ascii="Arial" w:cs="Arial" w:eastAsia="Arial" w:hAnsi="Arial"/>
                <w:sz w:val="14"/>
                <w:szCs w:val="14"/>
                <w:color w:val="010035"/>
              </w:rPr>
              <w:t>$2,575,000</w:t>
            </w:r>
          </w:p>
        </w:tc>
        <w:tc>
          <w:tcPr>
            <w:tcW w:w="1860" w:type="dxa"/>
            <w:vAlign w:val="bottom"/>
            <w:tcBorders>
              <w:bottom w:val="single" w:sz="8" w:color="DED8EC"/>
            </w:tcBorders>
            <w:shd w:val="clear" w:color="auto" w:fill="DED8EC"/>
          </w:tcPr>
          <w:p>
            <w:pPr>
              <w:jc w:val="center"/>
              <w:ind w:right="68"/>
              <w:spacing w:after="0"/>
              <w:rPr>
                <w:sz w:val="20"/>
                <w:szCs w:val="20"/>
                <w:color w:val="auto"/>
              </w:rPr>
            </w:pPr>
            <w:r>
              <w:rPr>
                <w:rFonts w:ascii="Arial" w:cs="Arial" w:eastAsia="Arial" w:hAnsi="Arial"/>
                <w:sz w:val="14"/>
                <w:szCs w:val="14"/>
                <w:color w:val="010035"/>
              </w:rPr>
              <w:t>$1,287,500</w:t>
            </w:r>
          </w:p>
        </w:tc>
        <w:tc>
          <w:tcPr>
            <w:tcW w:w="1660" w:type="dxa"/>
            <w:vAlign w:val="bottom"/>
            <w:tcBorders>
              <w:bottom w:val="single" w:sz="8" w:color="DED8EC"/>
            </w:tcBorders>
            <w:shd w:val="clear" w:color="auto" w:fill="DED8EC"/>
          </w:tcPr>
          <w:p>
            <w:pPr>
              <w:jc w:val="center"/>
              <w:ind w:right="28"/>
              <w:spacing w:after="0"/>
              <w:rPr>
                <w:sz w:val="20"/>
                <w:szCs w:val="20"/>
                <w:color w:val="auto"/>
              </w:rPr>
            </w:pPr>
            <w:r>
              <w:rPr>
                <w:rFonts w:ascii="Arial" w:cs="Arial" w:eastAsia="Arial" w:hAnsi="Arial"/>
                <w:sz w:val="14"/>
                <w:szCs w:val="14"/>
                <w:color w:val="010035"/>
              </w:rPr>
              <w:t>$1,287,500</w:t>
            </w:r>
          </w:p>
        </w:tc>
        <w:tc>
          <w:tcPr>
            <w:tcW w:w="820" w:type="dxa"/>
            <w:vAlign w:val="bottom"/>
          </w:tcPr>
          <w:p>
            <w:pPr>
              <w:spacing w:after="0"/>
              <w:rPr>
                <w:sz w:val="24"/>
                <w:szCs w:val="24"/>
                <w:color w:val="auto"/>
              </w:rPr>
            </w:pPr>
          </w:p>
        </w:tc>
      </w:tr>
      <w:tr>
        <w:trPr>
          <w:trHeight w:val="176"/>
        </w:trPr>
        <w:tc>
          <w:tcPr>
            <w:tcW w:w="800" w:type="dxa"/>
            <w:vAlign w:val="bottom"/>
            <w:tcBorders>
              <w:bottom w:val="single" w:sz="8" w:color="auto"/>
            </w:tcBorders>
          </w:tcPr>
          <w:p>
            <w:pPr>
              <w:spacing w:after="0"/>
              <w:rPr>
                <w:sz w:val="15"/>
                <w:szCs w:val="15"/>
                <w:color w:val="auto"/>
              </w:rPr>
            </w:pPr>
          </w:p>
        </w:tc>
        <w:tc>
          <w:tcPr>
            <w:tcW w:w="2440" w:type="dxa"/>
            <w:vAlign w:val="bottom"/>
            <w:tcBorders>
              <w:top w:val="single" w:sz="8" w:color="010035"/>
              <w:bottom w:val="single" w:sz="8" w:color="auto"/>
            </w:tcBorders>
          </w:tcPr>
          <w:p>
            <w:pPr>
              <w:spacing w:after="0"/>
              <w:rPr>
                <w:sz w:val="15"/>
                <w:szCs w:val="15"/>
                <w:color w:val="auto"/>
              </w:rPr>
            </w:pPr>
          </w:p>
        </w:tc>
        <w:tc>
          <w:tcPr>
            <w:tcW w:w="1720" w:type="dxa"/>
            <w:vAlign w:val="bottom"/>
            <w:tcBorders>
              <w:top w:val="single" w:sz="8" w:color="010035"/>
              <w:bottom w:val="single" w:sz="8" w:color="auto"/>
            </w:tcBorders>
          </w:tcPr>
          <w:p>
            <w:pPr>
              <w:spacing w:after="0"/>
              <w:rPr>
                <w:sz w:val="15"/>
                <w:szCs w:val="15"/>
                <w:color w:val="auto"/>
              </w:rPr>
            </w:pPr>
          </w:p>
        </w:tc>
        <w:tc>
          <w:tcPr>
            <w:tcW w:w="1720" w:type="dxa"/>
            <w:vAlign w:val="bottom"/>
            <w:tcBorders>
              <w:top w:val="single" w:sz="8" w:color="010035"/>
              <w:bottom w:val="single" w:sz="8" w:color="auto"/>
            </w:tcBorders>
          </w:tcPr>
          <w:p>
            <w:pPr>
              <w:spacing w:after="0"/>
              <w:rPr>
                <w:sz w:val="15"/>
                <w:szCs w:val="15"/>
                <w:color w:val="auto"/>
              </w:rPr>
            </w:pPr>
          </w:p>
        </w:tc>
        <w:tc>
          <w:tcPr>
            <w:tcW w:w="1860" w:type="dxa"/>
            <w:vAlign w:val="bottom"/>
            <w:tcBorders>
              <w:top w:val="single" w:sz="8" w:color="010035"/>
              <w:bottom w:val="single" w:sz="8" w:color="auto"/>
            </w:tcBorders>
          </w:tcPr>
          <w:p>
            <w:pPr>
              <w:spacing w:after="0"/>
              <w:rPr>
                <w:sz w:val="15"/>
                <w:szCs w:val="15"/>
                <w:color w:val="auto"/>
              </w:rPr>
            </w:pPr>
          </w:p>
        </w:tc>
        <w:tc>
          <w:tcPr>
            <w:tcW w:w="1660" w:type="dxa"/>
            <w:vAlign w:val="bottom"/>
            <w:tcBorders>
              <w:top w:val="single" w:sz="8" w:color="010035"/>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2997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829300" cy="2997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jc w:val="both"/>
        <w:ind w:right="60"/>
        <w:spacing w:after="0" w:line="256" w:lineRule="auto"/>
        <w:rPr>
          <w:sz w:val="20"/>
          <w:szCs w:val="20"/>
          <w:color w:val="auto"/>
        </w:rPr>
      </w:pPr>
      <w:r>
        <w:rPr>
          <w:rFonts w:ascii="Arial" w:cs="Arial" w:eastAsia="Arial" w:hAnsi="Arial"/>
          <w:sz w:val="14"/>
          <w:szCs w:val="14"/>
          <w:color w:val="auto"/>
        </w:rPr>
        <w:t>To further reinforce accountability for long-term financial performance and reflect shareholder preferences, the Committee maintained a three-year cumulative performance period for the 2025 PSU awards. The Committee also increased the weighting of the financial metric to 80% (up from 70% in 2024), with the remaining 20% allocated to two strategic operational metrics (reduced from three in 2024). The Committee believes this structure places greater emphasis on financial outcomes while maintaining focus on key operational priorities.</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Performance for the 2025 PSUs will be assessed at the end of the full three-year period (December 31, 2027), without interim PSU vesting opportunities. The actual number of shares earned may range between 0% to 200% of target, based on the Company’s performance from 2025 - 2027 against the goals set forth below, subject to continued employment through the applicable vesting date. If performance falls between threshold and target or between target and maximum, the number of PSUs earned will be determined using linear interpolation.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Under the 2025 LTIP, 80% of the PSU target value is tied to financial performance metrics allocated as follows:</w:t>
      </w:r>
    </w:p>
    <w:p>
      <w:pPr>
        <w:spacing w:after="0" w:line="109" w:lineRule="exact"/>
        <w:rPr>
          <w:sz w:val="20"/>
          <w:szCs w:val="20"/>
          <w:color w:val="auto"/>
        </w:rPr>
      </w:pPr>
    </w:p>
    <w:p>
      <w:pPr>
        <w:ind w:left="440" w:hanging="74"/>
        <w:spacing w:after="0"/>
        <w:tabs>
          <w:tab w:leader="none" w:pos="440" w:val="left"/>
        </w:tabs>
        <w:numPr>
          <w:ilvl w:val="0"/>
          <w:numId w:val="57"/>
        </w:numPr>
        <w:rPr>
          <w:rFonts w:ascii="Arial" w:cs="Arial" w:eastAsia="Arial" w:hAnsi="Arial"/>
          <w:sz w:val="14"/>
          <w:szCs w:val="14"/>
          <w:color w:val="auto"/>
        </w:rPr>
      </w:pPr>
      <w:r>
        <w:rPr>
          <w:rFonts w:ascii="Arial" w:cs="Arial" w:eastAsia="Arial" w:hAnsi="Arial"/>
          <w:sz w:val="14"/>
          <w:szCs w:val="14"/>
          <w:b w:val="1"/>
          <w:bCs w:val="1"/>
          <w:color w:val="auto"/>
        </w:rPr>
        <w:t>Cumulative Retail Adjusted EBITDAR (60%)</w:t>
      </w:r>
    </w:p>
    <w:p>
      <w:pPr>
        <w:spacing w:after="0" w:line="109" w:lineRule="exact"/>
        <w:rPr>
          <w:rFonts w:ascii="Arial" w:cs="Arial" w:eastAsia="Arial" w:hAnsi="Arial"/>
          <w:sz w:val="14"/>
          <w:szCs w:val="14"/>
          <w:color w:val="auto"/>
        </w:rPr>
      </w:pPr>
    </w:p>
    <w:p>
      <w:pPr>
        <w:ind w:left="440" w:hanging="74"/>
        <w:spacing w:after="0"/>
        <w:tabs>
          <w:tab w:leader="none" w:pos="440" w:val="left"/>
        </w:tabs>
        <w:numPr>
          <w:ilvl w:val="0"/>
          <w:numId w:val="57"/>
        </w:numPr>
        <w:rPr>
          <w:rFonts w:ascii="Arial" w:cs="Arial" w:eastAsia="Arial" w:hAnsi="Arial"/>
          <w:sz w:val="14"/>
          <w:szCs w:val="14"/>
          <w:color w:val="auto"/>
        </w:rPr>
      </w:pPr>
      <w:r>
        <w:rPr>
          <w:rFonts w:ascii="Arial" w:cs="Arial" w:eastAsia="Arial" w:hAnsi="Arial"/>
          <w:sz w:val="14"/>
          <w:szCs w:val="14"/>
          <w:b w:val="1"/>
          <w:bCs w:val="1"/>
          <w:color w:val="auto"/>
        </w:rPr>
        <w:t>Cumulative Interactive Adjusted EBITDA (20%)</w:t>
      </w:r>
    </w:p>
    <w:p>
      <w:pPr>
        <w:spacing w:after="0" w:line="109"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auto"/>
        </w:rPr>
        <w:t>The 2025 PSU financial metrics were selected to emphasize long-term profitability in the Company’s Retail and Interactive segments. The Committee established rigorous three-year cumulative performance goals that reflect the Company’s long-term growth plan, market expectations, the likelihood of achieving various performance levels, and broader industry trends. The Committee determined that these targets require a significant level of effort to achieve.</w:t>
      </w:r>
    </w:p>
    <w:p>
      <w:pPr>
        <w:spacing w:after="0" w:line="69"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The Committee selected Adjusted EBITDAR for the STIP and Retail Adjusted EBITDAR and Interactive Adjusted EBITDA for the LTIP because we view these measures as providing the most meaningful insight into the Company’s underlying operating performance and its ability to generate profitable growth. Although both plans incorporate EBITDAR or EBITDA-based metrics, they assess distinct time horizons: the STIP evaluates one-year operational execution, while the three-year LTIP metrics measure management’s ability to deliver durable, resilient growth across the Company’s strategic investments. Additionally, the LTIP places greater weight on Retail Adjusted EBITDAR, reinforcing the strategic importance of the Retail segment to the Company’s long-term value-creation priorities.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The remaining 20% of the target 2025 PSU opportunity is tied to operational metrics designed to incentivize growth in our customer database and the increase of omnichannel players who engage with the Company across both retail and digital channels—key drivers of our omnichannel strategy and long-term profitability. The Committee set rigorous targets aligned with internal projections and the Company’s annual plan for user acquisition and cross-channel engagement, requiring significant growth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92710</wp:posOffset>
            </wp:positionV>
            <wp:extent cx="699516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Performance Stock Units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606"/>
        </w:trPr>
        <w:tc>
          <w:tcPr>
            <w:tcW w:w="100" w:type="dxa"/>
            <w:vAlign w:val="bottom"/>
            <w:tcBorders>
              <w:top w:val="single" w:sz="8" w:color="69439A"/>
            </w:tcBorders>
            <w:shd w:val="clear" w:color="auto" w:fill="010035"/>
          </w:tcPr>
          <w:p>
            <w:pPr>
              <w:spacing w:after="0"/>
              <w:rPr>
                <w:sz w:val="24"/>
                <w:szCs w:val="24"/>
                <w:color w:val="auto"/>
              </w:rPr>
            </w:pPr>
          </w:p>
        </w:tc>
        <w:tc>
          <w:tcPr>
            <w:tcW w:w="3080" w:type="dxa"/>
            <w:vAlign w:val="bottom"/>
            <w:tcBorders>
              <w:top w:val="single" w:sz="8" w:color="69439A"/>
            </w:tcBorders>
            <w:shd w:val="clear" w:color="auto" w:fill="010035"/>
          </w:tcPr>
          <w:p>
            <w:pPr>
              <w:ind w:left="60"/>
              <w:spacing w:after="0"/>
              <w:rPr>
                <w:sz w:val="20"/>
                <w:szCs w:val="20"/>
                <w:color w:val="auto"/>
              </w:rPr>
            </w:pPr>
            <w:r>
              <w:rPr>
                <w:rFonts w:ascii="Arial" w:cs="Arial" w:eastAsia="Arial" w:hAnsi="Arial"/>
                <w:sz w:val="22"/>
                <w:szCs w:val="22"/>
                <w:b w:val="1"/>
                <w:bCs w:val="1"/>
                <w:color w:val="FFFFFF"/>
                <w:w w:val="89"/>
              </w:rPr>
              <w:t>2025 PSUs Performance Metrics</w:t>
            </w:r>
          </w:p>
        </w:tc>
        <w:tc>
          <w:tcPr>
            <w:tcW w:w="1280" w:type="dxa"/>
            <w:vAlign w:val="bottom"/>
            <w:tcBorders>
              <w:top w:val="single" w:sz="8" w:color="69439A"/>
            </w:tcBorders>
            <w:vMerge w:val="restart"/>
            <w:shd w:val="clear" w:color="auto" w:fill="010035"/>
          </w:tcPr>
          <w:p>
            <w:pPr>
              <w:ind w:left="120"/>
              <w:spacing w:after="0"/>
              <w:rPr>
                <w:sz w:val="20"/>
                <w:szCs w:val="20"/>
                <w:color w:val="auto"/>
              </w:rPr>
            </w:pPr>
            <w:r>
              <w:rPr>
                <w:rFonts w:ascii="Arial" w:cs="Arial" w:eastAsia="Arial" w:hAnsi="Arial"/>
                <w:sz w:val="18"/>
                <w:szCs w:val="18"/>
                <w:b w:val="1"/>
                <w:bCs w:val="1"/>
                <w:color w:val="FFFFFF"/>
              </w:rPr>
              <w:t>WEIGHTING</w:t>
            </w:r>
          </w:p>
        </w:tc>
        <w:tc>
          <w:tcPr>
            <w:tcW w:w="4940" w:type="dxa"/>
            <w:vAlign w:val="bottom"/>
            <w:tcBorders>
              <w:top w:val="single" w:sz="8" w:color="69439A"/>
            </w:tcBorders>
            <w:vMerge w:val="restart"/>
            <w:shd w:val="clear" w:color="auto" w:fill="010035"/>
          </w:tcPr>
          <w:p>
            <w:pPr>
              <w:ind w:left="140"/>
              <w:spacing w:after="0"/>
              <w:rPr>
                <w:sz w:val="20"/>
                <w:szCs w:val="20"/>
                <w:color w:val="auto"/>
              </w:rPr>
            </w:pPr>
            <w:r>
              <w:rPr>
                <w:rFonts w:ascii="Arial" w:cs="Arial" w:eastAsia="Arial" w:hAnsi="Arial"/>
                <w:sz w:val="18"/>
                <w:szCs w:val="18"/>
                <w:b w:val="1"/>
                <w:bCs w:val="1"/>
                <w:color w:val="FFFFFF"/>
              </w:rPr>
              <w:t>LINK TO STRATEGY</w:t>
            </w:r>
          </w:p>
        </w:tc>
        <w:tc>
          <w:tcPr>
            <w:tcW w:w="0" w:type="dxa"/>
            <w:vAlign w:val="bottom"/>
          </w:tcPr>
          <w:p>
            <w:pPr>
              <w:spacing w:after="0"/>
              <w:rPr>
                <w:sz w:val="1"/>
                <w:szCs w:val="1"/>
                <w:color w:val="auto"/>
              </w:rPr>
            </w:pPr>
          </w:p>
        </w:tc>
      </w:tr>
      <w:tr>
        <w:trPr>
          <w:trHeight w:val="148"/>
        </w:trPr>
        <w:tc>
          <w:tcPr>
            <w:tcW w:w="100" w:type="dxa"/>
            <w:vAlign w:val="bottom"/>
            <w:shd w:val="clear" w:color="auto" w:fill="010035"/>
          </w:tcPr>
          <w:p>
            <w:pPr>
              <w:spacing w:after="0"/>
              <w:rPr>
                <w:sz w:val="12"/>
                <w:szCs w:val="12"/>
                <w:color w:val="auto"/>
              </w:rPr>
            </w:pPr>
          </w:p>
        </w:tc>
        <w:tc>
          <w:tcPr>
            <w:tcW w:w="3080" w:type="dxa"/>
            <w:vAlign w:val="bottom"/>
            <w:vMerge w:val="restart"/>
            <w:shd w:val="clear" w:color="auto" w:fill="010035"/>
          </w:tcPr>
          <w:p>
            <w:pPr>
              <w:ind w:left="60"/>
              <w:spacing w:after="0"/>
              <w:rPr>
                <w:sz w:val="20"/>
                <w:szCs w:val="20"/>
                <w:color w:val="auto"/>
              </w:rPr>
            </w:pPr>
            <w:r>
              <w:rPr>
                <w:rFonts w:ascii="Arial" w:cs="Arial" w:eastAsia="Arial" w:hAnsi="Arial"/>
                <w:sz w:val="22"/>
                <w:szCs w:val="22"/>
                <w:b w:val="1"/>
                <w:bCs w:val="1"/>
                <w:color w:val="FFFFFF"/>
              </w:rPr>
              <w:t>for 2025-2027</w:t>
            </w:r>
          </w:p>
        </w:tc>
        <w:tc>
          <w:tcPr>
            <w:tcW w:w="1280" w:type="dxa"/>
            <w:vAlign w:val="bottom"/>
            <w:vMerge w:val="continue"/>
            <w:shd w:val="clear" w:color="auto" w:fill="010035"/>
          </w:tcPr>
          <w:p>
            <w:pPr>
              <w:spacing w:after="0"/>
              <w:rPr>
                <w:sz w:val="12"/>
                <w:szCs w:val="12"/>
                <w:color w:val="auto"/>
              </w:rPr>
            </w:pPr>
          </w:p>
        </w:tc>
        <w:tc>
          <w:tcPr>
            <w:tcW w:w="4940" w:type="dxa"/>
            <w:vAlign w:val="bottom"/>
            <w:vMerge w:val="continue"/>
            <w:shd w:val="clear" w:color="auto" w:fill="010035"/>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00" w:type="dxa"/>
            <w:vAlign w:val="bottom"/>
            <w:tcBorders>
              <w:bottom w:val="single" w:sz="8" w:color="010035"/>
            </w:tcBorders>
            <w:shd w:val="clear" w:color="auto" w:fill="010035"/>
          </w:tcPr>
          <w:p>
            <w:pPr>
              <w:spacing w:after="0"/>
              <w:rPr>
                <w:sz w:val="16"/>
                <w:szCs w:val="16"/>
                <w:color w:val="auto"/>
              </w:rPr>
            </w:pPr>
          </w:p>
        </w:tc>
        <w:tc>
          <w:tcPr>
            <w:tcW w:w="3080" w:type="dxa"/>
            <w:vAlign w:val="bottom"/>
            <w:tcBorders>
              <w:bottom w:val="single" w:sz="8" w:color="010035"/>
            </w:tcBorders>
            <w:vMerge w:val="continue"/>
            <w:shd w:val="clear" w:color="auto" w:fill="010035"/>
          </w:tcPr>
          <w:p>
            <w:pPr>
              <w:spacing w:after="0"/>
              <w:rPr>
                <w:sz w:val="16"/>
                <w:szCs w:val="16"/>
                <w:color w:val="auto"/>
              </w:rPr>
            </w:pPr>
          </w:p>
        </w:tc>
        <w:tc>
          <w:tcPr>
            <w:tcW w:w="1280" w:type="dxa"/>
            <w:vAlign w:val="bottom"/>
            <w:tcBorders>
              <w:bottom w:val="single" w:sz="8" w:color="010035"/>
            </w:tcBorders>
            <w:shd w:val="clear" w:color="auto" w:fill="010035"/>
          </w:tcPr>
          <w:p>
            <w:pPr>
              <w:spacing w:after="0"/>
              <w:rPr>
                <w:sz w:val="16"/>
                <w:szCs w:val="16"/>
                <w:color w:val="auto"/>
              </w:rPr>
            </w:pPr>
          </w:p>
        </w:tc>
        <w:tc>
          <w:tcPr>
            <w:tcW w:w="4940" w:type="dxa"/>
            <w:vAlign w:val="bottom"/>
            <w:tcBorders>
              <w:bottom w:val="single" w:sz="8" w:color="010035"/>
            </w:tcBorders>
            <w:shd w:val="clear" w:color="auto" w:fill="010035"/>
          </w:tcPr>
          <w:p>
            <w:pPr>
              <w:spacing w:after="0"/>
              <w:rPr>
                <w:sz w:val="16"/>
                <w:szCs w:val="16"/>
                <w:color w:val="auto"/>
              </w:rPr>
            </w:pPr>
          </w:p>
        </w:tc>
        <w:tc>
          <w:tcPr>
            <w:tcW w:w="0" w:type="dxa"/>
            <w:vAlign w:val="bottom"/>
          </w:tcPr>
          <w:p>
            <w:pPr>
              <w:spacing w:after="0"/>
              <w:rPr>
                <w:sz w:val="1"/>
                <w:szCs w:val="1"/>
                <w:color w:val="auto"/>
              </w:rPr>
            </w:pPr>
          </w:p>
        </w:tc>
      </w:tr>
      <w:tr>
        <w:trPr>
          <w:trHeight w:val="531"/>
        </w:trPr>
        <w:tc>
          <w:tcPr>
            <w:tcW w:w="100" w:type="dxa"/>
            <w:vAlign w:val="bottom"/>
          </w:tcPr>
          <w:p>
            <w:pPr>
              <w:spacing w:after="0"/>
              <w:rPr>
                <w:sz w:val="24"/>
                <w:szCs w:val="24"/>
                <w:color w:val="auto"/>
              </w:rPr>
            </w:pPr>
          </w:p>
        </w:tc>
        <w:tc>
          <w:tcPr>
            <w:tcW w:w="3080" w:type="dxa"/>
            <w:vAlign w:val="bottom"/>
          </w:tcPr>
          <w:p>
            <w:pPr>
              <w:ind w:left="1680"/>
              <w:spacing w:after="0"/>
              <w:rPr>
                <w:sz w:val="20"/>
                <w:szCs w:val="20"/>
                <w:color w:val="auto"/>
              </w:rPr>
            </w:pPr>
            <w:r>
              <w:rPr>
                <w:rFonts w:ascii="Arial" w:cs="Arial" w:eastAsia="Arial" w:hAnsi="Arial"/>
                <w:sz w:val="14"/>
                <w:szCs w:val="14"/>
                <w:color w:val="010035"/>
              </w:rPr>
              <w:t>Retail</w:t>
            </w:r>
          </w:p>
        </w:tc>
        <w:tc>
          <w:tcPr>
            <w:tcW w:w="1280" w:type="dxa"/>
            <w:vAlign w:val="bottom"/>
          </w:tcPr>
          <w:p>
            <w:pPr>
              <w:spacing w:after="0"/>
              <w:rPr>
                <w:sz w:val="24"/>
                <w:szCs w:val="24"/>
                <w:color w:val="auto"/>
              </w:rPr>
            </w:pPr>
          </w:p>
        </w:tc>
        <w:tc>
          <w:tcPr>
            <w:tcW w:w="4940" w:type="dxa"/>
            <w:vAlign w:val="bottom"/>
          </w:tcPr>
          <w:p>
            <w:pPr>
              <w:ind w:left="140"/>
              <w:spacing w:after="0"/>
              <w:rPr>
                <w:sz w:val="20"/>
                <w:szCs w:val="20"/>
                <w:color w:val="auto"/>
              </w:rPr>
            </w:pPr>
            <w:r>
              <w:rPr>
                <w:rFonts w:ascii="Arial" w:cs="Arial" w:eastAsia="Arial" w:hAnsi="Arial"/>
                <w:sz w:val="14"/>
                <w:szCs w:val="14"/>
                <w:b w:val="1"/>
                <w:bCs w:val="1"/>
                <w:color w:val="010035"/>
              </w:rPr>
              <w:t xml:space="preserve">3-Year cumulative Retail Adjusted EBITDAR. </w:t>
            </w:r>
            <w:r>
              <w:rPr>
                <w:rFonts w:ascii="Arial" w:cs="Arial" w:eastAsia="Arial" w:hAnsi="Arial"/>
                <w:sz w:val="14"/>
                <w:szCs w:val="14"/>
                <w:color w:val="010035"/>
              </w:rPr>
              <w:t>This metric incentivizes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080" w:type="dxa"/>
            <w:vAlign w:val="bottom"/>
          </w:tcPr>
          <w:p>
            <w:pPr>
              <w:ind w:left="1680"/>
              <w:spacing w:after="0"/>
              <w:rPr>
                <w:sz w:val="20"/>
                <w:szCs w:val="20"/>
                <w:color w:val="auto"/>
              </w:rPr>
            </w:pPr>
            <w:r>
              <w:rPr>
                <w:rFonts w:ascii="Arial" w:cs="Arial" w:eastAsia="Arial" w:hAnsi="Arial"/>
                <w:sz w:val="14"/>
                <w:szCs w:val="14"/>
                <w:color w:val="010035"/>
              </w:rPr>
              <w:t>Adjusted</w:t>
            </w:r>
          </w:p>
        </w:tc>
        <w:tc>
          <w:tcPr>
            <w:tcW w:w="1280" w:type="dxa"/>
            <w:vAlign w:val="bottom"/>
          </w:tcPr>
          <w:p>
            <w:pPr>
              <w:spacing w:after="0"/>
              <w:rPr>
                <w:sz w:val="14"/>
                <w:szCs w:val="14"/>
                <w:color w:val="auto"/>
              </w:rPr>
            </w:pPr>
          </w:p>
        </w:tc>
        <w:tc>
          <w:tcPr>
            <w:tcW w:w="4940" w:type="dxa"/>
            <w:vAlign w:val="bottom"/>
          </w:tcPr>
          <w:p>
            <w:pPr>
              <w:ind w:left="140"/>
              <w:spacing w:after="0"/>
              <w:rPr>
                <w:sz w:val="20"/>
                <w:szCs w:val="20"/>
                <w:color w:val="auto"/>
              </w:rPr>
            </w:pPr>
            <w:r>
              <w:rPr>
                <w:rFonts w:ascii="Arial" w:cs="Arial" w:eastAsia="Arial" w:hAnsi="Arial"/>
                <w:sz w:val="14"/>
                <w:szCs w:val="14"/>
                <w:color w:val="010035"/>
              </w:rPr>
              <w:t>effective operation of our Retail Segment, including revenue growth and</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080" w:type="dxa"/>
            <w:vAlign w:val="bottom"/>
          </w:tcPr>
          <w:p>
            <w:pPr>
              <w:ind w:left="1680"/>
              <w:spacing w:after="0" w:line="145" w:lineRule="exact"/>
              <w:rPr>
                <w:sz w:val="20"/>
                <w:szCs w:val="20"/>
                <w:color w:val="auto"/>
              </w:rPr>
            </w:pPr>
            <w:r>
              <w:rPr>
                <w:rFonts w:ascii="Arial" w:cs="Arial" w:eastAsia="Arial" w:hAnsi="Arial"/>
                <w:sz w:val="14"/>
                <w:szCs w:val="14"/>
                <w:color w:val="010035"/>
              </w:rPr>
              <w:t>EBITDAR</w:t>
            </w:r>
          </w:p>
        </w:tc>
        <w:tc>
          <w:tcPr>
            <w:tcW w:w="1280" w:type="dxa"/>
            <w:vAlign w:val="bottom"/>
          </w:tcPr>
          <w:p>
            <w:pPr>
              <w:spacing w:after="0"/>
              <w:rPr>
                <w:sz w:val="12"/>
                <w:szCs w:val="12"/>
                <w:color w:val="auto"/>
              </w:rPr>
            </w:pPr>
          </w:p>
        </w:tc>
        <w:tc>
          <w:tcPr>
            <w:tcW w:w="4940" w:type="dxa"/>
            <w:vAlign w:val="bottom"/>
          </w:tcPr>
          <w:p>
            <w:pPr>
              <w:ind w:left="140"/>
              <w:spacing w:after="0" w:line="145" w:lineRule="exact"/>
              <w:rPr>
                <w:sz w:val="20"/>
                <w:szCs w:val="20"/>
                <w:color w:val="auto"/>
              </w:rPr>
            </w:pPr>
            <w:r>
              <w:rPr>
                <w:rFonts w:ascii="Arial" w:cs="Arial" w:eastAsia="Arial" w:hAnsi="Arial"/>
                <w:sz w:val="14"/>
                <w:szCs w:val="14"/>
                <w:color w:val="010035"/>
              </w:rPr>
              <w:t>cost efficiencies.</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080" w:type="dxa"/>
            <w:vAlign w:val="bottom"/>
          </w:tcPr>
          <w:p>
            <w:pPr>
              <w:ind w:left="60"/>
              <w:spacing w:after="0" w:line="242" w:lineRule="exact"/>
              <w:rPr>
                <w:sz w:val="20"/>
                <w:szCs w:val="20"/>
                <w:color w:val="auto"/>
              </w:rPr>
            </w:pPr>
            <w:r>
              <w:rPr>
                <w:rFonts w:ascii="Arial" w:cs="Arial" w:eastAsia="Arial" w:hAnsi="Arial"/>
                <w:sz w:val="22"/>
                <w:szCs w:val="22"/>
                <w:b w:val="1"/>
                <w:bCs w:val="1"/>
                <w:color w:val="69439A"/>
              </w:rPr>
              <w:t>FINANCIAL</w:t>
            </w:r>
          </w:p>
        </w:tc>
        <w:tc>
          <w:tcPr>
            <w:tcW w:w="12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080" w:type="dxa"/>
            <w:vAlign w:val="bottom"/>
          </w:tcPr>
          <w:p>
            <w:pPr>
              <w:ind w:left="60"/>
              <w:spacing w:after="0" w:line="243" w:lineRule="exact"/>
              <w:rPr>
                <w:sz w:val="20"/>
                <w:szCs w:val="20"/>
                <w:color w:val="auto"/>
              </w:rPr>
            </w:pPr>
            <w:r>
              <w:rPr>
                <w:rFonts w:ascii="Arial" w:cs="Arial" w:eastAsia="Arial" w:hAnsi="Arial"/>
                <w:sz w:val="22"/>
                <w:szCs w:val="22"/>
                <w:b w:val="1"/>
                <w:bCs w:val="1"/>
                <w:color w:val="69439A"/>
              </w:rPr>
              <w:t>METRICS</w:t>
            </w:r>
          </w:p>
        </w:tc>
        <w:tc>
          <w:tcPr>
            <w:tcW w:w="12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3180" w:type="dxa"/>
            <w:vAlign w:val="bottom"/>
            <w:gridSpan w:val="2"/>
          </w:tcPr>
          <w:p>
            <w:pPr>
              <w:ind w:left="160"/>
              <w:spacing w:after="0"/>
              <w:rPr>
                <w:sz w:val="20"/>
                <w:szCs w:val="20"/>
                <w:color w:val="auto"/>
              </w:rPr>
            </w:pPr>
            <w:r>
              <w:rPr>
                <w:rFonts w:ascii="Arial" w:cs="Arial" w:eastAsia="Arial" w:hAnsi="Arial"/>
                <w:sz w:val="22"/>
                <w:szCs w:val="22"/>
                <w:b w:val="1"/>
                <w:bCs w:val="1"/>
                <w:color w:val="69439A"/>
              </w:rPr>
              <w:t>(80%)</w:t>
            </w:r>
          </w:p>
        </w:tc>
        <w:tc>
          <w:tcPr>
            <w:tcW w:w="1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080" w:type="dxa"/>
            <w:vAlign w:val="bottom"/>
          </w:tcPr>
          <w:p>
            <w:pPr>
              <w:ind w:left="1680"/>
              <w:spacing w:after="0"/>
              <w:rPr>
                <w:sz w:val="20"/>
                <w:szCs w:val="20"/>
                <w:color w:val="auto"/>
              </w:rPr>
            </w:pPr>
            <w:r>
              <w:rPr>
                <w:rFonts w:ascii="Arial" w:cs="Arial" w:eastAsia="Arial" w:hAnsi="Arial"/>
                <w:sz w:val="14"/>
                <w:szCs w:val="14"/>
                <w:color w:val="010035"/>
              </w:rPr>
              <w:t>Interactive</w:t>
            </w:r>
          </w:p>
        </w:tc>
        <w:tc>
          <w:tcPr>
            <w:tcW w:w="1280" w:type="dxa"/>
            <w:vAlign w:val="bottom"/>
          </w:tcPr>
          <w:p>
            <w:pPr>
              <w:spacing w:after="0"/>
              <w:rPr>
                <w:sz w:val="14"/>
                <w:szCs w:val="14"/>
                <w:color w:val="auto"/>
              </w:rPr>
            </w:pPr>
          </w:p>
        </w:tc>
        <w:tc>
          <w:tcPr>
            <w:tcW w:w="4940" w:type="dxa"/>
            <w:vAlign w:val="bottom"/>
          </w:tcPr>
          <w:p>
            <w:pPr>
              <w:ind w:left="140"/>
              <w:spacing w:after="0"/>
              <w:rPr>
                <w:sz w:val="20"/>
                <w:szCs w:val="20"/>
                <w:color w:val="auto"/>
              </w:rPr>
            </w:pPr>
            <w:r>
              <w:rPr>
                <w:rFonts w:ascii="Arial" w:cs="Arial" w:eastAsia="Arial" w:hAnsi="Arial"/>
                <w:sz w:val="14"/>
                <w:szCs w:val="14"/>
                <w:b w:val="1"/>
                <w:bCs w:val="1"/>
                <w:color w:val="010035"/>
              </w:rPr>
              <w:t xml:space="preserve">3-Year cumulative Interactive Adjusted EBITDA. </w:t>
            </w:r>
            <w:r>
              <w:rPr>
                <w:rFonts w:ascii="Arial" w:cs="Arial" w:eastAsia="Arial" w:hAnsi="Arial"/>
                <w:sz w:val="14"/>
                <w:szCs w:val="14"/>
                <w:color w:val="010035"/>
              </w:rPr>
              <w:t>This metric focuses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080" w:type="dxa"/>
            <w:vAlign w:val="bottom"/>
          </w:tcPr>
          <w:p>
            <w:pPr>
              <w:ind w:left="1680"/>
              <w:spacing w:after="0"/>
              <w:rPr>
                <w:sz w:val="20"/>
                <w:szCs w:val="20"/>
                <w:color w:val="auto"/>
              </w:rPr>
            </w:pPr>
            <w:r>
              <w:rPr>
                <w:rFonts w:ascii="Arial" w:cs="Arial" w:eastAsia="Arial" w:hAnsi="Arial"/>
                <w:sz w:val="14"/>
                <w:szCs w:val="14"/>
                <w:color w:val="010035"/>
              </w:rPr>
              <w:t>Adjusted</w:t>
            </w:r>
          </w:p>
        </w:tc>
        <w:tc>
          <w:tcPr>
            <w:tcW w:w="1280" w:type="dxa"/>
            <w:vAlign w:val="bottom"/>
          </w:tcPr>
          <w:p>
            <w:pPr>
              <w:spacing w:after="0"/>
              <w:rPr>
                <w:sz w:val="14"/>
                <w:szCs w:val="14"/>
                <w:color w:val="auto"/>
              </w:rPr>
            </w:pPr>
          </w:p>
        </w:tc>
        <w:tc>
          <w:tcPr>
            <w:tcW w:w="4940" w:type="dxa"/>
            <w:vAlign w:val="bottom"/>
          </w:tcPr>
          <w:p>
            <w:pPr>
              <w:ind w:left="140"/>
              <w:spacing w:after="0"/>
              <w:rPr>
                <w:sz w:val="20"/>
                <w:szCs w:val="20"/>
                <w:color w:val="auto"/>
              </w:rPr>
            </w:pPr>
            <w:r>
              <w:rPr>
                <w:rFonts w:ascii="Arial" w:cs="Arial" w:eastAsia="Arial" w:hAnsi="Arial"/>
                <w:sz w:val="14"/>
                <w:szCs w:val="14"/>
                <w:color w:val="010035"/>
              </w:rPr>
              <w:t>on initiatives designed to drive profitable growth and responsible scaling</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080" w:type="dxa"/>
            <w:vAlign w:val="bottom"/>
          </w:tcPr>
          <w:p>
            <w:pPr>
              <w:ind w:left="1680"/>
              <w:spacing w:after="0"/>
              <w:rPr>
                <w:sz w:val="20"/>
                <w:szCs w:val="20"/>
                <w:color w:val="auto"/>
              </w:rPr>
            </w:pPr>
            <w:r>
              <w:rPr>
                <w:rFonts w:ascii="Arial" w:cs="Arial" w:eastAsia="Arial" w:hAnsi="Arial"/>
                <w:sz w:val="14"/>
                <w:szCs w:val="14"/>
                <w:color w:val="010035"/>
              </w:rPr>
              <w:t>EBITDA</w:t>
            </w:r>
          </w:p>
        </w:tc>
        <w:tc>
          <w:tcPr>
            <w:tcW w:w="1280" w:type="dxa"/>
            <w:vAlign w:val="bottom"/>
          </w:tcPr>
          <w:p>
            <w:pPr>
              <w:spacing w:after="0"/>
              <w:rPr>
                <w:sz w:val="16"/>
                <w:szCs w:val="16"/>
                <w:color w:val="auto"/>
              </w:rPr>
            </w:pPr>
          </w:p>
        </w:tc>
        <w:tc>
          <w:tcPr>
            <w:tcW w:w="4940" w:type="dxa"/>
            <w:vAlign w:val="bottom"/>
          </w:tcPr>
          <w:p>
            <w:pPr>
              <w:ind w:left="140"/>
              <w:spacing w:after="0"/>
              <w:rPr>
                <w:sz w:val="20"/>
                <w:szCs w:val="20"/>
                <w:color w:val="auto"/>
              </w:rPr>
            </w:pPr>
            <w:r>
              <w:rPr>
                <w:rFonts w:ascii="Arial" w:cs="Arial" w:eastAsia="Arial" w:hAnsi="Arial"/>
                <w:sz w:val="14"/>
                <w:szCs w:val="14"/>
                <w:color w:val="010035"/>
              </w:rPr>
              <w:t>of our Interactive Segment.</w:t>
            </w:r>
          </w:p>
        </w:tc>
        <w:tc>
          <w:tcPr>
            <w:tcW w:w="0" w:type="dxa"/>
            <w:vAlign w:val="bottom"/>
          </w:tcPr>
          <w:p>
            <w:pPr>
              <w:spacing w:after="0"/>
              <w:rPr>
                <w:sz w:val="1"/>
                <w:szCs w:val="1"/>
                <w:color w:val="auto"/>
              </w:rPr>
            </w:pPr>
          </w:p>
        </w:tc>
      </w:tr>
      <w:tr>
        <w:trPr>
          <w:trHeight w:val="346"/>
        </w:trPr>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-1499870</wp:posOffset>
            </wp:positionV>
            <wp:extent cx="643255" cy="643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43255" cy="643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-711200</wp:posOffset>
            </wp:positionV>
            <wp:extent cx="643255" cy="642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43255" cy="64262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76835</wp:posOffset>
            </wp:positionV>
            <wp:extent cx="643255" cy="643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780"/>
        <w:spacing w:after="0"/>
        <w:rPr>
          <w:sz w:val="20"/>
          <w:szCs w:val="20"/>
          <w:color w:val="auto"/>
        </w:rPr>
      </w:pPr>
      <w:r>
        <w:rPr>
          <w:rFonts w:ascii="Arial" w:cs="Arial" w:eastAsia="Arial" w:hAnsi="Arial"/>
          <w:sz w:val="14"/>
          <w:szCs w:val="14"/>
          <w:color w:val="010035"/>
        </w:rPr>
        <w:t>Database</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4"/>
          <w:szCs w:val="14"/>
          <w:color w:val="010035"/>
        </w:rPr>
        <w:t>Growth</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9439A"/>
        </w:rPr>
        <w:t>OPERATIONAL</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9439A"/>
        </w:rPr>
        <w:t>METRICS</w:t>
      </w:r>
    </w:p>
    <w:p>
      <w:pPr>
        <w:ind w:left="160"/>
        <w:spacing w:after="0"/>
        <w:rPr>
          <w:sz w:val="20"/>
          <w:szCs w:val="20"/>
          <w:color w:val="auto"/>
        </w:rPr>
      </w:pPr>
      <w:r>
        <w:rPr>
          <w:rFonts w:ascii="Arial" w:cs="Arial" w:eastAsia="Arial" w:hAnsi="Arial"/>
          <w:sz w:val="22"/>
          <w:szCs w:val="22"/>
          <w:b w:val="1"/>
          <w:bCs w:val="1"/>
          <w:color w:val="69439A"/>
        </w:rPr>
        <w:t>(20%)</w:t>
      </w:r>
    </w:p>
    <w:p>
      <w:pPr>
        <w:spacing w:after="0" w:line="95" w:lineRule="exact"/>
        <w:rPr>
          <w:sz w:val="20"/>
          <w:szCs w:val="20"/>
          <w:color w:val="auto"/>
        </w:rPr>
      </w:pPr>
    </w:p>
    <w:p>
      <w:pPr>
        <w:ind w:left="1780"/>
        <w:spacing w:after="0"/>
        <w:rPr>
          <w:sz w:val="20"/>
          <w:szCs w:val="20"/>
          <w:color w:val="auto"/>
        </w:rPr>
      </w:pPr>
      <w:r>
        <w:rPr>
          <w:rFonts w:ascii="Arial" w:cs="Arial" w:eastAsia="Arial" w:hAnsi="Arial"/>
          <w:sz w:val="14"/>
          <w:szCs w:val="14"/>
          <w:color w:val="010035"/>
        </w:rPr>
        <w:t>Omnichannel</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4"/>
          <w:szCs w:val="14"/>
          <w:color w:val="010035"/>
        </w:rPr>
        <w:t>Play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right="300"/>
        <w:spacing w:after="0" w:line="263" w:lineRule="auto"/>
        <w:rPr>
          <w:sz w:val="20"/>
          <w:szCs w:val="20"/>
          <w:color w:val="auto"/>
        </w:rPr>
      </w:pPr>
      <w:r>
        <w:rPr>
          <w:rFonts w:ascii="Arial" w:cs="Arial" w:eastAsia="Arial" w:hAnsi="Arial"/>
          <w:sz w:val="14"/>
          <w:szCs w:val="14"/>
          <w:b w:val="1"/>
          <w:bCs w:val="1"/>
          <w:color w:val="010035"/>
        </w:rPr>
        <w:t xml:space="preserve">3-Year cumulative PENN Play database growth. </w:t>
      </w:r>
      <w:r>
        <w:rPr>
          <w:rFonts w:ascii="Arial" w:cs="Arial" w:eastAsia="Arial" w:hAnsi="Arial"/>
          <w:sz w:val="14"/>
          <w:szCs w:val="14"/>
          <w:color w:val="010035"/>
        </w:rPr>
        <w:t>This metric focuses</w:t>
      </w:r>
      <w:r>
        <w:rPr>
          <w:rFonts w:ascii="Arial" w:cs="Arial" w:eastAsia="Arial" w:hAnsi="Arial"/>
          <w:sz w:val="14"/>
          <w:szCs w:val="14"/>
          <w:b w:val="1"/>
          <w:bCs w:val="1"/>
          <w:color w:val="010035"/>
        </w:rPr>
        <w:t xml:space="preserve"> </w:t>
      </w:r>
      <w:r>
        <w:rPr>
          <w:rFonts w:ascii="Arial" w:cs="Arial" w:eastAsia="Arial" w:hAnsi="Arial"/>
          <w:sz w:val="14"/>
          <w:szCs w:val="14"/>
          <w:color w:val="010035"/>
        </w:rPr>
        <w:t>on expanding our customer ecosystem to increase cross-sell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295275</wp:posOffset>
            </wp:positionV>
            <wp:extent cx="643255" cy="642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4325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spacing w:after="0" w:line="263" w:lineRule="auto"/>
        <w:rPr>
          <w:sz w:val="20"/>
          <w:szCs w:val="20"/>
          <w:color w:val="auto"/>
        </w:rPr>
      </w:pPr>
      <w:r>
        <w:rPr>
          <w:rFonts w:ascii="Arial" w:cs="Arial" w:eastAsia="Arial" w:hAnsi="Arial"/>
          <w:sz w:val="14"/>
          <w:szCs w:val="14"/>
          <w:b w:val="1"/>
          <w:bCs w:val="1"/>
          <w:color w:val="010035"/>
        </w:rPr>
        <w:t xml:space="preserve">3-Year cumulative growth in the number of customers playing with PENN across multiple channels (e.g., retail, OSB, iCasino). </w:t>
      </w:r>
      <w:r>
        <w:rPr>
          <w:rFonts w:ascii="Arial" w:cs="Arial" w:eastAsia="Arial" w:hAnsi="Arial"/>
          <w:sz w:val="14"/>
          <w:szCs w:val="14"/>
          <w:color w:val="010035"/>
        </w:rPr>
        <w:t>This</w:t>
      </w:r>
      <w:r>
        <w:rPr>
          <w:rFonts w:ascii="Arial" w:cs="Arial" w:eastAsia="Arial" w:hAnsi="Arial"/>
          <w:sz w:val="14"/>
          <w:szCs w:val="14"/>
          <w:b w:val="1"/>
          <w:bCs w:val="1"/>
          <w:color w:val="010035"/>
        </w:rPr>
        <w:t xml:space="preserve"> </w:t>
      </w:r>
      <w:r>
        <w:rPr>
          <w:rFonts w:ascii="Arial" w:cs="Arial" w:eastAsia="Arial" w:hAnsi="Arial"/>
          <w:sz w:val="14"/>
          <w:szCs w:val="14"/>
          <w:color w:val="010035"/>
        </w:rPr>
        <w:t>metric focuses on the effectiveness of our cross-sell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184150</wp:posOffset>
            </wp:positionV>
            <wp:extent cx="59664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720"/>
            <w:col w:w="4800"/>
          </w:cols>
          <w:pgMar w:left="1240" w:top="114" w:right="1259" w:bottom="1440" w:gutter="0" w:footer="0" w:header="0"/>
          <w:type w:val="continuous"/>
        </w:sectPr>
      </w:pPr>
    </w:p>
    <w:p>
      <w:pPr>
        <w:spacing w:after="0" w:line="310" w:lineRule="exact"/>
        <w:rPr>
          <w:sz w:val="20"/>
          <w:szCs w:val="20"/>
          <w:color w:val="auto"/>
        </w:rPr>
      </w:pPr>
    </w:p>
    <w:p>
      <w:pPr>
        <w:ind w:right="560"/>
        <w:spacing w:after="0" w:line="285" w:lineRule="auto"/>
        <w:rPr>
          <w:sz w:val="20"/>
          <w:szCs w:val="20"/>
          <w:color w:val="auto"/>
        </w:rPr>
      </w:pPr>
      <w:r>
        <w:rPr>
          <w:rFonts w:ascii="Arial" w:cs="Arial" w:eastAsia="Arial" w:hAnsi="Arial"/>
          <w:sz w:val="14"/>
          <w:szCs w:val="14"/>
          <w:color w:val="auto"/>
        </w:rPr>
        <w:t>The 2025 PSU financial goals were set using the Company’s internal three-year forecast, with the first-year performance being equal to the Company’s publicly announced guidance for such year, to ensure the rigor of targets is in alignment with internal projections.</w:t>
      </w:r>
    </w:p>
    <w:p>
      <w:pPr>
        <w:spacing w:after="0" w:line="50"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auto"/>
        </w:rPr>
        <w:t>The Committee follows a rigorous goal-setting process to ensure that PSU targets are appropriately calibrated. In setting threshold, target, and maximum goals, the Committee considers a broad range of factors, including the Company’s multi-year strategic and financial plans, peer and industry benchmarks, expected market conditions, competitive positioning, and alignment with shareholder interests. As a result, the performance goals represent ambitious targets that require meaningful financial execution and progress on key strategic priorities to achieve.</w:t>
      </w:r>
    </w:p>
    <w:p>
      <w:pPr>
        <w:spacing w:after="0" w:line="6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Committee does not disclose forward-looking PSU performance goals because these goals contain sensitive information tied to the Company’s long-term strategic assumptions and releasing them could pose harm by placing the Company at a competitive disadvantage. To maintain transparency for shareholders, the Committee discloses the full details of PSU goals after the completion of each applicable performance period, enabling investors to evaluate the rigor of the program and the alignment between realized compensation and long-term value creation.</w:t>
      </w:r>
    </w:p>
    <w:p>
      <w:pPr>
        <w:spacing w:after="0" w:line="69"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The Committee believes this balanced approach protects the Company’s competitive position while providing shareholders with meaningful insight into the effectiveness, rigor and integrity of the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80010</wp:posOffset>
            </wp:positionV>
            <wp:extent cx="699516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Stock options represented 25% of the annual LTIP opportunity awarded in 2025 to our NEOs. The fair value of stock options on the grant date is based on the Black-Scholes option-pricing model, consistent with the stock option valuation model used to determine amounts reported in the Company’s Annual Report on Form 10-K. Stock options vest ratably over three years, subject to continued employment through the applicable vesting date (except as otherwise provided in the participant’s employment agreement in specific instances, such as terminations “without cause” or for “good reason” including following a “change in control,” each term as defined in the Second Amendment to our 2022 Long-Term Incentive Compensation Plan (the “2022 Plan”)). Stock options are issued with an exercise price equal to the closing price of PENN common stock on the trading day immediately preceding the grant date and have a maximum term of 10 years.</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auto"/>
        </w:rPr>
        <w:t>Restricted stock units represented 25% of the annual long-term incentive opportunity awarded in 2025 to our NEOs. RSUs vest ratably over three years, subject to continued employment (except as otherwise provided in the participant’s employment agreement in specific instances, such as terminations “without cause” or for “good reason” including following a “change in control,” as defined in our 2022 Long-Term Incentive Compensation Plan, as amended).</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Vesting of 2023 PSU Awards (2024 – 2025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20"/>
        <w:spacing w:after="0" w:line="248" w:lineRule="auto"/>
        <w:rPr>
          <w:sz w:val="20"/>
          <w:szCs w:val="20"/>
          <w:color w:val="auto"/>
        </w:rPr>
      </w:pPr>
      <w:r>
        <w:rPr>
          <w:rFonts w:ascii="Arial" w:cs="Arial" w:eastAsia="Arial" w:hAnsi="Arial"/>
          <w:sz w:val="14"/>
          <w:szCs w:val="14"/>
          <w:color w:val="auto"/>
        </w:rPr>
        <w:t>In connection with the transition to a three-year long-term performance cycle beginning with the 2024 PSU awards, the Committee approved a cumulative two-year performance period for the unvested portion of the 2023 PSUs tied to the 2024–2025 performance years. As disclosed in last year’s proxy statement, the Committee applied a 70% weighting to financial performance measures and 30% to strategic operational metrics for these unvested 2023 PSUs, replacing the legacy approach under which PSUs were measured solely against operational goals established at the start of each annual performance period. This updated PSU design was adopted in response to shareholder feedback to strengthen the alignment of the unvested and go-forward PSUs with the Company’s long-term incentive philosophy and enhance accountability for long-term financial performance results.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The performance hurdles applicable to the 2023 PSUs were intended to be rigorous and required strong execution to achieve target performance levels. The Retail Adjusted EBITDAR and Interactive Adjusted EBITDA targets were consistent with our publicly disclosed financial guidance in the year the goals were set. Based on the performance results achieved during the 2024-2025 performance period, the last tranche of the 2023 PSUs performance period was earned at 74.75% of target.</w:t>
      </w:r>
    </w:p>
    <w:p>
      <w:pPr>
        <w:spacing w:after="0" w:line="69"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The cumulative payout under the 2023 PSUs (2023 – 2025 period) resulted in 85.85% cumulative achievement of the target performance level. This included the first tranche earned for the 2023 performance period at 108.05% of target, with earned shares that remained subject to continued service vesting through the end of the full 2023–2025 performance cycle, and the final tranche earned based on performance over the 2024–2025 performance period. The payout represented 39.56% of the initial target grant value on the vest day after considering the change in market value of the Company’s common stock since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103505</wp:posOffset>
            </wp:positionV>
            <wp:extent cx="699516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69439A"/>
        </w:rPr>
        <w:t>Vesting of 2023 PSU Awards (2024 – 2025 Performance Period)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6009005" cy="349758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00900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22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Vesting of 2023 PSU Awards (2024 – 2025 Performance Period)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PSU achievement for the final performance period of the 2023 PSUs covering fiscal 2024 and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40" w:type="dxa"/>
            <w:vAlign w:val="bottom"/>
            <w:tcBorders>
              <w:top w:val="single" w:sz="8" w:color="69439A"/>
            </w:tcBorders>
            <w:shd w:val="clear" w:color="auto" w:fill="010035"/>
          </w:tcPr>
          <w:p>
            <w:pPr>
              <w:spacing w:after="0"/>
              <w:rPr>
                <w:sz w:val="24"/>
                <w:szCs w:val="24"/>
                <w:color w:val="auto"/>
              </w:rPr>
            </w:pPr>
          </w:p>
        </w:tc>
        <w:tc>
          <w:tcPr>
            <w:tcW w:w="1780" w:type="dxa"/>
            <w:vAlign w:val="bottom"/>
            <w:tcBorders>
              <w:top w:val="single" w:sz="8" w:color="69439A"/>
            </w:tcBorders>
            <w:shd w:val="clear" w:color="auto" w:fill="010035"/>
          </w:tcPr>
          <w:p>
            <w:pPr>
              <w:spacing w:after="0"/>
              <w:rPr>
                <w:sz w:val="24"/>
                <w:szCs w:val="24"/>
                <w:color w:val="auto"/>
              </w:rPr>
            </w:pPr>
          </w:p>
        </w:tc>
        <w:tc>
          <w:tcPr>
            <w:tcW w:w="3000" w:type="dxa"/>
            <w:vAlign w:val="bottom"/>
            <w:tcBorders>
              <w:top w:val="single" w:sz="8" w:color="69439A"/>
            </w:tcBorders>
            <w:vMerge w:val="restart"/>
            <w:shd w:val="clear" w:color="auto" w:fill="010035"/>
          </w:tcPr>
          <w:p>
            <w:pPr>
              <w:jc w:val="center"/>
              <w:ind w:left="328"/>
              <w:spacing w:after="0"/>
              <w:rPr>
                <w:sz w:val="20"/>
                <w:szCs w:val="20"/>
                <w:color w:val="auto"/>
              </w:rPr>
            </w:pPr>
            <w:r>
              <w:rPr>
                <w:rFonts w:ascii="Arial" w:cs="Arial" w:eastAsia="Arial" w:hAnsi="Arial"/>
                <w:sz w:val="22"/>
                <w:szCs w:val="22"/>
                <w:b w:val="1"/>
                <w:bCs w:val="1"/>
                <w:color w:val="FFFFFF"/>
                <w:w w:val="87"/>
              </w:rPr>
              <w:t>TARGET 2023 PSUs</w:t>
            </w:r>
          </w:p>
        </w:tc>
        <w:tc>
          <w:tcPr>
            <w:tcW w:w="220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22"/>
                <w:szCs w:val="22"/>
                <w:b w:val="1"/>
                <w:bCs w:val="1"/>
                <w:color w:val="FFFFFF"/>
                <w:w w:val="87"/>
              </w:rPr>
              <w:t>2024-2025</w:t>
            </w:r>
          </w:p>
        </w:tc>
        <w:tc>
          <w:tcPr>
            <w:tcW w:w="2380" w:type="dxa"/>
            <w:vAlign w:val="bottom"/>
            <w:tcBorders>
              <w:top w:val="single" w:sz="8" w:color="69439A"/>
            </w:tcBorders>
            <w:shd w:val="clear" w:color="auto" w:fill="010035"/>
          </w:tcPr>
          <w:p>
            <w:pPr>
              <w:jc w:val="center"/>
              <w:ind w:left="206"/>
              <w:spacing w:after="0"/>
              <w:rPr>
                <w:sz w:val="20"/>
                <w:szCs w:val="20"/>
                <w:color w:val="auto"/>
              </w:rPr>
            </w:pPr>
            <w:r>
              <w:rPr>
                <w:rFonts w:ascii="Arial" w:cs="Arial" w:eastAsia="Arial" w:hAnsi="Arial"/>
                <w:sz w:val="22"/>
                <w:szCs w:val="22"/>
                <w:b w:val="1"/>
                <w:bCs w:val="1"/>
                <w:color w:val="FFFFFF"/>
                <w:w w:val="89"/>
              </w:rPr>
              <w:t>EARNED 2023</w:t>
            </w:r>
          </w:p>
        </w:tc>
        <w:tc>
          <w:tcPr>
            <w:tcW w:w="0" w:type="dxa"/>
            <w:vAlign w:val="bottom"/>
          </w:tcPr>
          <w:p>
            <w:pPr>
              <w:spacing w:after="0"/>
              <w:rPr>
                <w:sz w:val="1"/>
                <w:szCs w:val="1"/>
                <w:color w:val="auto"/>
              </w:rPr>
            </w:pPr>
          </w:p>
        </w:tc>
      </w:tr>
      <w:tr>
        <w:trPr>
          <w:trHeight w:val="121"/>
        </w:trPr>
        <w:tc>
          <w:tcPr>
            <w:tcW w:w="40" w:type="dxa"/>
            <w:vAlign w:val="bottom"/>
            <w:shd w:val="clear" w:color="auto" w:fill="010035"/>
          </w:tcPr>
          <w:p>
            <w:pPr>
              <w:spacing w:after="0"/>
              <w:rPr>
                <w:sz w:val="10"/>
                <w:szCs w:val="10"/>
                <w:color w:val="auto"/>
              </w:rPr>
            </w:pPr>
          </w:p>
        </w:tc>
        <w:tc>
          <w:tcPr>
            <w:tcW w:w="1780" w:type="dxa"/>
            <w:vAlign w:val="bottom"/>
            <w:shd w:val="clear" w:color="auto" w:fill="010035"/>
          </w:tcPr>
          <w:p>
            <w:pPr>
              <w:spacing w:after="0"/>
              <w:rPr>
                <w:sz w:val="10"/>
                <w:szCs w:val="10"/>
                <w:color w:val="auto"/>
              </w:rPr>
            </w:pPr>
          </w:p>
        </w:tc>
        <w:tc>
          <w:tcPr>
            <w:tcW w:w="3000" w:type="dxa"/>
            <w:vAlign w:val="bottom"/>
            <w:vMerge w:val="continue"/>
            <w:shd w:val="clear" w:color="auto" w:fill="010035"/>
          </w:tcPr>
          <w:p>
            <w:pPr>
              <w:spacing w:after="0"/>
              <w:rPr>
                <w:sz w:val="10"/>
                <w:szCs w:val="10"/>
                <w:color w:val="auto"/>
              </w:rPr>
            </w:pPr>
          </w:p>
        </w:tc>
        <w:tc>
          <w:tcPr>
            <w:tcW w:w="2200" w:type="dxa"/>
            <w:vAlign w:val="bottom"/>
            <w:vMerge w:val="continue"/>
            <w:shd w:val="clear" w:color="auto" w:fill="010035"/>
          </w:tcPr>
          <w:p>
            <w:pPr>
              <w:spacing w:after="0"/>
              <w:rPr>
                <w:sz w:val="10"/>
                <w:szCs w:val="10"/>
                <w:color w:val="auto"/>
              </w:rPr>
            </w:pPr>
          </w:p>
        </w:tc>
        <w:tc>
          <w:tcPr>
            <w:tcW w:w="2380" w:type="dxa"/>
            <w:vAlign w:val="bottom"/>
            <w:vMerge w:val="restart"/>
            <w:shd w:val="clear" w:color="auto" w:fill="010035"/>
          </w:tcPr>
          <w:p>
            <w:pPr>
              <w:jc w:val="center"/>
              <w:ind w:left="206"/>
              <w:spacing w:after="0" w:line="218" w:lineRule="exact"/>
              <w:rPr>
                <w:sz w:val="20"/>
                <w:szCs w:val="20"/>
                <w:color w:val="auto"/>
              </w:rPr>
            </w:pPr>
            <w:r>
              <w:rPr>
                <w:rFonts w:ascii="Arial" w:cs="Arial" w:eastAsia="Arial" w:hAnsi="Arial"/>
                <w:sz w:val="22"/>
                <w:szCs w:val="22"/>
                <w:b w:val="1"/>
                <w:bCs w:val="1"/>
                <w:color w:val="FFFFFF"/>
                <w:w w:val="87"/>
              </w:rPr>
              <w:t>PSUs – 2nd &amp; 3rd</w:t>
            </w:r>
          </w:p>
        </w:tc>
        <w:tc>
          <w:tcPr>
            <w:tcW w:w="0" w:type="dxa"/>
            <w:vAlign w:val="bottom"/>
          </w:tcPr>
          <w:p>
            <w:pPr>
              <w:spacing w:after="0"/>
              <w:rPr>
                <w:sz w:val="1"/>
                <w:szCs w:val="1"/>
                <w:color w:val="auto"/>
              </w:rPr>
            </w:pPr>
          </w:p>
        </w:tc>
      </w:tr>
      <w:tr>
        <w:trPr>
          <w:trHeight w:val="96"/>
        </w:trPr>
        <w:tc>
          <w:tcPr>
            <w:tcW w:w="40" w:type="dxa"/>
            <w:vAlign w:val="bottom"/>
            <w:shd w:val="clear" w:color="auto" w:fill="010035"/>
          </w:tcPr>
          <w:p>
            <w:pPr>
              <w:spacing w:after="0"/>
              <w:rPr>
                <w:sz w:val="8"/>
                <w:szCs w:val="8"/>
                <w:color w:val="auto"/>
              </w:rPr>
            </w:pPr>
          </w:p>
        </w:tc>
        <w:tc>
          <w:tcPr>
            <w:tcW w:w="1780" w:type="dxa"/>
            <w:vAlign w:val="bottom"/>
            <w:shd w:val="clear" w:color="auto" w:fill="010035"/>
          </w:tcPr>
          <w:p>
            <w:pPr>
              <w:spacing w:after="0"/>
              <w:rPr>
                <w:sz w:val="8"/>
                <w:szCs w:val="8"/>
                <w:color w:val="auto"/>
              </w:rPr>
            </w:pPr>
          </w:p>
        </w:tc>
        <w:tc>
          <w:tcPr>
            <w:tcW w:w="3000" w:type="dxa"/>
            <w:vAlign w:val="bottom"/>
            <w:vMerge w:val="restart"/>
            <w:shd w:val="clear" w:color="auto" w:fill="010035"/>
          </w:tcPr>
          <w:p>
            <w:pPr>
              <w:jc w:val="center"/>
              <w:ind w:left="308"/>
              <w:spacing w:after="0" w:line="243" w:lineRule="exact"/>
              <w:rPr>
                <w:sz w:val="20"/>
                <w:szCs w:val="20"/>
                <w:color w:val="auto"/>
              </w:rPr>
            </w:pPr>
            <w:r>
              <w:rPr>
                <w:rFonts w:ascii="Arial" w:cs="Arial" w:eastAsia="Arial" w:hAnsi="Arial"/>
                <w:sz w:val="22"/>
                <w:szCs w:val="22"/>
                <w:b w:val="1"/>
                <w:bCs w:val="1"/>
                <w:color w:val="FFFFFF"/>
                <w:w w:val="85"/>
              </w:rPr>
              <w:t>Associated with</w:t>
            </w:r>
          </w:p>
        </w:tc>
        <w:tc>
          <w:tcPr>
            <w:tcW w:w="2200" w:type="dxa"/>
            <w:vAlign w:val="bottom"/>
            <w:vMerge w:val="continue"/>
            <w:shd w:val="clear" w:color="auto" w:fill="010035"/>
          </w:tcPr>
          <w:p>
            <w:pPr>
              <w:spacing w:after="0"/>
              <w:rPr>
                <w:sz w:val="8"/>
                <w:szCs w:val="8"/>
                <w:color w:val="auto"/>
              </w:rPr>
            </w:pPr>
          </w:p>
        </w:tc>
        <w:tc>
          <w:tcPr>
            <w:tcW w:w="2380" w:type="dxa"/>
            <w:vAlign w:val="bottom"/>
            <w:vMerge w:val="continue"/>
            <w:shd w:val="clear" w:color="auto" w:fill="010035"/>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0" w:type="dxa"/>
            <w:vAlign w:val="bottom"/>
            <w:shd w:val="clear" w:color="auto" w:fill="010035"/>
          </w:tcPr>
          <w:p>
            <w:pPr>
              <w:spacing w:after="0"/>
              <w:rPr>
                <w:sz w:val="12"/>
                <w:szCs w:val="12"/>
                <w:color w:val="auto"/>
              </w:rPr>
            </w:pPr>
          </w:p>
        </w:tc>
        <w:tc>
          <w:tcPr>
            <w:tcW w:w="1780" w:type="dxa"/>
            <w:vAlign w:val="bottom"/>
            <w:shd w:val="clear" w:color="auto" w:fill="010035"/>
          </w:tcPr>
          <w:p>
            <w:pPr>
              <w:spacing w:after="0"/>
              <w:rPr>
                <w:sz w:val="12"/>
                <w:szCs w:val="12"/>
                <w:color w:val="auto"/>
              </w:rPr>
            </w:pPr>
          </w:p>
        </w:tc>
        <w:tc>
          <w:tcPr>
            <w:tcW w:w="3000" w:type="dxa"/>
            <w:vAlign w:val="bottom"/>
            <w:vMerge w:val="continue"/>
            <w:shd w:val="clear" w:color="auto" w:fill="010035"/>
          </w:tcPr>
          <w:p>
            <w:pPr>
              <w:spacing w:after="0"/>
              <w:rPr>
                <w:sz w:val="12"/>
                <w:szCs w:val="12"/>
                <w:color w:val="auto"/>
              </w:rPr>
            </w:pPr>
          </w:p>
        </w:tc>
        <w:tc>
          <w:tcPr>
            <w:tcW w:w="2200" w:type="dxa"/>
            <w:vAlign w:val="bottom"/>
            <w:vMerge w:val="restart"/>
            <w:shd w:val="clear" w:color="auto" w:fill="010035"/>
          </w:tcPr>
          <w:p>
            <w:pPr>
              <w:jc w:val="center"/>
              <w:spacing w:after="0" w:line="243" w:lineRule="exact"/>
              <w:rPr>
                <w:sz w:val="20"/>
                <w:szCs w:val="20"/>
                <w:color w:val="auto"/>
              </w:rPr>
            </w:pPr>
            <w:r>
              <w:rPr>
                <w:rFonts w:ascii="Arial" w:cs="Arial" w:eastAsia="Arial" w:hAnsi="Arial"/>
                <w:sz w:val="22"/>
                <w:szCs w:val="22"/>
                <w:b w:val="1"/>
                <w:bCs w:val="1"/>
                <w:color w:val="FFFFFF"/>
                <w:w w:val="87"/>
              </w:rPr>
              <w:t>Performance</w:t>
            </w:r>
          </w:p>
        </w:tc>
        <w:tc>
          <w:tcPr>
            <w:tcW w:w="2380" w:type="dxa"/>
            <w:vAlign w:val="bottom"/>
            <w:vMerge w:val="restart"/>
            <w:shd w:val="clear" w:color="auto" w:fill="010035"/>
          </w:tcPr>
          <w:p>
            <w:pPr>
              <w:jc w:val="center"/>
              <w:ind w:left="206"/>
              <w:spacing w:after="0" w:line="243" w:lineRule="exact"/>
              <w:rPr>
                <w:sz w:val="20"/>
                <w:szCs w:val="20"/>
                <w:color w:val="auto"/>
              </w:rPr>
            </w:pPr>
            <w:r>
              <w:rPr>
                <w:rFonts w:ascii="Arial" w:cs="Arial" w:eastAsia="Arial" w:hAnsi="Arial"/>
                <w:sz w:val="22"/>
                <w:szCs w:val="22"/>
                <w:b w:val="1"/>
                <w:bCs w:val="1"/>
                <w:color w:val="FFFFFF"/>
                <w:w w:val="86"/>
              </w:rPr>
              <w:t>Tranches Associated</w:t>
            </w:r>
          </w:p>
        </w:tc>
        <w:tc>
          <w:tcPr>
            <w:tcW w:w="0" w:type="dxa"/>
            <w:vAlign w:val="bottom"/>
          </w:tcPr>
          <w:p>
            <w:pPr>
              <w:spacing w:after="0"/>
              <w:rPr>
                <w:sz w:val="1"/>
                <w:szCs w:val="1"/>
                <w:color w:val="auto"/>
              </w:rPr>
            </w:pPr>
          </w:p>
        </w:tc>
      </w:tr>
      <w:tr>
        <w:trPr>
          <w:trHeight w:val="96"/>
        </w:trPr>
        <w:tc>
          <w:tcPr>
            <w:tcW w:w="40" w:type="dxa"/>
            <w:vAlign w:val="bottom"/>
            <w:shd w:val="clear" w:color="auto" w:fill="010035"/>
          </w:tcPr>
          <w:p>
            <w:pPr>
              <w:spacing w:after="0"/>
              <w:rPr>
                <w:sz w:val="8"/>
                <w:szCs w:val="8"/>
                <w:color w:val="auto"/>
              </w:rPr>
            </w:pPr>
          </w:p>
        </w:tc>
        <w:tc>
          <w:tcPr>
            <w:tcW w:w="1780" w:type="dxa"/>
            <w:vAlign w:val="bottom"/>
            <w:vMerge w:val="restart"/>
            <w:shd w:val="clear" w:color="auto" w:fill="010035"/>
          </w:tcPr>
          <w:p>
            <w:pPr>
              <w:ind w:left="40"/>
              <w:spacing w:after="0"/>
              <w:rPr>
                <w:sz w:val="20"/>
                <w:szCs w:val="20"/>
                <w:color w:val="auto"/>
              </w:rPr>
            </w:pPr>
            <w:r>
              <w:rPr>
                <w:rFonts w:ascii="Arial" w:cs="Arial" w:eastAsia="Arial" w:hAnsi="Arial"/>
                <w:sz w:val="18"/>
                <w:szCs w:val="18"/>
                <w:b w:val="1"/>
                <w:bCs w:val="1"/>
                <w:color w:val="FFFFFF"/>
              </w:rPr>
              <w:t>NAME</w:t>
            </w:r>
          </w:p>
        </w:tc>
        <w:tc>
          <w:tcPr>
            <w:tcW w:w="3000" w:type="dxa"/>
            <w:vAlign w:val="bottom"/>
            <w:vMerge w:val="restart"/>
            <w:shd w:val="clear" w:color="auto" w:fill="010035"/>
          </w:tcPr>
          <w:p>
            <w:pPr>
              <w:jc w:val="center"/>
              <w:ind w:left="308"/>
              <w:spacing w:after="0" w:line="243" w:lineRule="exact"/>
              <w:rPr>
                <w:sz w:val="20"/>
                <w:szCs w:val="20"/>
                <w:color w:val="auto"/>
              </w:rPr>
            </w:pPr>
            <w:r>
              <w:rPr>
                <w:rFonts w:ascii="Arial" w:cs="Arial" w:eastAsia="Arial" w:hAnsi="Arial"/>
                <w:sz w:val="22"/>
                <w:szCs w:val="22"/>
                <w:b w:val="1"/>
                <w:bCs w:val="1"/>
                <w:color w:val="FFFFFF"/>
                <w:w w:val="87"/>
              </w:rPr>
              <w:t>2024-2025</w:t>
            </w:r>
          </w:p>
        </w:tc>
        <w:tc>
          <w:tcPr>
            <w:tcW w:w="2200" w:type="dxa"/>
            <w:vAlign w:val="bottom"/>
            <w:vMerge w:val="continue"/>
            <w:shd w:val="clear" w:color="auto" w:fill="010035"/>
          </w:tcPr>
          <w:p>
            <w:pPr>
              <w:spacing w:after="0"/>
              <w:rPr>
                <w:sz w:val="8"/>
                <w:szCs w:val="8"/>
                <w:color w:val="auto"/>
              </w:rPr>
            </w:pPr>
          </w:p>
        </w:tc>
        <w:tc>
          <w:tcPr>
            <w:tcW w:w="2380" w:type="dxa"/>
            <w:vAlign w:val="bottom"/>
            <w:vMerge w:val="continue"/>
            <w:shd w:val="clear" w:color="auto" w:fill="010035"/>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0" w:type="dxa"/>
            <w:vAlign w:val="bottom"/>
            <w:shd w:val="clear" w:color="auto" w:fill="010035"/>
          </w:tcPr>
          <w:p>
            <w:pPr>
              <w:spacing w:after="0"/>
              <w:rPr>
                <w:sz w:val="12"/>
                <w:szCs w:val="12"/>
                <w:color w:val="auto"/>
              </w:rPr>
            </w:pPr>
          </w:p>
        </w:tc>
        <w:tc>
          <w:tcPr>
            <w:tcW w:w="1780" w:type="dxa"/>
            <w:vAlign w:val="bottom"/>
            <w:vMerge w:val="continue"/>
            <w:shd w:val="clear" w:color="auto" w:fill="010035"/>
          </w:tcPr>
          <w:p>
            <w:pPr>
              <w:spacing w:after="0"/>
              <w:rPr>
                <w:sz w:val="12"/>
                <w:szCs w:val="12"/>
                <w:color w:val="auto"/>
              </w:rPr>
            </w:pPr>
          </w:p>
        </w:tc>
        <w:tc>
          <w:tcPr>
            <w:tcW w:w="3000" w:type="dxa"/>
            <w:vAlign w:val="bottom"/>
            <w:vMerge w:val="continue"/>
            <w:shd w:val="clear" w:color="auto" w:fill="010035"/>
          </w:tcPr>
          <w:p>
            <w:pPr>
              <w:spacing w:after="0"/>
              <w:rPr>
                <w:sz w:val="12"/>
                <w:szCs w:val="12"/>
                <w:color w:val="auto"/>
              </w:rPr>
            </w:pPr>
          </w:p>
        </w:tc>
        <w:tc>
          <w:tcPr>
            <w:tcW w:w="2200" w:type="dxa"/>
            <w:vAlign w:val="bottom"/>
            <w:vMerge w:val="restart"/>
            <w:shd w:val="clear" w:color="auto" w:fill="010035"/>
          </w:tcPr>
          <w:p>
            <w:pPr>
              <w:jc w:val="center"/>
              <w:spacing w:after="0" w:line="251" w:lineRule="exact"/>
              <w:rPr>
                <w:sz w:val="20"/>
                <w:szCs w:val="20"/>
                <w:color w:val="auto"/>
              </w:rPr>
            </w:pPr>
            <w:r>
              <w:rPr>
                <w:rFonts w:ascii="Arial" w:cs="Arial" w:eastAsia="Arial" w:hAnsi="Arial"/>
                <w:sz w:val="22"/>
                <w:szCs w:val="22"/>
                <w:b w:val="1"/>
                <w:bCs w:val="1"/>
                <w:color w:val="FFFFFF"/>
                <w:w w:val="85"/>
              </w:rPr>
              <w:t>Period PAYOUT</w:t>
            </w:r>
          </w:p>
        </w:tc>
        <w:tc>
          <w:tcPr>
            <w:tcW w:w="2380" w:type="dxa"/>
            <w:vAlign w:val="bottom"/>
            <w:vMerge w:val="restart"/>
            <w:shd w:val="clear" w:color="auto" w:fill="010035"/>
          </w:tcPr>
          <w:p>
            <w:pPr>
              <w:jc w:val="center"/>
              <w:ind w:left="206"/>
              <w:spacing w:after="0" w:line="251" w:lineRule="exact"/>
              <w:rPr>
                <w:sz w:val="20"/>
                <w:szCs w:val="20"/>
                <w:color w:val="auto"/>
              </w:rPr>
            </w:pPr>
            <w:r>
              <w:rPr>
                <w:rFonts w:ascii="Arial" w:cs="Arial" w:eastAsia="Arial" w:hAnsi="Arial"/>
                <w:sz w:val="22"/>
                <w:szCs w:val="22"/>
                <w:b w:val="1"/>
                <w:bCs w:val="1"/>
                <w:color w:val="FFFFFF"/>
                <w:w w:val="84"/>
              </w:rPr>
              <w:t>with 2024-2025</w:t>
            </w:r>
          </w:p>
        </w:tc>
        <w:tc>
          <w:tcPr>
            <w:tcW w:w="0" w:type="dxa"/>
            <w:vAlign w:val="bottom"/>
          </w:tcPr>
          <w:p>
            <w:pPr>
              <w:spacing w:after="0"/>
              <w:rPr>
                <w:sz w:val="1"/>
                <w:szCs w:val="1"/>
                <w:color w:val="auto"/>
              </w:rPr>
            </w:pPr>
          </w:p>
        </w:tc>
      </w:tr>
      <w:tr>
        <w:trPr>
          <w:trHeight w:val="104"/>
        </w:trPr>
        <w:tc>
          <w:tcPr>
            <w:tcW w:w="40" w:type="dxa"/>
            <w:vAlign w:val="bottom"/>
            <w:shd w:val="clear" w:color="auto" w:fill="010035"/>
          </w:tcPr>
          <w:p>
            <w:pPr>
              <w:spacing w:after="0"/>
              <w:rPr>
                <w:sz w:val="9"/>
                <w:szCs w:val="9"/>
                <w:color w:val="auto"/>
              </w:rPr>
            </w:pPr>
          </w:p>
        </w:tc>
        <w:tc>
          <w:tcPr>
            <w:tcW w:w="1780" w:type="dxa"/>
            <w:vAlign w:val="bottom"/>
            <w:shd w:val="clear" w:color="auto" w:fill="010035"/>
          </w:tcPr>
          <w:p>
            <w:pPr>
              <w:spacing w:after="0"/>
              <w:rPr>
                <w:sz w:val="9"/>
                <w:szCs w:val="9"/>
                <w:color w:val="auto"/>
              </w:rPr>
            </w:pPr>
          </w:p>
        </w:tc>
        <w:tc>
          <w:tcPr>
            <w:tcW w:w="3000" w:type="dxa"/>
            <w:vAlign w:val="bottom"/>
            <w:vMerge w:val="restart"/>
            <w:shd w:val="clear" w:color="auto" w:fill="010035"/>
          </w:tcPr>
          <w:p>
            <w:pPr>
              <w:jc w:val="center"/>
              <w:ind w:left="368"/>
              <w:spacing w:after="0" w:line="243" w:lineRule="exact"/>
              <w:rPr>
                <w:sz w:val="20"/>
                <w:szCs w:val="20"/>
                <w:color w:val="auto"/>
              </w:rPr>
            </w:pPr>
            <w:r>
              <w:rPr>
                <w:rFonts w:ascii="Arial" w:cs="Arial" w:eastAsia="Arial" w:hAnsi="Arial"/>
                <w:sz w:val="22"/>
                <w:szCs w:val="22"/>
                <w:b w:val="1"/>
                <w:bCs w:val="1"/>
                <w:color w:val="FFFFFF"/>
                <w:w w:val="87"/>
              </w:rPr>
              <w:t>Performance Period</w:t>
            </w:r>
          </w:p>
        </w:tc>
        <w:tc>
          <w:tcPr>
            <w:tcW w:w="2200" w:type="dxa"/>
            <w:vAlign w:val="bottom"/>
            <w:vMerge w:val="continue"/>
            <w:shd w:val="clear" w:color="auto" w:fill="010035"/>
          </w:tcPr>
          <w:p>
            <w:pPr>
              <w:spacing w:after="0"/>
              <w:rPr>
                <w:sz w:val="9"/>
                <w:szCs w:val="9"/>
                <w:color w:val="auto"/>
              </w:rPr>
            </w:pPr>
          </w:p>
        </w:tc>
        <w:tc>
          <w:tcPr>
            <w:tcW w:w="2380" w:type="dxa"/>
            <w:vAlign w:val="bottom"/>
            <w:vMerge w:val="continue"/>
            <w:shd w:val="clear" w:color="auto" w:fill="010035"/>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0" w:type="dxa"/>
            <w:vAlign w:val="bottom"/>
            <w:shd w:val="clear" w:color="auto" w:fill="010035"/>
          </w:tcPr>
          <w:p>
            <w:pPr>
              <w:spacing w:after="0"/>
              <w:rPr>
                <w:sz w:val="12"/>
                <w:szCs w:val="12"/>
                <w:color w:val="auto"/>
              </w:rPr>
            </w:pPr>
          </w:p>
        </w:tc>
        <w:tc>
          <w:tcPr>
            <w:tcW w:w="1780" w:type="dxa"/>
            <w:vAlign w:val="bottom"/>
            <w:shd w:val="clear" w:color="auto" w:fill="010035"/>
          </w:tcPr>
          <w:p>
            <w:pPr>
              <w:spacing w:after="0"/>
              <w:rPr>
                <w:sz w:val="12"/>
                <w:szCs w:val="12"/>
                <w:color w:val="auto"/>
              </w:rPr>
            </w:pPr>
          </w:p>
        </w:tc>
        <w:tc>
          <w:tcPr>
            <w:tcW w:w="3000" w:type="dxa"/>
            <w:vAlign w:val="bottom"/>
            <w:vMerge w:val="continue"/>
            <w:shd w:val="clear" w:color="auto" w:fill="010035"/>
          </w:tcPr>
          <w:p>
            <w:pPr>
              <w:spacing w:after="0"/>
              <w:rPr>
                <w:sz w:val="12"/>
                <w:szCs w:val="12"/>
                <w:color w:val="auto"/>
              </w:rPr>
            </w:pPr>
          </w:p>
        </w:tc>
        <w:tc>
          <w:tcPr>
            <w:tcW w:w="2200" w:type="dxa"/>
            <w:vAlign w:val="bottom"/>
            <w:vMerge w:val="restart"/>
            <w:shd w:val="clear" w:color="auto" w:fill="010035"/>
          </w:tcPr>
          <w:p>
            <w:pPr>
              <w:jc w:val="center"/>
              <w:spacing w:after="0" w:line="262" w:lineRule="exact"/>
              <w:rPr>
                <w:sz w:val="20"/>
                <w:szCs w:val="20"/>
                <w:color w:val="auto"/>
              </w:rPr>
            </w:pPr>
            <w:r>
              <w:rPr>
                <w:rFonts w:ascii="Arial" w:cs="Arial" w:eastAsia="Arial" w:hAnsi="Arial"/>
                <w:sz w:val="19"/>
                <w:szCs w:val="19"/>
                <w:b w:val="1"/>
                <w:bCs w:val="1"/>
                <w:color w:val="FFFFFF"/>
                <w:w w:val="93"/>
              </w:rPr>
              <w:t>(% of Target)</w:t>
            </w:r>
            <w:r>
              <w:rPr>
                <w:rFonts w:ascii="Arial" w:cs="Arial" w:eastAsia="Arial" w:hAnsi="Arial"/>
                <w:sz w:val="30"/>
                <w:szCs w:val="30"/>
                <w:b w:val="1"/>
                <w:bCs w:val="1"/>
                <w:color w:val="FFFFFF"/>
                <w:w w:val="93"/>
                <w:vertAlign w:val="superscript"/>
              </w:rPr>
              <w:t>(1)</w:t>
            </w:r>
          </w:p>
        </w:tc>
        <w:tc>
          <w:tcPr>
            <w:tcW w:w="2380" w:type="dxa"/>
            <w:vAlign w:val="bottom"/>
            <w:vMerge w:val="restart"/>
            <w:shd w:val="clear" w:color="auto" w:fill="010035"/>
          </w:tcPr>
          <w:p>
            <w:pPr>
              <w:jc w:val="center"/>
              <w:ind w:left="246"/>
              <w:spacing w:after="0"/>
              <w:rPr>
                <w:sz w:val="20"/>
                <w:szCs w:val="20"/>
                <w:color w:val="auto"/>
              </w:rPr>
            </w:pPr>
            <w:r>
              <w:rPr>
                <w:rFonts w:ascii="Arial" w:cs="Arial" w:eastAsia="Arial" w:hAnsi="Arial"/>
                <w:sz w:val="22"/>
                <w:szCs w:val="22"/>
                <w:b w:val="1"/>
                <w:bCs w:val="1"/>
                <w:color w:val="FFFFFF"/>
                <w:w w:val="86"/>
              </w:rPr>
              <w:t>Performance Period</w:t>
            </w:r>
          </w:p>
        </w:tc>
        <w:tc>
          <w:tcPr>
            <w:tcW w:w="0" w:type="dxa"/>
            <w:vAlign w:val="bottom"/>
          </w:tcPr>
          <w:p>
            <w:pPr>
              <w:spacing w:after="0"/>
              <w:rPr>
                <w:sz w:val="1"/>
                <w:szCs w:val="1"/>
                <w:color w:val="auto"/>
              </w:rPr>
            </w:pPr>
          </w:p>
        </w:tc>
      </w:tr>
      <w:tr>
        <w:trPr>
          <w:trHeight w:val="123"/>
        </w:trPr>
        <w:tc>
          <w:tcPr>
            <w:tcW w:w="40" w:type="dxa"/>
            <w:vAlign w:val="bottom"/>
            <w:shd w:val="clear" w:color="auto" w:fill="010035"/>
          </w:tcPr>
          <w:p>
            <w:pPr>
              <w:spacing w:after="0"/>
              <w:rPr>
                <w:sz w:val="10"/>
                <w:szCs w:val="10"/>
                <w:color w:val="auto"/>
              </w:rPr>
            </w:pPr>
          </w:p>
        </w:tc>
        <w:tc>
          <w:tcPr>
            <w:tcW w:w="1780" w:type="dxa"/>
            <w:vAlign w:val="bottom"/>
            <w:shd w:val="clear" w:color="auto" w:fill="010035"/>
          </w:tcPr>
          <w:p>
            <w:pPr>
              <w:spacing w:after="0"/>
              <w:rPr>
                <w:sz w:val="10"/>
                <w:szCs w:val="10"/>
                <w:color w:val="auto"/>
              </w:rPr>
            </w:pPr>
          </w:p>
        </w:tc>
        <w:tc>
          <w:tcPr>
            <w:tcW w:w="3000" w:type="dxa"/>
            <w:vAlign w:val="bottom"/>
            <w:vMerge w:val="restart"/>
            <w:shd w:val="clear" w:color="auto" w:fill="010035"/>
          </w:tcPr>
          <w:p>
            <w:pPr>
              <w:jc w:val="center"/>
              <w:ind w:left="368"/>
              <w:spacing w:after="0"/>
              <w:rPr>
                <w:sz w:val="20"/>
                <w:szCs w:val="20"/>
                <w:color w:val="auto"/>
              </w:rPr>
            </w:pPr>
            <w:r>
              <w:rPr>
                <w:rFonts w:ascii="Arial" w:cs="Arial" w:eastAsia="Arial" w:hAnsi="Arial"/>
                <w:sz w:val="22"/>
                <w:szCs w:val="22"/>
                <w:b w:val="1"/>
                <w:bCs w:val="1"/>
                <w:color w:val="FFFFFF"/>
                <w:w w:val="86"/>
              </w:rPr>
              <w:t>(# of PSUs)</w:t>
            </w:r>
          </w:p>
        </w:tc>
        <w:tc>
          <w:tcPr>
            <w:tcW w:w="2200" w:type="dxa"/>
            <w:vAlign w:val="bottom"/>
            <w:vMerge w:val="continue"/>
            <w:shd w:val="clear" w:color="auto" w:fill="010035"/>
          </w:tcPr>
          <w:p>
            <w:pPr>
              <w:spacing w:after="0"/>
              <w:rPr>
                <w:sz w:val="10"/>
                <w:szCs w:val="10"/>
                <w:color w:val="auto"/>
              </w:rPr>
            </w:pPr>
          </w:p>
        </w:tc>
        <w:tc>
          <w:tcPr>
            <w:tcW w:w="2380" w:type="dxa"/>
            <w:vAlign w:val="bottom"/>
            <w:vMerge w:val="continue"/>
            <w:shd w:val="clear" w:color="auto" w:fill="010035"/>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010035"/>
          </w:tcPr>
          <w:p>
            <w:pPr>
              <w:spacing w:after="0"/>
              <w:rPr>
                <w:sz w:val="15"/>
                <w:szCs w:val="15"/>
                <w:color w:val="auto"/>
              </w:rPr>
            </w:pPr>
          </w:p>
        </w:tc>
        <w:tc>
          <w:tcPr>
            <w:tcW w:w="1780" w:type="dxa"/>
            <w:vAlign w:val="bottom"/>
            <w:shd w:val="clear" w:color="auto" w:fill="010035"/>
          </w:tcPr>
          <w:p>
            <w:pPr>
              <w:spacing w:after="0"/>
              <w:rPr>
                <w:sz w:val="15"/>
                <w:szCs w:val="15"/>
                <w:color w:val="auto"/>
              </w:rPr>
            </w:pPr>
          </w:p>
        </w:tc>
        <w:tc>
          <w:tcPr>
            <w:tcW w:w="3000" w:type="dxa"/>
            <w:vAlign w:val="bottom"/>
            <w:vMerge w:val="continue"/>
            <w:shd w:val="clear" w:color="auto" w:fill="010035"/>
          </w:tcPr>
          <w:p>
            <w:pPr>
              <w:spacing w:after="0"/>
              <w:rPr>
                <w:sz w:val="15"/>
                <w:szCs w:val="15"/>
                <w:color w:val="auto"/>
              </w:rPr>
            </w:pPr>
          </w:p>
        </w:tc>
        <w:tc>
          <w:tcPr>
            <w:tcW w:w="2200" w:type="dxa"/>
            <w:vAlign w:val="bottom"/>
            <w:shd w:val="clear" w:color="auto" w:fill="010035"/>
          </w:tcPr>
          <w:p>
            <w:pPr>
              <w:spacing w:after="0"/>
              <w:rPr>
                <w:sz w:val="15"/>
                <w:szCs w:val="15"/>
                <w:color w:val="auto"/>
              </w:rPr>
            </w:pPr>
          </w:p>
        </w:tc>
        <w:tc>
          <w:tcPr>
            <w:tcW w:w="2380" w:type="dxa"/>
            <w:vAlign w:val="bottom"/>
            <w:vMerge w:val="restart"/>
            <w:shd w:val="clear" w:color="auto" w:fill="010035"/>
          </w:tcPr>
          <w:p>
            <w:pPr>
              <w:jc w:val="center"/>
              <w:ind w:left="246"/>
              <w:spacing w:after="0"/>
              <w:rPr>
                <w:sz w:val="20"/>
                <w:szCs w:val="20"/>
                <w:color w:val="auto"/>
              </w:rPr>
            </w:pPr>
            <w:r>
              <w:rPr>
                <w:rFonts w:ascii="Arial" w:cs="Arial" w:eastAsia="Arial" w:hAnsi="Arial"/>
                <w:sz w:val="22"/>
                <w:szCs w:val="22"/>
                <w:b w:val="1"/>
                <w:bCs w:val="1"/>
                <w:color w:val="FFFFFF"/>
                <w:w w:val="85"/>
              </w:rPr>
              <w:t>(# of PSUs)</w:t>
            </w:r>
          </w:p>
        </w:tc>
        <w:tc>
          <w:tcPr>
            <w:tcW w:w="0" w:type="dxa"/>
            <w:vAlign w:val="bottom"/>
          </w:tcPr>
          <w:p>
            <w:pPr>
              <w:spacing w:after="0"/>
              <w:rPr>
                <w:sz w:val="1"/>
                <w:szCs w:val="1"/>
                <w:color w:val="auto"/>
              </w:rPr>
            </w:pPr>
          </w:p>
        </w:tc>
      </w:tr>
      <w:tr>
        <w:trPr>
          <w:trHeight w:val="143"/>
        </w:trPr>
        <w:tc>
          <w:tcPr>
            <w:tcW w:w="40" w:type="dxa"/>
            <w:vAlign w:val="bottom"/>
            <w:tcBorders>
              <w:bottom w:val="single" w:sz="8" w:color="010035"/>
            </w:tcBorders>
            <w:shd w:val="clear" w:color="auto" w:fill="010035"/>
          </w:tcPr>
          <w:p>
            <w:pPr>
              <w:spacing w:after="0"/>
              <w:rPr>
                <w:sz w:val="12"/>
                <w:szCs w:val="12"/>
                <w:color w:val="auto"/>
              </w:rPr>
            </w:pPr>
          </w:p>
        </w:tc>
        <w:tc>
          <w:tcPr>
            <w:tcW w:w="1780" w:type="dxa"/>
            <w:vAlign w:val="bottom"/>
            <w:tcBorders>
              <w:bottom w:val="single" w:sz="8" w:color="010035"/>
            </w:tcBorders>
            <w:shd w:val="clear" w:color="auto" w:fill="010035"/>
          </w:tcPr>
          <w:p>
            <w:pPr>
              <w:spacing w:after="0"/>
              <w:rPr>
                <w:sz w:val="12"/>
                <w:szCs w:val="12"/>
                <w:color w:val="auto"/>
              </w:rPr>
            </w:pPr>
          </w:p>
        </w:tc>
        <w:tc>
          <w:tcPr>
            <w:tcW w:w="3000" w:type="dxa"/>
            <w:vAlign w:val="bottom"/>
            <w:tcBorders>
              <w:bottom w:val="single" w:sz="8" w:color="010035"/>
            </w:tcBorders>
            <w:shd w:val="clear" w:color="auto" w:fill="010035"/>
          </w:tcPr>
          <w:p>
            <w:pPr>
              <w:spacing w:after="0"/>
              <w:rPr>
                <w:sz w:val="12"/>
                <w:szCs w:val="12"/>
                <w:color w:val="auto"/>
              </w:rPr>
            </w:pPr>
          </w:p>
        </w:tc>
        <w:tc>
          <w:tcPr>
            <w:tcW w:w="2200" w:type="dxa"/>
            <w:vAlign w:val="bottom"/>
            <w:tcBorders>
              <w:bottom w:val="single" w:sz="8" w:color="010035"/>
            </w:tcBorders>
            <w:shd w:val="clear" w:color="auto" w:fill="010035"/>
          </w:tcPr>
          <w:p>
            <w:pPr>
              <w:spacing w:after="0"/>
              <w:rPr>
                <w:sz w:val="12"/>
                <w:szCs w:val="12"/>
                <w:color w:val="auto"/>
              </w:rPr>
            </w:pPr>
          </w:p>
        </w:tc>
        <w:tc>
          <w:tcPr>
            <w:tcW w:w="2380" w:type="dxa"/>
            <w:vAlign w:val="bottom"/>
            <w:tcBorders>
              <w:bottom w:val="single" w:sz="8" w:color="010035"/>
            </w:tcBorders>
            <w:vMerge w:val="continue"/>
            <w:shd w:val="clear" w:color="auto" w:fill="010035"/>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010035"/>
              </w:rPr>
              <w:t>Jay Snowden</w:t>
            </w:r>
          </w:p>
        </w:tc>
        <w:tc>
          <w:tcPr>
            <w:tcW w:w="3000" w:type="dxa"/>
            <w:vAlign w:val="bottom"/>
          </w:tcPr>
          <w:p>
            <w:pPr>
              <w:jc w:val="center"/>
              <w:ind w:left="348"/>
              <w:spacing w:after="0"/>
              <w:rPr>
                <w:sz w:val="20"/>
                <w:szCs w:val="20"/>
                <w:color w:val="auto"/>
              </w:rPr>
            </w:pPr>
            <w:r>
              <w:rPr>
                <w:rFonts w:ascii="Arial" w:cs="Arial" w:eastAsia="Arial" w:hAnsi="Arial"/>
                <w:sz w:val="14"/>
                <w:szCs w:val="14"/>
                <w:color w:val="010035"/>
              </w:rPr>
              <w:t>124,372</w:t>
            </w:r>
          </w:p>
        </w:tc>
        <w:tc>
          <w:tcPr>
            <w:tcW w:w="2200" w:type="dxa"/>
            <w:vAlign w:val="bottom"/>
          </w:tcPr>
          <w:p>
            <w:pPr>
              <w:jc w:val="center"/>
              <w:spacing w:after="0"/>
              <w:rPr>
                <w:sz w:val="20"/>
                <w:szCs w:val="20"/>
                <w:color w:val="auto"/>
              </w:rPr>
            </w:pPr>
            <w:r>
              <w:rPr>
                <w:rFonts w:ascii="Arial" w:cs="Arial" w:eastAsia="Arial" w:hAnsi="Arial"/>
                <w:sz w:val="14"/>
                <w:szCs w:val="14"/>
                <w:color w:val="010035"/>
              </w:rPr>
              <w:t>74.75%</w:t>
            </w:r>
          </w:p>
        </w:tc>
        <w:tc>
          <w:tcPr>
            <w:tcW w:w="2380" w:type="dxa"/>
            <w:vAlign w:val="bottom"/>
          </w:tcPr>
          <w:p>
            <w:pPr>
              <w:jc w:val="center"/>
              <w:ind w:left="246"/>
              <w:spacing w:after="0"/>
              <w:rPr>
                <w:sz w:val="20"/>
                <w:szCs w:val="20"/>
                <w:color w:val="auto"/>
              </w:rPr>
            </w:pPr>
            <w:r>
              <w:rPr>
                <w:rFonts w:ascii="Arial" w:cs="Arial" w:eastAsia="Arial" w:hAnsi="Arial"/>
                <w:sz w:val="14"/>
                <w:szCs w:val="14"/>
                <w:color w:val="010035"/>
              </w:rPr>
              <w:t>92,968</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DED8EC"/>
          </w:tcPr>
          <w:p>
            <w:pPr>
              <w:spacing w:after="0"/>
              <w:rPr>
                <w:sz w:val="21"/>
                <w:szCs w:val="21"/>
                <w:color w:val="auto"/>
              </w:rPr>
            </w:pPr>
          </w:p>
        </w:tc>
        <w:tc>
          <w:tcPr>
            <w:tcW w:w="1780" w:type="dxa"/>
            <w:vAlign w:val="bottom"/>
            <w:shd w:val="clear" w:color="auto" w:fill="DED8EC"/>
          </w:tcPr>
          <w:p>
            <w:pPr>
              <w:ind w:left="40"/>
              <w:spacing w:after="0"/>
              <w:rPr>
                <w:sz w:val="20"/>
                <w:szCs w:val="20"/>
                <w:color w:val="auto"/>
              </w:rPr>
            </w:pPr>
            <w:r>
              <w:rPr>
                <w:rFonts w:ascii="Arial" w:cs="Arial" w:eastAsia="Arial" w:hAnsi="Arial"/>
                <w:sz w:val="14"/>
                <w:szCs w:val="14"/>
                <w:color w:val="010035"/>
              </w:rPr>
              <w:t>Felicia Hendrix</w:t>
            </w:r>
          </w:p>
        </w:tc>
        <w:tc>
          <w:tcPr>
            <w:tcW w:w="3000" w:type="dxa"/>
            <w:vAlign w:val="bottom"/>
            <w:shd w:val="clear" w:color="auto" w:fill="DED8EC"/>
          </w:tcPr>
          <w:p>
            <w:pPr>
              <w:jc w:val="center"/>
              <w:ind w:left="348"/>
              <w:spacing w:after="0"/>
              <w:rPr>
                <w:sz w:val="20"/>
                <w:szCs w:val="20"/>
                <w:color w:val="auto"/>
              </w:rPr>
            </w:pPr>
            <w:r>
              <w:rPr>
                <w:rFonts w:ascii="Arial" w:cs="Arial" w:eastAsia="Arial" w:hAnsi="Arial"/>
                <w:sz w:val="14"/>
                <w:szCs w:val="14"/>
                <w:color w:val="010035"/>
              </w:rPr>
              <w:t>32,946</w:t>
            </w:r>
          </w:p>
        </w:tc>
        <w:tc>
          <w:tcPr>
            <w:tcW w:w="220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74.75%</w:t>
            </w:r>
          </w:p>
        </w:tc>
        <w:tc>
          <w:tcPr>
            <w:tcW w:w="2380" w:type="dxa"/>
            <w:vAlign w:val="bottom"/>
            <w:shd w:val="clear" w:color="auto" w:fill="DED8EC"/>
          </w:tcPr>
          <w:p>
            <w:pPr>
              <w:jc w:val="center"/>
              <w:ind w:left="246"/>
              <w:spacing w:after="0"/>
              <w:rPr>
                <w:sz w:val="20"/>
                <w:szCs w:val="20"/>
                <w:color w:val="auto"/>
              </w:rPr>
            </w:pPr>
            <w:r>
              <w:rPr>
                <w:rFonts w:ascii="Arial" w:cs="Arial" w:eastAsia="Arial" w:hAnsi="Arial"/>
                <w:sz w:val="14"/>
                <w:szCs w:val="14"/>
                <w:color w:val="010035"/>
              </w:rPr>
              <w:t>24,627</w:t>
            </w:r>
          </w:p>
        </w:tc>
        <w:tc>
          <w:tcPr>
            <w:tcW w:w="0" w:type="dxa"/>
            <w:vAlign w:val="bottom"/>
          </w:tcPr>
          <w:p>
            <w:pPr>
              <w:spacing w:after="0"/>
              <w:rPr>
                <w:sz w:val="1"/>
                <w:szCs w:val="1"/>
                <w:color w:val="auto"/>
              </w:rPr>
            </w:pPr>
          </w:p>
        </w:tc>
      </w:tr>
      <w:tr>
        <w:trPr>
          <w:trHeight w:val="62"/>
        </w:trPr>
        <w:tc>
          <w:tcPr>
            <w:tcW w:w="40" w:type="dxa"/>
            <w:vAlign w:val="bottom"/>
            <w:shd w:val="clear" w:color="auto" w:fill="DED8EC"/>
          </w:tcPr>
          <w:p>
            <w:pPr>
              <w:spacing w:after="0"/>
              <w:rPr>
                <w:sz w:val="5"/>
                <w:szCs w:val="5"/>
                <w:color w:val="auto"/>
              </w:rPr>
            </w:pPr>
          </w:p>
        </w:tc>
        <w:tc>
          <w:tcPr>
            <w:tcW w:w="1780" w:type="dxa"/>
            <w:vAlign w:val="bottom"/>
            <w:shd w:val="clear" w:color="auto" w:fill="DED8EC"/>
          </w:tcPr>
          <w:p>
            <w:pPr>
              <w:spacing w:after="0"/>
              <w:rPr>
                <w:sz w:val="5"/>
                <w:szCs w:val="5"/>
                <w:color w:val="auto"/>
              </w:rPr>
            </w:pPr>
          </w:p>
        </w:tc>
        <w:tc>
          <w:tcPr>
            <w:tcW w:w="3000" w:type="dxa"/>
            <w:vAlign w:val="bottom"/>
            <w:shd w:val="clear" w:color="auto" w:fill="DED8EC"/>
          </w:tcPr>
          <w:p>
            <w:pPr>
              <w:spacing w:after="0"/>
              <w:rPr>
                <w:sz w:val="5"/>
                <w:szCs w:val="5"/>
                <w:color w:val="auto"/>
              </w:rPr>
            </w:pPr>
          </w:p>
        </w:tc>
        <w:tc>
          <w:tcPr>
            <w:tcW w:w="2200" w:type="dxa"/>
            <w:vAlign w:val="bottom"/>
            <w:shd w:val="clear" w:color="auto" w:fill="DED8EC"/>
          </w:tcPr>
          <w:p>
            <w:pPr>
              <w:spacing w:after="0"/>
              <w:rPr>
                <w:sz w:val="5"/>
                <w:szCs w:val="5"/>
                <w:color w:val="auto"/>
              </w:rPr>
            </w:pPr>
          </w:p>
        </w:tc>
        <w:tc>
          <w:tcPr>
            <w:tcW w:w="238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010035"/>
              </w:rPr>
              <w:t>Chris Rogers</w:t>
            </w:r>
          </w:p>
        </w:tc>
        <w:tc>
          <w:tcPr>
            <w:tcW w:w="3000" w:type="dxa"/>
            <w:vAlign w:val="bottom"/>
          </w:tcPr>
          <w:p>
            <w:pPr>
              <w:jc w:val="center"/>
              <w:ind w:left="348"/>
              <w:spacing w:after="0"/>
              <w:rPr>
                <w:sz w:val="20"/>
                <w:szCs w:val="20"/>
                <w:color w:val="auto"/>
              </w:rPr>
            </w:pPr>
            <w:r>
              <w:rPr>
                <w:rFonts w:ascii="Arial" w:cs="Arial" w:eastAsia="Arial" w:hAnsi="Arial"/>
                <w:sz w:val="14"/>
                <w:szCs w:val="14"/>
                <w:color w:val="010035"/>
              </w:rPr>
              <w:t>19,270</w:t>
            </w:r>
          </w:p>
        </w:tc>
        <w:tc>
          <w:tcPr>
            <w:tcW w:w="2200" w:type="dxa"/>
            <w:vAlign w:val="bottom"/>
          </w:tcPr>
          <w:p>
            <w:pPr>
              <w:jc w:val="center"/>
              <w:spacing w:after="0"/>
              <w:rPr>
                <w:sz w:val="20"/>
                <w:szCs w:val="20"/>
                <w:color w:val="auto"/>
              </w:rPr>
            </w:pPr>
            <w:r>
              <w:rPr>
                <w:rFonts w:ascii="Arial" w:cs="Arial" w:eastAsia="Arial" w:hAnsi="Arial"/>
                <w:sz w:val="14"/>
                <w:szCs w:val="14"/>
                <w:color w:val="010035"/>
              </w:rPr>
              <w:t>74.75%</w:t>
            </w:r>
          </w:p>
        </w:tc>
        <w:tc>
          <w:tcPr>
            <w:tcW w:w="2380" w:type="dxa"/>
            <w:vAlign w:val="bottom"/>
          </w:tcPr>
          <w:p>
            <w:pPr>
              <w:jc w:val="center"/>
              <w:ind w:left="246"/>
              <w:spacing w:after="0"/>
              <w:rPr>
                <w:sz w:val="20"/>
                <w:szCs w:val="20"/>
                <w:color w:val="auto"/>
              </w:rPr>
            </w:pPr>
            <w:r>
              <w:rPr>
                <w:rFonts w:ascii="Arial" w:cs="Arial" w:eastAsia="Arial" w:hAnsi="Arial"/>
                <w:sz w:val="14"/>
                <w:szCs w:val="14"/>
                <w:color w:val="010035"/>
              </w:rPr>
              <w:t>14,404</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DED8EC"/>
            </w:tcBorders>
            <w:shd w:val="clear" w:color="auto" w:fill="DED8EC"/>
          </w:tcPr>
          <w:p>
            <w:pPr>
              <w:spacing w:after="0"/>
              <w:rPr>
                <w:sz w:val="22"/>
                <w:szCs w:val="22"/>
                <w:color w:val="auto"/>
              </w:rPr>
            </w:pPr>
          </w:p>
        </w:tc>
        <w:tc>
          <w:tcPr>
            <w:tcW w:w="1780" w:type="dxa"/>
            <w:vAlign w:val="bottom"/>
            <w:tcBorders>
              <w:bottom w:val="single" w:sz="8" w:color="DED8EC"/>
            </w:tcBorders>
            <w:shd w:val="clear" w:color="auto" w:fill="DED8EC"/>
          </w:tcPr>
          <w:p>
            <w:pPr>
              <w:ind w:left="40"/>
              <w:spacing w:after="0"/>
              <w:rPr>
                <w:sz w:val="20"/>
                <w:szCs w:val="20"/>
                <w:color w:val="auto"/>
              </w:rPr>
            </w:pPr>
            <w:r>
              <w:rPr>
                <w:rFonts w:ascii="Arial" w:cs="Arial" w:eastAsia="Arial" w:hAnsi="Arial"/>
                <w:sz w:val="14"/>
                <w:szCs w:val="14"/>
                <w:color w:val="010035"/>
              </w:rPr>
              <w:t>Todd George</w:t>
            </w:r>
          </w:p>
        </w:tc>
        <w:tc>
          <w:tcPr>
            <w:tcW w:w="3000" w:type="dxa"/>
            <w:vAlign w:val="bottom"/>
            <w:tcBorders>
              <w:bottom w:val="single" w:sz="8" w:color="DED8EC"/>
            </w:tcBorders>
            <w:shd w:val="clear" w:color="auto" w:fill="DED8EC"/>
          </w:tcPr>
          <w:p>
            <w:pPr>
              <w:jc w:val="center"/>
              <w:ind w:left="348"/>
              <w:spacing w:after="0"/>
              <w:rPr>
                <w:sz w:val="20"/>
                <w:szCs w:val="20"/>
                <w:color w:val="auto"/>
              </w:rPr>
            </w:pPr>
            <w:r>
              <w:rPr>
                <w:rFonts w:ascii="Arial" w:cs="Arial" w:eastAsia="Arial" w:hAnsi="Arial"/>
                <w:sz w:val="14"/>
                <w:szCs w:val="14"/>
                <w:color w:val="010035"/>
              </w:rPr>
              <w:t>36,822</w:t>
            </w:r>
          </w:p>
        </w:tc>
        <w:tc>
          <w:tcPr>
            <w:tcW w:w="220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74.75%</w:t>
            </w:r>
          </w:p>
        </w:tc>
        <w:tc>
          <w:tcPr>
            <w:tcW w:w="2380" w:type="dxa"/>
            <w:vAlign w:val="bottom"/>
            <w:tcBorders>
              <w:bottom w:val="single" w:sz="8" w:color="DED8EC"/>
            </w:tcBorders>
            <w:shd w:val="clear" w:color="auto" w:fill="DED8EC"/>
          </w:tcPr>
          <w:p>
            <w:pPr>
              <w:jc w:val="center"/>
              <w:ind w:left="246"/>
              <w:spacing w:after="0"/>
              <w:rPr>
                <w:sz w:val="20"/>
                <w:szCs w:val="20"/>
                <w:color w:val="auto"/>
              </w:rPr>
            </w:pPr>
            <w:r>
              <w:rPr>
                <w:rFonts w:ascii="Arial" w:cs="Arial" w:eastAsia="Arial" w:hAnsi="Arial"/>
                <w:sz w:val="14"/>
                <w:szCs w:val="14"/>
                <w:color w:val="010035"/>
              </w:rPr>
              <w:t>27,524</w:t>
            </w:r>
          </w:p>
        </w:tc>
        <w:tc>
          <w:tcPr>
            <w:tcW w:w="0" w:type="dxa"/>
            <w:vAlign w:val="bottom"/>
          </w:tcPr>
          <w:p>
            <w:pPr>
              <w:spacing w:after="0"/>
              <w:rPr>
                <w:sz w:val="1"/>
                <w:szCs w:val="1"/>
                <w:color w:val="auto"/>
              </w:rPr>
            </w:pPr>
          </w:p>
        </w:tc>
      </w:tr>
      <w:tr>
        <w:trPr>
          <w:trHeight w:val="20"/>
        </w:trPr>
        <w:tc>
          <w:tcPr>
            <w:tcW w:w="40" w:type="dxa"/>
            <w:vAlign w:val="bottom"/>
            <w:shd w:val="clear" w:color="auto" w:fill="010035"/>
          </w:tcPr>
          <w:p>
            <w:pPr>
              <w:spacing w:after="0" w:line="20" w:lineRule="exact"/>
              <w:rPr>
                <w:sz w:val="1"/>
                <w:szCs w:val="1"/>
                <w:color w:val="auto"/>
              </w:rPr>
            </w:pPr>
          </w:p>
        </w:tc>
        <w:tc>
          <w:tcPr>
            <w:tcW w:w="1780" w:type="dxa"/>
            <w:vAlign w:val="bottom"/>
            <w:shd w:val="clear" w:color="auto" w:fill="010035"/>
          </w:tcPr>
          <w:p>
            <w:pPr>
              <w:spacing w:after="0" w:line="20" w:lineRule="exact"/>
              <w:rPr>
                <w:sz w:val="1"/>
                <w:szCs w:val="1"/>
                <w:color w:val="auto"/>
              </w:rPr>
            </w:pPr>
          </w:p>
        </w:tc>
        <w:tc>
          <w:tcPr>
            <w:tcW w:w="3000" w:type="dxa"/>
            <w:vAlign w:val="bottom"/>
            <w:shd w:val="clear" w:color="auto" w:fill="010035"/>
          </w:tcPr>
          <w:p>
            <w:pPr>
              <w:spacing w:after="0" w:line="20" w:lineRule="exact"/>
              <w:rPr>
                <w:sz w:val="1"/>
                <w:szCs w:val="1"/>
                <w:color w:val="auto"/>
              </w:rPr>
            </w:pPr>
          </w:p>
        </w:tc>
        <w:tc>
          <w:tcPr>
            <w:tcW w:w="2200" w:type="dxa"/>
            <w:vAlign w:val="bottom"/>
            <w:shd w:val="clear" w:color="auto" w:fill="010035"/>
          </w:tcPr>
          <w:p>
            <w:pPr>
              <w:spacing w:after="0" w:line="20" w:lineRule="exact"/>
              <w:rPr>
                <w:sz w:val="1"/>
                <w:szCs w:val="1"/>
                <w:color w:val="auto"/>
              </w:rPr>
            </w:pPr>
          </w:p>
        </w:tc>
        <w:tc>
          <w:tcPr>
            <w:tcW w:w="2380" w:type="dxa"/>
            <w:vAlign w:val="bottom"/>
            <w:shd w:val="clear" w:color="auto" w:fill="0100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20"/>
        <w:spacing w:after="0" w:line="256" w:lineRule="auto"/>
        <w:rPr>
          <w:sz w:val="20"/>
          <w:szCs w:val="20"/>
          <w:color w:val="auto"/>
        </w:rPr>
      </w:pPr>
      <w:r>
        <w:rPr>
          <w:rFonts w:ascii="Arial" w:cs="Arial" w:eastAsia="Arial" w:hAnsi="Arial"/>
          <w:sz w:val="14"/>
          <w:szCs w:val="14"/>
          <w:color w:val="auto"/>
        </w:rPr>
        <w:t>The following table shows the cumulative payout under the 2023 PSUs, including the first tranche earned for the 2023 performance period, with earned shares that remained subject to continued service vesting through the end of the full 2023–2025 performance cycle, and the final tranche earned based on performance over the 2024–2025 performance period, resulting in 85.85% cumulative achievement of the target performance level.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40" w:type="dxa"/>
            <w:vAlign w:val="bottom"/>
            <w:tcBorders>
              <w:top w:val="single" w:sz="8" w:color="69439A"/>
            </w:tcBorders>
            <w:shd w:val="clear" w:color="auto" w:fill="010035"/>
          </w:tcPr>
          <w:p>
            <w:pPr>
              <w:spacing w:after="0"/>
              <w:rPr>
                <w:sz w:val="24"/>
                <w:szCs w:val="24"/>
                <w:color w:val="auto"/>
              </w:rPr>
            </w:pPr>
          </w:p>
        </w:tc>
        <w:tc>
          <w:tcPr>
            <w:tcW w:w="1800" w:type="dxa"/>
            <w:vAlign w:val="bottom"/>
            <w:tcBorders>
              <w:top w:val="single" w:sz="8" w:color="69439A"/>
            </w:tcBorders>
            <w:shd w:val="clear" w:color="auto" w:fill="010035"/>
          </w:tcPr>
          <w:p>
            <w:pPr>
              <w:spacing w:after="0"/>
              <w:rPr>
                <w:sz w:val="24"/>
                <w:szCs w:val="24"/>
                <w:color w:val="auto"/>
              </w:rPr>
            </w:pPr>
          </w:p>
        </w:tc>
        <w:tc>
          <w:tcPr>
            <w:tcW w:w="2920" w:type="dxa"/>
            <w:vAlign w:val="bottom"/>
            <w:tcBorders>
              <w:top w:val="single" w:sz="8" w:color="69439A"/>
            </w:tcBorders>
            <w:shd w:val="clear" w:color="auto" w:fill="010035"/>
          </w:tcPr>
          <w:p>
            <w:pPr>
              <w:jc w:val="center"/>
              <w:ind w:left="339"/>
              <w:spacing w:after="0"/>
              <w:rPr>
                <w:sz w:val="20"/>
                <w:szCs w:val="20"/>
                <w:color w:val="auto"/>
              </w:rPr>
            </w:pPr>
            <w:r>
              <w:rPr>
                <w:rFonts w:ascii="Arial" w:cs="Arial" w:eastAsia="Arial" w:hAnsi="Arial"/>
                <w:sz w:val="22"/>
                <w:szCs w:val="22"/>
                <w:b w:val="1"/>
                <w:bCs w:val="1"/>
                <w:color w:val="FFFFFF"/>
                <w:w w:val="89"/>
              </w:rPr>
              <w:t>2023</w:t>
            </w:r>
          </w:p>
        </w:tc>
        <w:tc>
          <w:tcPr>
            <w:tcW w:w="250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22"/>
                <w:szCs w:val="22"/>
                <w:b w:val="1"/>
                <w:bCs w:val="1"/>
                <w:color w:val="FFFFFF"/>
                <w:w w:val="87"/>
              </w:rPr>
              <w:t>2024-2025</w:t>
            </w:r>
          </w:p>
        </w:tc>
        <w:tc>
          <w:tcPr>
            <w:tcW w:w="2140" w:type="dxa"/>
            <w:vAlign w:val="bottom"/>
            <w:tcBorders>
              <w:top w:val="single" w:sz="8" w:color="69439A"/>
            </w:tcBorders>
            <w:shd w:val="clear" w:color="auto" w:fill="010035"/>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010035"/>
          </w:tcPr>
          <w:p>
            <w:pPr>
              <w:spacing w:after="0"/>
              <w:rPr>
                <w:sz w:val="21"/>
                <w:szCs w:val="21"/>
                <w:color w:val="auto"/>
              </w:rPr>
            </w:pPr>
          </w:p>
        </w:tc>
        <w:tc>
          <w:tcPr>
            <w:tcW w:w="1800" w:type="dxa"/>
            <w:vAlign w:val="bottom"/>
            <w:vMerge w:val="restart"/>
            <w:shd w:val="clear" w:color="auto" w:fill="010035"/>
          </w:tcPr>
          <w:p>
            <w:pPr>
              <w:ind w:left="40"/>
              <w:spacing w:after="0"/>
              <w:rPr>
                <w:sz w:val="20"/>
                <w:szCs w:val="20"/>
                <w:color w:val="auto"/>
              </w:rPr>
            </w:pPr>
            <w:r>
              <w:rPr>
                <w:rFonts w:ascii="Arial" w:cs="Arial" w:eastAsia="Arial" w:hAnsi="Arial"/>
                <w:sz w:val="18"/>
                <w:szCs w:val="18"/>
                <w:b w:val="1"/>
                <w:bCs w:val="1"/>
                <w:color w:val="FFFFFF"/>
              </w:rPr>
              <w:t>AWARD</w:t>
            </w:r>
          </w:p>
        </w:tc>
        <w:tc>
          <w:tcPr>
            <w:tcW w:w="2920" w:type="dxa"/>
            <w:vAlign w:val="bottom"/>
            <w:shd w:val="clear" w:color="auto" w:fill="010035"/>
          </w:tcPr>
          <w:p>
            <w:pPr>
              <w:jc w:val="center"/>
              <w:ind w:left="339"/>
              <w:spacing w:after="0" w:line="243" w:lineRule="exact"/>
              <w:rPr>
                <w:sz w:val="20"/>
                <w:szCs w:val="20"/>
                <w:color w:val="auto"/>
              </w:rPr>
            </w:pPr>
            <w:r>
              <w:rPr>
                <w:rFonts w:ascii="Arial" w:cs="Arial" w:eastAsia="Arial" w:hAnsi="Arial"/>
                <w:sz w:val="22"/>
                <w:szCs w:val="22"/>
                <w:b w:val="1"/>
                <w:bCs w:val="1"/>
                <w:color w:val="FFFFFF"/>
                <w:w w:val="86"/>
              </w:rPr>
              <w:t>Performance Period</w:t>
            </w:r>
          </w:p>
        </w:tc>
        <w:tc>
          <w:tcPr>
            <w:tcW w:w="2500" w:type="dxa"/>
            <w:vAlign w:val="bottom"/>
            <w:shd w:val="clear" w:color="auto" w:fill="010035"/>
          </w:tcPr>
          <w:p>
            <w:pPr>
              <w:jc w:val="center"/>
              <w:spacing w:after="0" w:line="243" w:lineRule="exact"/>
              <w:rPr>
                <w:sz w:val="20"/>
                <w:szCs w:val="20"/>
                <w:color w:val="auto"/>
              </w:rPr>
            </w:pPr>
            <w:r>
              <w:rPr>
                <w:rFonts w:ascii="Arial" w:cs="Arial" w:eastAsia="Arial" w:hAnsi="Arial"/>
                <w:sz w:val="22"/>
                <w:szCs w:val="22"/>
                <w:b w:val="1"/>
                <w:bCs w:val="1"/>
                <w:color w:val="FFFFFF"/>
                <w:w w:val="87"/>
              </w:rPr>
              <w:t>Performance Period</w:t>
            </w:r>
          </w:p>
        </w:tc>
        <w:tc>
          <w:tcPr>
            <w:tcW w:w="2140" w:type="dxa"/>
            <w:vAlign w:val="bottom"/>
            <w:shd w:val="clear" w:color="auto" w:fill="010035"/>
          </w:tcPr>
          <w:p>
            <w:pPr>
              <w:jc w:val="center"/>
              <w:ind w:left="224"/>
              <w:spacing w:after="0" w:line="243" w:lineRule="exact"/>
              <w:rPr>
                <w:sz w:val="20"/>
                <w:szCs w:val="20"/>
                <w:color w:val="auto"/>
              </w:rPr>
            </w:pPr>
            <w:r>
              <w:rPr>
                <w:rFonts w:ascii="Arial" w:cs="Arial" w:eastAsia="Arial" w:hAnsi="Arial"/>
                <w:sz w:val="22"/>
                <w:szCs w:val="22"/>
                <w:b w:val="1"/>
                <w:bCs w:val="1"/>
                <w:color w:val="FFFFFF"/>
                <w:w w:val="85"/>
              </w:rPr>
              <w:t>TOTAL PAYOUT</w:t>
            </w:r>
          </w:p>
        </w:tc>
        <w:tc>
          <w:tcPr>
            <w:tcW w:w="0" w:type="dxa"/>
            <w:vAlign w:val="bottom"/>
          </w:tcPr>
          <w:p>
            <w:pPr>
              <w:spacing w:after="0"/>
              <w:rPr>
                <w:sz w:val="1"/>
                <w:szCs w:val="1"/>
                <w:color w:val="auto"/>
              </w:rPr>
            </w:pPr>
          </w:p>
        </w:tc>
      </w:tr>
      <w:tr>
        <w:trPr>
          <w:trHeight w:val="148"/>
        </w:trPr>
        <w:tc>
          <w:tcPr>
            <w:tcW w:w="40" w:type="dxa"/>
            <w:vAlign w:val="bottom"/>
            <w:shd w:val="clear" w:color="auto" w:fill="010035"/>
          </w:tcPr>
          <w:p>
            <w:pPr>
              <w:spacing w:after="0"/>
              <w:rPr>
                <w:sz w:val="12"/>
                <w:szCs w:val="12"/>
                <w:color w:val="auto"/>
              </w:rPr>
            </w:pPr>
          </w:p>
        </w:tc>
        <w:tc>
          <w:tcPr>
            <w:tcW w:w="1800" w:type="dxa"/>
            <w:vAlign w:val="bottom"/>
            <w:vMerge w:val="continue"/>
            <w:shd w:val="clear" w:color="auto" w:fill="010035"/>
          </w:tcPr>
          <w:p>
            <w:pPr>
              <w:spacing w:after="0"/>
              <w:rPr>
                <w:sz w:val="12"/>
                <w:szCs w:val="12"/>
                <w:color w:val="auto"/>
              </w:rPr>
            </w:pPr>
          </w:p>
        </w:tc>
        <w:tc>
          <w:tcPr>
            <w:tcW w:w="2920" w:type="dxa"/>
            <w:vAlign w:val="bottom"/>
            <w:vMerge w:val="restart"/>
            <w:shd w:val="clear" w:color="auto" w:fill="010035"/>
          </w:tcPr>
          <w:p>
            <w:pPr>
              <w:jc w:val="center"/>
              <w:ind w:left="339"/>
              <w:spacing w:after="0" w:line="243" w:lineRule="exact"/>
              <w:rPr>
                <w:sz w:val="20"/>
                <w:szCs w:val="20"/>
                <w:color w:val="auto"/>
              </w:rPr>
            </w:pPr>
            <w:r>
              <w:rPr>
                <w:rFonts w:ascii="Arial" w:cs="Arial" w:eastAsia="Arial" w:hAnsi="Arial"/>
                <w:sz w:val="22"/>
                <w:szCs w:val="22"/>
                <w:b w:val="1"/>
                <w:bCs w:val="1"/>
                <w:color w:val="FFFFFF"/>
                <w:w w:val="86"/>
              </w:rPr>
              <w:t>1/3 of 2023 PSUs</w:t>
            </w:r>
          </w:p>
        </w:tc>
        <w:tc>
          <w:tcPr>
            <w:tcW w:w="2500" w:type="dxa"/>
            <w:vAlign w:val="bottom"/>
            <w:vMerge w:val="restart"/>
            <w:shd w:val="clear" w:color="auto" w:fill="010035"/>
          </w:tcPr>
          <w:p>
            <w:pPr>
              <w:jc w:val="center"/>
              <w:spacing w:after="0" w:line="243" w:lineRule="exact"/>
              <w:rPr>
                <w:sz w:val="20"/>
                <w:szCs w:val="20"/>
                <w:color w:val="auto"/>
              </w:rPr>
            </w:pPr>
            <w:r>
              <w:rPr>
                <w:rFonts w:ascii="Arial" w:cs="Arial" w:eastAsia="Arial" w:hAnsi="Arial"/>
                <w:sz w:val="22"/>
                <w:szCs w:val="22"/>
                <w:b w:val="1"/>
                <w:bCs w:val="1"/>
                <w:color w:val="FFFFFF"/>
                <w:w w:val="86"/>
              </w:rPr>
              <w:t>2/3 of 2023 PSUs</w:t>
            </w:r>
          </w:p>
        </w:tc>
        <w:tc>
          <w:tcPr>
            <w:tcW w:w="2140" w:type="dxa"/>
            <w:vAlign w:val="bottom"/>
            <w:vMerge w:val="restart"/>
            <w:shd w:val="clear" w:color="auto" w:fill="010035"/>
          </w:tcPr>
          <w:p>
            <w:pPr>
              <w:jc w:val="center"/>
              <w:ind w:left="204"/>
              <w:spacing w:after="0" w:line="243" w:lineRule="exact"/>
              <w:rPr>
                <w:sz w:val="20"/>
                <w:szCs w:val="20"/>
                <w:color w:val="auto"/>
              </w:rPr>
            </w:pPr>
            <w:r>
              <w:rPr>
                <w:rFonts w:ascii="Arial" w:cs="Arial" w:eastAsia="Arial" w:hAnsi="Arial"/>
                <w:sz w:val="22"/>
                <w:szCs w:val="22"/>
                <w:b w:val="1"/>
                <w:bCs w:val="1"/>
                <w:color w:val="FFFFFF"/>
                <w:w w:val="85"/>
              </w:rPr>
              <w:t>(% of target earned)</w:t>
            </w:r>
          </w:p>
        </w:tc>
        <w:tc>
          <w:tcPr>
            <w:tcW w:w="0" w:type="dxa"/>
            <w:vAlign w:val="bottom"/>
          </w:tcPr>
          <w:p>
            <w:pPr>
              <w:spacing w:after="0"/>
              <w:rPr>
                <w:sz w:val="1"/>
                <w:szCs w:val="1"/>
                <w:color w:val="auto"/>
              </w:rPr>
            </w:pPr>
          </w:p>
        </w:tc>
      </w:tr>
      <w:tr>
        <w:trPr>
          <w:trHeight w:val="95"/>
        </w:trPr>
        <w:tc>
          <w:tcPr>
            <w:tcW w:w="40" w:type="dxa"/>
            <w:vAlign w:val="bottom"/>
            <w:shd w:val="clear" w:color="auto" w:fill="010035"/>
          </w:tcPr>
          <w:p>
            <w:pPr>
              <w:spacing w:after="0"/>
              <w:rPr>
                <w:sz w:val="8"/>
                <w:szCs w:val="8"/>
                <w:color w:val="auto"/>
              </w:rPr>
            </w:pPr>
          </w:p>
        </w:tc>
        <w:tc>
          <w:tcPr>
            <w:tcW w:w="1800" w:type="dxa"/>
            <w:vAlign w:val="bottom"/>
            <w:shd w:val="clear" w:color="auto" w:fill="010035"/>
          </w:tcPr>
          <w:p>
            <w:pPr>
              <w:spacing w:after="0"/>
              <w:rPr>
                <w:sz w:val="8"/>
                <w:szCs w:val="8"/>
                <w:color w:val="auto"/>
              </w:rPr>
            </w:pPr>
          </w:p>
        </w:tc>
        <w:tc>
          <w:tcPr>
            <w:tcW w:w="2920" w:type="dxa"/>
            <w:vAlign w:val="bottom"/>
            <w:vMerge w:val="continue"/>
            <w:shd w:val="clear" w:color="auto" w:fill="010035"/>
          </w:tcPr>
          <w:p>
            <w:pPr>
              <w:spacing w:after="0"/>
              <w:rPr>
                <w:sz w:val="8"/>
                <w:szCs w:val="8"/>
                <w:color w:val="auto"/>
              </w:rPr>
            </w:pPr>
          </w:p>
        </w:tc>
        <w:tc>
          <w:tcPr>
            <w:tcW w:w="2500" w:type="dxa"/>
            <w:vAlign w:val="bottom"/>
            <w:vMerge w:val="continue"/>
            <w:shd w:val="clear" w:color="auto" w:fill="010035"/>
          </w:tcPr>
          <w:p>
            <w:pPr>
              <w:spacing w:after="0"/>
              <w:rPr>
                <w:sz w:val="8"/>
                <w:szCs w:val="8"/>
                <w:color w:val="auto"/>
              </w:rPr>
            </w:pPr>
          </w:p>
        </w:tc>
        <w:tc>
          <w:tcPr>
            <w:tcW w:w="2140" w:type="dxa"/>
            <w:vAlign w:val="bottom"/>
            <w:vMerge w:val="continue"/>
            <w:shd w:val="clear" w:color="auto" w:fill="010035"/>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40" w:type="dxa"/>
            <w:vAlign w:val="bottom"/>
            <w:tcBorders>
              <w:bottom w:val="single" w:sz="8" w:color="010035"/>
            </w:tcBorders>
            <w:shd w:val="clear" w:color="auto" w:fill="010035"/>
          </w:tcPr>
          <w:p>
            <w:pPr>
              <w:spacing w:after="0"/>
              <w:rPr>
                <w:sz w:val="24"/>
                <w:szCs w:val="24"/>
                <w:color w:val="auto"/>
              </w:rPr>
            </w:pPr>
          </w:p>
        </w:tc>
        <w:tc>
          <w:tcPr>
            <w:tcW w:w="1800" w:type="dxa"/>
            <w:vAlign w:val="bottom"/>
            <w:tcBorders>
              <w:bottom w:val="single" w:sz="8" w:color="010035"/>
            </w:tcBorders>
            <w:shd w:val="clear" w:color="auto" w:fill="010035"/>
          </w:tcPr>
          <w:p>
            <w:pPr>
              <w:spacing w:after="0"/>
              <w:rPr>
                <w:sz w:val="24"/>
                <w:szCs w:val="24"/>
                <w:color w:val="auto"/>
              </w:rPr>
            </w:pPr>
          </w:p>
        </w:tc>
        <w:tc>
          <w:tcPr>
            <w:tcW w:w="2920" w:type="dxa"/>
            <w:vAlign w:val="bottom"/>
            <w:tcBorders>
              <w:bottom w:val="single" w:sz="8" w:color="010035"/>
            </w:tcBorders>
            <w:shd w:val="clear" w:color="auto" w:fill="010035"/>
          </w:tcPr>
          <w:p>
            <w:pPr>
              <w:jc w:val="center"/>
              <w:ind w:left="339"/>
              <w:spacing w:after="0"/>
              <w:rPr>
                <w:sz w:val="20"/>
                <w:szCs w:val="20"/>
                <w:color w:val="auto"/>
              </w:rPr>
            </w:pPr>
            <w:r>
              <w:rPr>
                <w:rFonts w:ascii="Arial" w:cs="Arial" w:eastAsia="Arial" w:hAnsi="Arial"/>
                <w:sz w:val="22"/>
                <w:szCs w:val="22"/>
                <w:b w:val="1"/>
                <w:bCs w:val="1"/>
                <w:color w:val="FFFFFF"/>
                <w:w w:val="85"/>
              </w:rPr>
              <w:t>(% of target earned)</w:t>
            </w:r>
          </w:p>
        </w:tc>
        <w:tc>
          <w:tcPr>
            <w:tcW w:w="2500" w:type="dxa"/>
            <w:vAlign w:val="bottom"/>
            <w:tcBorders>
              <w:bottom w:val="single" w:sz="8" w:color="010035"/>
            </w:tcBorders>
            <w:shd w:val="clear" w:color="auto" w:fill="010035"/>
          </w:tcPr>
          <w:p>
            <w:pPr>
              <w:jc w:val="center"/>
              <w:spacing w:after="0"/>
              <w:rPr>
                <w:sz w:val="20"/>
                <w:szCs w:val="20"/>
                <w:color w:val="auto"/>
              </w:rPr>
            </w:pPr>
            <w:r>
              <w:rPr>
                <w:rFonts w:ascii="Arial" w:cs="Arial" w:eastAsia="Arial" w:hAnsi="Arial"/>
                <w:sz w:val="22"/>
                <w:szCs w:val="22"/>
                <w:b w:val="1"/>
                <w:bCs w:val="1"/>
                <w:color w:val="FFFFFF"/>
                <w:w w:val="85"/>
              </w:rPr>
              <w:t>(% of target earned)</w:t>
            </w:r>
          </w:p>
        </w:tc>
        <w:tc>
          <w:tcPr>
            <w:tcW w:w="2140" w:type="dxa"/>
            <w:vAlign w:val="bottom"/>
            <w:tcBorders>
              <w:bottom w:val="single" w:sz="8" w:color="010035"/>
            </w:tcBorders>
            <w:shd w:val="clear" w:color="auto" w:fill="01003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010035"/>
            </w:tcBorders>
          </w:tcPr>
          <w:p>
            <w:pPr>
              <w:spacing w:after="0"/>
              <w:rPr>
                <w:sz w:val="24"/>
                <w:szCs w:val="24"/>
                <w:color w:val="auto"/>
              </w:rPr>
            </w:pPr>
          </w:p>
        </w:tc>
        <w:tc>
          <w:tcPr>
            <w:tcW w:w="1800" w:type="dxa"/>
            <w:vAlign w:val="bottom"/>
            <w:tcBorders>
              <w:bottom w:val="single" w:sz="8" w:color="010035"/>
            </w:tcBorders>
          </w:tcPr>
          <w:p>
            <w:pPr>
              <w:ind w:left="40"/>
              <w:spacing w:after="0"/>
              <w:rPr>
                <w:sz w:val="20"/>
                <w:szCs w:val="20"/>
                <w:color w:val="auto"/>
              </w:rPr>
            </w:pPr>
            <w:r>
              <w:rPr>
                <w:rFonts w:ascii="Arial" w:cs="Arial" w:eastAsia="Arial" w:hAnsi="Arial"/>
                <w:sz w:val="22"/>
                <w:szCs w:val="22"/>
                <w:b w:val="1"/>
                <w:bCs w:val="1"/>
                <w:color w:val="69439A"/>
              </w:rPr>
              <w:t>2023 PSUs</w:t>
            </w:r>
          </w:p>
        </w:tc>
        <w:tc>
          <w:tcPr>
            <w:tcW w:w="2920" w:type="dxa"/>
            <w:vAlign w:val="bottom"/>
            <w:tcBorders>
              <w:bottom w:val="single" w:sz="8" w:color="010035"/>
            </w:tcBorders>
          </w:tcPr>
          <w:p>
            <w:pPr>
              <w:jc w:val="center"/>
              <w:ind w:left="319"/>
              <w:spacing w:after="0"/>
              <w:rPr>
                <w:sz w:val="20"/>
                <w:szCs w:val="20"/>
                <w:color w:val="auto"/>
              </w:rPr>
            </w:pPr>
            <w:r>
              <w:rPr>
                <w:rFonts w:ascii="Arial" w:cs="Arial" w:eastAsia="Arial" w:hAnsi="Arial"/>
                <w:sz w:val="14"/>
                <w:szCs w:val="14"/>
                <w:color w:val="010035"/>
              </w:rPr>
              <w:t>108.05%</w:t>
            </w:r>
          </w:p>
        </w:tc>
        <w:tc>
          <w:tcPr>
            <w:tcW w:w="2500" w:type="dxa"/>
            <w:vAlign w:val="bottom"/>
            <w:tcBorders>
              <w:bottom w:val="single" w:sz="8" w:color="010035"/>
            </w:tcBorders>
          </w:tcPr>
          <w:p>
            <w:pPr>
              <w:jc w:val="center"/>
              <w:spacing w:after="0"/>
              <w:rPr>
                <w:sz w:val="20"/>
                <w:szCs w:val="20"/>
                <w:color w:val="auto"/>
              </w:rPr>
            </w:pPr>
            <w:r>
              <w:rPr>
                <w:rFonts w:ascii="Arial" w:cs="Arial" w:eastAsia="Arial" w:hAnsi="Arial"/>
                <w:sz w:val="14"/>
                <w:szCs w:val="14"/>
                <w:color w:val="010035"/>
              </w:rPr>
              <w:t>74.75%</w:t>
            </w:r>
          </w:p>
        </w:tc>
        <w:tc>
          <w:tcPr>
            <w:tcW w:w="2140" w:type="dxa"/>
            <w:vAlign w:val="bottom"/>
            <w:tcBorders>
              <w:bottom w:val="single" w:sz="8" w:color="010035"/>
            </w:tcBorders>
          </w:tcPr>
          <w:p>
            <w:pPr>
              <w:jc w:val="center"/>
              <w:ind w:left="204"/>
              <w:spacing w:after="0"/>
              <w:rPr>
                <w:sz w:val="20"/>
                <w:szCs w:val="20"/>
                <w:color w:val="auto"/>
              </w:rPr>
            </w:pPr>
            <w:r>
              <w:rPr>
                <w:rFonts w:ascii="Arial" w:cs="Arial" w:eastAsia="Arial" w:hAnsi="Arial"/>
                <w:sz w:val="14"/>
                <w:szCs w:val="14"/>
                <w:color w:val="010035"/>
              </w:rPr>
              <w:t>85.85%</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Evolution of the 2026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jc w:val="both"/>
        <w:ind w:right="540"/>
        <w:spacing w:after="0" w:line="263" w:lineRule="auto"/>
        <w:rPr>
          <w:sz w:val="20"/>
          <w:szCs w:val="20"/>
          <w:color w:val="auto"/>
        </w:rPr>
      </w:pPr>
      <w:r>
        <w:rPr>
          <w:rFonts w:ascii="Arial" w:cs="Arial" w:eastAsia="Arial" w:hAnsi="Arial"/>
          <w:sz w:val="14"/>
          <w:szCs w:val="14"/>
          <w:color w:val="auto"/>
        </w:rPr>
        <w:t>Over the course of 2025 and early 2026, the Compensation Committee, in consultation with its newly appointed independent compensation consultant, undertook a rigorous review and implemented significant enhancements to the go-forward compensation program, reflecting the Company’s realigned strategic priorities and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5966460" cy="216027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966460" cy="216027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10035"/>
        </w:rPr>
        <w:t>2026</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10035"/>
        </w:rPr>
        <w:t>Compensation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10035"/>
        </w:rPr>
        <w:t>Peer Group</w:t>
      </w:r>
    </w:p>
    <w:p>
      <w:pPr>
        <w:ind w:left="240"/>
        <w:spacing w:after="0"/>
        <w:rPr>
          <w:sz w:val="20"/>
          <w:szCs w:val="20"/>
          <w:color w:val="auto"/>
        </w:rPr>
      </w:pPr>
      <w:r>
        <w:rPr>
          <w:rFonts w:ascii="Arial" w:cs="Arial" w:eastAsia="Arial" w:hAnsi="Arial"/>
          <w:sz w:val="22"/>
          <w:szCs w:val="22"/>
          <w:b w:val="1"/>
          <w:bCs w:val="1"/>
          <w:color w:val="010035"/>
        </w:rPr>
        <w:t>Update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160"/>
        <w:spacing w:after="0" w:line="229" w:lineRule="auto"/>
        <w:rPr>
          <w:sz w:val="20"/>
          <w:szCs w:val="20"/>
          <w:color w:val="auto"/>
        </w:rPr>
      </w:pPr>
      <w:r>
        <w:rPr>
          <w:rFonts w:ascii="Arial" w:cs="Arial" w:eastAsia="Arial" w:hAnsi="Arial"/>
          <w:sz w:val="13"/>
          <w:szCs w:val="13"/>
          <w:color w:val="010035"/>
        </w:rPr>
        <w:t>Refreshed the 2026 compensation peer group composition to more closely reflect PENN’s relative size, provide a more accurate representation of the Company’s closest operational and talent competitors and better reflect focus areas following the Company’s realigned digital strategy. The 2026 peer group removed 5 digital and entertainment companies and added 6 casinos, gaming and/or hospitality companies,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317500</wp:posOffset>
            </wp:positionV>
            <wp:extent cx="491172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3280" w:type="dxa"/>
            <w:vAlign w:val="bottom"/>
          </w:tcPr>
          <w:p>
            <w:pPr>
              <w:ind w:left="240"/>
              <w:spacing w:after="0"/>
              <w:rPr>
                <w:sz w:val="20"/>
                <w:szCs w:val="20"/>
                <w:color w:val="auto"/>
              </w:rPr>
            </w:pPr>
            <w:r>
              <w:rPr>
                <w:rFonts w:ascii="Arial" w:cs="Arial" w:eastAsia="Arial" w:hAnsi="Arial"/>
                <w:sz w:val="13"/>
                <w:szCs w:val="13"/>
                <w:b w:val="1"/>
                <w:bCs w:val="1"/>
                <w:color w:val="010035"/>
              </w:rPr>
              <w:t>Fiscal 2026 Compensation Peer Group – Digital</w:t>
            </w:r>
          </w:p>
        </w:tc>
        <w:tc>
          <w:tcPr>
            <w:tcW w:w="500" w:type="dxa"/>
            <w:vAlign w:val="bottom"/>
          </w:tcPr>
          <w:p>
            <w:pPr>
              <w:spacing w:after="0"/>
              <w:rPr>
                <w:sz w:val="12"/>
                <w:szCs w:val="12"/>
                <w:color w:val="auto"/>
              </w:rPr>
            </w:pPr>
          </w:p>
        </w:tc>
        <w:tc>
          <w:tcPr>
            <w:tcW w:w="3220" w:type="dxa"/>
            <w:vAlign w:val="bottom"/>
          </w:tcPr>
          <w:p>
            <w:pPr>
              <w:ind w:left="240"/>
              <w:spacing w:after="0"/>
              <w:rPr>
                <w:sz w:val="20"/>
                <w:szCs w:val="20"/>
                <w:color w:val="auto"/>
              </w:rPr>
            </w:pPr>
            <w:r>
              <w:rPr>
                <w:rFonts w:ascii="Arial" w:cs="Arial" w:eastAsia="Arial" w:hAnsi="Arial"/>
                <w:sz w:val="13"/>
                <w:szCs w:val="13"/>
                <w:b w:val="1"/>
                <w:bCs w:val="1"/>
                <w:color w:val="010035"/>
                <w:w w:val="96"/>
              </w:rPr>
              <w:t>Fiscal 2026 Compensation Peer Group – Casinos,</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3280" w:type="dxa"/>
            <w:vAlign w:val="bottom"/>
          </w:tcPr>
          <w:p>
            <w:pPr>
              <w:ind w:left="240"/>
              <w:spacing w:after="0" w:line="135" w:lineRule="exact"/>
              <w:rPr>
                <w:sz w:val="20"/>
                <w:szCs w:val="20"/>
                <w:color w:val="auto"/>
              </w:rPr>
            </w:pPr>
            <w:r>
              <w:rPr>
                <w:rFonts w:ascii="Arial" w:cs="Arial" w:eastAsia="Arial" w:hAnsi="Arial"/>
                <w:sz w:val="13"/>
                <w:szCs w:val="13"/>
                <w:b w:val="1"/>
                <w:bCs w:val="1"/>
                <w:color w:val="010035"/>
              </w:rPr>
              <w:t>and Entertainment Companies Removed</w:t>
            </w:r>
          </w:p>
        </w:tc>
        <w:tc>
          <w:tcPr>
            <w:tcW w:w="500" w:type="dxa"/>
            <w:vAlign w:val="bottom"/>
          </w:tcPr>
          <w:p>
            <w:pPr>
              <w:spacing w:after="0"/>
              <w:rPr>
                <w:sz w:val="11"/>
                <w:szCs w:val="11"/>
                <w:color w:val="auto"/>
              </w:rPr>
            </w:pPr>
          </w:p>
        </w:tc>
        <w:tc>
          <w:tcPr>
            <w:tcW w:w="3220" w:type="dxa"/>
            <w:vAlign w:val="bottom"/>
          </w:tcPr>
          <w:p>
            <w:pPr>
              <w:ind w:left="240"/>
              <w:spacing w:after="0" w:line="135" w:lineRule="exact"/>
              <w:rPr>
                <w:sz w:val="20"/>
                <w:szCs w:val="20"/>
                <w:color w:val="auto"/>
              </w:rPr>
            </w:pPr>
            <w:r>
              <w:rPr>
                <w:rFonts w:ascii="Arial" w:cs="Arial" w:eastAsia="Arial" w:hAnsi="Arial"/>
                <w:sz w:val="13"/>
                <w:szCs w:val="13"/>
                <w:b w:val="1"/>
                <w:bCs w:val="1"/>
                <w:color w:val="010035"/>
              </w:rPr>
              <w:t>Gaming and/or Hospitality Companies Added</w:t>
            </w:r>
          </w:p>
        </w:tc>
        <w:tc>
          <w:tcPr>
            <w:tcW w:w="0" w:type="dxa"/>
            <w:vAlign w:val="bottom"/>
          </w:tcPr>
          <w:p>
            <w:pPr>
              <w:spacing w:after="0"/>
              <w:rPr>
                <w:sz w:val="1"/>
                <w:szCs w:val="1"/>
                <w:color w:val="auto"/>
              </w:rPr>
            </w:pPr>
          </w:p>
        </w:tc>
      </w:tr>
      <w:tr>
        <w:trPr>
          <w:trHeight w:val="135"/>
        </w:trPr>
        <w:tc>
          <w:tcPr>
            <w:tcW w:w="300" w:type="dxa"/>
            <w:vAlign w:val="bottom"/>
            <w:vMerge w:val="restart"/>
          </w:tcPr>
          <w:p>
            <w:pPr>
              <w:spacing w:after="0"/>
              <w:rPr>
                <w:sz w:val="20"/>
                <w:szCs w:val="20"/>
                <w:color w:val="auto"/>
              </w:rPr>
            </w:pPr>
            <w:r>
              <w:rPr>
                <w:rFonts w:ascii="Arial" w:cs="Arial" w:eastAsia="Arial" w:hAnsi="Arial"/>
                <w:sz w:val="13"/>
                <w:szCs w:val="13"/>
                <w:color w:val="010035"/>
              </w:rPr>
              <w:t> </w:t>
            </w:r>
          </w:p>
        </w:tc>
        <w:tc>
          <w:tcPr>
            <w:tcW w:w="3280" w:type="dxa"/>
            <w:vAlign w:val="bottom"/>
          </w:tcPr>
          <w:p>
            <w:pPr>
              <w:ind w:left="240"/>
              <w:spacing w:after="0" w:line="135" w:lineRule="exact"/>
              <w:rPr>
                <w:sz w:val="20"/>
                <w:szCs w:val="20"/>
                <w:color w:val="auto"/>
              </w:rPr>
            </w:pPr>
            <w:r>
              <w:rPr>
                <w:rFonts w:ascii="Arial" w:cs="Arial" w:eastAsia="Arial" w:hAnsi="Arial"/>
                <w:sz w:val="13"/>
                <w:szCs w:val="13"/>
                <w:color w:val="010035"/>
              </w:rPr>
              <w:t>   •  Electronic Arts, Inc.</w:t>
            </w:r>
          </w:p>
        </w:tc>
        <w:tc>
          <w:tcPr>
            <w:tcW w:w="500" w:type="dxa"/>
            <w:vAlign w:val="bottom"/>
            <w:vMerge w:val="restart"/>
          </w:tcPr>
          <w:p>
            <w:pPr>
              <w:ind w:left="200"/>
              <w:spacing w:after="0"/>
              <w:rPr>
                <w:sz w:val="20"/>
                <w:szCs w:val="20"/>
                <w:color w:val="auto"/>
              </w:rPr>
            </w:pPr>
            <w:r>
              <w:rPr>
                <w:rFonts w:ascii="Arial" w:cs="Arial" w:eastAsia="Arial" w:hAnsi="Arial"/>
                <w:sz w:val="13"/>
                <w:szCs w:val="13"/>
                <w:color w:val="010035"/>
              </w:rPr>
              <w:t> </w:t>
            </w:r>
          </w:p>
        </w:tc>
        <w:tc>
          <w:tcPr>
            <w:tcW w:w="3220" w:type="dxa"/>
            <w:vAlign w:val="bottom"/>
          </w:tcPr>
          <w:p>
            <w:pPr>
              <w:ind w:left="240"/>
              <w:spacing w:after="0" w:line="135" w:lineRule="exact"/>
              <w:rPr>
                <w:sz w:val="20"/>
                <w:szCs w:val="20"/>
                <w:color w:val="auto"/>
              </w:rPr>
            </w:pPr>
            <w:r>
              <w:rPr>
                <w:rFonts w:ascii="Arial" w:cs="Arial" w:eastAsia="Arial" w:hAnsi="Arial"/>
                <w:sz w:val="13"/>
                <w:szCs w:val="13"/>
                <w:color w:val="010035"/>
              </w:rPr>
              <w:t>   •  Churchill Downs, Inc.</w:t>
            </w:r>
          </w:p>
        </w:tc>
        <w:tc>
          <w:tcPr>
            <w:tcW w:w="0" w:type="dxa"/>
            <w:vAlign w:val="bottom"/>
          </w:tcPr>
          <w:p>
            <w:pPr>
              <w:spacing w:after="0"/>
              <w:rPr>
                <w:sz w:val="1"/>
                <w:szCs w:val="1"/>
                <w:color w:val="auto"/>
              </w:rPr>
            </w:pPr>
          </w:p>
        </w:tc>
      </w:tr>
      <w:tr>
        <w:trPr>
          <w:trHeight w:val="85"/>
        </w:trPr>
        <w:tc>
          <w:tcPr>
            <w:tcW w:w="300" w:type="dxa"/>
            <w:vAlign w:val="bottom"/>
            <w:vMerge w:val="continue"/>
          </w:tcPr>
          <w:p>
            <w:pPr>
              <w:spacing w:after="0"/>
              <w:rPr>
                <w:sz w:val="7"/>
                <w:szCs w:val="7"/>
                <w:color w:val="auto"/>
              </w:rPr>
            </w:pPr>
          </w:p>
        </w:tc>
        <w:tc>
          <w:tcPr>
            <w:tcW w:w="3280" w:type="dxa"/>
            <w:vAlign w:val="bottom"/>
            <w:vMerge w:val="restart"/>
          </w:tcPr>
          <w:p>
            <w:pPr>
              <w:ind w:left="240"/>
              <w:spacing w:after="0" w:line="135" w:lineRule="exact"/>
              <w:rPr>
                <w:sz w:val="20"/>
                <w:szCs w:val="20"/>
                <w:color w:val="auto"/>
              </w:rPr>
            </w:pPr>
            <w:r>
              <w:rPr>
                <w:rFonts w:ascii="Arial" w:cs="Arial" w:eastAsia="Arial" w:hAnsi="Arial"/>
                <w:sz w:val="13"/>
                <w:szCs w:val="13"/>
                <w:color w:val="010035"/>
              </w:rPr>
              <w:t>   •  Lions Gate Entertainment Corporation</w:t>
            </w:r>
          </w:p>
        </w:tc>
        <w:tc>
          <w:tcPr>
            <w:tcW w:w="500" w:type="dxa"/>
            <w:vAlign w:val="bottom"/>
            <w:vMerge w:val="continue"/>
          </w:tcPr>
          <w:p>
            <w:pPr>
              <w:spacing w:after="0"/>
              <w:rPr>
                <w:sz w:val="7"/>
                <w:szCs w:val="7"/>
                <w:color w:val="auto"/>
              </w:rPr>
            </w:pPr>
          </w:p>
        </w:tc>
        <w:tc>
          <w:tcPr>
            <w:tcW w:w="3220" w:type="dxa"/>
            <w:vAlign w:val="bottom"/>
            <w:vMerge w:val="restart"/>
          </w:tcPr>
          <w:p>
            <w:pPr>
              <w:ind w:left="240"/>
              <w:spacing w:after="0" w:line="135" w:lineRule="exact"/>
              <w:rPr>
                <w:sz w:val="20"/>
                <w:szCs w:val="20"/>
                <w:color w:val="auto"/>
              </w:rPr>
            </w:pPr>
            <w:r>
              <w:rPr>
                <w:rFonts w:ascii="Arial" w:cs="Arial" w:eastAsia="Arial" w:hAnsi="Arial"/>
                <w:sz w:val="13"/>
                <w:szCs w:val="13"/>
                <w:color w:val="010035"/>
              </w:rPr>
              <w:t>   •  Hilton Worldwide Holdings, Inc.</w:t>
            </w:r>
          </w:p>
        </w:tc>
        <w:tc>
          <w:tcPr>
            <w:tcW w:w="0" w:type="dxa"/>
            <w:vAlign w:val="bottom"/>
          </w:tcPr>
          <w:p>
            <w:pPr>
              <w:spacing w:after="0"/>
              <w:rPr>
                <w:sz w:val="1"/>
                <w:szCs w:val="1"/>
                <w:color w:val="auto"/>
              </w:rPr>
            </w:pPr>
          </w:p>
        </w:tc>
      </w:tr>
      <w:tr>
        <w:trPr>
          <w:trHeight w:val="50"/>
        </w:trPr>
        <w:tc>
          <w:tcPr>
            <w:tcW w:w="300" w:type="dxa"/>
            <w:vAlign w:val="bottom"/>
          </w:tcPr>
          <w:p>
            <w:pPr>
              <w:spacing w:after="0"/>
              <w:rPr>
                <w:sz w:val="4"/>
                <w:szCs w:val="4"/>
                <w:color w:val="auto"/>
              </w:rPr>
            </w:pPr>
          </w:p>
        </w:tc>
        <w:tc>
          <w:tcPr>
            <w:tcW w:w="32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3280" w:type="dxa"/>
            <w:vAlign w:val="bottom"/>
          </w:tcPr>
          <w:p>
            <w:pPr>
              <w:ind w:left="240"/>
              <w:spacing w:after="0" w:line="135" w:lineRule="exact"/>
              <w:rPr>
                <w:sz w:val="20"/>
                <w:szCs w:val="20"/>
                <w:color w:val="auto"/>
              </w:rPr>
            </w:pPr>
            <w:r>
              <w:rPr>
                <w:rFonts w:ascii="Arial" w:cs="Arial" w:eastAsia="Arial" w:hAnsi="Arial"/>
                <w:sz w:val="13"/>
                <w:szCs w:val="13"/>
                <w:color w:val="010035"/>
              </w:rPr>
              <w:t>   •  Live Nation Entertainment, Inc.</w:t>
            </w:r>
          </w:p>
        </w:tc>
        <w:tc>
          <w:tcPr>
            <w:tcW w:w="500" w:type="dxa"/>
            <w:vAlign w:val="bottom"/>
          </w:tcPr>
          <w:p>
            <w:pPr>
              <w:spacing w:after="0"/>
              <w:rPr>
                <w:sz w:val="11"/>
                <w:szCs w:val="11"/>
                <w:color w:val="auto"/>
              </w:rPr>
            </w:pPr>
          </w:p>
        </w:tc>
        <w:tc>
          <w:tcPr>
            <w:tcW w:w="3220" w:type="dxa"/>
            <w:vAlign w:val="bottom"/>
          </w:tcPr>
          <w:p>
            <w:pPr>
              <w:ind w:left="240"/>
              <w:spacing w:after="0" w:line="135" w:lineRule="exact"/>
              <w:rPr>
                <w:sz w:val="20"/>
                <w:szCs w:val="20"/>
                <w:color w:val="auto"/>
              </w:rPr>
            </w:pPr>
            <w:r>
              <w:rPr>
                <w:rFonts w:ascii="Arial" w:cs="Arial" w:eastAsia="Arial" w:hAnsi="Arial"/>
                <w:sz w:val="13"/>
                <w:szCs w:val="13"/>
                <w:color w:val="010035"/>
              </w:rPr>
              <w:t>   •  Hyatt Hotels Corporation</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3280" w:type="dxa"/>
            <w:vAlign w:val="bottom"/>
          </w:tcPr>
          <w:p>
            <w:pPr>
              <w:ind w:left="240"/>
              <w:spacing w:after="0" w:line="135" w:lineRule="exact"/>
              <w:rPr>
                <w:sz w:val="20"/>
                <w:szCs w:val="20"/>
                <w:color w:val="auto"/>
              </w:rPr>
            </w:pPr>
            <w:r>
              <w:rPr>
                <w:rFonts w:ascii="Arial" w:cs="Arial" w:eastAsia="Arial" w:hAnsi="Arial"/>
                <w:sz w:val="13"/>
                <w:szCs w:val="13"/>
                <w:color w:val="010035"/>
              </w:rPr>
              <w:t>   •  Roku, Inc.</w:t>
            </w:r>
          </w:p>
        </w:tc>
        <w:tc>
          <w:tcPr>
            <w:tcW w:w="500" w:type="dxa"/>
            <w:vAlign w:val="bottom"/>
          </w:tcPr>
          <w:p>
            <w:pPr>
              <w:spacing w:after="0"/>
              <w:rPr>
                <w:sz w:val="11"/>
                <w:szCs w:val="11"/>
                <w:color w:val="auto"/>
              </w:rPr>
            </w:pPr>
          </w:p>
        </w:tc>
        <w:tc>
          <w:tcPr>
            <w:tcW w:w="3220" w:type="dxa"/>
            <w:vAlign w:val="bottom"/>
          </w:tcPr>
          <w:p>
            <w:pPr>
              <w:ind w:left="240"/>
              <w:spacing w:after="0" w:line="135" w:lineRule="exact"/>
              <w:rPr>
                <w:sz w:val="20"/>
                <w:szCs w:val="20"/>
                <w:color w:val="auto"/>
              </w:rPr>
            </w:pPr>
            <w:r>
              <w:rPr>
                <w:rFonts w:ascii="Arial" w:cs="Arial" w:eastAsia="Arial" w:hAnsi="Arial"/>
                <w:sz w:val="13"/>
                <w:szCs w:val="13"/>
                <w:color w:val="010035"/>
              </w:rPr>
              <w:t>   •  Light &amp; Wonder, Inc.</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3280" w:type="dxa"/>
            <w:vAlign w:val="bottom"/>
          </w:tcPr>
          <w:p>
            <w:pPr>
              <w:ind w:left="240"/>
              <w:spacing w:after="0" w:line="135" w:lineRule="exact"/>
              <w:rPr>
                <w:sz w:val="20"/>
                <w:szCs w:val="20"/>
                <w:color w:val="auto"/>
              </w:rPr>
            </w:pPr>
            <w:r>
              <w:rPr>
                <w:rFonts w:ascii="Arial" w:cs="Arial" w:eastAsia="Arial" w:hAnsi="Arial"/>
                <w:sz w:val="13"/>
                <w:szCs w:val="13"/>
                <w:color w:val="010035"/>
              </w:rPr>
              <w:t>   •  Sirius XM Holdings, Inc.</w:t>
            </w:r>
          </w:p>
        </w:tc>
        <w:tc>
          <w:tcPr>
            <w:tcW w:w="500" w:type="dxa"/>
            <w:vAlign w:val="bottom"/>
          </w:tcPr>
          <w:p>
            <w:pPr>
              <w:spacing w:after="0"/>
              <w:rPr>
                <w:sz w:val="11"/>
                <w:szCs w:val="11"/>
                <w:color w:val="auto"/>
              </w:rPr>
            </w:pPr>
          </w:p>
        </w:tc>
        <w:tc>
          <w:tcPr>
            <w:tcW w:w="3220" w:type="dxa"/>
            <w:vAlign w:val="bottom"/>
          </w:tcPr>
          <w:p>
            <w:pPr>
              <w:ind w:left="240"/>
              <w:spacing w:after="0" w:line="135" w:lineRule="exact"/>
              <w:rPr>
                <w:sz w:val="20"/>
                <w:szCs w:val="20"/>
                <w:color w:val="auto"/>
              </w:rPr>
            </w:pPr>
            <w:r>
              <w:rPr>
                <w:rFonts w:ascii="Arial" w:cs="Arial" w:eastAsia="Arial" w:hAnsi="Arial"/>
                <w:sz w:val="13"/>
                <w:szCs w:val="13"/>
                <w:color w:val="010035"/>
              </w:rPr>
              <w:t>   •  Norwegian Cruise Line Holdings Ltd.</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tcPr>
          <w:p>
            <w:pPr>
              <w:ind w:left="240"/>
              <w:spacing w:after="0"/>
              <w:rPr>
                <w:sz w:val="20"/>
                <w:szCs w:val="20"/>
                <w:color w:val="auto"/>
              </w:rPr>
            </w:pPr>
            <w:r>
              <w:rPr>
                <w:rFonts w:ascii="Arial" w:cs="Arial" w:eastAsia="Arial" w:hAnsi="Arial"/>
                <w:sz w:val="13"/>
                <w:szCs w:val="13"/>
                <w:color w:val="010035"/>
              </w:rPr>
              <w:t>   •  Royal Caribbean Cruises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240030</wp:posOffset>
            </wp:positionV>
            <wp:extent cx="491172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91172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-693420</wp:posOffset>
            </wp:positionV>
            <wp:extent cx="205740" cy="2057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clrChange>
                        <a:clrFrom>
                          <a:srgbClr val="000000"/>
                        </a:clrFrom>
                        <a:clrTo>
                          <a:srgbClr val="000000">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-693420</wp:posOffset>
            </wp:positionV>
            <wp:extent cx="205740" cy="2057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clrChange>
                        <a:clrFrom>
                          <a:srgbClr val="FFFFFF"/>
                        </a:clrFrom>
                        <a:clrTo>
                          <a:srgbClr val="FFFFFF">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-693420</wp:posOffset>
            </wp:positionV>
            <wp:extent cx="205740" cy="2057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clrChange>
                        <a:clrFrom>
                          <a:srgbClr val="000000"/>
                        </a:clrFrom>
                        <a:clrTo>
                          <a:srgbClr val="000000">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-693420</wp:posOffset>
            </wp:positionV>
            <wp:extent cx="205740" cy="2057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clrChange>
                        <a:clrFrom>
                          <a:srgbClr val="FFFFFF"/>
                        </a:clrFrom>
                        <a:clrTo>
                          <a:srgbClr val="FFFFFF">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280"/>
            <w:col w:w="7540"/>
          </w:cols>
          <w:pgMar w:left="1240" w:top="114" w:right="1259" w:bottom="1440" w:gutter="0" w:footer="0" w:header="0"/>
          <w:type w:val="continuous"/>
        </w:sectPr>
      </w:pPr>
    </w:p>
    <w:p>
      <w:pPr>
        <w:spacing w:after="0" w:line="363" w:lineRule="exact"/>
        <w:rPr>
          <w:sz w:val="20"/>
          <w:szCs w:val="20"/>
          <w:color w:val="auto"/>
        </w:rPr>
      </w:pPr>
    </w:p>
    <w:p>
      <w:pPr>
        <w:ind w:left="1860"/>
        <w:spacing w:after="0"/>
        <w:rPr>
          <w:sz w:val="20"/>
          <w:szCs w:val="20"/>
          <w:color w:val="auto"/>
        </w:rPr>
      </w:pPr>
      <w:r>
        <w:rPr>
          <w:rFonts w:ascii="Arial" w:cs="Arial" w:eastAsia="Arial" w:hAnsi="Arial"/>
          <w:sz w:val="12"/>
          <w:szCs w:val="12"/>
          <w:color w:val="010035"/>
        </w:rPr>
        <w:t xml:space="preserve">Additional details on compensation peer group changes can be found on page </w:t>
      </w:r>
      <w:r>
        <w:rPr>
          <w:rFonts w:ascii="Arial" w:cs="Arial" w:eastAsia="Arial" w:hAnsi="Arial"/>
          <w:sz w:val="12"/>
          <w:szCs w:val="12"/>
          <w:u w:val="single" w:color="auto"/>
          <w:color w:val="0000EE"/>
        </w:rPr>
        <w:t>63</w:t>
      </w:r>
      <w:r>
        <w:rPr>
          <w:rFonts w:ascii="Arial" w:cs="Arial" w:eastAsia="Arial" w:hAnsi="Arial"/>
          <w:sz w:val="12"/>
          <w:szCs w:val="12"/>
          <w:color w:val="010035"/>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596646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172085</wp:posOffset>
            </wp:positionV>
            <wp:extent cx="699516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69439A"/>
        </w:rPr>
        <w:t>Evolution of the 2026 Compensation Structure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5966460" cy="113157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966460" cy="11315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36195</wp:posOffset>
            </wp:positionV>
            <wp:extent cx="596646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line="316" w:lineRule="auto"/>
        <w:rPr>
          <w:sz w:val="20"/>
          <w:szCs w:val="20"/>
          <w:color w:val="auto"/>
        </w:rPr>
      </w:pPr>
      <w:r>
        <w:rPr>
          <w:rFonts w:ascii="Arial" w:cs="Arial" w:eastAsia="Arial" w:hAnsi="Arial"/>
          <w:sz w:val="18"/>
          <w:szCs w:val="18"/>
          <w:b w:val="1"/>
          <w:bCs w:val="1"/>
          <w:color w:val="010035"/>
        </w:rPr>
        <w:t>2026</w:t>
      </w:r>
      <w:r>
        <w:rPr>
          <w:rFonts w:ascii="Arial" w:cs="Arial" w:eastAsia="Arial" w:hAnsi="Arial"/>
          <w:sz w:val="12"/>
          <w:szCs w:val="12"/>
          <w:color w:val="010035"/>
        </w:rPr>
        <w:t>​</w:t>
      </w:r>
      <w:r>
        <w:rPr>
          <w:rFonts w:ascii="Arial" w:cs="Arial" w:eastAsia="Arial" w:hAnsi="Arial"/>
          <w:sz w:val="18"/>
          <w:szCs w:val="18"/>
          <w:b w:val="1"/>
          <w:bCs w:val="1"/>
          <w:color w:val="010035"/>
        </w:rPr>
        <w:t xml:space="preserve"> CEO and NEO Target Pay Opportunities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160" w:right="220"/>
        <w:spacing w:after="0" w:line="241" w:lineRule="auto"/>
        <w:rPr>
          <w:sz w:val="20"/>
          <w:szCs w:val="20"/>
          <w:color w:val="auto"/>
        </w:rPr>
      </w:pPr>
      <w:r>
        <w:rPr>
          <w:rFonts w:ascii="Arial" w:cs="Arial" w:eastAsia="Arial" w:hAnsi="Arial"/>
          <w:sz w:val="12"/>
          <w:szCs w:val="12"/>
          <w:color w:val="010035"/>
        </w:rPr>
        <w:t>In the fourth quarter of 2025, with the support and agreement of Mr. Snowden and in consultation with its independent compensation consultant, the Committee lowered the target grant value of the CEO’s 2026 equity awards by $7.87 million, equivalent to a 41% reduction in LTIP opportunity and 31% reduction in total target direct compensation compared to 2025, effectively reducing</w:t>
      </w:r>
    </w:p>
    <w:p>
      <w:pPr>
        <w:ind w:left="160"/>
        <w:spacing w:after="0" w:line="218" w:lineRule="auto"/>
        <w:rPr>
          <w:sz w:val="20"/>
          <w:szCs w:val="20"/>
          <w:color w:val="auto"/>
        </w:rPr>
      </w:pPr>
      <w:r>
        <w:rPr>
          <w:rFonts w:ascii="Arial" w:cs="Arial" w:eastAsia="Arial" w:hAnsi="Arial"/>
          <w:sz w:val="13"/>
          <w:szCs w:val="13"/>
          <w:color w:val="010035"/>
        </w:rPr>
        <w:t>Mr. Snowden’s total target pay to 2023 levels. The Committee concluded that this reduction appropriately reflects updated</w:t>
      </w:r>
    </w:p>
    <w:p>
      <w:pPr>
        <w:ind w:left="160"/>
        <w:spacing w:after="0" w:line="217" w:lineRule="auto"/>
        <w:rPr>
          <w:sz w:val="20"/>
          <w:szCs w:val="20"/>
          <w:color w:val="auto"/>
        </w:rPr>
      </w:pPr>
      <w:r>
        <w:rPr>
          <w:rFonts w:ascii="Arial" w:cs="Arial" w:eastAsia="Arial" w:hAnsi="Arial"/>
          <w:sz w:val="13"/>
          <w:szCs w:val="13"/>
          <w:color w:val="010035"/>
        </w:rPr>
        <w:t>benchmarks of our refreshed peer group, which provide a better presentation of the Company’s realigned focus areas. We believe</w:t>
      </w:r>
    </w:p>
    <w:p>
      <w:pPr>
        <w:ind w:left="160"/>
        <w:spacing w:after="0" w:line="217" w:lineRule="auto"/>
        <w:rPr>
          <w:sz w:val="20"/>
          <w:szCs w:val="20"/>
          <w:color w:val="auto"/>
        </w:rPr>
      </w:pPr>
      <w:r>
        <w:rPr>
          <w:rFonts w:ascii="Arial" w:cs="Arial" w:eastAsia="Arial" w:hAnsi="Arial"/>
          <w:sz w:val="13"/>
          <w:szCs w:val="13"/>
          <w:color w:val="010035"/>
        </w:rPr>
        <w:t>this demonstrates the Board’s thoughtful and measured approach to executive compensation as part of a multi-year effort to rebuild</w:t>
      </w:r>
    </w:p>
    <w:p>
      <w:pPr>
        <w:ind w:left="160"/>
        <w:spacing w:after="0" w:line="217" w:lineRule="auto"/>
        <w:rPr>
          <w:sz w:val="20"/>
          <w:szCs w:val="20"/>
          <w:color w:val="auto"/>
        </w:rPr>
      </w:pPr>
      <w:r>
        <w:rPr>
          <w:rFonts w:ascii="Arial" w:cs="Arial" w:eastAsia="Arial" w:hAnsi="Arial"/>
          <w:sz w:val="13"/>
          <w:szCs w:val="13"/>
          <w:color w:val="010035"/>
        </w:rPr>
        <w:t>shareholder support for the program.</w:t>
      </w:r>
    </w:p>
    <w:p>
      <w:pPr>
        <w:ind w:left="160"/>
        <w:spacing w:after="0" w:line="216" w:lineRule="auto"/>
        <w:rPr>
          <w:sz w:val="20"/>
          <w:szCs w:val="20"/>
          <w:color w:val="auto"/>
        </w:rPr>
      </w:pPr>
      <w:r>
        <w:rPr>
          <w:rFonts w:ascii="Arial" w:cs="Arial" w:eastAsia="Arial" w:hAnsi="Arial"/>
          <w:sz w:val="13"/>
          <w:szCs w:val="13"/>
          <w:color w:val="010035"/>
        </w:rPr>
        <w:t> </w:t>
      </w:r>
    </w:p>
    <w:p>
      <w:pPr>
        <w:ind w:left="160" w:right="200"/>
        <w:spacing w:after="0" w:line="226" w:lineRule="auto"/>
        <w:rPr>
          <w:sz w:val="20"/>
          <w:szCs w:val="20"/>
          <w:color w:val="auto"/>
        </w:rPr>
      </w:pPr>
      <w:r>
        <w:rPr>
          <w:rFonts w:ascii="Arial" w:cs="Arial" w:eastAsia="Arial" w:hAnsi="Arial"/>
          <w:sz w:val="13"/>
          <w:szCs w:val="13"/>
          <w:color w:val="010035"/>
        </w:rPr>
        <w:t>In addition, in light of the 2026 compensation peer group changes, which resulted in NEO target pay above the new peer group median, and the Company’s 2025 performance, the Committee affirmed that there will be no target pay increases for the other NEOs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35560</wp:posOffset>
            </wp:positionV>
            <wp:extent cx="5966460" cy="13201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966460" cy="132016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0" w:type="dxa"/>
            <w:vAlign w:val="bottom"/>
          </w:tcPr>
          <w:p>
            <w:pPr>
              <w:spacing w:after="0"/>
              <w:rPr>
                <w:sz w:val="24"/>
                <w:szCs w:val="24"/>
                <w:color w:val="auto"/>
              </w:rPr>
            </w:pPr>
          </w:p>
        </w:tc>
        <w:tc>
          <w:tcPr>
            <w:tcW w:w="1300" w:type="dxa"/>
            <w:vAlign w:val="bottom"/>
            <w:tcBorders>
              <w:top w:val="single" w:sz="8" w:color="69439A"/>
            </w:tcBorders>
            <w:vMerge w:val="restart"/>
            <w:shd w:val="clear" w:color="auto" w:fill="010035"/>
          </w:tcPr>
          <w:p>
            <w:pPr>
              <w:jc w:val="center"/>
              <w:ind w:left="44"/>
              <w:spacing w:after="0"/>
              <w:rPr>
                <w:sz w:val="20"/>
                <w:szCs w:val="20"/>
                <w:color w:val="auto"/>
              </w:rPr>
            </w:pPr>
            <w:r>
              <w:rPr>
                <w:rFonts w:ascii="Arial" w:cs="Arial" w:eastAsia="Arial" w:hAnsi="Arial"/>
                <w:sz w:val="16"/>
                <w:szCs w:val="16"/>
                <w:b w:val="1"/>
                <w:bCs w:val="1"/>
                <w:color w:val="FFFFFF"/>
                <w:w w:val="91"/>
              </w:rPr>
              <w:t>NAMED</w:t>
            </w:r>
          </w:p>
        </w:tc>
        <w:tc>
          <w:tcPr>
            <w:tcW w:w="1020" w:type="dxa"/>
            <w:vAlign w:val="bottom"/>
            <w:tcBorders>
              <w:top w:val="single" w:sz="8" w:color="69439A"/>
            </w:tcBorders>
            <w:vMerge w:val="restart"/>
            <w:shd w:val="clear" w:color="auto" w:fill="010035"/>
          </w:tcPr>
          <w:p>
            <w:pPr>
              <w:jc w:val="center"/>
              <w:ind w:left="24"/>
              <w:spacing w:after="0"/>
              <w:rPr>
                <w:sz w:val="20"/>
                <w:szCs w:val="20"/>
                <w:color w:val="auto"/>
              </w:rPr>
            </w:pPr>
            <w:r>
              <w:rPr>
                <w:rFonts w:ascii="Arial" w:cs="Arial" w:eastAsia="Arial" w:hAnsi="Arial"/>
                <w:sz w:val="16"/>
                <w:szCs w:val="16"/>
                <w:b w:val="1"/>
                <w:bCs w:val="1"/>
                <w:color w:val="FFFFFF"/>
                <w:w w:val="89"/>
              </w:rPr>
              <w:t>2026</w:t>
            </w:r>
          </w:p>
        </w:tc>
        <w:tc>
          <w:tcPr>
            <w:tcW w:w="90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9"/>
              </w:rPr>
              <w:t>2026</w:t>
            </w:r>
          </w:p>
        </w:tc>
        <w:tc>
          <w:tcPr>
            <w:tcW w:w="92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9"/>
              </w:rPr>
              <w:t>2026</w:t>
            </w:r>
          </w:p>
        </w:tc>
        <w:tc>
          <w:tcPr>
            <w:tcW w:w="126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5"/>
              </w:rPr>
              <w:t>2026 TOTAL</w:t>
            </w:r>
          </w:p>
        </w:tc>
        <w:tc>
          <w:tcPr>
            <w:tcW w:w="122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5"/>
              </w:rPr>
              <w:t>2025 TOTAL</w:t>
            </w:r>
          </w:p>
        </w:tc>
        <w:tc>
          <w:tcPr>
            <w:tcW w:w="104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6"/>
                <w:szCs w:val="16"/>
                <w:b w:val="1"/>
                <w:bCs w:val="1"/>
                <w:color w:val="FFFFFF"/>
                <w:w w:val="90"/>
              </w:rPr>
              <w:t>% Change</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1300" w:type="dxa"/>
            <w:vAlign w:val="bottom"/>
            <w:vMerge w:val="continue"/>
            <w:shd w:val="clear" w:color="auto" w:fill="010035"/>
          </w:tcPr>
          <w:p>
            <w:pPr>
              <w:spacing w:after="0"/>
              <w:rPr>
                <w:sz w:val="8"/>
                <w:szCs w:val="8"/>
                <w:color w:val="auto"/>
              </w:rPr>
            </w:pPr>
          </w:p>
        </w:tc>
        <w:tc>
          <w:tcPr>
            <w:tcW w:w="1020" w:type="dxa"/>
            <w:vAlign w:val="bottom"/>
            <w:vMerge w:val="continue"/>
            <w:shd w:val="clear" w:color="auto" w:fill="010035"/>
          </w:tcPr>
          <w:p>
            <w:pPr>
              <w:spacing w:after="0"/>
              <w:rPr>
                <w:sz w:val="8"/>
                <w:szCs w:val="8"/>
                <w:color w:val="auto"/>
              </w:rPr>
            </w:pPr>
          </w:p>
        </w:tc>
        <w:tc>
          <w:tcPr>
            <w:tcW w:w="900" w:type="dxa"/>
            <w:vAlign w:val="bottom"/>
            <w:vMerge w:val="continue"/>
            <w:shd w:val="clear" w:color="auto" w:fill="010035"/>
          </w:tcPr>
          <w:p>
            <w:pPr>
              <w:spacing w:after="0"/>
              <w:rPr>
                <w:sz w:val="8"/>
                <w:szCs w:val="8"/>
                <w:color w:val="auto"/>
              </w:rPr>
            </w:pPr>
          </w:p>
        </w:tc>
        <w:tc>
          <w:tcPr>
            <w:tcW w:w="920" w:type="dxa"/>
            <w:vAlign w:val="bottom"/>
            <w:vMerge w:val="continue"/>
            <w:shd w:val="clear" w:color="auto" w:fill="010035"/>
          </w:tcPr>
          <w:p>
            <w:pPr>
              <w:spacing w:after="0"/>
              <w:rPr>
                <w:sz w:val="8"/>
                <w:szCs w:val="8"/>
                <w:color w:val="auto"/>
              </w:rPr>
            </w:pPr>
          </w:p>
        </w:tc>
        <w:tc>
          <w:tcPr>
            <w:tcW w:w="1260" w:type="dxa"/>
            <w:vAlign w:val="bottom"/>
            <w:vMerge w:val="continue"/>
            <w:shd w:val="clear" w:color="auto" w:fill="010035"/>
          </w:tcPr>
          <w:p>
            <w:pPr>
              <w:spacing w:after="0"/>
              <w:rPr>
                <w:sz w:val="8"/>
                <w:szCs w:val="8"/>
                <w:color w:val="auto"/>
              </w:rPr>
            </w:pPr>
          </w:p>
        </w:tc>
        <w:tc>
          <w:tcPr>
            <w:tcW w:w="1220" w:type="dxa"/>
            <w:vAlign w:val="bottom"/>
            <w:vMerge w:val="continue"/>
            <w:shd w:val="clear" w:color="auto" w:fill="010035"/>
          </w:tcPr>
          <w:p>
            <w:pPr>
              <w:spacing w:after="0"/>
              <w:rPr>
                <w:sz w:val="8"/>
                <w:szCs w:val="8"/>
                <w:color w:val="auto"/>
              </w:rPr>
            </w:pPr>
          </w:p>
        </w:tc>
        <w:tc>
          <w:tcPr>
            <w:tcW w:w="1040" w:type="dxa"/>
            <w:vAlign w:val="bottom"/>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0"/>
              </w:rPr>
              <w:t>Total Target</w:t>
            </w:r>
          </w:p>
        </w:tc>
        <w:tc>
          <w:tcPr>
            <w:tcW w:w="0" w:type="dxa"/>
            <w:vAlign w:val="bottom"/>
          </w:tcPr>
          <w:p>
            <w:pPr>
              <w:spacing w:after="0"/>
              <w:rPr>
                <w:sz w:val="1"/>
                <w:szCs w:val="1"/>
                <w:color w:val="auto"/>
              </w:rPr>
            </w:pPr>
          </w:p>
        </w:tc>
      </w:tr>
      <w:tr>
        <w:trPr>
          <w:trHeight w:val="95"/>
        </w:trPr>
        <w:tc>
          <w:tcPr>
            <w:tcW w:w="80" w:type="dxa"/>
            <w:vAlign w:val="bottom"/>
            <w:vMerge w:val="restart"/>
          </w:tcPr>
          <w:p>
            <w:pPr>
              <w:spacing w:after="0"/>
              <w:rPr>
                <w:sz w:val="20"/>
                <w:szCs w:val="20"/>
                <w:color w:val="auto"/>
              </w:rPr>
            </w:pPr>
            <w:r>
              <w:rPr>
                <w:rFonts w:ascii="Arial" w:cs="Arial" w:eastAsia="Arial" w:hAnsi="Arial"/>
                <w:sz w:val="16"/>
                <w:szCs w:val="16"/>
                <w:b w:val="1"/>
                <w:bCs w:val="1"/>
                <w:color w:val="FFFFFF"/>
              </w:rPr>
              <w:t> </w:t>
            </w:r>
          </w:p>
        </w:tc>
        <w:tc>
          <w:tcPr>
            <w:tcW w:w="1300" w:type="dxa"/>
            <w:vAlign w:val="bottom"/>
            <w:vMerge w:val="restart"/>
            <w:shd w:val="clear" w:color="auto" w:fill="010035"/>
          </w:tcPr>
          <w:p>
            <w:pPr>
              <w:jc w:val="center"/>
              <w:ind w:left="44"/>
              <w:spacing w:after="0"/>
              <w:rPr>
                <w:sz w:val="20"/>
                <w:szCs w:val="20"/>
                <w:color w:val="auto"/>
              </w:rPr>
            </w:pPr>
            <w:r>
              <w:rPr>
                <w:rFonts w:ascii="Arial" w:cs="Arial" w:eastAsia="Arial" w:hAnsi="Arial"/>
                <w:sz w:val="16"/>
                <w:szCs w:val="16"/>
                <w:b w:val="1"/>
                <w:bCs w:val="1"/>
                <w:color w:val="FFFFFF"/>
                <w:w w:val="90"/>
              </w:rPr>
              <w:t>EXECUTIVE</w:t>
            </w:r>
          </w:p>
        </w:tc>
        <w:tc>
          <w:tcPr>
            <w:tcW w:w="1020" w:type="dxa"/>
            <w:vAlign w:val="bottom"/>
            <w:vMerge w:val="restart"/>
            <w:shd w:val="clear" w:color="auto" w:fill="010035"/>
          </w:tcPr>
          <w:p>
            <w:pPr>
              <w:jc w:val="center"/>
              <w:ind w:left="44"/>
              <w:spacing w:after="0"/>
              <w:rPr>
                <w:sz w:val="20"/>
                <w:szCs w:val="20"/>
                <w:color w:val="auto"/>
              </w:rPr>
            </w:pPr>
            <w:r>
              <w:rPr>
                <w:rFonts w:ascii="Arial" w:cs="Arial" w:eastAsia="Arial" w:hAnsi="Arial"/>
                <w:sz w:val="16"/>
                <w:szCs w:val="16"/>
                <w:b w:val="1"/>
                <w:bCs w:val="1"/>
                <w:color w:val="FFFFFF"/>
                <w:w w:val="94"/>
              </w:rPr>
              <w:t>BASE</w:t>
            </w:r>
          </w:p>
        </w:tc>
        <w:tc>
          <w:tcPr>
            <w:tcW w:w="900" w:type="dxa"/>
            <w:vAlign w:val="bottom"/>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8"/>
              </w:rPr>
              <w:t>TARGET</w:t>
            </w:r>
          </w:p>
        </w:tc>
        <w:tc>
          <w:tcPr>
            <w:tcW w:w="920" w:type="dxa"/>
            <w:vAlign w:val="bottom"/>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8"/>
              </w:rPr>
              <w:t>TARGET</w:t>
            </w:r>
          </w:p>
        </w:tc>
        <w:tc>
          <w:tcPr>
            <w:tcW w:w="1260" w:type="dxa"/>
            <w:vAlign w:val="bottom"/>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8"/>
              </w:rPr>
              <w:t>TARGET</w:t>
            </w: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8"/>
              </w:rPr>
              <w:t>TARGET</w:t>
            </w:r>
          </w:p>
        </w:tc>
        <w:tc>
          <w:tcPr>
            <w:tcW w:w="1040" w:type="dxa"/>
            <w:vAlign w:val="bottom"/>
            <w:vMerge w:val="continue"/>
            <w:shd w:val="clear" w:color="auto" w:fill="010035"/>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vMerge w:val="continue"/>
          </w:tcPr>
          <w:p>
            <w:pPr>
              <w:spacing w:after="0"/>
              <w:rPr>
                <w:sz w:val="8"/>
                <w:szCs w:val="8"/>
                <w:color w:val="auto"/>
              </w:rPr>
            </w:pPr>
          </w:p>
        </w:tc>
        <w:tc>
          <w:tcPr>
            <w:tcW w:w="1300" w:type="dxa"/>
            <w:vAlign w:val="bottom"/>
            <w:vMerge w:val="continue"/>
            <w:shd w:val="clear" w:color="auto" w:fill="010035"/>
          </w:tcPr>
          <w:p>
            <w:pPr>
              <w:spacing w:after="0"/>
              <w:rPr>
                <w:sz w:val="8"/>
                <w:szCs w:val="8"/>
                <w:color w:val="auto"/>
              </w:rPr>
            </w:pPr>
          </w:p>
        </w:tc>
        <w:tc>
          <w:tcPr>
            <w:tcW w:w="1020" w:type="dxa"/>
            <w:vAlign w:val="bottom"/>
            <w:vMerge w:val="continue"/>
            <w:shd w:val="clear" w:color="auto" w:fill="010035"/>
          </w:tcPr>
          <w:p>
            <w:pPr>
              <w:spacing w:after="0"/>
              <w:rPr>
                <w:sz w:val="8"/>
                <w:szCs w:val="8"/>
                <w:color w:val="auto"/>
              </w:rPr>
            </w:pPr>
          </w:p>
        </w:tc>
        <w:tc>
          <w:tcPr>
            <w:tcW w:w="900" w:type="dxa"/>
            <w:vAlign w:val="bottom"/>
            <w:vMerge w:val="continue"/>
            <w:shd w:val="clear" w:color="auto" w:fill="010035"/>
          </w:tcPr>
          <w:p>
            <w:pPr>
              <w:spacing w:after="0"/>
              <w:rPr>
                <w:sz w:val="8"/>
                <w:szCs w:val="8"/>
                <w:color w:val="auto"/>
              </w:rPr>
            </w:pPr>
          </w:p>
        </w:tc>
        <w:tc>
          <w:tcPr>
            <w:tcW w:w="920" w:type="dxa"/>
            <w:vAlign w:val="bottom"/>
            <w:vMerge w:val="continue"/>
            <w:shd w:val="clear" w:color="auto" w:fill="010035"/>
          </w:tcPr>
          <w:p>
            <w:pPr>
              <w:spacing w:after="0"/>
              <w:rPr>
                <w:sz w:val="8"/>
                <w:szCs w:val="8"/>
                <w:color w:val="auto"/>
              </w:rPr>
            </w:pPr>
          </w:p>
        </w:tc>
        <w:tc>
          <w:tcPr>
            <w:tcW w:w="1260" w:type="dxa"/>
            <w:vAlign w:val="bottom"/>
            <w:vMerge w:val="continue"/>
            <w:shd w:val="clear" w:color="auto" w:fill="010035"/>
          </w:tcPr>
          <w:p>
            <w:pPr>
              <w:spacing w:after="0"/>
              <w:rPr>
                <w:sz w:val="8"/>
                <w:szCs w:val="8"/>
                <w:color w:val="auto"/>
              </w:rPr>
            </w:pPr>
          </w:p>
        </w:tc>
        <w:tc>
          <w:tcPr>
            <w:tcW w:w="1220" w:type="dxa"/>
            <w:vAlign w:val="bottom"/>
            <w:vMerge w:val="continue"/>
            <w:shd w:val="clear" w:color="auto" w:fill="010035"/>
          </w:tcPr>
          <w:p>
            <w:pPr>
              <w:spacing w:after="0"/>
              <w:rPr>
                <w:sz w:val="8"/>
                <w:szCs w:val="8"/>
                <w:color w:val="auto"/>
              </w:rPr>
            </w:pPr>
          </w:p>
        </w:tc>
        <w:tc>
          <w:tcPr>
            <w:tcW w:w="1040" w:type="dxa"/>
            <w:vAlign w:val="bottom"/>
            <w:vMerge w:val="restart"/>
            <w:shd w:val="clear" w:color="auto" w:fill="010035"/>
          </w:tcPr>
          <w:p>
            <w:pPr>
              <w:jc w:val="center"/>
              <w:spacing w:after="0"/>
              <w:rPr>
                <w:sz w:val="20"/>
                <w:szCs w:val="20"/>
                <w:color w:val="auto"/>
              </w:rPr>
            </w:pPr>
            <w:r>
              <w:rPr>
                <w:rFonts w:ascii="Arial" w:cs="Arial" w:eastAsia="Arial" w:hAnsi="Arial"/>
                <w:sz w:val="16"/>
                <w:szCs w:val="16"/>
                <w:b w:val="1"/>
                <w:bCs w:val="1"/>
                <w:color w:val="FFFFFF"/>
                <w:w w:val="88"/>
              </w:rPr>
              <w:t>Compensation</w:t>
            </w: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1300" w:type="dxa"/>
            <w:vAlign w:val="bottom"/>
            <w:shd w:val="clear" w:color="auto" w:fill="010035"/>
          </w:tcPr>
          <w:p>
            <w:pPr>
              <w:jc w:val="center"/>
              <w:ind w:left="44"/>
              <w:spacing w:after="0" w:line="163" w:lineRule="exact"/>
              <w:rPr>
                <w:sz w:val="20"/>
                <w:szCs w:val="20"/>
                <w:color w:val="auto"/>
              </w:rPr>
            </w:pPr>
            <w:r>
              <w:rPr>
                <w:rFonts w:ascii="Arial" w:cs="Arial" w:eastAsia="Arial" w:hAnsi="Arial"/>
                <w:sz w:val="16"/>
                <w:szCs w:val="16"/>
                <w:b w:val="1"/>
                <w:bCs w:val="1"/>
                <w:color w:val="FFFFFF"/>
                <w:w w:val="88"/>
              </w:rPr>
              <w:t>OFFICER</w:t>
            </w:r>
          </w:p>
        </w:tc>
        <w:tc>
          <w:tcPr>
            <w:tcW w:w="1020" w:type="dxa"/>
            <w:vAlign w:val="bottom"/>
            <w:shd w:val="clear" w:color="auto" w:fill="010035"/>
          </w:tcPr>
          <w:p>
            <w:pPr>
              <w:jc w:val="center"/>
              <w:ind w:left="44"/>
              <w:spacing w:after="0" w:line="163" w:lineRule="exact"/>
              <w:rPr>
                <w:sz w:val="20"/>
                <w:szCs w:val="20"/>
                <w:color w:val="auto"/>
              </w:rPr>
            </w:pPr>
            <w:r>
              <w:rPr>
                <w:rFonts w:ascii="Arial" w:cs="Arial" w:eastAsia="Arial" w:hAnsi="Arial"/>
                <w:sz w:val="16"/>
                <w:szCs w:val="16"/>
                <w:b w:val="1"/>
                <w:bCs w:val="1"/>
                <w:color w:val="FFFFFF"/>
                <w:w w:val="88"/>
              </w:rPr>
              <w:t>SALARY</w:t>
            </w:r>
          </w:p>
        </w:tc>
        <w:tc>
          <w:tcPr>
            <w:tcW w:w="900" w:type="dxa"/>
            <w:vAlign w:val="bottom"/>
            <w:shd w:val="clear" w:color="auto" w:fill="010035"/>
          </w:tcPr>
          <w:p>
            <w:pPr>
              <w:jc w:val="center"/>
              <w:spacing w:after="0" w:line="163" w:lineRule="exact"/>
              <w:rPr>
                <w:sz w:val="20"/>
                <w:szCs w:val="20"/>
                <w:color w:val="auto"/>
              </w:rPr>
            </w:pPr>
            <w:r>
              <w:rPr>
                <w:rFonts w:ascii="Arial" w:cs="Arial" w:eastAsia="Arial" w:hAnsi="Arial"/>
                <w:sz w:val="16"/>
                <w:szCs w:val="16"/>
                <w:b w:val="1"/>
                <w:bCs w:val="1"/>
                <w:color w:val="FFFFFF"/>
                <w:w w:val="89"/>
              </w:rPr>
              <w:t>STIP</w:t>
            </w:r>
          </w:p>
        </w:tc>
        <w:tc>
          <w:tcPr>
            <w:tcW w:w="920" w:type="dxa"/>
            <w:vAlign w:val="bottom"/>
            <w:shd w:val="clear" w:color="auto" w:fill="010035"/>
          </w:tcPr>
          <w:p>
            <w:pPr>
              <w:jc w:val="center"/>
              <w:spacing w:after="0" w:line="163" w:lineRule="exact"/>
              <w:rPr>
                <w:sz w:val="20"/>
                <w:szCs w:val="20"/>
                <w:color w:val="auto"/>
              </w:rPr>
            </w:pPr>
            <w:r>
              <w:rPr>
                <w:rFonts w:ascii="Arial" w:cs="Arial" w:eastAsia="Arial" w:hAnsi="Arial"/>
                <w:sz w:val="16"/>
                <w:szCs w:val="16"/>
                <w:b w:val="1"/>
                <w:bCs w:val="1"/>
                <w:color w:val="FFFFFF"/>
                <w:w w:val="80"/>
              </w:rPr>
              <w:t>LTIP</w:t>
            </w:r>
          </w:p>
        </w:tc>
        <w:tc>
          <w:tcPr>
            <w:tcW w:w="2480" w:type="dxa"/>
            <w:vAlign w:val="bottom"/>
            <w:gridSpan w:val="2"/>
            <w:shd w:val="clear" w:color="auto" w:fill="010035"/>
          </w:tcPr>
          <w:p>
            <w:pPr>
              <w:ind w:left="80"/>
              <w:spacing w:after="0" w:line="163" w:lineRule="exact"/>
              <w:rPr>
                <w:sz w:val="20"/>
                <w:szCs w:val="20"/>
                <w:color w:val="auto"/>
              </w:rPr>
            </w:pPr>
            <w:r>
              <w:rPr>
                <w:rFonts w:ascii="Arial" w:cs="Arial" w:eastAsia="Arial" w:hAnsi="Arial"/>
                <w:sz w:val="16"/>
                <w:szCs w:val="16"/>
                <w:b w:val="1"/>
                <w:bCs w:val="1"/>
                <w:color w:val="FFFFFF"/>
                <w:w w:val="89"/>
              </w:rPr>
              <w:t>COMPENSATION COMPENSATION</w:t>
            </w:r>
          </w:p>
        </w:tc>
        <w:tc>
          <w:tcPr>
            <w:tcW w:w="1040" w:type="dxa"/>
            <w:vAlign w:val="bottom"/>
            <w:vMerge w:val="continue"/>
            <w:shd w:val="clear" w:color="auto" w:fill="01003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300" w:type="dxa"/>
            <w:vAlign w:val="bottom"/>
            <w:shd w:val="clear" w:color="auto" w:fill="010035"/>
          </w:tcPr>
          <w:p>
            <w:pPr>
              <w:spacing w:after="0"/>
              <w:rPr>
                <w:sz w:val="17"/>
                <w:szCs w:val="17"/>
                <w:color w:val="auto"/>
              </w:rPr>
            </w:pPr>
          </w:p>
        </w:tc>
        <w:tc>
          <w:tcPr>
            <w:tcW w:w="1020" w:type="dxa"/>
            <w:vAlign w:val="bottom"/>
            <w:shd w:val="clear" w:color="auto" w:fill="010035"/>
          </w:tcPr>
          <w:p>
            <w:pPr>
              <w:spacing w:after="0"/>
              <w:rPr>
                <w:sz w:val="17"/>
                <w:szCs w:val="17"/>
                <w:color w:val="auto"/>
              </w:rPr>
            </w:pPr>
          </w:p>
        </w:tc>
        <w:tc>
          <w:tcPr>
            <w:tcW w:w="900" w:type="dxa"/>
            <w:vAlign w:val="bottom"/>
            <w:shd w:val="clear" w:color="auto" w:fill="010035"/>
          </w:tcPr>
          <w:p>
            <w:pPr>
              <w:spacing w:after="0"/>
              <w:rPr>
                <w:sz w:val="17"/>
                <w:szCs w:val="17"/>
                <w:color w:val="auto"/>
              </w:rPr>
            </w:pPr>
          </w:p>
        </w:tc>
        <w:tc>
          <w:tcPr>
            <w:tcW w:w="920" w:type="dxa"/>
            <w:vAlign w:val="bottom"/>
            <w:shd w:val="clear" w:color="auto" w:fill="010035"/>
          </w:tcPr>
          <w:p>
            <w:pPr>
              <w:spacing w:after="0"/>
              <w:rPr>
                <w:sz w:val="17"/>
                <w:szCs w:val="17"/>
                <w:color w:val="auto"/>
              </w:rPr>
            </w:pPr>
          </w:p>
        </w:tc>
        <w:tc>
          <w:tcPr>
            <w:tcW w:w="1260" w:type="dxa"/>
            <w:vAlign w:val="bottom"/>
            <w:shd w:val="clear" w:color="auto" w:fill="010035"/>
          </w:tcPr>
          <w:p>
            <w:pPr>
              <w:spacing w:after="0"/>
              <w:rPr>
                <w:sz w:val="17"/>
                <w:szCs w:val="17"/>
                <w:color w:val="auto"/>
              </w:rPr>
            </w:pPr>
          </w:p>
        </w:tc>
        <w:tc>
          <w:tcPr>
            <w:tcW w:w="1220" w:type="dxa"/>
            <w:vAlign w:val="bottom"/>
            <w:shd w:val="clear" w:color="auto" w:fill="010035"/>
          </w:tcPr>
          <w:p>
            <w:pPr>
              <w:spacing w:after="0"/>
              <w:rPr>
                <w:sz w:val="17"/>
                <w:szCs w:val="17"/>
                <w:color w:val="auto"/>
              </w:rPr>
            </w:pPr>
          </w:p>
        </w:tc>
        <w:tc>
          <w:tcPr>
            <w:tcW w:w="1040" w:type="dxa"/>
            <w:vAlign w:val="bottom"/>
            <w:shd w:val="clear" w:color="auto" w:fill="010035"/>
          </w:tcPr>
          <w:p>
            <w:pPr>
              <w:jc w:val="center"/>
              <w:spacing w:after="0"/>
              <w:rPr>
                <w:sz w:val="20"/>
                <w:szCs w:val="20"/>
                <w:color w:val="auto"/>
              </w:rPr>
            </w:pPr>
            <w:r>
              <w:rPr>
                <w:rFonts w:ascii="Arial" w:cs="Arial" w:eastAsia="Arial" w:hAnsi="Arial"/>
                <w:sz w:val="16"/>
                <w:szCs w:val="16"/>
                <w:b w:val="1"/>
                <w:bCs w:val="1"/>
                <w:color w:val="FFFFFF"/>
                <w:w w:val="86"/>
              </w:rPr>
              <w:t>2025 to 2026</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010035"/>
              </w:rPr>
              <w:t>Jay Snowden</w:t>
            </w:r>
          </w:p>
        </w:tc>
        <w:tc>
          <w:tcPr>
            <w:tcW w:w="1020" w:type="dxa"/>
            <w:vAlign w:val="bottom"/>
          </w:tcPr>
          <w:p>
            <w:pPr>
              <w:jc w:val="center"/>
              <w:ind w:left="24"/>
              <w:spacing w:after="0"/>
              <w:rPr>
                <w:sz w:val="20"/>
                <w:szCs w:val="20"/>
                <w:color w:val="auto"/>
              </w:rPr>
            </w:pPr>
            <w:r>
              <w:rPr>
                <w:rFonts w:ascii="Arial" w:cs="Arial" w:eastAsia="Arial" w:hAnsi="Arial"/>
                <w:sz w:val="14"/>
                <w:szCs w:val="14"/>
                <w:color w:val="010035"/>
              </w:rPr>
              <w:t>$1,800,000</w:t>
            </w:r>
          </w:p>
        </w:tc>
        <w:tc>
          <w:tcPr>
            <w:tcW w:w="900" w:type="dxa"/>
            <w:vAlign w:val="bottom"/>
          </w:tcPr>
          <w:p>
            <w:pPr>
              <w:jc w:val="center"/>
              <w:spacing w:after="0"/>
              <w:rPr>
                <w:sz w:val="20"/>
                <w:szCs w:val="20"/>
                <w:color w:val="auto"/>
              </w:rPr>
            </w:pPr>
            <w:r>
              <w:rPr>
                <w:rFonts w:ascii="Arial" w:cs="Arial" w:eastAsia="Arial" w:hAnsi="Arial"/>
                <w:sz w:val="14"/>
                <w:szCs w:val="14"/>
                <w:color w:val="010035"/>
              </w:rPr>
              <w:t>$4,500,000</w:t>
            </w:r>
          </w:p>
        </w:tc>
        <w:tc>
          <w:tcPr>
            <w:tcW w:w="920" w:type="dxa"/>
            <w:vAlign w:val="bottom"/>
          </w:tcPr>
          <w:p>
            <w:pPr>
              <w:jc w:val="center"/>
              <w:spacing w:after="0"/>
              <w:rPr>
                <w:sz w:val="20"/>
                <w:szCs w:val="20"/>
                <w:color w:val="auto"/>
              </w:rPr>
            </w:pPr>
            <w:r>
              <w:rPr>
                <w:rFonts w:ascii="Arial" w:cs="Arial" w:eastAsia="Arial" w:hAnsi="Arial"/>
                <w:sz w:val="14"/>
                <w:szCs w:val="14"/>
                <w:color w:val="010035"/>
              </w:rPr>
              <w:t>$11,129,940</w:t>
            </w:r>
          </w:p>
        </w:tc>
        <w:tc>
          <w:tcPr>
            <w:tcW w:w="1260" w:type="dxa"/>
            <w:vAlign w:val="bottom"/>
          </w:tcPr>
          <w:p>
            <w:pPr>
              <w:jc w:val="center"/>
              <w:spacing w:after="0"/>
              <w:rPr>
                <w:sz w:val="20"/>
                <w:szCs w:val="20"/>
                <w:color w:val="auto"/>
              </w:rPr>
            </w:pPr>
            <w:r>
              <w:rPr>
                <w:rFonts w:ascii="Arial" w:cs="Arial" w:eastAsia="Arial" w:hAnsi="Arial"/>
                <w:sz w:val="14"/>
                <w:szCs w:val="14"/>
                <w:color w:val="010035"/>
              </w:rPr>
              <w:t>$17,429,940</w:t>
            </w:r>
          </w:p>
        </w:tc>
        <w:tc>
          <w:tcPr>
            <w:tcW w:w="1220" w:type="dxa"/>
            <w:vAlign w:val="bottom"/>
          </w:tcPr>
          <w:p>
            <w:pPr>
              <w:jc w:val="center"/>
              <w:spacing w:after="0"/>
              <w:rPr>
                <w:sz w:val="20"/>
                <w:szCs w:val="20"/>
                <w:color w:val="auto"/>
              </w:rPr>
            </w:pPr>
            <w:r>
              <w:rPr>
                <w:rFonts w:ascii="Arial" w:cs="Arial" w:eastAsia="Arial" w:hAnsi="Arial"/>
                <w:sz w:val="14"/>
                <w:szCs w:val="14"/>
                <w:color w:val="010035"/>
              </w:rPr>
              <w:t>$25,300,000</w:t>
            </w:r>
          </w:p>
        </w:tc>
        <w:tc>
          <w:tcPr>
            <w:tcW w:w="1040" w:type="dxa"/>
            <w:vAlign w:val="bottom"/>
          </w:tcPr>
          <w:p>
            <w:pPr>
              <w:jc w:val="center"/>
              <w:spacing w:after="0"/>
              <w:rPr>
                <w:sz w:val="20"/>
                <w:szCs w:val="20"/>
                <w:color w:val="auto"/>
              </w:rPr>
            </w:pPr>
            <w:r>
              <w:rPr>
                <w:rFonts w:ascii="Arial" w:cs="Arial" w:eastAsia="Arial" w:hAnsi="Arial"/>
                <w:sz w:val="14"/>
                <w:szCs w:val="14"/>
                <w:color w:val="010035"/>
              </w:rPr>
              <w:t>-31%</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1300" w:type="dxa"/>
            <w:vAlign w:val="bottom"/>
            <w:tcBorders>
              <w:bottom w:val="single" w:sz="8" w:color="DED8EC"/>
            </w:tcBorders>
            <w:shd w:val="clear" w:color="auto" w:fill="DED8EC"/>
          </w:tcPr>
          <w:p>
            <w:pPr>
              <w:ind w:left="40"/>
              <w:spacing w:after="0"/>
              <w:rPr>
                <w:sz w:val="20"/>
                <w:szCs w:val="20"/>
                <w:color w:val="auto"/>
              </w:rPr>
            </w:pPr>
            <w:r>
              <w:rPr>
                <w:rFonts w:ascii="Arial" w:cs="Arial" w:eastAsia="Arial" w:hAnsi="Arial"/>
                <w:sz w:val="14"/>
                <w:szCs w:val="14"/>
                <w:b w:val="1"/>
                <w:bCs w:val="1"/>
                <w:color w:val="010035"/>
              </w:rPr>
              <w:t>Felicia Hendrix</w:t>
            </w:r>
          </w:p>
        </w:tc>
        <w:tc>
          <w:tcPr>
            <w:tcW w:w="1020" w:type="dxa"/>
            <w:vAlign w:val="bottom"/>
            <w:tcBorders>
              <w:bottom w:val="single" w:sz="8" w:color="DED8EC"/>
            </w:tcBorders>
            <w:shd w:val="clear" w:color="auto" w:fill="DED8EC"/>
          </w:tcPr>
          <w:p>
            <w:pPr>
              <w:jc w:val="center"/>
              <w:ind w:left="24"/>
              <w:spacing w:after="0"/>
              <w:rPr>
                <w:sz w:val="20"/>
                <w:szCs w:val="20"/>
                <w:color w:val="auto"/>
              </w:rPr>
            </w:pPr>
            <w:r>
              <w:rPr>
                <w:rFonts w:ascii="Arial" w:cs="Arial" w:eastAsia="Arial" w:hAnsi="Arial"/>
                <w:sz w:val="14"/>
                <w:szCs w:val="14"/>
                <w:color w:val="010035"/>
              </w:rPr>
              <w:t>$927,000</w:t>
            </w:r>
          </w:p>
        </w:tc>
        <w:tc>
          <w:tcPr>
            <w:tcW w:w="90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$1,158,750</w:t>
            </w:r>
          </w:p>
        </w:tc>
        <w:tc>
          <w:tcPr>
            <w:tcW w:w="9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$3,708,000</w:t>
            </w:r>
          </w:p>
        </w:tc>
        <w:tc>
          <w:tcPr>
            <w:tcW w:w="126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$5,793,750</w:t>
            </w:r>
          </w:p>
        </w:tc>
        <w:tc>
          <w:tcPr>
            <w:tcW w:w="12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rPr>
              <w:t>$5,793,750</w:t>
            </w:r>
          </w:p>
        </w:tc>
        <w:tc>
          <w:tcPr>
            <w:tcW w:w="10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4"/>
                <w:szCs w:val="14"/>
                <w:color w:val="010035"/>
                <w:w w:val="98"/>
              </w:rPr>
              <w:t>0%</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010035"/>
              </w:rPr>
              <w:t>Chris Rogers</w:t>
            </w:r>
          </w:p>
        </w:tc>
        <w:tc>
          <w:tcPr>
            <w:tcW w:w="1020" w:type="dxa"/>
            <w:vAlign w:val="bottom"/>
          </w:tcPr>
          <w:p>
            <w:pPr>
              <w:jc w:val="center"/>
              <w:ind w:left="24"/>
              <w:spacing w:after="0"/>
              <w:rPr>
                <w:sz w:val="20"/>
                <w:szCs w:val="20"/>
                <w:color w:val="auto"/>
              </w:rPr>
            </w:pPr>
            <w:r>
              <w:rPr>
                <w:rFonts w:ascii="Arial" w:cs="Arial" w:eastAsia="Arial" w:hAnsi="Arial"/>
                <w:sz w:val="14"/>
                <w:szCs w:val="14"/>
                <w:color w:val="010035"/>
              </w:rPr>
              <w:t>$824,000</w:t>
            </w:r>
          </w:p>
        </w:tc>
        <w:tc>
          <w:tcPr>
            <w:tcW w:w="900" w:type="dxa"/>
            <w:vAlign w:val="bottom"/>
          </w:tcPr>
          <w:p>
            <w:pPr>
              <w:jc w:val="center"/>
              <w:spacing w:after="0"/>
              <w:rPr>
                <w:sz w:val="20"/>
                <w:szCs w:val="20"/>
                <w:color w:val="auto"/>
              </w:rPr>
            </w:pPr>
            <w:r>
              <w:rPr>
                <w:rFonts w:ascii="Arial" w:cs="Arial" w:eastAsia="Arial" w:hAnsi="Arial"/>
                <w:sz w:val="14"/>
                <w:szCs w:val="14"/>
                <w:color w:val="010035"/>
              </w:rPr>
              <w:t>$1,030,000</w:t>
            </w:r>
          </w:p>
        </w:tc>
        <w:tc>
          <w:tcPr>
            <w:tcW w:w="920" w:type="dxa"/>
            <w:vAlign w:val="bottom"/>
          </w:tcPr>
          <w:p>
            <w:pPr>
              <w:jc w:val="center"/>
              <w:spacing w:after="0"/>
              <w:rPr>
                <w:sz w:val="20"/>
                <w:szCs w:val="20"/>
                <w:color w:val="auto"/>
              </w:rPr>
            </w:pPr>
            <w:r>
              <w:rPr>
                <w:rFonts w:ascii="Arial" w:cs="Arial" w:eastAsia="Arial" w:hAnsi="Arial"/>
                <w:sz w:val="14"/>
                <w:szCs w:val="14"/>
                <w:color w:val="010035"/>
              </w:rPr>
              <w:t>$3,296,000</w:t>
            </w:r>
          </w:p>
        </w:tc>
        <w:tc>
          <w:tcPr>
            <w:tcW w:w="1260" w:type="dxa"/>
            <w:vAlign w:val="bottom"/>
          </w:tcPr>
          <w:p>
            <w:pPr>
              <w:jc w:val="center"/>
              <w:spacing w:after="0"/>
              <w:rPr>
                <w:sz w:val="20"/>
                <w:szCs w:val="20"/>
                <w:color w:val="auto"/>
              </w:rPr>
            </w:pPr>
            <w:r>
              <w:rPr>
                <w:rFonts w:ascii="Arial" w:cs="Arial" w:eastAsia="Arial" w:hAnsi="Arial"/>
                <w:sz w:val="14"/>
                <w:szCs w:val="14"/>
                <w:color w:val="010035"/>
              </w:rPr>
              <w:t>$5,150,000</w:t>
            </w:r>
          </w:p>
        </w:tc>
        <w:tc>
          <w:tcPr>
            <w:tcW w:w="1220" w:type="dxa"/>
            <w:vAlign w:val="bottom"/>
          </w:tcPr>
          <w:p>
            <w:pPr>
              <w:jc w:val="center"/>
              <w:spacing w:after="0"/>
              <w:rPr>
                <w:sz w:val="20"/>
                <w:szCs w:val="20"/>
                <w:color w:val="auto"/>
              </w:rPr>
            </w:pPr>
            <w:r>
              <w:rPr>
                <w:rFonts w:ascii="Arial" w:cs="Arial" w:eastAsia="Arial" w:hAnsi="Arial"/>
                <w:sz w:val="14"/>
                <w:szCs w:val="14"/>
                <w:color w:val="010035"/>
              </w:rPr>
              <w:t>$5,150,000</w:t>
            </w:r>
          </w:p>
        </w:tc>
        <w:tc>
          <w:tcPr>
            <w:tcW w:w="1040" w:type="dxa"/>
            <w:vAlign w:val="bottom"/>
          </w:tcPr>
          <w:p>
            <w:pPr>
              <w:jc w:val="center"/>
              <w:spacing w:after="0"/>
              <w:rPr>
                <w:sz w:val="20"/>
                <w:szCs w:val="20"/>
                <w:color w:val="auto"/>
              </w:rPr>
            </w:pPr>
            <w:r>
              <w:rPr>
                <w:rFonts w:ascii="Arial" w:cs="Arial" w:eastAsia="Arial" w:hAnsi="Arial"/>
                <w:sz w:val="14"/>
                <w:szCs w:val="14"/>
                <w:color w:val="010035"/>
                <w:w w:val="98"/>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155575</wp:posOffset>
            </wp:positionV>
            <wp:extent cx="5966460" cy="290576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966460" cy="2905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60"/>
            <w:col w:w="7740"/>
          </w:cols>
          <w:pgMar w:left="1240" w:top="114" w:right="1259" w:bottom="1440" w:gutter="0" w:footer="0" w:header="0"/>
          <w:type w:val="continuous"/>
        </w:sectPr>
      </w:pPr>
    </w:p>
    <w:p>
      <w:pPr>
        <w:spacing w:after="0" w:line="246"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010035"/>
        </w:rPr>
        <w:t>Annual</w:t>
      </w:r>
    </w:p>
    <w:p>
      <w:pPr>
        <w:ind w:left="260"/>
        <w:spacing w:after="0" w:line="192" w:lineRule="auto"/>
        <w:tabs>
          <w:tab w:leader="none" w:pos="1680" w:val="left"/>
        </w:tabs>
        <w:rPr>
          <w:sz w:val="20"/>
          <w:szCs w:val="20"/>
          <w:color w:val="auto"/>
        </w:rPr>
      </w:pPr>
      <w:r>
        <w:rPr>
          <w:rFonts w:ascii="Arial" w:cs="Arial" w:eastAsia="Arial" w:hAnsi="Arial"/>
          <w:sz w:val="20"/>
          <w:szCs w:val="20"/>
          <w:b w:val="1"/>
          <w:bCs w:val="1"/>
          <w:color w:val="010035"/>
        </w:rPr>
        <w:t>Incentive</w:t>
      </w:r>
      <w:r>
        <w:rPr>
          <w:sz w:val="20"/>
          <w:szCs w:val="20"/>
          <w:color w:val="auto"/>
        </w:rPr>
        <w:tab/>
      </w:r>
      <w:r>
        <w:rPr>
          <w:rFonts w:ascii="Arial" w:cs="Arial" w:eastAsia="Arial" w:hAnsi="Arial"/>
          <w:sz w:val="12"/>
          <w:szCs w:val="12"/>
          <w:b w:val="1"/>
          <w:bCs w:val="1"/>
          <w:color w:val="010035"/>
        </w:rPr>
        <w:t>Adjusted EBITDAR (100%)</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010035"/>
        </w:rPr>
        <w:t>Plan Metrics</w:t>
      </w:r>
    </w:p>
    <w:p>
      <w:pPr>
        <w:sectPr>
          <w:pgSz w:w="11900" w:h="16838" w:orient="portrait"/>
          <w:cols w:equalWidth="0" w:num="1">
            <w:col w:w="940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0"/>
        <w:spacing w:after="0" w:line="295" w:lineRule="auto"/>
        <w:rPr>
          <w:sz w:val="20"/>
          <w:szCs w:val="20"/>
          <w:color w:val="auto"/>
        </w:rPr>
      </w:pPr>
      <w:r>
        <w:rPr>
          <w:rFonts w:ascii="Arial" w:cs="Arial" w:eastAsia="Arial" w:hAnsi="Arial"/>
          <w:sz w:val="19"/>
          <w:szCs w:val="19"/>
          <w:b w:val="1"/>
          <w:bCs w:val="1"/>
          <w:color w:val="010035"/>
        </w:rPr>
        <w:t>2026-2028 Long-Term Incentive Program</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115"/>
        <w:spacing w:after="0"/>
        <w:rPr>
          <w:sz w:val="20"/>
          <w:szCs w:val="20"/>
          <w:color w:val="auto"/>
        </w:rPr>
      </w:pPr>
      <w:r>
        <w:rPr>
          <w:rFonts w:ascii="Arial" w:cs="Arial" w:eastAsia="Arial" w:hAnsi="Arial"/>
          <w:sz w:val="13"/>
          <w:szCs w:val="13"/>
          <w:b w:val="1"/>
          <w:bCs w:val="1"/>
          <w:color w:val="010035"/>
        </w:rPr>
        <w:t>PSUs (50%)</w:t>
      </w:r>
    </w:p>
    <w:p>
      <w:pPr>
        <w:ind w:left="115"/>
        <w:spacing w:after="0" w:line="216" w:lineRule="auto"/>
        <w:rPr>
          <w:sz w:val="20"/>
          <w:szCs w:val="20"/>
          <w:color w:val="auto"/>
        </w:rPr>
      </w:pPr>
      <w:r>
        <w:rPr>
          <w:rFonts w:ascii="Arial" w:cs="Arial" w:eastAsia="Arial" w:hAnsi="Arial"/>
          <w:sz w:val="13"/>
          <w:szCs w:val="13"/>
          <w:color w:val="010035"/>
        </w:rPr>
        <w:t xml:space="preserve">•  </w:t>
      </w:r>
      <w:r>
        <w:rPr>
          <w:rFonts w:ascii="Arial" w:cs="Arial" w:eastAsia="Arial" w:hAnsi="Arial"/>
          <w:sz w:val="13"/>
          <w:szCs w:val="13"/>
          <w:b w:val="1"/>
          <w:bCs w:val="1"/>
          <w:color w:val="010035"/>
        </w:rPr>
        <w:t>Financial Metrics</w:t>
      </w:r>
    </w:p>
    <w:p>
      <w:pPr>
        <w:ind w:left="235" w:hanging="127"/>
        <w:spacing w:after="0" w:line="235" w:lineRule="auto"/>
        <w:tabs>
          <w:tab w:leader="none" w:pos="235" w:val="left"/>
        </w:tabs>
        <w:numPr>
          <w:ilvl w:val="1"/>
          <w:numId w:val="58"/>
        </w:numPr>
        <w:rPr>
          <w:rFonts w:ascii="Arial" w:cs="Arial" w:eastAsia="Arial" w:hAnsi="Arial"/>
          <w:sz w:val="12"/>
          <w:szCs w:val="12"/>
          <w:color w:val="010035"/>
        </w:rPr>
      </w:pPr>
      <w:r>
        <w:rPr>
          <w:rFonts w:ascii="Arial" w:cs="Arial" w:eastAsia="Arial" w:hAnsi="Arial"/>
          <w:sz w:val="12"/>
          <w:szCs w:val="12"/>
          <w:color w:val="010035"/>
        </w:rPr>
        <w:t xml:space="preserve">•  </w:t>
      </w:r>
      <w:r>
        <w:rPr>
          <w:rFonts w:ascii="Arial" w:cs="Arial" w:eastAsia="Arial" w:hAnsi="Arial"/>
          <w:sz w:val="12"/>
          <w:szCs w:val="12"/>
          <w:b w:val="1"/>
          <w:bCs w:val="1"/>
          <w:color w:val="010035"/>
        </w:rPr>
        <w:t>NEW FOR 2026:</w:t>
      </w:r>
      <w:r>
        <w:rPr>
          <w:rFonts w:ascii="Arial" w:cs="Arial" w:eastAsia="Arial" w:hAnsi="Arial"/>
          <w:sz w:val="12"/>
          <w:szCs w:val="12"/>
          <w:color w:val="010035"/>
        </w:rPr>
        <w:t xml:space="preserve"> Cash Flow from Operations (100%)</w:t>
      </w:r>
    </w:p>
    <w:p>
      <w:pPr>
        <w:ind w:left="335" w:hanging="227"/>
        <w:spacing w:after="0" w:line="281" w:lineRule="auto"/>
        <w:tabs>
          <w:tab w:leader="none" w:pos="227" w:val="left"/>
        </w:tabs>
        <w:numPr>
          <w:ilvl w:val="1"/>
          <w:numId w:val="58"/>
        </w:numPr>
        <w:rPr>
          <w:rFonts w:ascii="Arial" w:cs="Arial" w:eastAsia="Arial" w:hAnsi="Arial"/>
          <w:sz w:val="10"/>
          <w:szCs w:val="10"/>
          <w:color w:val="010035"/>
        </w:rPr>
      </w:pPr>
      <w:r>
        <w:rPr>
          <w:rFonts w:ascii="Arial" w:cs="Arial" w:eastAsia="Arial" w:hAnsi="Arial"/>
          <w:sz w:val="10"/>
          <w:szCs w:val="10"/>
          <w:color w:val="010035"/>
        </w:rPr>
        <w:t xml:space="preserve">•  </w:t>
      </w:r>
      <w:r>
        <w:rPr>
          <w:rFonts w:ascii="Arial" w:cs="Arial" w:eastAsia="Arial" w:hAnsi="Arial"/>
          <w:sz w:val="10"/>
          <w:szCs w:val="10"/>
          <w:b w:val="1"/>
          <w:bCs w:val="1"/>
          <w:color w:val="010035"/>
        </w:rPr>
        <w:t>NEW FOR 2026:</w:t>
      </w:r>
      <w:r>
        <w:rPr>
          <w:rFonts w:ascii="Arial" w:cs="Arial" w:eastAsia="Arial" w:hAnsi="Arial"/>
          <w:sz w:val="10"/>
          <w:szCs w:val="10"/>
          <w:color w:val="010035"/>
        </w:rPr>
        <w:t xml:space="preserve"> Relative TSR modifier (±20%) measured against the Russell 3000 Casino and Gambling Index</w:t>
      </w:r>
    </w:p>
    <w:p>
      <w:pPr>
        <w:ind w:left="135" w:hanging="135"/>
        <w:spacing w:after="0" w:line="216" w:lineRule="auto"/>
        <w:tabs>
          <w:tab w:leader="none" w:pos="135" w:val="left"/>
        </w:tabs>
        <w:numPr>
          <w:ilvl w:val="0"/>
          <w:numId w:val="58"/>
        </w:numPr>
        <w:rPr>
          <w:rFonts w:ascii="Arial" w:cs="Arial" w:eastAsia="Arial" w:hAnsi="Arial"/>
          <w:sz w:val="13"/>
          <w:szCs w:val="13"/>
          <w:color w:val="010035"/>
        </w:rPr>
      </w:pPr>
      <w:r>
        <w:rPr>
          <w:rFonts w:ascii="Arial" w:cs="Arial" w:eastAsia="Arial" w:hAnsi="Arial"/>
          <w:sz w:val="13"/>
          <w:szCs w:val="13"/>
          <w:b w:val="1"/>
          <w:bCs w:val="1"/>
          <w:color w:val="010035"/>
        </w:rPr>
        <w:t>RSUs (25%)</w:t>
      </w:r>
    </w:p>
    <w:p>
      <w:pPr>
        <w:ind w:left="135" w:hanging="135"/>
        <w:spacing w:after="0"/>
        <w:tabs>
          <w:tab w:leader="none" w:pos="135" w:val="left"/>
        </w:tabs>
        <w:numPr>
          <w:ilvl w:val="0"/>
          <w:numId w:val="58"/>
        </w:numPr>
        <w:rPr>
          <w:rFonts w:ascii="Arial" w:cs="Arial" w:eastAsia="Arial" w:hAnsi="Arial"/>
          <w:sz w:val="13"/>
          <w:szCs w:val="13"/>
          <w:b w:val="1"/>
          <w:bCs w:val="1"/>
          <w:color w:val="010035"/>
        </w:rPr>
      </w:pPr>
      <w:r>
        <w:rPr>
          <w:rFonts w:ascii="Arial" w:cs="Arial" w:eastAsia="Arial" w:hAnsi="Arial"/>
          <w:sz w:val="13"/>
          <w:szCs w:val="13"/>
          <w:b w:val="1"/>
          <w:bCs w:val="1"/>
          <w:color w:val="010035"/>
        </w:rPr>
        <w:t>Stock Options (25%)</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200"/>
        <w:spacing w:after="0" w:line="238" w:lineRule="auto"/>
        <w:rPr>
          <w:sz w:val="20"/>
          <w:szCs w:val="20"/>
          <w:color w:val="auto"/>
        </w:rPr>
      </w:pPr>
      <w:r>
        <w:rPr>
          <w:rFonts w:ascii="Arial" w:cs="Arial" w:eastAsia="Arial" w:hAnsi="Arial"/>
          <w:sz w:val="12"/>
          <w:szCs w:val="12"/>
          <w:color w:val="010035"/>
        </w:rPr>
        <w:t>Following the Company’s realigned digital strategy and in response to shareholder feedback encouraging a closer alignment between performance metrics and strategic outcomes and a clearer differentiation between STIP and LTIP measures, the Committee conducted a robust review of the performance metrics. The vesting of 2026 PSUs covering the 2026-2028 performance period will be tied to the achievement of a cash flow from operations goal, with a relative TSR modifier measured against the Russell 3000 Casino and Gambling Index (±20%). This revised LTIP program also incorporates a downside safeguard, such that no upward TSR modifier will apply if absolute TSR is negative. To reflect the updated peer group benchmarks, the Committee approved the maximum LTIP payout opportunity at 200% of target before the impact of the relative TSR modifier.</w:t>
      </w:r>
    </w:p>
    <w:p>
      <w:pPr>
        <w:spacing w:after="0" w:line="200" w:lineRule="exact"/>
        <w:rPr>
          <w:sz w:val="20"/>
          <w:szCs w:val="20"/>
          <w:color w:val="auto"/>
        </w:rPr>
      </w:pPr>
    </w:p>
    <w:p>
      <w:pPr>
        <w:sectPr>
          <w:pgSz w:w="11900" w:h="16838" w:orient="portrait"/>
          <w:cols w:equalWidth="0" w:num="3">
            <w:col w:w="1260" w:space="325"/>
            <w:col w:w="3595" w:space="340"/>
            <w:col w:w="3880"/>
          </w:cols>
          <w:pgMar w:left="1240" w:top="114" w:right="1259" w:bottom="1440" w:gutter="0" w:footer="0" w:header="0"/>
          <w:type w:val="continuous"/>
        </w:sectPr>
      </w:pPr>
    </w:p>
    <w:p>
      <w:pPr>
        <w:spacing w:after="0" w:line="344" w:lineRule="exact"/>
        <w:rPr>
          <w:sz w:val="20"/>
          <w:szCs w:val="20"/>
          <w:color w:val="auto"/>
        </w:rPr>
      </w:pPr>
    </w:p>
    <w:p>
      <w:pPr>
        <w:ind w:left="260"/>
        <w:spacing w:after="0" w:line="353" w:lineRule="auto"/>
        <w:rPr>
          <w:sz w:val="20"/>
          <w:szCs w:val="20"/>
          <w:color w:val="auto"/>
        </w:rPr>
      </w:pPr>
      <w:r>
        <w:rPr>
          <w:rFonts w:ascii="Arial" w:cs="Arial" w:eastAsia="Arial" w:hAnsi="Arial"/>
          <w:sz w:val="19"/>
          <w:szCs w:val="19"/>
          <w:b w:val="1"/>
          <w:bCs w:val="1"/>
          <w:color w:val="010035"/>
        </w:rPr>
        <w:t>In-Progress PSUs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color w:val="010035"/>
        </w:rPr>
        <w:t>2024-2026 PSUs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010035"/>
        </w:rPr>
        <w:t>2025-2027 PSUs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400"/>
        <w:spacing w:after="0" w:line="198" w:lineRule="auto"/>
        <w:rPr>
          <w:sz w:val="20"/>
          <w:szCs w:val="20"/>
          <w:color w:val="auto"/>
        </w:rPr>
      </w:pPr>
      <w:r>
        <w:rPr>
          <w:rFonts w:ascii="Arial" w:cs="Arial" w:eastAsia="Arial" w:hAnsi="Arial"/>
          <w:sz w:val="13"/>
          <w:szCs w:val="13"/>
          <w:color w:val="010035"/>
        </w:rPr>
        <w:t>In connection with the digital strategy realignment in November 2025, the Committee has determined that no adjustments will be made to in-progress 2024 and 2025 PSUs, including the ESPN BET market share metric, to ensure pay outcomes align with shareholder experience and Company performance.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0100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45720</wp:posOffset>
            </wp:positionV>
            <wp:extent cx="59664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165735</wp:posOffset>
            </wp:positionV>
            <wp:extent cx="699516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3">
            <w:col w:w="1320" w:space="380"/>
            <w:col w:w="3100" w:space="720"/>
            <w:col w:w="3880"/>
          </w:cols>
          <w:pgMar w:left="1240" w:top="114" w:right="12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Other Compensation Program Elements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b w:val="1"/>
          <w:bCs w:val="1"/>
          <w:color w:val="auto"/>
        </w:rPr>
        <w:t xml:space="preserve">Deferred Compensation. </w:t>
      </w:r>
      <w:r>
        <w:rPr>
          <w:rFonts w:ascii="Arial" w:cs="Arial" w:eastAsia="Arial" w:hAnsi="Arial"/>
          <w:sz w:val="14"/>
          <w:szCs w:val="14"/>
          <w:color w:val="auto"/>
        </w:rPr>
        <w:t>The Company does not maintain any defined benefit pension programs for its executives. The Company maintains an</w:t>
      </w:r>
      <w:r>
        <w:rPr>
          <w:rFonts w:ascii="Arial" w:cs="Arial" w:eastAsia="Arial" w:hAnsi="Arial"/>
          <w:sz w:val="14"/>
          <w:szCs w:val="14"/>
          <w:b w:val="1"/>
          <w:bCs w:val="1"/>
          <w:color w:val="auto"/>
        </w:rPr>
        <w:t xml:space="preserve"> </w:t>
      </w:r>
      <w:r>
        <w:rPr>
          <w:rFonts w:ascii="Arial" w:cs="Arial" w:eastAsia="Arial" w:hAnsi="Arial"/>
          <w:sz w:val="14"/>
          <w:szCs w:val="14"/>
          <w:color w:val="auto"/>
        </w:rPr>
        <w:t>elective non-qualified deferred compensation plan (the “Deferred Compensation Plan”) for tax planning and retirement purposes for our executives. In 2025, the minimum annual deferrable amount was $3,000 and the maximum was 90% of the executive’s base annual salary and/or bonus. Deferral elections must be made before the beginning of the year in which compensation will be earned. The Company’s contributions under the plan in 2025 were equal to 50% of the participant’s deferral for the first 10% of the salary and/or bonus deferred, subject to a maximum annual Company contribution equal to 5% of the participant’s salary and/or bonus.</w:t>
      </w:r>
    </w:p>
    <w:p>
      <w:pPr>
        <w:spacing w:after="0" w:line="74"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 xml:space="preserve">All amounts credited to an executive’s account are invested, as directed by the executive, in commonly available mutual funds, and the Company does not guarantee any minimum returns. The Deferred Compensation Plan is unfunded, and benefits are paid from the Company’s general assets; however, the Company currently contributes funds into a grantor trust on a monthly basis in respect of these deferred compensation obligations. Separately, the Company generally sets aside the amounts deferred by the executives and the matching contributions thereon and, to protect against excess liabilities, invests such amounts in the mutual funds notionally selected by each executive. This program is described in more detail beginning on page </w:t>
      </w:r>
      <w:r>
        <w:rPr>
          <w:rFonts w:ascii="Arial" w:cs="Arial" w:eastAsia="Arial" w:hAnsi="Arial"/>
          <w:sz w:val="14"/>
          <w:szCs w:val="14"/>
          <w:u w:val="single" w:color="auto"/>
          <w:color w:val="0000EE"/>
        </w:rPr>
        <w:t>79</w:t>
      </w:r>
      <w:r>
        <w:rPr>
          <w:rFonts w:ascii="Arial" w:cs="Arial" w:eastAsia="Arial" w:hAnsi="Arial"/>
          <w:sz w:val="14"/>
          <w:szCs w:val="14"/>
          <w:color w:val="auto"/>
        </w:rPr>
        <w:t>.</w:t>
      </w:r>
    </w:p>
    <w:p>
      <w:pPr>
        <w:spacing w:after="0" w:line="74"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color w:val="auto"/>
        </w:rPr>
        <w:t>The Compensation Committee believes that the Deferred Compensation Plan is necessary to attract and retain our executives and is consistent with competitive and industry practices.</w:t>
      </w:r>
    </w:p>
    <w:p>
      <w:pPr>
        <w:spacing w:after="0" w:line="50"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b w:val="1"/>
          <w:bCs w:val="1"/>
          <w:color w:val="auto"/>
        </w:rPr>
        <w:t xml:space="preserve">Benefits and Perquisites. </w:t>
      </w:r>
      <w:r>
        <w:rPr>
          <w:rFonts w:ascii="Arial" w:cs="Arial" w:eastAsia="Arial" w:hAnsi="Arial"/>
          <w:sz w:val="14"/>
          <w:szCs w:val="14"/>
          <w:color w:val="auto"/>
        </w:rPr>
        <w:t>We offer a set of benefits to all our employees, including medical, dental and vision insurance, group life insurance,</w:t>
      </w:r>
      <w:r>
        <w:rPr>
          <w:rFonts w:ascii="Arial" w:cs="Arial" w:eastAsia="Arial" w:hAnsi="Arial"/>
          <w:sz w:val="14"/>
          <w:szCs w:val="14"/>
          <w:b w:val="1"/>
          <w:bCs w:val="1"/>
          <w:color w:val="auto"/>
        </w:rPr>
        <w:t xml:space="preserve"> </w:t>
      </w:r>
      <w:r>
        <w:rPr>
          <w:rFonts w:ascii="Arial" w:cs="Arial" w:eastAsia="Arial" w:hAnsi="Arial"/>
          <w:sz w:val="14"/>
          <w:szCs w:val="14"/>
          <w:color w:val="auto"/>
        </w:rPr>
        <w:t>short- and long-term disability and a 401(k) with certain contributions matched. We believe that executives should be offered benefits and perquisites that are reasonable relative to the benefits provided to all employees and that are consistent with competitive and industry practices among the Company’s compensation peer group. Consistent with these objectives, the Company also provides certain executive officers with selected supplemental benefits and perquisites, including matching contributions under the Company’s Deferred Compensation Plan and financial and tax planning services.</w:t>
      </w:r>
    </w:p>
    <w:p>
      <w:pPr>
        <w:spacing w:after="0" w:line="74"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In addition, our CEO is entitled to life insurance in the amount of three times his base salary. He is also entitled to use of Company aircraft, which is important in ensuring safe and efficient travel to our gaming facilities located across a wide geographic area without regular commercial flight alternatives, and which is generally consistent with evolving personal security landscape and our gaming peer group practices that permit their chief executive officers to use the company’s aircrafts for personal use and commuting. In determining the supplemental benefits and perquisites that our executive officers are entitled to receive, the Compensation Committee evaluates the benefits and perquisites provided by companies in the Company’s core gaming peer group. The description and value of such supplemental benefits and perquisites in 2025 can be found in the “All Other Compensation” column of the Summary Compensation Table in this proxy statement.</w:t>
      </w:r>
    </w:p>
    <w:p>
      <w:pPr>
        <w:spacing w:after="0" w:line="77"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b w:val="1"/>
          <w:bCs w:val="1"/>
          <w:color w:val="auto"/>
        </w:rPr>
        <w:t xml:space="preserve">Hedging and Pledging Policy. </w:t>
      </w:r>
      <w:r>
        <w:rPr>
          <w:rFonts w:ascii="Arial" w:cs="Arial" w:eastAsia="Arial" w:hAnsi="Arial"/>
          <w:sz w:val="14"/>
          <w:szCs w:val="14"/>
          <w:color w:val="auto"/>
        </w:rPr>
        <w:t>We maintain policies prohibiting each of the Company’s directors and employees (including executive officers) from</w:t>
      </w:r>
      <w:r>
        <w:rPr>
          <w:rFonts w:ascii="Arial" w:cs="Arial" w:eastAsia="Arial" w:hAnsi="Arial"/>
          <w:sz w:val="14"/>
          <w:szCs w:val="14"/>
          <w:b w:val="1"/>
          <w:bCs w:val="1"/>
          <w:color w:val="auto"/>
        </w:rPr>
        <w:t xml:space="preserve"> </w:t>
      </w:r>
      <w:r>
        <w:rPr>
          <w:rFonts w:ascii="Arial" w:cs="Arial" w:eastAsia="Arial" w:hAnsi="Arial"/>
          <w:sz w:val="14"/>
          <w:szCs w:val="14"/>
          <w:color w:val="auto"/>
        </w:rPr>
        <w:t>engaging in hedging transactions (such as short sales, puts and calls and other derivatives), and pledging Company shares as collateral for a loan or holding shares in a margin account.</w:t>
      </w:r>
    </w:p>
    <w:p>
      <w:pPr>
        <w:spacing w:after="0" w:line="65"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b w:val="1"/>
          <w:bCs w:val="1"/>
          <w:color w:val="auto"/>
        </w:rPr>
        <w:t xml:space="preserve">Compensation Clawback Policy. </w:t>
      </w:r>
      <w:r>
        <w:rPr>
          <w:rFonts w:ascii="Arial" w:cs="Arial" w:eastAsia="Arial" w:hAnsi="Arial"/>
          <w:sz w:val="14"/>
          <w:szCs w:val="14"/>
          <w:color w:val="auto"/>
        </w:rPr>
        <w:t>As a highly regulated, multi-jurisdictional gaming operator, the Company has maintained a long-standing</w:t>
      </w:r>
      <w:r>
        <w:rPr>
          <w:rFonts w:ascii="Arial" w:cs="Arial" w:eastAsia="Arial" w:hAnsi="Arial"/>
          <w:sz w:val="14"/>
          <w:szCs w:val="14"/>
          <w:b w:val="1"/>
          <w:bCs w:val="1"/>
          <w:color w:val="auto"/>
        </w:rPr>
        <w:t xml:space="preserve"> </w:t>
      </w:r>
      <w:r>
        <w:rPr>
          <w:rFonts w:ascii="Arial" w:cs="Arial" w:eastAsia="Arial" w:hAnsi="Arial"/>
          <w:sz w:val="14"/>
          <w:szCs w:val="14"/>
          <w:color w:val="auto"/>
        </w:rPr>
        <w:t>commitment to ensure that its executive officers adhere to the highest professional and ethical standards. The Company adopted its first Executive Incentive Compensation Recoupment Policy (“Clawback Policy”) on April 25, 2014, which was then subsequently amended on November 9, 2022, and further amended on September 19, 2023, with the latter amendment designed to meet compliance requirements of Section 10D of the Exchange Act and Nasdaq Rules. To further align the policy with the market leading practices, on March 12, 2025, the Board again amended the Clawback Policy by expanding the policy to cover time-based incentives, in addition to the performance-based incentives. The Clawback Policy is administered by the Committee and requires the Company to recover from specified current and former executive officers, certain incentive-based compensation received during the three years immediately preceding an accounting restatement. Such recovery will be made without regard to any individual knowledge or responsibility related to the accounting. Without limiting the foregoing, the Clawback Policy also permits, at the discretion of the Board, the recovery of time-based incentives in the event of an accounting restatement.</w:t>
      </w:r>
    </w:p>
    <w:p>
      <w:pPr>
        <w:spacing w:after="0" w:line="78"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b w:val="1"/>
          <w:bCs w:val="1"/>
          <w:color w:val="auto"/>
        </w:rPr>
        <w:t xml:space="preserve">Stock Ownership Guidelines for Senior Management. </w:t>
      </w:r>
      <w:r>
        <w:rPr>
          <w:rFonts w:ascii="Arial" w:cs="Arial" w:eastAsia="Arial" w:hAnsi="Arial"/>
          <w:sz w:val="14"/>
          <w:szCs w:val="14"/>
          <w:color w:val="auto"/>
        </w:rPr>
        <w:t>We believe that equity ownership fosters an atmosphere where directors and officers</w:t>
      </w:r>
      <w:r>
        <w:rPr>
          <w:rFonts w:ascii="Arial" w:cs="Arial" w:eastAsia="Arial" w:hAnsi="Arial"/>
          <w:sz w:val="14"/>
          <w:szCs w:val="14"/>
          <w:b w:val="1"/>
          <w:bCs w:val="1"/>
          <w:color w:val="auto"/>
        </w:rPr>
        <w:t xml:space="preserve"> </w:t>
      </w:r>
      <w:r>
        <w:rPr>
          <w:rFonts w:ascii="Arial" w:cs="Arial" w:eastAsia="Arial" w:hAnsi="Arial"/>
          <w:sz w:val="14"/>
          <w:szCs w:val="14"/>
          <w:color w:val="auto"/>
        </w:rPr>
        <w:t>“think like owners” and are motivated to increase the long-term value of the Company by aligning their interests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88900</wp:posOffset>
            </wp:positionV>
            <wp:extent cx="699516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Other Compensation Program Elements and Policies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those of the Company’s shareholders. To this end, the Committee has established the following stock ownership guidelines for senior management, which are required to be achieved within five years of assuming the position subject to the guideline, and which are re-evaluated periodically. The Committee most recently reviewed the Company’s stock ownership guidelines in 2025.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539"/>
        </w:trPr>
        <w:tc>
          <w:tcPr>
            <w:tcW w:w="2660" w:type="dxa"/>
            <w:vAlign w:val="bottom"/>
            <w:tcBorders>
              <w:top w:val="single" w:sz="8" w:color="69439A"/>
            </w:tcBorders>
            <w:shd w:val="clear" w:color="auto" w:fill="010035"/>
          </w:tcPr>
          <w:p>
            <w:pPr>
              <w:ind w:left="240"/>
              <w:spacing w:after="0"/>
              <w:rPr>
                <w:sz w:val="20"/>
                <w:szCs w:val="20"/>
                <w:color w:val="auto"/>
              </w:rPr>
            </w:pPr>
            <w:r>
              <w:rPr>
                <w:rFonts w:ascii="Arial" w:cs="Arial" w:eastAsia="Arial" w:hAnsi="Arial"/>
                <w:sz w:val="22"/>
                <w:szCs w:val="22"/>
                <w:b w:val="1"/>
                <w:bCs w:val="1"/>
                <w:color w:val="FFFFFF"/>
              </w:rPr>
              <w:t>POSITION</w:t>
            </w:r>
          </w:p>
        </w:tc>
        <w:tc>
          <w:tcPr>
            <w:tcW w:w="6740" w:type="dxa"/>
            <w:vAlign w:val="bottom"/>
            <w:tcBorders>
              <w:top w:val="single" w:sz="8" w:color="69439A"/>
            </w:tcBorders>
            <w:shd w:val="clear" w:color="auto" w:fill="010035"/>
          </w:tcPr>
          <w:p>
            <w:pPr>
              <w:ind w:left="120"/>
              <w:spacing w:after="0"/>
              <w:rPr>
                <w:sz w:val="20"/>
                <w:szCs w:val="20"/>
                <w:color w:val="auto"/>
              </w:rPr>
            </w:pPr>
            <w:r>
              <w:rPr>
                <w:rFonts w:ascii="Arial" w:cs="Arial" w:eastAsia="Arial" w:hAnsi="Arial"/>
                <w:sz w:val="18"/>
                <w:szCs w:val="18"/>
                <w:b w:val="1"/>
                <w:bCs w:val="1"/>
                <w:color w:val="FFFFFF"/>
              </w:rPr>
              <w:t>REQUIRED VALUE OF SHARES HELD</w:t>
            </w:r>
          </w:p>
        </w:tc>
      </w:tr>
      <w:tr>
        <w:trPr>
          <w:trHeight w:val="150"/>
        </w:trPr>
        <w:tc>
          <w:tcPr>
            <w:tcW w:w="2660" w:type="dxa"/>
            <w:vAlign w:val="bottom"/>
            <w:shd w:val="clear" w:color="auto" w:fill="010035"/>
          </w:tcPr>
          <w:p>
            <w:pPr>
              <w:spacing w:after="0"/>
              <w:rPr>
                <w:sz w:val="13"/>
                <w:szCs w:val="13"/>
                <w:color w:val="auto"/>
              </w:rPr>
            </w:pPr>
          </w:p>
        </w:tc>
        <w:tc>
          <w:tcPr>
            <w:tcW w:w="6740" w:type="dxa"/>
            <w:vAlign w:val="bottom"/>
            <w:shd w:val="clear" w:color="auto" w:fill="010035"/>
          </w:tcPr>
          <w:p>
            <w:pPr>
              <w:spacing w:after="0"/>
              <w:rPr>
                <w:sz w:val="13"/>
                <w:szCs w:val="13"/>
                <w:color w:val="auto"/>
              </w:rPr>
            </w:pPr>
          </w:p>
        </w:tc>
      </w:tr>
      <w:tr>
        <w:trPr>
          <w:trHeight w:val="390"/>
        </w:trPr>
        <w:tc>
          <w:tcPr>
            <w:tcW w:w="2660" w:type="dxa"/>
            <w:vAlign w:val="bottom"/>
            <w:shd w:val="clear" w:color="auto" w:fill="DED8EC"/>
          </w:tcPr>
          <w:p>
            <w:pPr>
              <w:ind w:left="240"/>
              <w:spacing w:after="0"/>
              <w:rPr>
                <w:sz w:val="20"/>
                <w:szCs w:val="20"/>
                <w:color w:val="auto"/>
              </w:rPr>
            </w:pPr>
            <w:r>
              <w:rPr>
                <w:rFonts w:ascii="Arial" w:cs="Arial" w:eastAsia="Arial" w:hAnsi="Arial"/>
                <w:sz w:val="18"/>
                <w:szCs w:val="18"/>
                <w:b w:val="1"/>
                <w:bCs w:val="1"/>
                <w:color w:val="010035"/>
                <w:w w:val="97"/>
              </w:rPr>
              <w:t>CHIEF EXECUTIVE OFFICER</w:t>
            </w:r>
          </w:p>
        </w:tc>
        <w:tc>
          <w:tcPr>
            <w:tcW w:w="6740" w:type="dxa"/>
            <w:vAlign w:val="bottom"/>
          </w:tcPr>
          <w:p>
            <w:pPr>
              <w:ind w:left="160"/>
              <w:spacing w:after="0"/>
              <w:rPr>
                <w:sz w:val="20"/>
                <w:szCs w:val="20"/>
                <w:color w:val="auto"/>
              </w:rPr>
            </w:pPr>
            <w:r>
              <w:rPr>
                <w:rFonts w:ascii="Arial" w:cs="Arial" w:eastAsia="Arial" w:hAnsi="Arial"/>
                <w:sz w:val="14"/>
                <w:szCs w:val="14"/>
                <w:color w:val="010035"/>
              </w:rPr>
              <w:t>Six (6) times base salary</w:t>
            </w:r>
          </w:p>
        </w:tc>
      </w:tr>
      <w:tr>
        <w:trPr>
          <w:trHeight w:val="150"/>
        </w:trPr>
        <w:tc>
          <w:tcPr>
            <w:tcW w:w="2660" w:type="dxa"/>
            <w:vAlign w:val="bottom"/>
            <w:tcBorders>
              <w:bottom w:val="single" w:sz="8" w:color="010035"/>
            </w:tcBorders>
            <w:shd w:val="clear" w:color="auto" w:fill="DED8EC"/>
          </w:tcPr>
          <w:p>
            <w:pPr>
              <w:spacing w:after="0"/>
              <w:rPr>
                <w:sz w:val="13"/>
                <w:szCs w:val="13"/>
                <w:color w:val="auto"/>
              </w:rPr>
            </w:pPr>
          </w:p>
        </w:tc>
        <w:tc>
          <w:tcPr>
            <w:tcW w:w="6740" w:type="dxa"/>
            <w:vAlign w:val="bottom"/>
            <w:tcBorders>
              <w:bottom w:val="single" w:sz="8" w:color="010035"/>
            </w:tcBorders>
          </w:tcPr>
          <w:p>
            <w:pPr>
              <w:spacing w:after="0"/>
              <w:rPr>
                <w:sz w:val="13"/>
                <w:szCs w:val="13"/>
                <w:color w:val="auto"/>
              </w:rPr>
            </w:pPr>
          </w:p>
        </w:tc>
      </w:tr>
      <w:tr>
        <w:trPr>
          <w:trHeight w:val="372"/>
        </w:trPr>
        <w:tc>
          <w:tcPr>
            <w:tcW w:w="2660" w:type="dxa"/>
            <w:vAlign w:val="bottom"/>
            <w:shd w:val="clear" w:color="auto" w:fill="DED8EC"/>
          </w:tcPr>
          <w:p>
            <w:pPr>
              <w:ind w:left="240"/>
              <w:spacing w:after="0"/>
              <w:rPr>
                <w:sz w:val="20"/>
                <w:szCs w:val="20"/>
                <w:color w:val="auto"/>
              </w:rPr>
            </w:pPr>
            <w:r>
              <w:rPr>
                <w:rFonts w:ascii="Arial" w:cs="Arial" w:eastAsia="Arial" w:hAnsi="Arial"/>
                <w:sz w:val="18"/>
                <w:szCs w:val="18"/>
                <w:b w:val="1"/>
                <w:bCs w:val="1"/>
                <w:color w:val="010035"/>
                <w:w w:val="90"/>
              </w:rPr>
              <w:t>OTHER EXECUTIVE OFFICERS</w:t>
            </w:r>
          </w:p>
        </w:tc>
        <w:tc>
          <w:tcPr>
            <w:tcW w:w="6740" w:type="dxa"/>
            <w:vAlign w:val="bottom"/>
          </w:tcPr>
          <w:p>
            <w:pPr>
              <w:ind w:left="160"/>
              <w:spacing w:after="0"/>
              <w:rPr>
                <w:sz w:val="20"/>
                <w:szCs w:val="20"/>
                <w:color w:val="auto"/>
              </w:rPr>
            </w:pPr>
            <w:r>
              <w:rPr>
                <w:rFonts w:ascii="Arial" w:cs="Arial" w:eastAsia="Arial" w:hAnsi="Arial"/>
                <w:sz w:val="14"/>
                <w:szCs w:val="14"/>
                <w:color w:val="010035"/>
              </w:rPr>
              <w:t>Three (3) times base salary</w:t>
            </w:r>
          </w:p>
        </w:tc>
      </w:tr>
      <w:tr>
        <w:trPr>
          <w:trHeight w:val="162"/>
        </w:trPr>
        <w:tc>
          <w:tcPr>
            <w:tcW w:w="2660" w:type="dxa"/>
            <w:vAlign w:val="bottom"/>
            <w:tcBorders>
              <w:bottom w:val="single" w:sz="8" w:color="080842"/>
            </w:tcBorders>
            <w:shd w:val="clear" w:color="auto" w:fill="DED8EC"/>
          </w:tcPr>
          <w:p>
            <w:pPr>
              <w:spacing w:after="0"/>
              <w:rPr>
                <w:sz w:val="14"/>
                <w:szCs w:val="14"/>
                <w:color w:val="auto"/>
              </w:rPr>
            </w:pPr>
          </w:p>
        </w:tc>
        <w:tc>
          <w:tcPr>
            <w:tcW w:w="6740" w:type="dxa"/>
            <w:vAlign w:val="bottom"/>
            <w:tcBorders>
              <w:bottom w:val="single" w:sz="8" w:color="080842"/>
            </w:tcBorders>
          </w:tcPr>
          <w:p>
            <w:pPr>
              <w:spacing w:after="0"/>
              <w:rPr>
                <w:sz w:val="14"/>
                <w:szCs w:val="14"/>
                <w:color w:val="auto"/>
              </w:rPr>
            </w:pPr>
          </w:p>
        </w:tc>
      </w:tr>
    </w:tbl>
    <w:p>
      <w:pPr>
        <w:spacing w:after="0" w:line="207"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As with the director stock ownership guidelines, the value of a NEO’s stock ownership at any time will be based on the aggregate value of common stock, restricted stock and stock-settled RSUs held by such NEO. Each NEO is required to achieve compliance with these guidelines within five years of assuming his or her current position. Once in compliance with the stock ownership guidelines associated with his or her position, each NEO will remain in compliance with these guidelines regardless of decreases in the trading price of our shares or changes to base salary until attainment of a position requiring a higher threshold, in which case the five-year compliance period starts again. All NEOs comply with these guidelines.</w:t>
      </w:r>
    </w:p>
    <w:p>
      <w:pPr>
        <w:spacing w:after="0" w:line="241" w:lineRule="exact"/>
        <w:rPr>
          <w:sz w:val="20"/>
          <w:szCs w:val="20"/>
          <w:color w:val="auto"/>
        </w:rPr>
      </w:pPr>
    </w:p>
    <w:p>
      <w:pPr>
        <w:spacing w:after="0" w:line="245" w:lineRule="auto"/>
        <w:rPr>
          <w:sz w:val="20"/>
          <w:szCs w:val="20"/>
          <w:color w:val="auto"/>
        </w:rPr>
      </w:pPr>
      <w:r>
        <w:rPr>
          <w:rFonts w:ascii="Arial" w:cs="Arial" w:eastAsia="Arial" w:hAnsi="Arial"/>
          <w:sz w:val="14"/>
          <w:szCs w:val="14"/>
          <w:b w:val="1"/>
          <w:bCs w:val="1"/>
          <w:color w:val="auto"/>
        </w:rPr>
        <w:t xml:space="preserve">Timing of Equity-Based Awards. </w:t>
      </w:r>
      <w:r>
        <w:rPr>
          <w:rFonts w:ascii="Arial" w:cs="Arial" w:eastAsia="Arial" w:hAnsi="Arial"/>
          <w:sz w:val="14"/>
          <w:szCs w:val="14"/>
          <w:color w:val="auto"/>
        </w:rPr>
        <w:t>The Company’s Equity Based Award Policy dictates that the grant date for regular annual stock option awards to</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officers will be the second trading day of the calendar year. Performance-based awards are typically made during the first quarter of each year when the Committee approves the performance goals for the year. From time to time, annual grants may be made on a later date in the year as a result of the timing of the determination of the awards and terms or other factors, such as performance metrics for a given year. In 2025, the annual performance awards with three-year metrics were approved by the Committee on April 7, 2025 for our NEOs (other than the CEO) and by the Board on April 9, 2025 for our CEO. New hire equity-based awards granted outside of the regular annual pay program are made on the first trading day of the quarter following the award approval, and ad hoc equity-based awards are generally granted on the fifth business day following the date upon which the CEO approves such awards. All equity-based grants, whether granted on the second trading day of the calendar year or later in the year, are priced in accordance with the terms of the applicable equity compensation plans or performance-based equity programs, which require, among other things, that the exercise price of all stock options be established by reference to the closing price on the trading day immediately prior to the date of grant. The Committee does not grant equity awards in anticipation of the release of material nonpublic information and the timing of filings of material nonpublic information is not based on equity award grant dates.</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2"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The Committee’s responsibilities include, among others, oversight of risks related to our compensation practices and plans to ensure such practices appropriately balance risks and rewards in relation to our overall business strategy and do not encourage excessive or unnecessary risk-taking behavior. In this regard, the Committee annually reviews the Company’s compensation and benefits programs in the context of potential risks. The executive compensation program is structured as a balanced mix between fixed and variable, annual and long-term, and cash and equity compensation.</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Base salaries are reviewed and set annually. Annual short-term incentive pay in 2025 was focused on achievement of a specific, readily quantifiable and meaningful financial goal (Adjusted EBITDAR) and was determined using absolute and objective performance criteria in reference to the Company’s annual budget and in line with public guidance. The other major component of our executive officers’ compensation is long-term incentives through a mix (which may vary from year to year and by level)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92710</wp:posOffset>
            </wp:positionV>
            <wp:extent cx="699516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Risk Assessment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6"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PSUs, RSUs and stock options, which we believe are important to help further align executives’ interests with those of our shareholders. PSUs are tied to objective financial and operational goals aligned with our long-term growth priorities. Equity incentive awards are subject to long-term vesting schedules, and the annual bonus and performance-based equity awards are subject to maximum payout limits.</w:t>
      </w:r>
    </w:p>
    <w:p>
      <w:pPr>
        <w:spacing w:after="0" w:line="65" w:lineRule="exact"/>
        <w:rPr>
          <w:sz w:val="20"/>
          <w:szCs w:val="20"/>
          <w:color w:val="auto"/>
        </w:rPr>
      </w:pPr>
    </w:p>
    <w:p>
      <w:pPr>
        <w:ind w:right="560"/>
        <w:spacing w:after="0" w:line="252" w:lineRule="auto"/>
        <w:rPr>
          <w:sz w:val="20"/>
          <w:szCs w:val="20"/>
          <w:color w:val="auto"/>
        </w:rPr>
      </w:pPr>
      <w:r>
        <w:rPr>
          <w:rFonts w:ascii="Arial" w:cs="Arial" w:eastAsia="Arial" w:hAnsi="Arial"/>
          <w:sz w:val="14"/>
          <w:szCs w:val="14"/>
          <w:color w:val="auto"/>
        </w:rPr>
        <w:t xml:space="preserve">We believe that the focus on annual short-term incentive pay is balanced by our long-term incentive awards, which incentivize long-term performance results and align interest of our executives with the Company’s ability to create sustained value in alignment with shareholder interests. These cash and equity incentive awards, especially when combined with our Clawback Policy described on page </w:t>
      </w:r>
      <w:r>
        <w:rPr>
          <w:rFonts w:ascii="Arial" w:cs="Arial" w:eastAsia="Arial" w:hAnsi="Arial"/>
          <w:sz w:val="14"/>
          <w:szCs w:val="14"/>
          <w:u w:val="single" w:color="auto"/>
          <w:color w:val="0000EE"/>
        </w:rPr>
        <w:t>73</w:t>
      </w:r>
      <w:r>
        <w:rPr>
          <w:rFonts w:ascii="Arial" w:cs="Arial" w:eastAsia="Arial" w:hAnsi="Arial"/>
          <w:sz w:val="14"/>
          <w:szCs w:val="14"/>
          <w:color w:val="auto"/>
        </w:rPr>
        <w:t xml:space="preserve"> of this Proxy Statement, appropriately balance payment for performance and alignment of executive compensation with shareholder interests, without encouraging imprudent conduct or excessive risk-taking.</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 xml:space="preserve">Additionally, we have stock ownership guidelines, as described on page </w:t>
      </w:r>
      <w:r>
        <w:rPr>
          <w:rFonts w:ascii="Arial" w:cs="Arial" w:eastAsia="Arial" w:hAnsi="Arial"/>
          <w:sz w:val="14"/>
          <w:szCs w:val="14"/>
          <w:u w:val="single" w:color="auto"/>
          <w:color w:val="0000EE"/>
        </w:rPr>
        <w:t>73</w:t>
      </w:r>
      <w:r>
        <w:rPr>
          <w:rFonts w:ascii="Arial" w:cs="Arial" w:eastAsia="Arial" w:hAnsi="Arial"/>
          <w:sz w:val="14"/>
          <w:szCs w:val="14"/>
          <w:color w:val="auto"/>
        </w:rPr>
        <w:t xml:space="preserve"> of this Proxy Statement, that require our NEOs to own a given multiple of their base salary in the form of our common stock, restricted stock or stock-settled RSUs (ranging from six times base salary for our CEO to three times base salary for other NEOs) to help ensure that the majority of executive compensation always has significant value tied to long-term stock price performance.</w:t>
      </w:r>
    </w:p>
    <w:p>
      <w:pPr>
        <w:spacing w:after="0" w:line="69" w:lineRule="exact"/>
        <w:rPr>
          <w:sz w:val="20"/>
          <w:szCs w:val="20"/>
          <w:color w:val="auto"/>
        </w:rPr>
      </w:pPr>
    </w:p>
    <w:p>
      <w:pPr>
        <w:ind w:right="240"/>
        <w:spacing w:after="0" w:line="256" w:lineRule="auto"/>
        <w:rPr>
          <w:sz w:val="20"/>
          <w:szCs w:val="20"/>
          <w:color w:val="auto"/>
        </w:rPr>
      </w:pPr>
      <w:r>
        <w:rPr>
          <w:rFonts w:ascii="Arial" w:cs="Arial" w:eastAsia="Arial" w:hAnsi="Arial"/>
          <w:sz w:val="14"/>
          <w:szCs w:val="14"/>
          <w:color w:val="auto"/>
        </w:rPr>
        <w:t>Based on the foregoing, we believe that our compensation policies and practices do not create risks that are reasonably likely to have a material adverse effect on the Company. We also believe that our incentive compensation arrangements do not encourage risk-taking beyond the Company’s ability to effectively identify and manage significant risks, are compatible with effective internal controls and are supported by the oversight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92710</wp:posOffset>
            </wp:positionV>
            <wp:extent cx="699516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420"/>
        <w:spacing w:after="0" w:line="285" w:lineRule="auto"/>
        <w:rPr>
          <w:sz w:val="20"/>
          <w:szCs w:val="20"/>
          <w:color w:val="auto"/>
        </w:rPr>
      </w:pPr>
      <w:r>
        <w:rPr>
          <w:rFonts w:ascii="Arial" w:cs="Arial" w:eastAsia="Arial" w:hAnsi="Arial"/>
          <w:sz w:val="14"/>
          <w:szCs w:val="14"/>
          <w:color w:val="auto"/>
        </w:rPr>
        <w:t>This Summary Compensation Table summarizes the total compensation paid or earned by each of our named executive officers for the years ended December 31, 2025, 2024 and 2023, respectively.</w:t>
      </w:r>
    </w:p>
    <w:tbl>
      <w:tblPr>
        <w:tblLayout w:type="fixed"/>
        <w:tblInd w:w="0" w:type="dxa"/>
        <w:tblCellMar>
          <w:top w:w="0" w:type="dxa"/>
          <w:left w:w="0" w:type="dxa"/>
          <w:bottom w:w="0" w:type="dxa"/>
          <w:right w:w="0" w:type="dxa"/>
        </w:tblCellMar>
      </w:tblPr>
      <w:tr>
        <w:trPr>
          <w:trHeight w:val="313"/>
        </w:trPr>
        <w:tc>
          <w:tcPr>
            <w:tcW w:w="40" w:type="dxa"/>
            <w:vAlign w:val="bottom"/>
            <w:tcBorders>
              <w:top w:val="single" w:sz="8" w:color="69439A"/>
            </w:tcBorders>
            <w:shd w:val="clear" w:color="auto" w:fill="010035"/>
          </w:tcPr>
          <w:p>
            <w:pPr>
              <w:spacing w:after="0"/>
              <w:rPr>
                <w:sz w:val="24"/>
                <w:szCs w:val="24"/>
                <w:color w:val="auto"/>
              </w:rPr>
            </w:pPr>
          </w:p>
        </w:tc>
        <w:tc>
          <w:tcPr>
            <w:tcW w:w="1900" w:type="dxa"/>
            <w:vAlign w:val="bottom"/>
            <w:tcBorders>
              <w:top w:val="single" w:sz="8" w:color="69439A"/>
            </w:tcBorders>
            <w:vMerge w:val="restart"/>
            <w:shd w:val="clear" w:color="auto" w:fill="010035"/>
          </w:tcPr>
          <w:p>
            <w:pPr>
              <w:ind w:left="20"/>
              <w:spacing w:after="0"/>
              <w:rPr>
                <w:sz w:val="20"/>
                <w:szCs w:val="20"/>
                <w:color w:val="auto"/>
              </w:rPr>
            </w:pPr>
            <w:r>
              <w:rPr>
                <w:rFonts w:ascii="Arial" w:cs="Arial" w:eastAsia="Arial" w:hAnsi="Arial"/>
                <w:sz w:val="18"/>
                <w:szCs w:val="18"/>
                <w:b w:val="1"/>
                <w:bCs w:val="1"/>
                <w:color w:val="FFFFFF"/>
                <w:w w:val="91"/>
              </w:rPr>
              <w:t>EXECUTIVE NAME AND</w:t>
            </w:r>
          </w:p>
        </w:tc>
        <w:tc>
          <w:tcPr>
            <w:tcW w:w="100" w:type="dxa"/>
            <w:vAlign w:val="bottom"/>
            <w:tcBorders>
              <w:top w:val="single" w:sz="8" w:color="69439A"/>
            </w:tcBorders>
            <w:shd w:val="clear" w:color="auto" w:fill="010035"/>
          </w:tcPr>
          <w:p>
            <w:pPr>
              <w:spacing w:after="0"/>
              <w:rPr>
                <w:sz w:val="24"/>
                <w:szCs w:val="24"/>
                <w:color w:val="auto"/>
              </w:rPr>
            </w:pPr>
          </w:p>
        </w:tc>
        <w:tc>
          <w:tcPr>
            <w:tcW w:w="380" w:type="dxa"/>
            <w:vAlign w:val="bottom"/>
            <w:tcBorders>
              <w:top w:val="single" w:sz="8" w:color="69439A"/>
            </w:tcBorders>
            <w:shd w:val="clear" w:color="auto" w:fill="010035"/>
          </w:tcPr>
          <w:p>
            <w:pPr>
              <w:spacing w:after="0"/>
              <w:rPr>
                <w:sz w:val="24"/>
                <w:szCs w:val="24"/>
                <w:color w:val="auto"/>
              </w:rPr>
            </w:pPr>
          </w:p>
        </w:tc>
        <w:tc>
          <w:tcPr>
            <w:tcW w:w="80" w:type="dxa"/>
            <w:vAlign w:val="bottom"/>
            <w:tcBorders>
              <w:top w:val="single" w:sz="8" w:color="69439A"/>
            </w:tcBorders>
            <w:shd w:val="clear" w:color="auto" w:fill="010035"/>
          </w:tcPr>
          <w:p>
            <w:pPr>
              <w:spacing w:after="0"/>
              <w:rPr>
                <w:sz w:val="24"/>
                <w:szCs w:val="24"/>
                <w:color w:val="auto"/>
              </w:rPr>
            </w:pPr>
          </w:p>
        </w:tc>
        <w:tc>
          <w:tcPr>
            <w:tcW w:w="840" w:type="dxa"/>
            <w:vAlign w:val="bottom"/>
            <w:tcBorders>
              <w:top w:val="single" w:sz="8" w:color="69439A"/>
            </w:tcBorders>
            <w:shd w:val="clear" w:color="auto" w:fill="010035"/>
          </w:tcPr>
          <w:p>
            <w:pPr>
              <w:spacing w:after="0"/>
              <w:rPr>
                <w:sz w:val="24"/>
                <w:szCs w:val="24"/>
                <w:color w:val="auto"/>
              </w:rPr>
            </w:pPr>
          </w:p>
        </w:tc>
        <w:tc>
          <w:tcPr>
            <w:tcW w:w="700" w:type="dxa"/>
            <w:vAlign w:val="bottom"/>
            <w:tcBorders>
              <w:top w:val="single" w:sz="8" w:color="69439A"/>
            </w:tcBorders>
            <w:shd w:val="clear" w:color="auto" w:fill="010035"/>
          </w:tcPr>
          <w:p>
            <w:pPr>
              <w:spacing w:after="0"/>
              <w:rPr>
                <w:sz w:val="24"/>
                <w:szCs w:val="24"/>
                <w:color w:val="auto"/>
              </w:rPr>
            </w:pPr>
          </w:p>
        </w:tc>
        <w:tc>
          <w:tcPr>
            <w:tcW w:w="92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rPr>
              <w:t>STOCK</w:t>
            </w:r>
          </w:p>
        </w:tc>
        <w:tc>
          <w:tcPr>
            <w:tcW w:w="82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rPr>
              <w:t>OPTION</w:t>
            </w:r>
          </w:p>
        </w:tc>
        <w:tc>
          <w:tcPr>
            <w:tcW w:w="1360" w:type="dxa"/>
            <w:vAlign w:val="bottom"/>
            <w:tcBorders>
              <w:top w:val="single" w:sz="8" w:color="69439A"/>
            </w:tcBorders>
            <w:gridSpan w:val="2"/>
            <w:shd w:val="clear" w:color="auto" w:fill="010035"/>
          </w:tcPr>
          <w:p>
            <w:pPr>
              <w:jc w:val="center"/>
              <w:spacing w:after="0"/>
              <w:rPr>
                <w:sz w:val="20"/>
                <w:szCs w:val="20"/>
                <w:color w:val="auto"/>
              </w:rPr>
            </w:pPr>
            <w:r>
              <w:rPr>
                <w:rFonts w:ascii="Arial" w:cs="Arial" w:eastAsia="Arial" w:hAnsi="Arial"/>
                <w:sz w:val="14"/>
                <w:szCs w:val="14"/>
                <w:b w:val="1"/>
                <w:bCs w:val="1"/>
                <w:color w:val="FFFFFF"/>
              </w:rPr>
              <w:t>NON-EQUITY</w:t>
            </w:r>
          </w:p>
        </w:tc>
        <w:tc>
          <w:tcPr>
            <w:tcW w:w="136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ALL OTHER</w:t>
            </w:r>
          </w:p>
        </w:tc>
        <w:tc>
          <w:tcPr>
            <w:tcW w:w="900" w:type="dxa"/>
            <w:vAlign w:val="bottom"/>
            <w:tcBorders>
              <w:top w:val="single" w:sz="8" w:color="69439A"/>
            </w:tcBorders>
            <w:shd w:val="clear" w:color="auto" w:fill="010035"/>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1900" w:type="dxa"/>
            <w:vAlign w:val="bottom"/>
            <w:vMerge w:val="continue"/>
            <w:shd w:val="clear" w:color="auto" w:fill="010035"/>
          </w:tcPr>
          <w:p>
            <w:pPr>
              <w:spacing w:after="0"/>
              <w:rPr>
                <w:sz w:val="7"/>
                <w:szCs w:val="7"/>
                <w:color w:val="auto"/>
              </w:rPr>
            </w:pPr>
          </w:p>
        </w:tc>
        <w:tc>
          <w:tcPr>
            <w:tcW w:w="100" w:type="dxa"/>
            <w:vAlign w:val="bottom"/>
            <w:shd w:val="clear" w:color="auto" w:fill="010035"/>
          </w:tcPr>
          <w:p>
            <w:pPr>
              <w:spacing w:after="0"/>
              <w:rPr>
                <w:sz w:val="7"/>
                <w:szCs w:val="7"/>
                <w:color w:val="auto"/>
              </w:rPr>
            </w:pPr>
          </w:p>
        </w:tc>
        <w:tc>
          <w:tcPr>
            <w:tcW w:w="380" w:type="dxa"/>
            <w:vAlign w:val="bottom"/>
            <w:shd w:val="clear" w:color="auto" w:fill="010035"/>
          </w:tcPr>
          <w:p>
            <w:pPr>
              <w:spacing w:after="0"/>
              <w:rPr>
                <w:sz w:val="7"/>
                <w:szCs w:val="7"/>
                <w:color w:val="auto"/>
              </w:rPr>
            </w:pPr>
          </w:p>
        </w:tc>
        <w:tc>
          <w:tcPr>
            <w:tcW w:w="80" w:type="dxa"/>
            <w:vAlign w:val="bottom"/>
            <w:shd w:val="clear" w:color="auto" w:fill="010035"/>
          </w:tcPr>
          <w:p>
            <w:pPr>
              <w:spacing w:after="0"/>
              <w:rPr>
                <w:sz w:val="7"/>
                <w:szCs w:val="7"/>
                <w:color w:val="auto"/>
              </w:rPr>
            </w:pPr>
          </w:p>
        </w:tc>
        <w:tc>
          <w:tcPr>
            <w:tcW w:w="840" w:type="dxa"/>
            <w:vAlign w:val="bottom"/>
            <w:vMerge w:val="restart"/>
            <w:shd w:val="clear" w:color="auto" w:fill="010035"/>
          </w:tcPr>
          <w:p>
            <w:pPr>
              <w:ind w:left="120"/>
              <w:spacing w:after="0"/>
              <w:rPr>
                <w:sz w:val="20"/>
                <w:szCs w:val="20"/>
                <w:color w:val="auto"/>
              </w:rPr>
            </w:pPr>
            <w:r>
              <w:rPr>
                <w:rFonts w:ascii="Arial" w:cs="Arial" w:eastAsia="Arial" w:hAnsi="Arial"/>
                <w:sz w:val="14"/>
                <w:szCs w:val="14"/>
                <w:b w:val="1"/>
                <w:bCs w:val="1"/>
                <w:color w:val="FFFFFF"/>
              </w:rPr>
              <w:t>SALARY</w:t>
            </w:r>
          </w:p>
        </w:tc>
        <w:tc>
          <w:tcPr>
            <w:tcW w:w="700" w:type="dxa"/>
            <w:vAlign w:val="bottom"/>
            <w:vMerge w:val="restart"/>
            <w:shd w:val="clear" w:color="auto" w:fill="010035"/>
          </w:tcPr>
          <w:p>
            <w:pPr>
              <w:ind w:left="100"/>
              <w:spacing w:after="0"/>
              <w:rPr>
                <w:sz w:val="20"/>
                <w:szCs w:val="20"/>
                <w:color w:val="auto"/>
              </w:rPr>
            </w:pPr>
            <w:r>
              <w:rPr>
                <w:rFonts w:ascii="Arial" w:cs="Arial" w:eastAsia="Arial" w:hAnsi="Arial"/>
                <w:sz w:val="14"/>
                <w:szCs w:val="14"/>
                <w:b w:val="1"/>
                <w:bCs w:val="1"/>
                <w:color w:val="FFFFFF"/>
              </w:rPr>
              <w:t>BONUS</w:t>
            </w:r>
          </w:p>
        </w:tc>
        <w:tc>
          <w:tcPr>
            <w:tcW w:w="920" w:type="dxa"/>
            <w:vAlign w:val="bottom"/>
            <w:vMerge w:val="continue"/>
            <w:shd w:val="clear" w:color="auto" w:fill="010035"/>
          </w:tcPr>
          <w:p>
            <w:pPr>
              <w:spacing w:after="0"/>
              <w:rPr>
                <w:sz w:val="7"/>
                <w:szCs w:val="7"/>
                <w:color w:val="auto"/>
              </w:rPr>
            </w:pPr>
          </w:p>
        </w:tc>
        <w:tc>
          <w:tcPr>
            <w:tcW w:w="820" w:type="dxa"/>
            <w:vAlign w:val="bottom"/>
            <w:vMerge w:val="continue"/>
            <w:shd w:val="clear" w:color="auto" w:fill="010035"/>
          </w:tcPr>
          <w:p>
            <w:pPr>
              <w:spacing w:after="0"/>
              <w:rPr>
                <w:sz w:val="7"/>
                <w:szCs w:val="7"/>
                <w:color w:val="auto"/>
              </w:rPr>
            </w:pPr>
          </w:p>
        </w:tc>
        <w:tc>
          <w:tcPr>
            <w:tcW w:w="1360" w:type="dxa"/>
            <w:vAlign w:val="bottom"/>
            <w:gridSpan w:val="2"/>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INCENTIVE PLAN</w:t>
            </w:r>
          </w:p>
        </w:tc>
        <w:tc>
          <w:tcPr>
            <w:tcW w:w="1360" w:type="dxa"/>
            <w:vAlign w:val="bottom"/>
            <w:vMerge w:val="continue"/>
            <w:shd w:val="clear" w:color="auto" w:fill="010035"/>
          </w:tcPr>
          <w:p>
            <w:pPr>
              <w:spacing w:after="0"/>
              <w:rPr>
                <w:sz w:val="7"/>
                <w:szCs w:val="7"/>
                <w:color w:val="auto"/>
              </w:rPr>
            </w:pPr>
          </w:p>
        </w:tc>
        <w:tc>
          <w:tcPr>
            <w:tcW w:w="900" w:type="dxa"/>
            <w:vAlign w:val="bottom"/>
            <w:vMerge w:val="restart"/>
            <w:shd w:val="clear" w:color="auto" w:fill="010035"/>
          </w:tcPr>
          <w:p>
            <w:pPr>
              <w:ind w:left="2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4"/>
        </w:trPr>
        <w:tc>
          <w:tcPr>
            <w:tcW w:w="40" w:type="dxa"/>
            <w:vAlign w:val="bottom"/>
            <w:shd w:val="clear" w:color="auto" w:fill="010035"/>
          </w:tcPr>
          <w:p>
            <w:pPr>
              <w:spacing w:after="0"/>
              <w:rPr>
                <w:sz w:val="12"/>
                <w:szCs w:val="12"/>
                <w:color w:val="auto"/>
              </w:rPr>
            </w:pPr>
          </w:p>
        </w:tc>
        <w:tc>
          <w:tcPr>
            <w:tcW w:w="1900" w:type="dxa"/>
            <w:vAlign w:val="bottom"/>
            <w:vMerge w:val="continue"/>
            <w:shd w:val="clear" w:color="auto" w:fill="010035"/>
          </w:tcPr>
          <w:p>
            <w:pPr>
              <w:spacing w:after="0"/>
              <w:rPr>
                <w:sz w:val="12"/>
                <w:szCs w:val="12"/>
                <w:color w:val="auto"/>
              </w:rPr>
            </w:pPr>
          </w:p>
        </w:tc>
        <w:tc>
          <w:tcPr>
            <w:tcW w:w="100" w:type="dxa"/>
            <w:vAlign w:val="bottom"/>
            <w:shd w:val="clear" w:color="auto" w:fill="010035"/>
          </w:tcPr>
          <w:p>
            <w:pPr>
              <w:spacing w:after="0"/>
              <w:rPr>
                <w:sz w:val="12"/>
                <w:szCs w:val="12"/>
                <w:color w:val="auto"/>
              </w:rPr>
            </w:pPr>
          </w:p>
        </w:tc>
        <w:tc>
          <w:tcPr>
            <w:tcW w:w="460" w:type="dxa"/>
            <w:vAlign w:val="bottom"/>
            <w:gridSpan w:val="2"/>
            <w:shd w:val="clear" w:color="auto" w:fill="010035"/>
          </w:tcPr>
          <w:p>
            <w:pPr>
              <w:jc w:val="center"/>
              <w:ind w:right="80"/>
              <w:spacing w:after="0" w:line="145" w:lineRule="exact"/>
              <w:rPr>
                <w:sz w:val="20"/>
                <w:szCs w:val="20"/>
                <w:color w:val="auto"/>
              </w:rPr>
            </w:pPr>
            <w:r>
              <w:rPr>
                <w:rFonts w:ascii="Arial" w:cs="Arial" w:eastAsia="Arial" w:hAnsi="Arial"/>
                <w:sz w:val="14"/>
                <w:szCs w:val="14"/>
                <w:b w:val="1"/>
                <w:bCs w:val="1"/>
                <w:color w:val="FFFFFF"/>
                <w:w w:val="97"/>
              </w:rPr>
              <w:t>YEAR</w:t>
            </w:r>
          </w:p>
        </w:tc>
        <w:tc>
          <w:tcPr>
            <w:tcW w:w="840" w:type="dxa"/>
            <w:vAlign w:val="bottom"/>
            <w:vMerge w:val="continue"/>
            <w:shd w:val="clear" w:color="auto" w:fill="010035"/>
          </w:tcPr>
          <w:p>
            <w:pPr>
              <w:spacing w:after="0"/>
              <w:rPr>
                <w:sz w:val="12"/>
                <w:szCs w:val="12"/>
                <w:color w:val="auto"/>
              </w:rPr>
            </w:pPr>
          </w:p>
        </w:tc>
        <w:tc>
          <w:tcPr>
            <w:tcW w:w="700" w:type="dxa"/>
            <w:vAlign w:val="bottom"/>
            <w:vMerge w:val="continue"/>
            <w:shd w:val="clear" w:color="auto" w:fill="010035"/>
          </w:tcPr>
          <w:p>
            <w:pPr>
              <w:spacing w:after="0"/>
              <w:rPr>
                <w:sz w:val="12"/>
                <w:szCs w:val="12"/>
                <w:color w:val="auto"/>
              </w:rPr>
            </w:pPr>
          </w:p>
        </w:tc>
        <w:tc>
          <w:tcPr>
            <w:tcW w:w="92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8"/>
              </w:rPr>
              <w:t>AWARDS</w:t>
            </w:r>
          </w:p>
        </w:tc>
        <w:tc>
          <w:tcPr>
            <w:tcW w:w="82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8"/>
              </w:rPr>
              <w:t>AWARDS</w:t>
            </w:r>
          </w:p>
        </w:tc>
        <w:tc>
          <w:tcPr>
            <w:tcW w:w="1360" w:type="dxa"/>
            <w:vAlign w:val="bottom"/>
            <w:gridSpan w:val="2"/>
            <w:vMerge w:val="continue"/>
            <w:shd w:val="clear" w:color="auto" w:fill="010035"/>
          </w:tcPr>
          <w:p>
            <w:pPr>
              <w:spacing w:after="0"/>
              <w:rPr>
                <w:sz w:val="12"/>
                <w:szCs w:val="12"/>
                <w:color w:val="auto"/>
              </w:rPr>
            </w:pPr>
          </w:p>
        </w:tc>
        <w:tc>
          <w:tcPr>
            <w:tcW w:w="136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7"/>
              </w:rPr>
              <w:t>COMPENSATION</w:t>
            </w:r>
          </w:p>
        </w:tc>
        <w:tc>
          <w:tcPr>
            <w:tcW w:w="900" w:type="dxa"/>
            <w:vAlign w:val="bottom"/>
            <w:vMerge w:val="continue"/>
            <w:shd w:val="clear" w:color="auto" w:fill="010035"/>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40" w:type="dxa"/>
            <w:vAlign w:val="bottom"/>
            <w:shd w:val="clear" w:color="auto" w:fill="010035"/>
          </w:tcPr>
          <w:p>
            <w:pPr>
              <w:spacing w:after="0"/>
              <w:rPr>
                <w:sz w:val="8"/>
                <w:szCs w:val="8"/>
                <w:color w:val="auto"/>
              </w:rPr>
            </w:pPr>
          </w:p>
        </w:tc>
        <w:tc>
          <w:tcPr>
            <w:tcW w:w="1900" w:type="dxa"/>
            <w:vAlign w:val="bottom"/>
            <w:vMerge w:val="restart"/>
            <w:shd w:val="clear" w:color="auto" w:fill="010035"/>
          </w:tcPr>
          <w:p>
            <w:pPr>
              <w:ind w:left="20"/>
              <w:spacing w:after="0"/>
              <w:rPr>
                <w:sz w:val="20"/>
                <w:szCs w:val="20"/>
                <w:color w:val="auto"/>
              </w:rPr>
            </w:pPr>
            <w:r>
              <w:rPr>
                <w:rFonts w:ascii="Arial" w:cs="Arial" w:eastAsia="Arial" w:hAnsi="Arial"/>
                <w:sz w:val="18"/>
                <w:szCs w:val="18"/>
                <w:b w:val="1"/>
                <w:bCs w:val="1"/>
                <w:color w:val="FFFFFF"/>
                <w:w w:val="98"/>
              </w:rPr>
              <w:t>PRINCIPAL POSITION</w:t>
            </w:r>
          </w:p>
        </w:tc>
        <w:tc>
          <w:tcPr>
            <w:tcW w:w="100" w:type="dxa"/>
            <w:vAlign w:val="bottom"/>
            <w:shd w:val="clear" w:color="auto" w:fill="010035"/>
          </w:tcPr>
          <w:p>
            <w:pPr>
              <w:spacing w:after="0"/>
              <w:rPr>
                <w:sz w:val="8"/>
                <w:szCs w:val="8"/>
                <w:color w:val="auto"/>
              </w:rPr>
            </w:pPr>
          </w:p>
        </w:tc>
        <w:tc>
          <w:tcPr>
            <w:tcW w:w="380" w:type="dxa"/>
            <w:vAlign w:val="bottom"/>
            <w:shd w:val="clear" w:color="auto" w:fill="010035"/>
          </w:tcPr>
          <w:p>
            <w:pPr>
              <w:spacing w:after="0"/>
              <w:rPr>
                <w:sz w:val="8"/>
                <w:szCs w:val="8"/>
                <w:color w:val="auto"/>
              </w:rPr>
            </w:pPr>
          </w:p>
        </w:tc>
        <w:tc>
          <w:tcPr>
            <w:tcW w:w="80" w:type="dxa"/>
            <w:vAlign w:val="bottom"/>
            <w:shd w:val="clear" w:color="auto" w:fill="010035"/>
          </w:tcPr>
          <w:p>
            <w:pPr>
              <w:spacing w:after="0"/>
              <w:rPr>
                <w:sz w:val="8"/>
                <w:szCs w:val="8"/>
                <w:color w:val="auto"/>
              </w:rPr>
            </w:pPr>
          </w:p>
        </w:tc>
        <w:tc>
          <w:tcPr>
            <w:tcW w:w="840" w:type="dxa"/>
            <w:vAlign w:val="bottom"/>
            <w:shd w:val="clear" w:color="auto" w:fill="010035"/>
          </w:tcPr>
          <w:p>
            <w:pPr>
              <w:jc w:val="center"/>
              <w:spacing w:after="0" w:line="96" w:lineRule="exact"/>
              <w:rPr>
                <w:sz w:val="20"/>
                <w:szCs w:val="20"/>
                <w:color w:val="auto"/>
              </w:rPr>
            </w:pPr>
            <w:r>
              <w:rPr>
                <w:rFonts w:ascii="Arial" w:cs="Arial" w:eastAsia="Arial" w:hAnsi="Arial"/>
                <w:sz w:val="11"/>
                <w:szCs w:val="11"/>
                <w:b w:val="1"/>
                <w:bCs w:val="1"/>
                <w:color w:val="FFFFFF"/>
              </w:rPr>
              <w:t>($)</w:t>
            </w:r>
          </w:p>
        </w:tc>
        <w:tc>
          <w:tcPr>
            <w:tcW w:w="700" w:type="dxa"/>
            <w:vAlign w:val="bottom"/>
            <w:shd w:val="clear" w:color="auto" w:fill="010035"/>
          </w:tcPr>
          <w:p>
            <w:pPr>
              <w:jc w:val="center"/>
              <w:spacing w:after="0" w:line="96" w:lineRule="exact"/>
              <w:rPr>
                <w:sz w:val="20"/>
                <w:szCs w:val="20"/>
                <w:color w:val="auto"/>
              </w:rPr>
            </w:pPr>
            <w:r>
              <w:rPr>
                <w:rFonts w:ascii="Arial" w:cs="Arial" w:eastAsia="Arial" w:hAnsi="Arial"/>
                <w:sz w:val="11"/>
                <w:szCs w:val="11"/>
                <w:b w:val="1"/>
                <w:bCs w:val="1"/>
                <w:color w:val="FFFFFF"/>
              </w:rPr>
              <w:t>($)</w:t>
            </w:r>
          </w:p>
        </w:tc>
        <w:tc>
          <w:tcPr>
            <w:tcW w:w="920" w:type="dxa"/>
            <w:vAlign w:val="bottom"/>
            <w:vMerge w:val="restart"/>
            <w:shd w:val="clear" w:color="auto" w:fill="010035"/>
          </w:tcPr>
          <w:p>
            <w:pPr>
              <w:jc w:val="center"/>
              <w:spacing w:after="0" w:line="270" w:lineRule="exact"/>
              <w:rPr>
                <w:sz w:val="20"/>
                <w:szCs w:val="20"/>
                <w:color w:val="auto"/>
              </w:rPr>
            </w:pPr>
            <w:r>
              <w:rPr>
                <w:rFonts w:ascii="Arial" w:cs="Arial" w:eastAsia="Arial" w:hAnsi="Arial"/>
                <w:sz w:val="28"/>
                <w:szCs w:val="28"/>
                <w:b w:val="1"/>
                <w:bCs w:val="1"/>
                <w:color w:val="FFFFFF"/>
                <w:w w:val="83"/>
                <w:vertAlign w:val="subscript"/>
              </w:rPr>
              <w:t>($)</w:t>
            </w:r>
            <w:r>
              <w:rPr>
                <w:rFonts w:ascii="Arial" w:cs="Arial" w:eastAsia="Arial" w:hAnsi="Arial"/>
                <w:sz w:val="12"/>
                <w:szCs w:val="12"/>
                <w:b w:val="1"/>
                <w:bCs w:val="1"/>
                <w:color w:val="FFFFFF"/>
                <w:w w:val="83"/>
              </w:rPr>
              <w:t xml:space="preserve"> (a)</w:t>
            </w:r>
          </w:p>
        </w:tc>
        <w:tc>
          <w:tcPr>
            <w:tcW w:w="820" w:type="dxa"/>
            <w:vAlign w:val="bottom"/>
            <w:vMerge w:val="restart"/>
            <w:shd w:val="clear" w:color="auto" w:fill="010035"/>
          </w:tcPr>
          <w:p>
            <w:pPr>
              <w:jc w:val="center"/>
              <w:spacing w:after="0" w:line="270" w:lineRule="exact"/>
              <w:rPr>
                <w:sz w:val="20"/>
                <w:szCs w:val="20"/>
                <w:color w:val="auto"/>
              </w:rPr>
            </w:pPr>
            <w:r>
              <w:rPr>
                <w:rFonts w:ascii="Arial" w:cs="Arial" w:eastAsia="Arial" w:hAnsi="Arial"/>
                <w:sz w:val="28"/>
                <w:szCs w:val="28"/>
                <w:b w:val="1"/>
                <w:bCs w:val="1"/>
                <w:color w:val="FFFFFF"/>
                <w:w w:val="83"/>
                <w:vertAlign w:val="subscript"/>
              </w:rPr>
              <w:t>($)</w:t>
            </w:r>
            <w:r>
              <w:rPr>
                <w:rFonts w:ascii="Arial" w:cs="Arial" w:eastAsia="Arial" w:hAnsi="Arial"/>
                <w:sz w:val="12"/>
                <w:szCs w:val="12"/>
                <w:b w:val="1"/>
                <w:bCs w:val="1"/>
                <w:color w:val="FFFFFF"/>
                <w:w w:val="83"/>
              </w:rPr>
              <w:t xml:space="preserve"> (a)</w:t>
            </w:r>
          </w:p>
        </w:tc>
        <w:tc>
          <w:tcPr>
            <w:tcW w:w="1360" w:type="dxa"/>
            <w:vAlign w:val="bottom"/>
            <w:gridSpan w:val="2"/>
            <w:shd w:val="clear" w:color="auto" w:fill="010035"/>
          </w:tcPr>
          <w:p>
            <w:pPr>
              <w:jc w:val="center"/>
              <w:spacing w:after="0" w:line="96" w:lineRule="exact"/>
              <w:rPr>
                <w:sz w:val="20"/>
                <w:szCs w:val="20"/>
                <w:color w:val="auto"/>
              </w:rPr>
            </w:pPr>
            <w:r>
              <w:rPr>
                <w:rFonts w:ascii="Arial" w:cs="Arial" w:eastAsia="Arial" w:hAnsi="Arial"/>
                <w:sz w:val="11"/>
                <w:szCs w:val="11"/>
                <w:b w:val="1"/>
                <w:bCs w:val="1"/>
                <w:color w:val="FFFFFF"/>
              </w:rPr>
              <w:t>COMPENSATION</w:t>
            </w:r>
          </w:p>
        </w:tc>
        <w:tc>
          <w:tcPr>
            <w:tcW w:w="1360" w:type="dxa"/>
            <w:vAlign w:val="bottom"/>
            <w:vMerge w:val="restart"/>
            <w:shd w:val="clear" w:color="auto" w:fill="010035"/>
          </w:tcPr>
          <w:p>
            <w:pPr>
              <w:jc w:val="center"/>
              <w:spacing w:after="0" w:line="270" w:lineRule="exact"/>
              <w:rPr>
                <w:sz w:val="20"/>
                <w:szCs w:val="20"/>
                <w:color w:val="auto"/>
              </w:rPr>
            </w:pPr>
            <w:r>
              <w:rPr>
                <w:rFonts w:ascii="Arial" w:cs="Arial" w:eastAsia="Arial" w:hAnsi="Arial"/>
                <w:sz w:val="28"/>
                <w:szCs w:val="28"/>
                <w:b w:val="1"/>
                <w:bCs w:val="1"/>
                <w:color w:val="FFFFFF"/>
                <w:w w:val="83"/>
                <w:vertAlign w:val="subscript"/>
              </w:rPr>
              <w:t>($)</w:t>
            </w:r>
            <w:r>
              <w:rPr>
                <w:rFonts w:ascii="Arial" w:cs="Arial" w:eastAsia="Arial" w:hAnsi="Arial"/>
                <w:sz w:val="12"/>
                <w:szCs w:val="12"/>
                <w:b w:val="1"/>
                <w:bCs w:val="1"/>
                <w:color w:val="FFFFFF"/>
                <w:w w:val="83"/>
              </w:rPr>
              <w:t xml:space="preserve"> (c)</w:t>
            </w:r>
          </w:p>
        </w:tc>
        <w:tc>
          <w:tcPr>
            <w:tcW w:w="900" w:type="dxa"/>
            <w:vAlign w:val="bottom"/>
            <w:shd w:val="clear" w:color="auto" w:fill="010035"/>
          </w:tcPr>
          <w:p>
            <w:pPr>
              <w:jc w:val="center"/>
              <w:spacing w:after="0" w:line="96" w:lineRule="exact"/>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174"/>
        </w:trPr>
        <w:tc>
          <w:tcPr>
            <w:tcW w:w="40" w:type="dxa"/>
            <w:vAlign w:val="bottom"/>
            <w:shd w:val="clear" w:color="auto" w:fill="010035"/>
          </w:tcPr>
          <w:p>
            <w:pPr>
              <w:spacing w:after="0"/>
              <w:rPr>
                <w:sz w:val="15"/>
                <w:szCs w:val="15"/>
                <w:color w:val="auto"/>
              </w:rPr>
            </w:pPr>
          </w:p>
        </w:tc>
        <w:tc>
          <w:tcPr>
            <w:tcW w:w="1900" w:type="dxa"/>
            <w:vAlign w:val="bottom"/>
            <w:vMerge w:val="continue"/>
            <w:shd w:val="clear" w:color="auto" w:fill="010035"/>
          </w:tcPr>
          <w:p>
            <w:pPr>
              <w:spacing w:after="0"/>
              <w:rPr>
                <w:sz w:val="15"/>
                <w:szCs w:val="15"/>
                <w:color w:val="auto"/>
              </w:rPr>
            </w:pPr>
          </w:p>
        </w:tc>
        <w:tc>
          <w:tcPr>
            <w:tcW w:w="100" w:type="dxa"/>
            <w:vAlign w:val="bottom"/>
            <w:shd w:val="clear" w:color="auto" w:fill="010035"/>
          </w:tcPr>
          <w:p>
            <w:pPr>
              <w:spacing w:after="0"/>
              <w:rPr>
                <w:sz w:val="15"/>
                <w:szCs w:val="15"/>
                <w:color w:val="auto"/>
              </w:rPr>
            </w:pPr>
          </w:p>
        </w:tc>
        <w:tc>
          <w:tcPr>
            <w:tcW w:w="380" w:type="dxa"/>
            <w:vAlign w:val="bottom"/>
            <w:shd w:val="clear" w:color="auto" w:fill="010035"/>
          </w:tcPr>
          <w:p>
            <w:pPr>
              <w:spacing w:after="0"/>
              <w:rPr>
                <w:sz w:val="15"/>
                <w:szCs w:val="15"/>
                <w:color w:val="auto"/>
              </w:rPr>
            </w:pPr>
          </w:p>
        </w:tc>
        <w:tc>
          <w:tcPr>
            <w:tcW w:w="80" w:type="dxa"/>
            <w:vAlign w:val="bottom"/>
            <w:shd w:val="clear" w:color="auto" w:fill="010035"/>
          </w:tcPr>
          <w:p>
            <w:pPr>
              <w:spacing w:after="0"/>
              <w:rPr>
                <w:sz w:val="15"/>
                <w:szCs w:val="15"/>
                <w:color w:val="auto"/>
              </w:rPr>
            </w:pPr>
          </w:p>
        </w:tc>
        <w:tc>
          <w:tcPr>
            <w:tcW w:w="840" w:type="dxa"/>
            <w:vAlign w:val="bottom"/>
            <w:shd w:val="clear" w:color="auto" w:fill="010035"/>
          </w:tcPr>
          <w:p>
            <w:pPr>
              <w:spacing w:after="0"/>
              <w:rPr>
                <w:sz w:val="15"/>
                <w:szCs w:val="15"/>
                <w:color w:val="auto"/>
              </w:rPr>
            </w:pPr>
          </w:p>
        </w:tc>
        <w:tc>
          <w:tcPr>
            <w:tcW w:w="700" w:type="dxa"/>
            <w:vAlign w:val="bottom"/>
            <w:shd w:val="clear" w:color="auto" w:fill="010035"/>
          </w:tcPr>
          <w:p>
            <w:pPr>
              <w:spacing w:after="0"/>
              <w:rPr>
                <w:sz w:val="15"/>
                <w:szCs w:val="15"/>
                <w:color w:val="auto"/>
              </w:rPr>
            </w:pPr>
          </w:p>
        </w:tc>
        <w:tc>
          <w:tcPr>
            <w:tcW w:w="920" w:type="dxa"/>
            <w:vAlign w:val="bottom"/>
            <w:vMerge w:val="continue"/>
            <w:shd w:val="clear" w:color="auto" w:fill="010035"/>
          </w:tcPr>
          <w:p>
            <w:pPr>
              <w:spacing w:after="0"/>
              <w:rPr>
                <w:sz w:val="15"/>
                <w:szCs w:val="15"/>
                <w:color w:val="auto"/>
              </w:rPr>
            </w:pPr>
          </w:p>
        </w:tc>
        <w:tc>
          <w:tcPr>
            <w:tcW w:w="820" w:type="dxa"/>
            <w:vAlign w:val="bottom"/>
            <w:vMerge w:val="continue"/>
            <w:shd w:val="clear" w:color="auto" w:fill="010035"/>
          </w:tcPr>
          <w:p>
            <w:pPr>
              <w:spacing w:after="0"/>
              <w:rPr>
                <w:sz w:val="15"/>
                <w:szCs w:val="15"/>
                <w:color w:val="auto"/>
              </w:rPr>
            </w:pPr>
          </w:p>
        </w:tc>
        <w:tc>
          <w:tcPr>
            <w:tcW w:w="700" w:type="dxa"/>
            <w:vAlign w:val="bottom"/>
            <w:vMerge w:val="restart"/>
            <w:shd w:val="clear" w:color="auto" w:fill="010035"/>
          </w:tcPr>
          <w:p>
            <w:pPr>
              <w:jc w:val="right"/>
              <w:spacing w:after="0"/>
              <w:rPr>
                <w:sz w:val="20"/>
                <w:szCs w:val="20"/>
                <w:color w:val="auto"/>
              </w:rPr>
            </w:pPr>
            <w:r>
              <w:rPr>
                <w:rFonts w:ascii="Arial" w:cs="Arial" w:eastAsia="Arial" w:hAnsi="Arial"/>
                <w:sz w:val="14"/>
                <w:szCs w:val="14"/>
                <w:b w:val="1"/>
                <w:bCs w:val="1"/>
                <w:color w:val="FFFFFF"/>
              </w:rPr>
              <w:t>($)</w:t>
            </w:r>
          </w:p>
        </w:tc>
        <w:tc>
          <w:tcPr>
            <w:tcW w:w="660" w:type="dxa"/>
            <w:vAlign w:val="bottom"/>
            <w:shd w:val="clear" w:color="auto" w:fill="010035"/>
          </w:tcPr>
          <w:p>
            <w:pPr>
              <w:ind w:left="20"/>
              <w:spacing w:after="0"/>
              <w:rPr>
                <w:sz w:val="20"/>
                <w:szCs w:val="20"/>
                <w:color w:val="auto"/>
              </w:rPr>
            </w:pPr>
            <w:r>
              <w:rPr>
                <w:rFonts w:ascii="Arial" w:cs="Arial" w:eastAsia="Arial" w:hAnsi="Arial"/>
                <w:sz w:val="12"/>
                <w:szCs w:val="12"/>
                <w:b w:val="1"/>
                <w:bCs w:val="1"/>
                <w:color w:val="FFFFFF"/>
              </w:rPr>
              <w:t>(b)</w:t>
            </w:r>
          </w:p>
        </w:tc>
        <w:tc>
          <w:tcPr>
            <w:tcW w:w="1360" w:type="dxa"/>
            <w:vAlign w:val="bottom"/>
            <w:vMerge w:val="continue"/>
            <w:shd w:val="clear" w:color="auto" w:fill="010035"/>
          </w:tcPr>
          <w:p>
            <w:pPr>
              <w:spacing w:after="0"/>
              <w:rPr>
                <w:sz w:val="15"/>
                <w:szCs w:val="15"/>
                <w:color w:val="auto"/>
              </w:rPr>
            </w:pPr>
          </w:p>
        </w:tc>
        <w:tc>
          <w:tcPr>
            <w:tcW w:w="900" w:type="dxa"/>
            <w:vAlign w:val="bottom"/>
            <w:shd w:val="clear" w:color="auto" w:fill="010035"/>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010035"/>
            </w:tcBorders>
            <w:shd w:val="clear" w:color="auto" w:fill="010035"/>
          </w:tcPr>
          <w:p>
            <w:pPr>
              <w:spacing w:after="0"/>
              <w:rPr>
                <w:sz w:val="6"/>
                <w:szCs w:val="6"/>
                <w:color w:val="auto"/>
              </w:rPr>
            </w:pPr>
          </w:p>
        </w:tc>
        <w:tc>
          <w:tcPr>
            <w:tcW w:w="1900" w:type="dxa"/>
            <w:vAlign w:val="bottom"/>
            <w:tcBorders>
              <w:bottom w:val="single" w:sz="8" w:color="010035"/>
            </w:tcBorders>
            <w:shd w:val="clear" w:color="auto" w:fill="010035"/>
          </w:tcPr>
          <w:p>
            <w:pPr>
              <w:spacing w:after="0"/>
              <w:rPr>
                <w:sz w:val="6"/>
                <w:szCs w:val="6"/>
                <w:color w:val="auto"/>
              </w:rPr>
            </w:pPr>
          </w:p>
        </w:tc>
        <w:tc>
          <w:tcPr>
            <w:tcW w:w="100" w:type="dxa"/>
            <w:vAlign w:val="bottom"/>
            <w:tcBorders>
              <w:bottom w:val="single" w:sz="8" w:color="010035"/>
            </w:tcBorders>
            <w:shd w:val="clear" w:color="auto" w:fill="010035"/>
          </w:tcPr>
          <w:p>
            <w:pPr>
              <w:spacing w:after="0"/>
              <w:rPr>
                <w:sz w:val="6"/>
                <w:szCs w:val="6"/>
                <w:color w:val="auto"/>
              </w:rPr>
            </w:pPr>
          </w:p>
        </w:tc>
        <w:tc>
          <w:tcPr>
            <w:tcW w:w="380" w:type="dxa"/>
            <w:vAlign w:val="bottom"/>
            <w:tcBorders>
              <w:bottom w:val="single" w:sz="8" w:color="010035"/>
            </w:tcBorders>
            <w:shd w:val="clear" w:color="auto" w:fill="010035"/>
          </w:tcPr>
          <w:p>
            <w:pPr>
              <w:spacing w:after="0"/>
              <w:rPr>
                <w:sz w:val="6"/>
                <w:szCs w:val="6"/>
                <w:color w:val="auto"/>
              </w:rPr>
            </w:pPr>
          </w:p>
        </w:tc>
        <w:tc>
          <w:tcPr>
            <w:tcW w:w="80" w:type="dxa"/>
            <w:vAlign w:val="bottom"/>
            <w:tcBorders>
              <w:bottom w:val="single" w:sz="8" w:color="010035"/>
            </w:tcBorders>
            <w:shd w:val="clear" w:color="auto" w:fill="010035"/>
          </w:tcPr>
          <w:p>
            <w:pPr>
              <w:spacing w:after="0"/>
              <w:rPr>
                <w:sz w:val="6"/>
                <w:szCs w:val="6"/>
                <w:color w:val="auto"/>
              </w:rPr>
            </w:pPr>
          </w:p>
        </w:tc>
        <w:tc>
          <w:tcPr>
            <w:tcW w:w="840" w:type="dxa"/>
            <w:vAlign w:val="bottom"/>
            <w:tcBorders>
              <w:bottom w:val="single" w:sz="8" w:color="010035"/>
            </w:tcBorders>
            <w:shd w:val="clear" w:color="auto" w:fill="010035"/>
          </w:tcPr>
          <w:p>
            <w:pPr>
              <w:spacing w:after="0"/>
              <w:rPr>
                <w:sz w:val="6"/>
                <w:szCs w:val="6"/>
                <w:color w:val="auto"/>
              </w:rPr>
            </w:pPr>
          </w:p>
        </w:tc>
        <w:tc>
          <w:tcPr>
            <w:tcW w:w="700" w:type="dxa"/>
            <w:vAlign w:val="bottom"/>
            <w:tcBorders>
              <w:bottom w:val="single" w:sz="8" w:color="010035"/>
            </w:tcBorders>
            <w:shd w:val="clear" w:color="auto" w:fill="010035"/>
          </w:tcPr>
          <w:p>
            <w:pPr>
              <w:spacing w:after="0"/>
              <w:rPr>
                <w:sz w:val="6"/>
                <w:szCs w:val="6"/>
                <w:color w:val="auto"/>
              </w:rPr>
            </w:pPr>
          </w:p>
        </w:tc>
        <w:tc>
          <w:tcPr>
            <w:tcW w:w="920" w:type="dxa"/>
            <w:vAlign w:val="bottom"/>
            <w:tcBorders>
              <w:bottom w:val="single" w:sz="8" w:color="010035"/>
            </w:tcBorders>
            <w:shd w:val="clear" w:color="auto" w:fill="010035"/>
          </w:tcPr>
          <w:p>
            <w:pPr>
              <w:spacing w:after="0"/>
              <w:rPr>
                <w:sz w:val="6"/>
                <w:szCs w:val="6"/>
                <w:color w:val="auto"/>
              </w:rPr>
            </w:pPr>
          </w:p>
        </w:tc>
        <w:tc>
          <w:tcPr>
            <w:tcW w:w="820" w:type="dxa"/>
            <w:vAlign w:val="bottom"/>
            <w:tcBorders>
              <w:bottom w:val="single" w:sz="8" w:color="010035"/>
            </w:tcBorders>
            <w:shd w:val="clear" w:color="auto" w:fill="010035"/>
          </w:tcPr>
          <w:p>
            <w:pPr>
              <w:spacing w:after="0"/>
              <w:rPr>
                <w:sz w:val="6"/>
                <w:szCs w:val="6"/>
                <w:color w:val="auto"/>
              </w:rPr>
            </w:pPr>
          </w:p>
        </w:tc>
        <w:tc>
          <w:tcPr>
            <w:tcW w:w="700" w:type="dxa"/>
            <w:vAlign w:val="bottom"/>
            <w:tcBorders>
              <w:bottom w:val="single" w:sz="8" w:color="010035"/>
            </w:tcBorders>
            <w:vMerge w:val="continue"/>
            <w:shd w:val="clear" w:color="auto" w:fill="010035"/>
          </w:tcPr>
          <w:p>
            <w:pPr>
              <w:spacing w:after="0"/>
              <w:rPr>
                <w:sz w:val="6"/>
                <w:szCs w:val="6"/>
                <w:color w:val="auto"/>
              </w:rPr>
            </w:pPr>
          </w:p>
        </w:tc>
        <w:tc>
          <w:tcPr>
            <w:tcW w:w="660" w:type="dxa"/>
            <w:vAlign w:val="bottom"/>
            <w:tcBorders>
              <w:bottom w:val="single" w:sz="8" w:color="010035"/>
            </w:tcBorders>
            <w:shd w:val="clear" w:color="auto" w:fill="010035"/>
          </w:tcPr>
          <w:p>
            <w:pPr>
              <w:spacing w:after="0"/>
              <w:rPr>
                <w:sz w:val="6"/>
                <w:szCs w:val="6"/>
                <w:color w:val="auto"/>
              </w:rPr>
            </w:pPr>
          </w:p>
        </w:tc>
        <w:tc>
          <w:tcPr>
            <w:tcW w:w="1360" w:type="dxa"/>
            <w:vAlign w:val="bottom"/>
            <w:tcBorders>
              <w:bottom w:val="single" w:sz="8" w:color="010035"/>
            </w:tcBorders>
            <w:shd w:val="clear" w:color="auto" w:fill="010035"/>
          </w:tcPr>
          <w:p>
            <w:pPr>
              <w:spacing w:after="0"/>
              <w:rPr>
                <w:sz w:val="6"/>
                <w:szCs w:val="6"/>
                <w:color w:val="auto"/>
              </w:rPr>
            </w:pPr>
          </w:p>
        </w:tc>
        <w:tc>
          <w:tcPr>
            <w:tcW w:w="900" w:type="dxa"/>
            <w:vAlign w:val="bottom"/>
            <w:tcBorders>
              <w:bottom w:val="single" w:sz="8" w:color="010035"/>
            </w:tcBorders>
            <w:shd w:val="clear" w:color="auto" w:fill="010035"/>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b w:val="1"/>
                <w:bCs w:val="1"/>
                <w:color w:val="010035"/>
              </w:rPr>
              <w:t>Jay Snowden</w:t>
            </w:r>
          </w:p>
        </w:tc>
        <w:tc>
          <w:tcPr>
            <w:tcW w:w="480" w:type="dxa"/>
            <w:vAlign w:val="bottom"/>
            <w:gridSpan w:val="2"/>
          </w:tcPr>
          <w:p>
            <w:pPr>
              <w:jc w:val="center"/>
              <w:ind w:left="8"/>
              <w:spacing w:after="0"/>
              <w:rPr>
                <w:sz w:val="20"/>
                <w:szCs w:val="20"/>
                <w:color w:val="auto"/>
              </w:rPr>
            </w:pPr>
            <w:r>
              <w:rPr>
                <w:rFonts w:ascii="Arial" w:cs="Arial" w:eastAsia="Arial" w:hAnsi="Arial"/>
                <w:sz w:val="14"/>
                <w:szCs w:val="14"/>
                <w:color w:val="010035"/>
              </w:rPr>
              <w:t>2025</w:t>
            </w: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010035"/>
              </w:rPr>
              <w:t>1,800,000</w:t>
            </w:r>
          </w:p>
        </w:tc>
        <w:tc>
          <w:tcPr>
            <w:tcW w:w="70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010035"/>
              </w:rPr>
              <w:t>14,249,989</w:t>
            </w:r>
          </w:p>
        </w:tc>
        <w:tc>
          <w:tcPr>
            <w:tcW w:w="820" w:type="dxa"/>
            <w:vAlign w:val="bottom"/>
          </w:tcPr>
          <w:p>
            <w:pPr>
              <w:jc w:val="center"/>
              <w:spacing w:after="0"/>
              <w:rPr>
                <w:sz w:val="20"/>
                <w:szCs w:val="20"/>
                <w:color w:val="auto"/>
              </w:rPr>
            </w:pPr>
            <w:r>
              <w:rPr>
                <w:rFonts w:ascii="Arial" w:cs="Arial" w:eastAsia="Arial" w:hAnsi="Arial"/>
                <w:sz w:val="14"/>
                <w:szCs w:val="14"/>
                <w:color w:val="010035"/>
              </w:rPr>
              <w:t>4,750,004</w:t>
            </w:r>
          </w:p>
        </w:tc>
        <w:tc>
          <w:tcPr>
            <w:tcW w:w="1360" w:type="dxa"/>
            <w:vAlign w:val="bottom"/>
            <w:gridSpan w:val="2"/>
          </w:tcPr>
          <w:p>
            <w:pPr>
              <w:jc w:val="center"/>
              <w:spacing w:after="0"/>
              <w:rPr>
                <w:sz w:val="20"/>
                <w:szCs w:val="20"/>
                <w:color w:val="auto"/>
              </w:rPr>
            </w:pPr>
            <w:r>
              <w:rPr>
                <w:rFonts w:ascii="Arial" w:cs="Arial" w:eastAsia="Arial" w:hAnsi="Arial"/>
                <w:sz w:val="14"/>
                <w:szCs w:val="14"/>
                <w:color w:val="010035"/>
              </w:rPr>
              <w:t>2,984,400</w:t>
            </w:r>
          </w:p>
        </w:tc>
        <w:tc>
          <w:tcPr>
            <w:tcW w:w="1360" w:type="dxa"/>
            <w:vAlign w:val="bottom"/>
          </w:tcPr>
          <w:p>
            <w:pPr>
              <w:jc w:val="center"/>
              <w:spacing w:after="0"/>
              <w:rPr>
                <w:sz w:val="20"/>
                <w:szCs w:val="20"/>
                <w:color w:val="auto"/>
              </w:rPr>
            </w:pPr>
            <w:r>
              <w:rPr>
                <w:rFonts w:ascii="Arial" w:cs="Arial" w:eastAsia="Arial" w:hAnsi="Arial"/>
                <w:sz w:val="14"/>
                <w:szCs w:val="14"/>
                <w:color w:val="010035"/>
              </w:rPr>
              <w:t>342,258</w:t>
            </w:r>
          </w:p>
        </w:tc>
        <w:tc>
          <w:tcPr>
            <w:tcW w:w="900" w:type="dxa"/>
            <w:vAlign w:val="bottom"/>
          </w:tcPr>
          <w:p>
            <w:pPr>
              <w:jc w:val="center"/>
              <w:spacing w:after="0"/>
              <w:rPr>
                <w:sz w:val="20"/>
                <w:szCs w:val="20"/>
                <w:color w:val="auto"/>
              </w:rPr>
            </w:pPr>
            <w:r>
              <w:rPr>
                <w:rFonts w:ascii="Arial" w:cs="Arial" w:eastAsia="Arial" w:hAnsi="Arial"/>
                <w:sz w:val="14"/>
                <w:szCs w:val="14"/>
                <w:color w:val="010035"/>
              </w:rPr>
              <w:t>24,126,651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010035"/>
              </w:rPr>
              <w:t>Chief Executive</w:t>
            </w:r>
          </w:p>
        </w:tc>
        <w:tc>
          <w:tcPr>
            <w:tcW w:w="480" w:type="dxa"/>
            <w:vAlign w:val="bottom"/>
            <w:gridSpan w:val="2"/>
          </w:tcPr>
          <w:p>
            <w:pPr>
              <w:jc w:val="center"/>
              <w:ind w:left="8"/>
              <w:spacing w:after="0"/>
              <w:rPr>
                <w:sz w:val="20"/>
                <w:szCs w:val="20"/>
                <w:color w:val="auto"/>
              </w:rPr>
            </w:pPr>
            <w:r>
              <w:rPr>
                <w:rFonts w:ascii="Arial" w:cs="Arial" w:eastAsia="Arial" w:hAnsi="Arial"/>
                <w:sz w:val="14"/>
                <w:szCs w:val="14"/>
                <w:color w:val="010035"/>
              </w:rPr>
              <w:t>2024</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010035"/>
              </w:rPr>
              <w:t>1,800,000</w:t>
            </w:r>
          </w:p>
        </w:tc>
        <w:tc>
          <w:tcPr>
            <w:tcW w:w="70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010035"/>
              </w:rPr>
              <w:t>16,877,840</w:t>
            </w:r>
          </w:p>
        </w:tc>
        <w:tc>
          <w:tcPr>
            <w:tcW w:w="820" w:type="dxa"/>
            <w:vAlign w:val="bottom"/>
          </w:tcPr>
          <w:p>
            <w:pPr>
              <w:jc w:val="center"/>
              <w:spacing w:after="0"/>
              <w:rPr>
                <w:sz w:val="20"/>
                <w:szCs w:val="20"/>
                <w:color w:val="auto"/>
              </w:rPr>
            </w:pPr>
            <w:r>
              <w:rPr>
                <w:rFonts w:ascii="Arial" w:cs="Arial" w:eastAsia="Arial" w:hAnsi="Arial"/>
                <w:sz w:val="14"/>
                <w:szCs w:val="14"/>
                <w:color w:val="010035"/>
              </w:rPr>
              <w:t>4,750,003</w:t>
            </w:r>
          </w:p>
        </w:tc>
        <w:tc>
          <w:tcPr>
            <w:tcW w:w="1360" w:type="dxa"/>
            <w:vAlign w:val="bottom"/>
            <w:gridSpan w:val="2"/>
          </w:tcPr>
          <w:p>
            <w:pPr>
              <w:jc w:val="center"/>
              <w:spacing w:after="0"/>
              <w:rPr>
                <w:sz w:val="20"/>
                <w:szCs w:val="20"/>
                <w:color w:val="auto"/>
              </w:rPr>
            </w:pPr>
            <w:r>
              <w:rPr>
                <w:rFonts w:ascii="Arial" w:cs="Arial" w:eastAsia="Arial" w:hAnsi="Arial"/>
                <w:sz w:val="14"/>
                <w:szCs w:val="14"/>
                <w:color w:val="010035"/>
              </w:rPr>
              <w:t>2,835,000</w:t>
            </w:r>
          </w:p>
        </w:tc>
        <w:tc>
          <w:tcPr>
            <w:tcW w:w="1360" w:type="dxa"/>
            <w:vAlign w:val="bottom"/>
          </w:tcPr>
          <w:p>
            <w:pPr>
              <w:jc w:val="center"/>
              <w:spacing w:after="0"/>
              <w:rPr>
                <w:sz w:val="20"/>
                <w:szCs w:val="20"/>
                <w:color w:val="auto"/>
              </w:rPr>
            </w:pPr>
            <w:r>
              <w:rPr>
                <w:rFonts w:ascii="Arial" w:cs="Arial" w:eastAsia="Arial" w:hAnsi="Arial"/>
                <w:sz w:val="14"/>
                <w:szCs w:val="14"/>
                <w:color w:val="010035"/>
              </w:rPr>
              <w:t>413,457</w:t>
            </w:r>
          </w:p>
        </w:tc>
        <w:tc>
          <w:tcPr>
            <w:tcW w:w="900" w:type="dxa"/>
            <w:vAlign w:val="bottom"/>
          </w:tcPr>
          <w:p>
            <w:pPr>
              <w:jc w:val="center"/>
              <w:spacing w:after="0"/>
              <w:rPr>
                <w:sz w:val="20"/>
                <w:szCs w:val="20"/>
                <w:color w:val="auto"/>
              </w:rPr>
            </w:pPr>
            <w:r>
              <w:rPr>
                <w:rFonts w:ascii="Arial" w:cs="Arial" w:eastAsia="Arial" w:hAnsi="Arial"/>
                <w:sz w:val="14"/>
                <w:szCs w:val="14"/>
                <w:color w:val="010035"/>
              </w:rPr>
              <w:t>26,676,300</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010035"/>
              </w:rPr>
              <w:t>Officer and President</w:t>
            </w:r>
          </w:p>
        </w:tc>
        <w:tc>
          <w:tcPr>
            <w:tcW w:w="480" w:type="dxa"/>
            <w:vAlign w:val="bottom"/>
            <w:gridSpan w:val="2"/>
            <w:vMerge w:val="restart"/>
          </w:tcPr>
          <w:p>
            <w:pPr>
              <w:jc w:val="center"/>
              <w:ind w:left="8"/>
              <w:spacing w:after="0"/>
              <w:rPr>
                <w:sz w:val="20"/>
                <w:szCs w:val="20"/>
                <w:color w:val="auto"/>
              </w:rPr>
            </w:pPr>
            <w:r>
              <w:rPr>
                <w:rFonts w:ascii="Arial" w:cs="Arial" w:eastAsia="Arial" w:hAnsi="Arial"/>
                <w:sz w:val="14"/>
                <w:szCs w:val="14"/>
                <w:color w:val="010035"/>
              </w:rPr>
              <w:t>2023</w:t>
            </w:r>
          </w:p>
        </w:tc>
        <w:tc>
          <w:tcPr>
            <w:tcW w:w="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010035"/>
              </w:rPr>
              <w:t>1,800,000</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010035"/>
              </w:rPr>
              <w:t>3,388,480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010035"/>
              </w:rPr>
              <w:t>5,564,999</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color w:val="010035"/>
              </w:rPr>
              <w:t>4,365,000</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010035"/>
              </w:rPr>
              <w:t>423,826</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010035"/>
              </w:rPr>
              <w:t>15,542,305</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60" w:type="dxa"/>
            <w:vAlign w:val="bottom"/>
            <w:gridSpan w:val="2"/>
          </w:tcPr>
          <w:p>
            <w:pPr>
              <w:spacing w:after="0"/>
              <w:rPr>
                <w:sz w:val="5"/>
                <w:szCs w:val="5"/>
                <w:color w:val="auto"/>
              </w:rPr>
            </w:pPr>
          </w:p>
        </w:tc>
        <w:tc>
          <w:tcPr>
            <w:tcW w:w="1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DED8EC"/>
          </w:tcPr>
          <w:p>
            <w:pPr>
              <w:spacing w:after="0"/>
              <w:rPr>
                <w:sz w:val="21"/>
                <w:szCs w:val="21"/>
                <w:color w:val="auto"/>
              </w:rPr>
            </w:pPr>
          </w:p>
        </w:tc>
        <w:tc>
          <w:tcPr>
            <w:tcW w:w="1900" w:type="dxa"/>
            <w:vAlign w:val="bottom"/>
            <w:vMerge w:val="restart"/>
            <w:shd w:val="clear" w:color="auto" w:fill="DED8EC"/>
          </w:tcPr>
          <w:p>
            <w:pPr>
              <w:ind w:left="20"/>
              <w:spacing w:after="0"/>
              <w:rPr>
                <w:sz w:val="20"/>
                <w:szCs w:val="20"/>
                <w:color w:val="auto"/>
              </w:rPr>
            </w:pPr>
            <w:r>
              <w:rPr>
                <w:rFonts w:ascii="Arial" w:cs="Arial" w:eastAsia="Arial" w:hAnsi="Arial"/>
                <w:sz w:val="14"/>
                <w:szCs w:val="14"/>
                <w:b w:val="1"/>
                <w:bCs w:val="1"/>
                <w:color w:val="010035"/>
              </w:rPr>
              <w:t>Felicia Hendrix</w:t>
            </w:r>
          </w:p>
        </w:tc>
        <w:tc>
          <w:tcPr>
            <w:tcW w:w="100" w:type="dxa"/>
            <w:vAlign w:val="bottom"/>
            <w:shd w:val="clear" w:color="auto" w:fill="DED8EC"/>
          </w:tcPr>
          <w:p>
            <w:pPr>
              <w:spacing w:after="0"/>
              <w:rPr>
                <w:sz w:val="21"/>
                <w:szCs w:val="21"/>
                <w:color w:val="auto"/>
              </w:rPr>
            </w:pPr>
          </w:p>
        </w:tc>
        <w:tc>
          <w:tcPr>
            <w:tcW w:w="38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2025</w:t>
            </w:r>
          </w:p>
        </w:tc>
        <w:tc>
          <w:tcPr>
            <w:tcW w:w="80" w:type="dxa"/>
            <w:vAlign w:val="bottom"/>
            <w:shd w:val="clear" w:color="auto" w:fill="DED8EC"/>
          </w:tcPr>
          <w:p>
            <w:pPr>
              <w:spacing w:after="0"/>
              <w:rPr>
                <w:sz w:val="21"/>
                <w:szCs w:val="21"/>
                <w:color w:val="auto"/>
              </w:rPr>
            </w:pPr>
          </w:p>
        </w:tc>
        <w:tc>
          <w:tcPr>
            <w:tcW w:w="84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925,754</w:t>
            </w:r>
          </w:p>
        </w:tc>
        <w:tc>
          <w:tcPr>
            <w:tcW w:w="70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2,781,001</w:t>
            </w:r>
          </w:p>
        </w:tc>
        <w:tc>
          <w:tcPr>
            <w:tcW w:w="82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926,998</w:t>
            </w:r>
          </w:p>
        </w:tc>
        <w:tc>
          <w:tcPr>
            <w:tcW w:w="1360" w:type="dxa"/>
            <w:vAlign w:val="bottom"/>
            <w:gridSpan w:val="2"/>
            <w:shd w:val="clear" w:color="auto" w:fill="DED8EC"/>
          </w:tcPr>
          <w:p>
            <w:pPr>
              <w:jc w:val="center"/>
              <w:spacing w:after="0"/>
              <w:rPr>
                <w:sz w:val="20"/>
                <w:szCs w:val="20"/>
                <w:color w:val="auto"/>
              </w:rPr>
            </w:pPr>
            <w:r>
              <w:rPr>
                <w:rFonts w:ascii="Arial" w:cs="Arial" w:eastAsia="Arial" w:hAnsi="Arial"/>
                <w:sz w:val="14"/>
                <w:szCs w:val="14"/>
                <w:color w:val="010035"/>
              </w:rPr>
              <w:t>768,638</w:t>
            </w:r>
          </w:p>
        </w:tc>
        <w:tc>
          <w:tcPr>
            <w:tcW w:w="136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104,475</w:t>
            </w:r>
          </w:p>
        </w:tc>
        <w:tc>
          <w:tcPr>
            <w:tcW w:w="90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5,506,866</w:t>
            </w:r>
          </w:p>
        </w:tc>
        <w:tc>
          <w:tcPr>
            <w:tcW w:w="0" w:type="dxa"/>
            <w:vAlign w:val="bottom"/>
          </w:tcPr>
          <w:p>
            <w:pPr>
              <w:spacing w:after="0"/>
              <w:rPr>
                <w:sz w:val="1"/>
                <w:szCs w:val="1"/>
                <w:color w:val="auto"/>
              </w:rPr>
            </w:pPr>
          </w:p>
        </w:tc>
      </w:tr>
      <w:tr>
        <w:trPr>
          <w:trHeight w:val="120"/>
        </w:trPr>
        <w:tc>
          <w:tcPr>
            <w:tcW w:w="40" w:type="dxa"/>
            <w:vAlign w:val="bottom"/>
            <w:shd w:val="clear" w:color="auto" w:fill="DED8EC"/>
          </w:tcPr>
          <w:p>
            <w:pPr>
              <w:spacing w:after="0"/>
              <w:rPr>
                <w:sz w:val="10"/>
                <w:szCs w:val="10"/>
                <w:color w:val="auto"/>
              </w:rPr>
            </w:pPr>
          </w:p>
        </w:tc>
        <w:tc>
          <w:tcPr>
            <w:tcW w:w="1900" w:type="dxa"/>
            <w:vAlign w:val="bottom"/>
            <w:vMerge w:val="continue"/>
            <w:shd w:val="clear" w:color="auto" w:fill="DED8EC"/>
          </w:tcPr>
          <w:p>
            <w:pPr>
              <w:spacing w:after="0"/>
              <w:rPr>
                <w:sz w:val="10"/>
                <w:szCs w:val="10"/>
                <w:color w:val="auto"/>
              </w:rPr>
            </w:pPr>
          </w:p>
        </w:tc>
        <w:tc>
          <w:tcPr>
            <w:tcW w:w="100" w:type="dxa"/>
            <w:vAlign w:val="bottom"/>
            <w:shd w:val="clear" w:color="auto" w:fill="DED8EC"/>
          </w:tcPr>
          <w:p>
            <w:pPr>
              <w:spacing w:after="0"/>
              <w:rPr>
                <w:sz w:val="10"/>
                <w:szCs w:val="10"/>
                <w:color w:val="auto"/>
              </w:rPr>
            </w:pPr>
          </w:p>
        </w:tc>
        <w:tc>
          <w:tcPr>
            <w:tcW w:w="380" w:type="dxa"/>
            <w:vAlign w:val="bottom"/>
            <w:shd w:val="clear" w:color="auto" w:fill="DED8EC"/>
          </w:tcPr>
          <w:p>
            <w:pPr>
              <w:spacing w:after="0"/>
              <w:rPr>
                <w:sz w:val="10"/>
                <w:szCs w:val="10"/>
                <w:color w:val="auto"/>
              </w:rPr>
            </w:pPr>
          </w:p>
        </w:tc>
        <w:tc>
          <w:tcPr>
            <w:tcW w:w="80" w:type="dxa"/>
            <w:vAlign w:val="bottom"/>
            <w:shd w:val="clear" w:color="auto" w:fill="DED8EC"/>
          </w:tcPr>
          <w:p>
            <w:pPr>
              <w:spacing w:after="0"/>
              <w:rPr>
                <w:sz w:val="10"/>
                <w:szCs w:val="10"/>
                <w:color w:val="auto"/>
              </w:rPr>
            </w:pPr>
          </w:p>
        </w:tc>
        <w:tc>
          <w:tcPr>
            <w:tcW w:w="840" w:type="dxa"/>
            <w:vAlign w:val="bottom"/>
            <w:shd w:val="clear" w:color="auto" w:fill="DED8EC"/>
          </w:tcPr>
          <w:p>
            <w:pPr>
              <w:spacing w:after="0"/>
              <w:rPr>
                <w:sz w:val="10"/>
                <w:szCs w:val="10"/>
                <w:color w:val="auto"/>
              </w:rPr>
            </w:pPr>
          </w:p>
        </w:tc>
        <w:tc>
          <w:tcPr>
            <w:tcW w:w="700" w:type="dxa"/>
            <w:vAlign w:val="bottom"/>
            <w:shd w:val="clear" w:color="auto" w:fill="DED8EC"/>
          </w:tcPr>
          <w:p>
            <w:pPr>
              <w:spacing w:after="0"/>
              <w:rPr>
                <w:sz w:val="10"/>
                <w:szCs w:val="10"/>
                <w:color w:val="auto"/>
              </w:rPr>
            </w:pPr>
          </w:p>
        </w:tc>
        <w:tc>
          <w:tcPr>
            <w:tcW w:w="920" w:type="dxa"/>
            <w:vAlign w:val="bottom"/>
            <w:shd w:val="clear" w:color="auto" w:fill="DED8EC"/>
          </w:tcPr>
          <w:p>
            <w:pPr>
              <w:spacing w:after="0"/>
              <w:rPr>
                <w:sz w:val="10"/>
                <w:szCs w:val="10"/>
                <w:color w:val="auto"/>
              </w:rPr>
            </w:pPr>
          </w:p>
        </w:tc>
        <w:tc>
          <w:tcPr>
            <w:tcW w:w="820" w:type="dxa"/>
            <w:vAlign w:val="bottom"/>
            <w:shd w:val="clear" w:color="auto" w:fill="DED8EC"/>
          </w:tcPr>
          <w:p>
            <w:pPr>
              <w:spacing w:after="0"/>
              <w:rPr>
                <w:sz w:val="10"/>
                <w:szCs w:val="10"/>
                <w:color w:val="auto"/>
              </w:rPr>
            </w:pPr>
          </w:p>
        </w:tc>
        <w:tc>
          <w:tcPr>
            <w:tcW w:w="700" w:type="dxa"/>
            <w:vAlign w:val="bottom"/>
            <w:shd w:val="clear" w:color="auto" w:fill="DED8EC"/>
          </w:tcPr>
          <w:p>
            <w:pPr>
              <w:spacing w:after="0"/>
              <w:rPr>
                <w:sz w:val="10"/>
                <w:szCs w:val="10"/>
                <w:color w:val="auto"/>
              </w:rPr>
            </w:pPr>
          </w:p>
        </w:tc>
        <w:tc>
          <w:tcPr>
            <w:tcW w:w="660" w:type="dxa"/>
            <w:vAlign w:val="bottom"/>
            <w:shd w:val="clear" w:color="auto" w:fill="DED8EC"/>
          </w:tcPr>
          <w:p>
            <w:pPr>
              <w:spacing w:after="0"/>
              <w:rPr>
                <w:sz w:val="10"/>
                <w:szCs w:val="10"/>
                <w:color w:val="auto"/>
              </w:rPr>
            </w:pPr>
          </w:p>
        </w:tc>
        <w:tc>
          <w:tcPr>
            <w:tcW w:w="1360" w:type="dxa"/>
            <w:vAlign w:val="bottom"/>
            <w:shd w:val="clear" w:color="auto" w:fill="DED8EC"/>
          </w:tcPr>
          <w:p>
            <w:pPr>
              <w:spacing w:after="0"/>
              <w:rPr>
                <w:sz w:val="10"/>
                <w:szCs w:val="10"/>
                <w:color w:val="auto"/>
              </w:rPr>
            </w:pPr>
          </w:p>
        </w:tc>
        <w:tc>
          <w:tcPr>
            <w:tcW w:w="900" w:type="dxa"/>
            <w:vAlign w:val="bottom"/>
            <w:shd w:val="clear" w:color="auto" w:fill="DED8E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DED8EC"/>
          </w:tcPr>
          <w:p>
            <w:pPr>
              <w:spacing w:after="0"/>
              <w:rPr>
                <w:sz w:val="14"/>
                <w:szCs w:val="14"/>
                <w:color w:val="auto"/>
              </w:rPr>
            </w:pPr>
          </w:p>
        </w:tc>
        <w:tc>
          <w:tcPr>
            <w:tcW w:w="1900" w:type="dxa"/>
            <w:vAlign w:val="bottom"/>
            <w:shd w:val="clear" w:color="auto" w:fill="DED8EC"/>
          </w:tcPr>
          <w:p>
            <w:pPr>
              <w:ind w:left="20"/>
              <w:spacing w:after="0"/>
              <w:rPr>
                <w:sz w:val="20"/>
                <w:szCs w:val="20"/>
                <w:color w:val="auto"/>
              </w:rPr>
            </w:pPr>
            <w:r>
              <w:rPr>
                <w:rFonts w:ascii="Arial" w:cs="Arial" w:eastAsia="Arial" w:hAnsi="Arial"/>
                <w:sz w:val="14"/>
                <w:szCs w:val="14"/>
                <w:color w:val="010035"/>
              </w:rPr>
              <w:t>Executive Vice President,</w:t>
            </w:r>
          </w:p>
        </w:tc>
        <w:tc>
          <w:tcPr>
            <w:tcW w:w="100" w:type="dxa"/>
            <w:vAlign w:val="bottom"/>
            <w:shd w:val="clear" w:color="auto" w:fill="DED8EC"/>
          </w:tcPr>
          <w:p>
            <w:pPr>
              <w:spacing w:after="0"/>
              <w:rPr>
                <w:sz w:val="14"/>
                <w:szCs w:val="14"/>
                <w:color w:val="auto"/>
              </w:rPr>
            </w:pPr>
          </w:p>
        </w:tc>
        <w:tc>
          <w:tcPr>
            <w:tcW w:w="38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2024</w:t>
            </w:r>
          </w:p>
        </w:tc>
        <w:tc>
          <w:tcPr>
            <w:tcW w:w="80" w:type="dxa"/>
            <w:vAlign w:val="bottom"/>
            <w:shd w:val="clear" w:color="auto" w:fill="DED8EC"/>
          </w:tcPr>
          <w:p>
            <w:pPr>
              <w:spacing w:after="0"/>
              <w:rPr>
                <w:sz w:val="14"/>
                <w:szCs w:val="14"/>
                <w:color w:val="auto"/>
              </w:rPr>
            </w:pPr>
          </w:p>
        </w:tc>
        <w:tc>
          <w:tcPr>
            <w:tcW w:w="84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898,077</w:t>
            </w:r>
          </w:p>
        </w:tc>
        <w:tc>
          <w:tcPr>
            <w:tcW w:w="70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2,450,090</w:t>
            </w:r>
          </w:p>
        </w:tc>
        <w:tc>
          <w:tcPr>
            <w:tcW w:w="82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1,800,008</w:t>
            </w:r>
          </w:p>
        </w:tc>
        <w:tc>
          <w:tcPr>
            <w:tcW w:w="1360" w:type="dxa"/>
            <w:vAlign w:val="bottom"/>
            <w:gridSpan w:val="2"/>
            <w:shd w:val="clear" w:color="auto" w:fill="DED8EC"/>
          </w:tcPr>
          <w:p>
            <w:pPr>
              <w:jc w:val="center"/>
              <w:spacing w:after="0"/>
              <w:rPr>
                <w:sz w:val="20"/>
                <w:szCs w:val="20"/>
                <w:color w:val="auto"/>
              </w:rPr>
            </w:pPr>
            <w:r>
              <w:rPr>
                <w:rFonts w:ascii="Arial" w:cs="Arial" w:eastAsia="Arial" w:hAnsi="Arial"/>
                <w:sz w:val="14"/>
                <w:szCs w:val="14"/>
                <w:color w:val="010035"/>
              </w:rPr>
              <w:t>708,750</w:t>
            </w:r>
          </w:p>
        </w:tc>
        <w:tc>
          <w:tcPr>
            <w:tcW w:w="136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106,829</w:t>
            </w:r>
          </w:p>
        </w:tc>
        <w:tc>
          <w:tcPr>
            <w:tcW w:w="90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5,963,754</w:t>
            </w:r>
          </w:p>
        </w:tc>
        <w:tc>
          <w:tcPr>
            <w:tcW w:w="0" w:type="dxa"/>
            <w:vAlign w:val="bottom"/>
          </w:tcPr>
          <w:p>
            <w:pPr>
              <w:spacing w:after="0"/>
              <w:rPr>
                <w:sz w:val="1"/>
                <w:szCs w:val="1"/>
                <w:color w:val="auto"/>
              </w:rPr>
            </w:pPr>
          </w:p>
        </w:tc>
      </w:tr>
      <w:tr>
        <w:trPr>
          <w:trHeight w:val="190"/>
        </w:trPr>
        <w:tc>
          <w:tcPr>
            <w:tcW w:w="40" w:type="dxa"/>
            <w:vAlign w:val="bottom"/>
            <w:shd w:val="clear" w:color="auto" w:fill="DED8EC"/>
          </w:tcPr>
          <w:p>
            <w:pPr>
              <w:spacing w:after="0"/>
              <w:rPr>
                <w:sz w:val="16"/>
                <w:szCs w:val="16"/>
                <w:color w:val="auto"/>
              </w:rPr>
            </w:pPr>
          </w:p>
        </w:tc>
        <w:tc>
          <w:tcPr>
            <w:tcW w:w="1900" w:type="dxa"/>
            <w:vAlign w:val="bottom"/>
            <w:shd w:val="clear" w:color="auto" w:fill="DED8EC"/>
          </w:tcPr>
          <w:p>
            <w:pPr>
              <w:ind w:left="20"/>
              <w:spacing w:after="0"/>
              <w:rPr>
                <w:sz w:val="20"/>
                <w:szCs w:val="20"/>
                <w:color w:val="auto"/>
              </w:rPr>
            </w:pPr>
            <w:r>
              <w:rPr>
                <w:rFonts w:ascii="Arial" w:cs="Arial" w:eastAsia="Arial" w:hAnsi="Arial"/>
                <w:sz w:val="14"/>
                <w:szCs w:val="14"/>
                <w:color w:val="010035"/>
              </w:rPr>
              <w:t>Chief Financial Officer</w:t>
            </w:r>
          </w:p>
        </w:tc>
        <w:tc>
          <w:tcPr>
            <w:tcW w:w="100" w:type="dxa"/>
            <w:vAlign w:val="bottom"/>
            <w:shd w:val="clear" w:color="auto" w:fill="DED8EC"/>
          </w:tcPr>
          <w:p>
            <w:pPr>
              <w:spacing w:after="0"/>
              <w:rPr>
                <w:sz w:val="16"/>
                <w:szCs w:val="16"/>
                <w:color w:val="auto"/>
              </w:rPr>
            </w:pPr>
          </w:p>
        </w:tc>
        <w:tc>
          <w:tcPr>
            <w:tcW w:w="38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2023</w:t>
            </w:r>
          </w:p>
        </w:tc>
        <w:tc>
          <w:tcPr>
            <w:tcW w:w="80" w:type="dxa"/>
            <w:vAlign w:val="bottom"/>
            <w:shd w:val="clear" w:color="auto" w:fill="DED8EC"/>
          </w:tcPr>
          <w:p>
            <w:pPr>
              <w:spacing w:after="0"/>
              <w:rPr>
                <w:sz w:val="16"/>
                <w:szCs w:val="16"/>
                <w:color w:val="auto"/>
              </w:rPr>
            </w:pPr>
          </w:p>
        </w:tc>
        <w:tc>
          <w:tcPr>
            <w:tcW w:w="84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844,808</w:t>
            </w:r>
          </w:p>
        </w:tc>
        <w:tc>
          <w:tcPr>
            <w:tcW w:w="70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751,055</w:t>
            </w:r>
          </w:p>
        </w:tc>
        <w:tc>
          <w:tcPr>
            <w:tcW w:w="82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1,487,504</w:t>
            </w:r>
          </w:p>
        </w:tc>
        <w:tc>
          <w:tcPr>
            <w:tcW w:w="1360" w:type="dxa"/>
            <w:vAlign w:val="bottom"/>
            <w:gridSpan w:val="2"/>
            <w:vMerge w:val="restart"/>
            <w:shd w:val="clear" w:color="auto" w:fill="DED8EC"/>
          </w:tcPr>
          <w:p>
            <w:pPr>
              <w:jc w:val="center"/>
              <w:spacing w:after="0"/>
              <w:rPr>
                <w:sz w:val="20"/>
                <w:szCs w:val="20"/>
                <w:color w:val="auto"/>
              </w:rPr>
            </w:pPr>
            <w:r>
              <w:rPr>
                <w:rFonts w:ascii="Arial" w:cs="Arial" w:eastAsia="Arial" w:hAnsi="Arial"/>
                <w:sz w:val="14"/>
                <w:szCs w:val="14"/>
                <w:color w:val="010035"/>
              </w:rPr>
              <w:t>824,500</w:t>
            </w:r>
          </w:p>
        </w:tc>
        <w:tc>
          <w:tcPr>
            <w:tcW w:w="136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100,150</w:t>
            </w:r>
          </w:p>
        </w:tc>
        <w:tc>
          <w:tcPr>
            <w:tcW w:w="90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4,008,017</w:t>
            </w:r>
          </w:p>
        </w:tc>
        <w:tc>
          <w:tcPr>
            <w:tcW w:w="0" w:type="dxa"/>
            <w:vAlign w:val="bottom"/>
          </w:tcPr>
          <w:p>
            <w:pPr>
              <w:spacing w:after="0"/>
              <w:rPr>
                <w:sz w:val="1"/>
                <w:szCs w:val="1"/>
                <w:color w:val="auto"/>
              </w:rPr>
            </w:pPr>
          </w:p>
        </w:tc>
      </w:tr>
      <w:tr>
        <w:trPr>
          <w:trHeight w:val="148"/>
        </w:trPr>
        <w:tc>
          <w:tcPr>
            <w:tcW w:w="40" w:type="dxa"/>
            <w:vAlign w:val="bottom"/>
            <w:shd w:val="clear" w:color="auto" w:fill="DED8EC"/>
          </w:tcPr>
          <w:p>
            <w:pPr>
              <w:spacing w:after="0"/>
              <w:rPr>
                <w:sz w:val="12"/>
                <w:szCs w:val="12"/>
                <w:color w:val="auto"/>
              </w:rPr>
            </w:pPr>
          </w:p>
        </w:tc>
        <w:tc>
          <w:tcPr>
            <w:tcW w:w="1900" w:type="dxa"/>
            <w:vAlign w:val="bottom"/>
            <w:shd w:val="clear" w:color="auto" w:fill="DED8EC"/>
          </w:tcPr>
          <w:p>
            <w:pPr>
              <w:spacing w:after="0"/>
              <w:rPr>
                <w:sz w:val="12"/>
                <w:szCs w:val="12"/>
                <w:color w:val="auto"/>
              </w:rPr>
            </w:pPr>
          </w:p>
        </w:tc>
        <w:tc>
          <w:tcPr>
            <w:tcW w:w="100" w:type="dxa"/>
            <w:vAlign w:val="bottom"/>
            <w:shd w:val="clear" w:color="auto" w:fill="DED8EC"/>
          </w:tcPr>
          <w:p>
            <w:pPr>
              <w:spacing w:after="0"/>
              <w:rPr>
                <w:sz w:val="12"/>
                <w:szCs w:val="12"/>
                <w:color w:val="auto"/>
              </w:rPr>
            </w:pPr>
          </w:p>
        </w:tc>
        <w:tc>
          <w:tcPr>
            <w:tcW w:w="380" w:type="dxa"/>
            <w:vAlign w:val="bottom"/>
            <w:vMerge w:val="continue"/>
            <w:shd w:val="clear" w:color="auto" w:fill="DED8EC"/>
          </w:tcPr>
          <w:p>
            <w:pPr>
              <w:spacing w:after="0"/>
              <w:rPr>
                <w:sz w:val="12"/>
                <w:szCs w:val="12"/>
                <w:color w:val="auto"/>
              </w:rPr>
            </w:pPr>
          </w:p>
        </w:tc>
        <w:tc>
          <w:tcPr>
            <w:tcW w:w="80" w:type="dxa"/>
            <w:vAlign w:val="bottom"/>
            <w:shd w:val="clear" w:color="auto" w:fill="DED8EC"/>
          </w:tcPr>
          <w:p>
            <w:pPr>
              <w:spacing w:after="0"/>
              <w:rPr>
                <w:sz w:val="12"/>
                <w:szCs w:val="12"/>
                <w:color w:val="auto"/>
              </w:rPr>
            </w:pPr>
          </w:p>
        </w:tc>
        <w:tc>
          <w:tcPr>
            <w:tcW w:w="840" w:type="dxa"/>
            <w:vAlign w:val="bottom"/>
            <w:vMerge w:val="continue"/>
            <w:shd w:val="clear" w:color="auto" w:fill="DED8EC"/>
          </w:tcPr>
          <w:p>
            <w:pPr>
              <w:spacing w:after="0"/>
              <w:rPr>
                <w:sz w:val="12"/>
                <w:szCs w:val="12"/>
                <w:color w:val="auto"/>
              </w:rPr>
            </w:pPr>
          </w:p>
        </w:tc>
        <w:tc>
          <w:tcPr>
            <w:tcW w:w="700" w:type="dxa"/>
            <w:vAlign w:val="bottom"/>
            <w:vMerge w:val="continue"/>
            <w:shd w:val="clear" w:color="auto" w:fill="DED8EC"/>
          </w:tcPr>
          <w:p>
            <w:pPr>
              <w:spacing w:after="0"/>
              <w:rPr>
                <w:sz w:val="12"/>
                <w:szCs w:val="12"/>
                <w:color w:val="auto"/>
              </w:rPr>
            </w:pPr>
          </w:p>
        </w:tc>
        <w:tc>
          <w:tcPr>
            <w:tcW w:w="920" w:type="dxa"/>
            <w:vAlign w:val="bottom"/>
            <w:vMerge w:val="continue"/>
            <w:shd w:val="clear" w:color="auto" w:fill="DED8EC"/>
          </w:tcPr>
          <w:p>
            <w:pPr>
              <w:spacing w:after="0"/>
              <w:rPr>
                <w:sz w:val="12"/>
                <w:szCs w:val="12"/>
                <w:color w:val="auto"/>
              </w:rPr>
            </w:pPr>
          </w:p>
        </w:tc>
        <w:tc>
          <w:tcPr>
            <w:tcW w:w="820" w:type="dxa"/>
            <w:vAlign w:val="bottom"/>
            <w:vMerge w:val="continue"/>
            <w:shd w:val="clear" w:color="auto" w:fill="DED8EC"/>
          </w:tcPr>
          <w:p>
            <w:pPr>
              <w:spacing w:after="0"/>
              <w:rPr>
                <w:sz w:val="12"/>
                <w:szCs w:val="12"/>
                <w:color w:val="auto"/>
              </w:rPr>
            </w:pPr>
          </w:p>
        </w:tc>
        <w:tc>
          <w:tcPr>
            <w:tcW w:w="1360" w:type="dxa"/>
            <w:vAlign w:val="bottom"/>
            <w:gridSpan w:val="2"/>
            <w:vMerge w:val="continue"/>
            <w:shd w:val="clear" w:color="auto" w:fill="DED8EC"/>
          </w:tcPr>
          <w:p>
            <w:pPr>
              <w:spacing w:after="0"/>
              <w:rPr>
                <w:sz w:val="12"/>
                <w:szCs w:val="12"/>
                <w:color w:val="auto"/>
              </w:rPr>
            </w:pPr>
          </w:p>
        </w:tc>
        <w:tc>
          <w:tcPr>
            <w:tcW w:w="1360" w:type="dxa"/>
            <w:vAlign w:val="bottom"/>
            <w:vMerge w:val="continue"/>
            <w:shd w:val="clear" w:color="auto" w:fill="DED8EC"/>
          </w:tcPr>
          <w:p>
            <w:pPr>
              <w:spacing w:after="0"/>
              <w:rPr>
                <w:sz w:val="12"/>
                <w:szCs w:val="12"/>
                <w:color w:val="auto"/>
              </w:rPr>
            </w:pPr>
          </w:p>
        </w:tc>
        <w:tc>
          <w:tcPr>
            <w:tcW w:w="900" w:type="dxa"/>
            <w:vAlign w:val="bottom"/>
            <w:vMerge w:val="continue"/>
            <w:shd w:val="clear" w:color="auto" w:fill="DED8EC"/>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40" w:type="dxa"/>
            <w:vAlign w:val="bottom"/>
            <w:shd w:val="clear" w:color="auto" w:fill="DED8EC"/>
          </w:tcPr>
          <w:p>
            <w:pPr>
              <w:spacing w:after="0"/>
              <w:rPr>
                <w:sz w:val="5"/>
                <w:szCs w:val="5"/>
                <w:color w:val="auto"/>
              </w:rPr>
            </w:pPr>
          </w:p>
        </w:tc>
        <w:tc>
          <w:tcPr>
            <w:tcW w:w="1900" w:type="dxa"/>
            <w:vAlign w:val="bottom"/>
            <w:shd w:val="clear" w:color="auto" w:fill="DED8EC"/>
          </w:tcPr>
          <w:p>
            <w:pPr>
              <w:spacing w:after="0"/>
              <w:rPr>
                <w:sz w:val="5"/>
                <w:szCs w:val="5"/>
                <w:color w:val="auto"/>
              </w:rPr>
            </w:pPr>
          </w:p>
        </w:tc>
        <w:tc>
          <w:tcPr>
            <w:tcW w:w="100" w:type="dxa"/>
            <w:vAlign w:val="bottom"/>
            <w:shd w:val="clear" w:color="auto" w:fill="DED8EC"/>
          </w:tcPr>
          <w:p>
            <w:pPr>
              <w:spacing w:after="0"/>
              <w:rPr>
                <w:sz w:val="5"/>
                <w:szCs w:val="5"/>
                <w:color w:val="auto"/>
              </w:rPr>
            </w:pPr>
          </w:p>
        </w:tc>
        <w:tc>
          <w:tcPr>
            <w:tcW w:w="380" w:type="dxa"/>
            <w:vAlign w:val="bottom"/>
            <w:shd w:val="clear" w:color="auto" w:fill="DED8EC"/>
          </w:tcPr>
          <w:p>
            <w:pPr>
              <w:spacing w:after="0"/>
              <w:rPr>
                <w:sz w:val="5"/>
                <w:szCs w:val="5"/>
                <w:color w:val="auto"/>
              </w:rPr>
            </w:pPr>
          </w:p>
        </w:tc>
        <w:tc>
          <w:tcPr>
            <w:tcW w:w="80" w:type="dxa"/>
            <w:vAlign w:val="bottom"/>
            <w:shd w:val="clear" w:color="auto" w:fill="DED8EC"/>
          </w:tcPr>
          <w:p>
            <w:pPr>
              <w:spacing w:after="0"/>
              <w:rPr>
                <w:sz w:val="5"/>
                <w:szCs w:val="5"/>
                <w:color w:val="auto"/>
              </w:rPr>
            </w:pPr>
          </w:p>
        </w:tc>
        <w:tc>
          <w:tcPr>
            <w:tcW w:w="840" w:type="dxa"/>
            <w:vAlign w:val="bottom"/>
            <w:shd w:val="clear" w:color="auto" w:fill="DED8EC"/>
          </w:tcPr>
          <w:p>
            <w:pPr>
              <w:spacing w:after="0"/>
              <w:rPr>
                <w:sz w:val="5"/>
                <w:szCs w:val="5"/>
                <w:color w:val="auto"/>
              </w:rPr>
            </w:pPr>
          </w:p>
        </w:tc>
        <w:tc>
          <w:tcPr>
            <w:tcW w:w="700" w:type="dxa"/>
            <w:vAlign w:val="bottom"/>
            <w:shd w:val="clear" w:color="auto" w:fill="DED8EC"/>
          </w:tcPr>
          <w:p>
            <w:pPr>
              <w:spacing w:after="0"/>
              <w:rPr>
                <w:sz w:val="5"/>
                <w:szCs w:val="5"/>
                <w:color w:val="auto"/>
              </w:rPr>
            </w:pPr>
          </w:p>
        </w:tc>
        <w:tc>
          <w:tcPr>
            <w:tcW w:w="920" w:type="dxa"/>
            <w:vAlign w:val="bottom"/>
            <w:shd w:val="clear" w:color="auto" w:fill="DED8EC"/>
          </w:tcPr>
          <w:p>
            <w:pPr>
              <w:spacing w:after="0"/>
              <w:rPr>
                <w:sz w:val="5"/>
                <w:szCs w:val="5"/>
                <w:color w:val="auto"/>
              </w:rPr>
            </w:pPr>
          </w:p>
        </w:tc>
        <w:tc>
          <w:tcPr>
            <w:tcW w:w="820" w:type="dxa"/>
            <w:vAlign w:val="bottom"/>
            <w:shd w:val="clear" w:color="auto" w:fill="DED8EC"/>
          </w:tcPr>
          <w:p>
            <w:pPr>
              <w:spacing w:after="0"/>
              <w:rPr>
                <w:sz w:val="5"/>
                <w:szCs w:val="5"/>
                <w:color w:val="auto"/>
              </w:rPr>
            </w:pPr>
          </w:p>
        </w:tc>
        <w:tc>
          <w:tcPr>
            <w:tcW w:w="1360" w:type="dxa"/>
            <w:vAlign w:val="bottom"/>
            <w:gridSpan w:val="2"/>
            <w:shd w:val="clear" w:color="auto" w:fill="DED8EC"/>
          </w:tcPr>
          <w:p>
            <w:pPr>
              <w:spacing w:after="0"/>
              <w:rPr>
                <w:sz w:val="5"/>
                <w:szCs w:val="5"/>
                <w:color w:val="auto"/>
              </w:rPr>
            </w:pPr>
          </w:p>
        </w:tc>
        <w:tc>
          <w:tcPr>
            <w:tcW w:w="1360" w:type="dxa"/>
            <w:vAlign w:val="bottom"/>
            <w:shd w:val="clear" w:color="auto" w:fill="DED8EC"/>
          </w:tcPr>
          <w:p>
            <w:pPr>
              <w:spacing w:after="0"/>
              <w:rPr>
                <w:sz w:val="5"/>
                <w:szCs w:val="5"/>
                <w:color w:val="auto"/>
              </w:rPr>
            </w:pPr>
          </w:p>
        </w:tc>
        <w:tc>
          <w:tcPr>
            <w:tcW w:w="90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Arial" w:cs="Arial" w:eastAsia="Arial" w:hAnsi="Arial"/>
                <w:sz w:val="14"/>
                <w:szCs w:val="14"/>
                <w:b w:val="1"/>
                <w:bCs w:val="1"/>
                <w:color w:val="010035"/>
              </w:rPr>
              <w:t>Chris Rogers</w:t>
            </w:r>
          </w:p>
        </w:tc>
        <w:tc>
          <w:tcPr>
            <w:tcW w:w="480" w:type="dxa"/>
            <w:vAlign w:val="bottom"/>
            <w:gridSpan w:val="2"/>
          </w:tcPr>
          <w:p>
            <w:pPr>
              <w:jc w:val="center"/>
              <w:ind w:left="8"/>
              <w:spacing w:after="0"/>
              <w:rPr>
                <w:sz w:val="20"/>
                <w:szCs w:val="20"/>
                <w:color w:val="auto"/>
              </w:rPr>
            </w:pPr>
            <w:r>
              <w:rPr>
                <w:rFonts w:ascii="Arial" w:cs="Arial" w:eastAsia="Arial" w:hAnsi="Arial"/>
                <w:sz w:val="14"/>
                <w:szCs w:val="14"/>
                <w:color w:val="010035"/>
              </w:rPr>
              <w:t>2025</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010035"/>
              </w:rPr>
              <w:t>822,892</w:t>
            </w:r>
          </w:p>
        </w:tc>
        <w:tc>
          <w:tcPr>
            <w:tcW w:w="70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010035"/>
              </w:rPr>
              <w:t>2,471,985</w:t>
            </w:r>
          </w:p>
        </w:tc>
        <w:tc>
          <w:tcPr>
            <w:tcW w:w="820" w:type="dxa"/>
            <w:vAlign w:val="bottom"/>
          </w:tcPr>
          <w:p>
            <w:pPr>
              <w:jc w:val="center"/>
              <w:spacing w:after="0"/>
              <w:rPr>
                <w:sz w:val="20"/>
                <w:szCs w:val="20"/>
                <w:color w:val="auto"/>
              </w:rPr>
            </w:pPr>
            <w:r>
              <w:rPr>
                <w:rFonts w:ascii="Arial" w:cs="Arial" w:eastAsia="Arial" w:hAnsi="Arial"/>
                <w:sz w:val="14"/>
                <w:szCs w:val="14"/>
                <w:color w:val="010035"/>
              </w:rPr>
              <w:t>824,002</w:t>
            </w:r>
          </w:p>
        </w:tc>
        <w:tc>
          <w:tcPr>
            <w:tcW w:w="1360" w:type="dxa"/>
            <w:vAlign w:val="bottom"/>
            <w:gridSpan w:val="2"/>
          </w:tcPr>
          <w:p>
            <w:pPr>
              <w:jc w:val="center"/>
              <w:spacing w:after="0"/>
              <w:rPr>
                <w:sz w:val="20"/>
                <w:szCs w:val="20"/>
                <w:color w:val="auto"/>
              </w:rPr>
            </w:pPr>
            <w:r>
              <w:rPr>
                <w:rFonts w:ascii="Arial" w:cs="Arial" w:eastAsia="Arial" w:hAnsi="Arial"/>
                <w:sz w:val="14"/>
                <w:szCs w:val="14"/>
                <w:color w:val="010035"/>
              </w:rPr>
              <w:t>683,233</w:t>
            </w:r>
          </w:p>
        </w:tc>
        <w:tc>
          <w:tcPr>
            <w:tcW w:w="1360" w:type="dxa"/>
            <w:vAlign w:val="bottom"/>
          </w:tcPr>
          <w:p>
            <w:pPr>
              <w:jc w:val="center"/>
              <w:spacing w:after="0"/>
              <w:rPr>
                <w:sz w:val="20"/>
                <w:szCs w:val="20"/>
                <w:color w:val="auto"/>
              </w:rPr>
            </w:pPr>
            <w:r>
              <w:rPr>
                <w:rFonts w:ascii="Arial" w:cs="Arial" w:eastAsia="Arial" w:hAnsi="Arial"/>
                <w:sz w:val="14"/>
                <w:szCs w:val="14"/>
                <w:color w:val="010035"/>
              </w:rPr>
              <w:t>95,395</w:t>
            </w:r>
          </w:p>
        </w:tc>
        <w:tc>
          <w:tcPr>
            <w:tcW w:w="900" w:type="dxa"/>
            <w:vAlign w:val="bottom"/>
          </w:tcPr>
          <w:p>
            <w:pPr>
              <w:jc w:val="center"/>
              <w:spacing w:after="0"/>
              <w:rPr>
                <w:sz w:val="20"/>
                <w:szCs w:val="20"/>
                <w:color w:val="auto"/>
              </w:rPr>
            </w:pPr>
            <w:r>
              <w:rPr>
                <w:rFonts w:ascii="Arial" w:cs="Arial" w:eastAsia="Arial" w:hAnsi="Arial"/>
                <w:sz w:val="14"/>
                <w:szCs w:val="14"/>
                <w:color w:val="010035"/>
              </w:rPr>
              <w:t>4,897,507</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010035"/>
              </w:rPr>
              <w:t>Executive Vice President,</w:t>
            </w:r>
          </w:p>
        </w:tc>
        <w:tc>
          <w:tcPr>
            <w:tcW w:w="480" w:type="dxa"/>
            <w:vAlign w:val="bottom"/>
            <w:gridSpan w:val="2"/>
            <w:vMerge w:val="restart"/>
          </w:tcPr>
          <w:p>
            <w:pPr>
              <w:jc w:val="center"/>
              <w:ind w:left="8"/>
              <w:spacing w:after="0"/>
              <w:rPr>
                <w:sz w:val="20"/>
                <w:szCs w:val="20"/>
                <w:color w:val="auto"/>
              </w:rPr>
            </w:pPr>
            <w:r>
              <w:rPr>
                <w:rFonts w:ascii="Arial" w:cs="Arial" w:eastAsia="Arial" w:hAnsi="Arial"/>
                <w:sz w:val="14"/>
                <w:szCs w:val="14"/>
                <w:color w:val="010035"/>
              </w:rPr>
              <w:t>2024</w:t>
            </w:r>
          </w:p>
        </w:tc>
        <w:tc>
          <w:tcPr>
            <w:tcW w:w="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010035"/>
                <w:w w:val="98"/>
              </w:rPr>
              <w:t>797,115</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010035"/>
              </w:rPr>
              <w:t>2,016,108</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010035"/>
              </w:rPr>
              <w:t>1,600,007</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color w:val="010035"/>
              </w:rPr>
              <w:t>630,000</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010035"/>
              </w:rPr>
              <w:t>95,918</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010035"/>
              </w:rPr>
              <w:t>5,139,148</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010035"/>
              </w:rPr>
              <w:t>Chief Strategy &amp; Legal</w:t>
            </w: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010035"/>
              </w:rPr>
              <w:t>Officer and Secretary</w:t>
            </w:r>
          </w:p>
        </w:tc>
        <w:tc>
          <w:tcPr>
            <w:tcW w:w="480" w:type="dxa"/>
            <w:vAlign w:val="bottom"/>
            <w:gridSpan w:val="2"/>
            <w:vMerge w:val="restart"/>
          </w:tcPr>
          <w:p>
            <w:pPr>
              <w:jc w:val="center"/>
              <w:ind w:left="8"/>
              <w:spacing w:after="0"/>
              <w:rPr>
                <w:sz w:val="20"/>
                <w:szCs w:val="20"/>
                <w:color w:val="auto"/>
              </w:rPr>
            </w:pPr>
            <w:r>
              <w:rPr>
                <w:rFonts w:ascii="Arial" w:cs="Arial" w:eastAsia="Arial" w:hAnsi="Arial"/>
                <w:sz w:val="14"/>
                <w:szCs w:val="14"/>
                <w:color w:val="010035"/>
              </w:rPr>
              <w:t>2023</w:t>
            </w:r>
          </w:p>
        </w:tc>
        <w:tc>
          <w:tcPr>
            <w:tcW w:w="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010035"/>
              </w:rPr>
              <w:t>723,079</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010035"/>
              </w:rPr>
              <w:t>526,479</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010035"/>
              </w:rPr>
              <w:t>869,992</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color w:val="010035"/>
              </w:rPr>
              <w:t>703,250</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010035"/>
              </w:rPr>
              <w:t>91,979</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010035"/>
              </w:rPr>
              <w:t>2,914,779</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60" w:type="dxa"/>
            <w:vAlign w:val="bottom"/>
            <w:gridSpan w:val="2"/>
          </w:tcPr>
          <w:p>
            <w:pPr>
              <w:spacing w:after="0"/>
              <w:rPr>
                <w:sz w:val="5"/>
                <w:szCs w:val="5"/>
                <w:color w:val="auto"/>
              </w:rPr>
            </w:pPr>
          </w:p>
        </w:tc>
        <w:tc>
          <w:tcPr>
            <w:tcW w:w="1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DED8EC"/>
          </w:tcPr>
          <w:p>
            <w:pPr>
              <w:spacing w:after="0"/>
              <w:rPr>
                <w:sz w:val="21"/>
                <w:szCs w:val="21"/>
                <w:color w:val="auto"/>
              </w:rPr>
            </w:pPr>
          </w:p>
        </w:tc>
        <w:tc>
          <w:tcPr>
            <w:tcW w:w="1900" w:type="dxa"/>
            <w:vAlign w:val="bottom"/>
            <w:vMerge w:val="restart"/>
            <w:shd w:val="clear" w:color="auto" w:fill="DED8EC"/>
          </w:tcPr>
          <w:p>
            <w:pPr>
              <w:ind w:left="20"/>
              <w:spacing w:after="0"/>
              <w:rPr>
                <w:sz w:val="20"/>
                <w:szCs w:val="20"/>
                <w:color w:val="auto"/>
              </w:rPr>
            </w:pPr>
            <w:r>
              <w:rPr>
                <w:rFonts w:ascii="Arial" w:cs="Arial" w:eastAsia="Arial" w:hAnsi="Arial"/>
                <w:sz w:val="14"/>
                <w:szCs w:val="14"/>
                <w:b w:val="1"/>
                <w:bCs w:val="1"/>
                <w:color w:val="010035"/>
              </w:rPr>
              <w:t>Todd George</w:t>
            </w:r>
          </w:p>
        </w:tc>
        <w:tc>
          <w:tcPr>
            <w:tcW w:w="100" w:type="dxa"/>
            <w:vAlign w:val="bottom"/>
            <w:shd w:val="clear" w:color="auto" w:fill="DED8EC"/>
          </w:tcPr>
          <w:p>
            <w:pPr>
              <w:spacing w:after="0"/>
              <w:rPr>
                <w:sz w:val="21"/>
                <w:szCs w:val="21"/>
                <w:color w:val="auto"/>
              </w:rPr>
            </w:pPr>
          </w:p>
        </w:tc>
        <w:tc>
          <w:tcPr>
            <w:tcW w:w="38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2025</w:t>
            </w:r>
          </w:p>
        </w:tc>
        <w:tc>
          <w:tcPr>
            <w:tcW w:w="80" w:type="dxa"/>
            <w:vAlign w:val="bottom"/>
            <w:shd w:val="clear" w:color="auto" w:fill="DED8EC"/>
          </w:tcPr>
          <w:p>
            <w:pPr>
              <w:spacing w:after="0"/>
              <w:rPr>
                <w:sz w:val="21"/>
                <w:szCs w:val="21"/>
                <w:color w:val="auto"/>
              </w:rPr>
            </w:pPr>
          </w:p>
        </w:tc>
        <w:tc>
          <w:tcPr>
            <w:tcW w:w="84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1,028,615</w:t>
            </w:r>
          </w:p>
        </w:tc>
        <w:tc>
          <w:tcPr>
            <w:tcW w:w="70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3,862,503</w:t>
            </w:r>
          </w:p>
        </w:tc>
        <w:tc>
          <w:tcPr>
            <w:tcW w:w="82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1,287,495</w:t>
            </w:r>
          </w:p>
        </w:tc>
        <w:tc>
          <w:tcPr>
            <w:tcW w:w="1360" w:type="dxa"/>
            <w:vAlign w:val="bottom"/>
            <w:gridSpan w:val="2"/>
            <w:shd w:val="clear" w:color="auto" w:fill="DED8EC"/>
          </w:tcPr>
          <w:p>
            <w:pPr>
              <w:jc w:val="center"/>
              <w:spacing w:after="0"/>
              <w:rPr>
                <w:sz w:val="20"/>
                <w:szCs w:val="20"/>
                <w:color w:val="auto"/>
              </w:rPr>
            </w:pPr>
            <w:r>
              <w:rPr>
                <w:rFonts w:ascii="Arial" w:cs="Arial" w:eastAsia="Arial" w:hAnsi="Arial"/>
                <w:sz w:val="14"/>
                <w:szCs w:val="14"/>
                <w:color w:val="010035"/>
              </w:rPr>
              <w:t>854,042</w:t>
            </w:r>
          </w:p>
        </w:tc>
        <w:tc>
          <w:tcPr>
            <w:tcW w:w="136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99,556</w:t>
            </w:r>
          </w:p>
        </w:tc>
        <w:tc>
          <w:tcPr>
            <w:tcW w:w="90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7,132,211</w:t>
            </w:r>
          </w:p>
        </w:tc>
        <w:tc>
          <w:tcPr>
            <w:tcW w:w="0" w:type="dxa"/>
            <w:vAlign w:val="bottom"/>
          </w:tcPr>
          <w:p>
            <w:pPr>
              <w:spacing w:after="0"/>
              <w:rPr>
                <w:sz w:val="1"/>
                <w:szCs w:val="1"/>
                <w:color w:val="auto"/>
              </w:rPr>
            </w:pPr>
          </w:p>
        </w:tc>
      </w:tr>
      <w:tr>
        <w:trPr>
          <w:trHeight w:val="120"/>
        </w:trPr>
        <w:tc>
          <w:tcPr>
            <w:tcW w:w="40" w:type="dxa"/>
            <w:vAlign w:val="bottom"/>
            <w:shd w:val="clear" w:color="auto" w:fill="DED8EC"/>
          </w:tcPr>
          <w:p>
            <w:pPr>
              <w:spacing w:after="0"/>
              <w:rPr>
                <w:sz w:val="10"/>
                <w:szCs w:val="10"/>
                <w:color w:val="auto"/>
              </w:rPr>
            </w:pPr>
          </w:p>
        </w:tc>
        <w:tc>
          <w:tcPr>
            <w:tcW w:w="1900" w:type="dxa"/>
            <w:vAlign w:val="bottom"/>
            <w:vMerge w:val="continue"/>
            <w:shd w:val="clear" w:color="auto" w:fill="DED8EC"/>
          </w:tcPr>
          <w:p>
            <w:pPr>
              <w:spacing w:after="0"/>
              <w:rPr>
                <w:sz w:val="10"/>
                <w:szCs w:val="10"/>
                <w:color w:val="auto"/>
              </w:rPr>
            </w:pPr>
          </w:p>
        </w:tc>
        <w:tc>
          <w:tcPr>
            <w:tcW w:w="100" w:type="dxa"/>
            <w:vAlign w:val="bottom"/>
            <w:shd w:val="clear" w:color="auto" w:fill="DED8EC"/>
          </w:tcPr>
          <w:p>
            <w:pPr>
              <w:spacing w:after="0"/>
              <w:rPr>
                <w:sz w:val="10"/>
                <w:szCs w:val="10"/>
                <w:color w:val="auto"/>
              </w:rPr>
            </w:pPr>
          </w:p>
        </w:tc>
        <w:tc>
          <w:tcPr>
            <w:tcW w:w="380" w:type="dxa"/>
            <w:vAlign w:val="bottom"/>
            <w:shd w:val="clear" w:color="auto" w:fill="DED8EC"/>
          </w:tcPr>
          <w:p>
            <w:pPr>
              <w:spacing w:after="0"/>
              <w:rPr>
                <w:sz w:val="10"/>
                <w:szCs w:val="10"/>
                <w:color w:val="auto"/>
              </w:rPr>
            </w:pPr>
          </w:p>
        </w:tc>
        <w:tc>
          <w:tcPr>
            <w:tcW w:w="80" w:type="dxa"/>
            <w:vAlign w:val="bottom"/>
            <w:shd w:val="clear" w:color="auto" w:fill="DED8EC"/>
          </w:tcPr>
          <w:p>
            <w:pPr>
              <w:spacing w:after="0"/>
              <w:rPr>
                <w:sz w:val="10"/>
                <w:szCs w:val="10"/>
                <w:color w:val="auto"/>
              </w:rPr>
            </w:pPr>
          </w:p>
        </w:tc>
        <w:tc>
          <w:tcPr>
            <w:tcW w:w="840" w:type="dxa"/>
            <w:vAlign w:val="bottom"/>
            <w:shd w:val="clear" w:color="auto" w:fill="DED8EC"/>
          </w:tcPr>
          <w:p>
            <w:pPr>
              <w:spacing w:after="0"/>
              <w:rPr>
                <w:sz w:val="10"/>
                <w:szCs w:val="10"/>
                <w:color w:val="auto"/>
              </w:rPr>
            </w:pPr>
          </w:p>
        </w:tc>
        <w:tc>
          <w:tcPr>
            <w:tcW w:w="700" w:type="dxa"/>
            <w:vAlign w:val="bottom"/>
            <w:shd w:val="clear" w:color="auto" w:fill="DED8EC"/>
          </w:tcPr>
          <w:p>
            <w:pPr>
              <w:spacing w:after="0"/>
              <w:rPr>
                <w:sz w:val="10"/>
                <w:szCs w:val="10"/>
                <w:color w:val="auto"/>
              </w:rPr>
            </w:pPr>
          </w:p>
        </w:tc>
        <w:tc>
          <w:tcPr>
            <w:tcW w:w="920" w:type="dxa"/>
            <w:vAlign w:val="bottom"/>
            <w:shd w:val="clear" w:color="auto" w:fill="DED8EC"/>
          </w:tcPr>
          <w:p>
            <w:pPr>
              <w:spacing w:after="0"/>
              <w:rPr>
                <w:sz w:val="10"/>
                <w:szCs w:val="10"/>
                <w:color w:val="auto"/>
              </w:rPr>
            </w:pPr>
          </w:p>
        </w:tc>
        <w:tc>
          <w:tcPr>
            <w:tcW w:w="820" w:type="dxa"/>
            <w:vAlign w:val="bottom"/>
            <w:shd w:val="clear" w:color="auto" w:fill="DED8EC"/>
          </w:tcPr>
          <w:p>
            <w:pPr>
              <w:spacing w:after="0"/>
              <w:rPr>
                <w:sz w:val="10"/>
                <w:szCs w:val="10"/>
                <w:color w:val="auto"/>
              </w:rPr>
            </w:pPr>
          </w:p>
        </w:tc>
        <w:tc>
          <w:tcPr>
            <w:tcW w:w="700" w:type="dxa"/>
            <w:vAlign w:val="bottom"/>
            <w:shd w:val="clear" w:color="auto" w:fill="DED8EC"/>
          </w:tcPr>
          <w:p>
            <w:pPr>
              <w:spacing w:after="0"/>
              <w:rPr>
                <w:sz w:val="10"/>
                <w:szCs w:val="10"/>
                <w:color w:val="auto"/>
              </w:rPr>
            </w:pPr>
          </w:p>
        </w:tc>
        <w:tc>
          <w:tcPr>
            <w:tcW w:w="660" w:type="dxa"/>
            <w:vAlign w:val="bottom"/>
            <w:shd w:val="clear" w:color="auto" w:fill="DED8EC"/>
          </w:tcPr>
          <w:p>
            <w:pPr>
              <w:spacing w:after="0"/>
              <w:rPr>
                <w:sz w:val="10"/>
                <w:szCs w:val="10"/>
                <w:color w:val="auto"/>
              </w:rPr>
            </w:pPr>
          </w:p>
        </w:tc>
        <w:tc>
          <w:tcPr>
            <w:tcW w:w="1360" w:type="dxa"/>
            <w:vAlign w:val="bottom"/>
            <w:shd w:val="clear" w:color="auto" w:fill="DED8EC"/>
          </w:tcPr>
          <w:p>
            <w:pPr>
              <w:spacing w:after="0"/>
              <w:rPr>
                <w:sz w:val="10"/>
                <w:szCs w:val="10"/>
                <w:color w:val="auto"/>
              </w:rPr>
            </w:pPr>
          </w:p>
        </w:tc>
        <w:tc>
          <w:tcPr>
            <w:tcW w:w="900" w:type="dxa"/>
            <w:vAlign w:val="bottom"/>
            <w:shd w:val="clear" w:color="auto" w:fill="DED8E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DED8EC"/>
          </w:tcPr>
          <w:p>
            <w:pPr>
              <w:spacing w:after="0"/>
              <w:rPr>
                <w:sz w:val="14"/>
                <w:szCs w:val="14"/>
                <w:color w:val="auto"/>
              </w:rPr>
            </w:pPr>
          </w:p>
        </w:tc>
        <w:tc>
          <w:tcPr>
            <w:tcW w:w="1900" w:type="dxa"/>
            <w:vAlign w:val="bottom"/>
            <w:shd w:val="clear" w:color="auto" w:fill="DED8EC"/>
          </w:tcPr>
          <w:p>
            <w:pPr>
              <w:ind w:left="20"/>
              <w:spacing w:after="0"/>
              <w:rPr>
                <w:sz w:val="20"/>
                <w:szCs w:val="20"/>
                <w:color w:val="auto"/>
              </w:rPr>
            </w:pPr>
            <w:r>
              <w:rPr>
                <w:rFonts w:ascii="Arial" w:cs="Arial" w:eastAsia="Arial" w:hAnsi="Arial"/>
                <w:sz w:val="14"/>
                <w:szCs w:val="14"/>
                <w:color w:val="010035"/>
              </w:rPr>
              <w:t>Executive Vice President,</w:t>
            </w:r>
          </w:p>
        </w:tc>
        <w:tc>
          <w:tcPr>
            <w:tcW w:w="100" w:type="dxa"/>
            <w:vAlign w:val="bottom"/>
            <w:shd w:val="clear" w:color="auto" w:fill="DED8EC"/>
          </w:tcPr>
          <w:p>
            <w:pPr>
              <w:spacing w:after="0"/>
              <w:rPr>
                <w:sz w:val="14"/>
                <w:szCs w:val="14"/>
                <w:color w:val="auto"/>
              </w:rPr>
            </w:pPr>
          </w:p>
        </w:tc>
        <w:tc>
          <w:tcPr>
            <w:tcW w:w="38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2024</w:t>
            </w:r>
          </w:p>
        </w:tc>
        <w:tc>
          <w:tcPr>
            <w:tcW w:w="80" w:type="dxa"/>
            <w:vAlign w:val="bottom"/>
            <w:shd w:val="clear" w:color="auto" w:fill="DED8EC"/>
          </w:tcPr>
          <w:p>
            <w:pPr>
              <w:spacing w:after="0"/>
              <w:rPr>
                <w:sz w:val="14"/>
                <w:szCs w:val="14"/>
                <w:color w:val="auto"/>
              </w:rPr>
            </w:pPr>
          </w:p>
        </w:tc>
        <w:tc>
          <w:tcPr>
            <w:tcW w:w="84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998,077</w:t>
            </w:r>
          </w:p>
        </w:tc>
        <w:tc>
          <w:tcPr>
            <w:tcW w:w="70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2,726,742</w:t>
            </w:r>
          </w:p>
        </w:tc>
        <w:tc>
          <w:tcPr>
            <w:tcW w:w="82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1,999,992</w:t>
            </w:r>
          </w:p>
        </w:tc>
        <w:tc>
          <w:tcPr>
            <w:tcW w:w="1360" w:type="dxa"/>
            <w:vAlign w:val="bottom"/>
            <w:gridSpan w:val="2"/>
            <w:shd w:val="clear" w:color="auto" w:fill="DED8EC"/>
          </w:tcPr>
          <w:p>
            <w:pPr>
              <w:jc w:val="center"/>
              <w:spacing w:after="0"/>
              <w:rPr>
                <w:sz w:val="20"/>
                <w:szCs w:val="20"/>
                <w:color w:val="auto"/>
              </w:rPr>
            </w:pPr>
            <w:r>
              <w:rPr>
                <w:rFonts w:ascii="Arial" w:cs="Arial" w:eastAsia="Arial" w:hAnsi="Arial"/>
                <w:sz w:val="14"/>
                <w:szCs w:val="14"/>
                <w:color w:val="010035"/>
              </w:rPr>
              <w:t>787,500</w:t>
            </w:r>
          </w:p>
        </w:tc>
        <w:tc>
          <w:tcPr>
            <w:tcW w:w="136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103,275</w:t>
            </w:r>
          </w:p>
        </w:tc>
        <w:tc>
          <w:tcPr>
            <w:tcW w:w="90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6,615,586</w:t>
            </w:r>
          </w:p>
        </w:tc>
        <w:tc>
          <w:tcPr>
            <w:tcW w:w="0" w:type="dxa"/>
            <w:vAlign w:val="bottom"/>
          </w:tcPr>
          <w:p>
            <w:pPr>
              <w:spacing w:after="0"/>
              <w:rPr>
                <w:sz w:val="1"/>
                <w:szCs w:val="1"/>
                <w:color w:val="auto"/>
              </w:rPr>
            </w:pPr>
          </w:p>
        </w:tc>
      </w:tr>
      <w:tr>
        <w:trPr>
          <w:trHeight w:val="190"/>
        </w:trPr>
        <w:tc>
          <w:tcPr>
            <w:tcW w:w="40" w:type="dxa"/>
            <w:vAlign w:val="bottom"/>
            <w:shd w:val="clear" w:color="auto" w:fill="DED8EC"/>
          </w:tcPr>
          <w:p>
            <w:pPr>
              <w:spacing w:after="0"/>
              <w:rPr>
                <w:sz w:val="16"/>
                <w:szCs w:val="16"/>
                <w:color w:val="auto"/>
              </w:rPr>
            </w:pPr>
          </w:p>
        </w:tc>
        <w:tc>
          <w:tcPr>
            <w:tcW w:w="1900" w:type="dxa"/>
            <w:vAlign w:val="bottom"/>
            <w:shd w:val="clear" w:color="auto" w:fill="DED8EC"/>
          </w:tcPr>
          <w:p>
            <w:pPr>
              <w:ind w:left="20"/>
              <w:spacing w:after="0"/>
              <w:rPr>
                <w:sz w:val="20"/>
                <w:szCs w:val="20"/>
                <w:color w:val="auto"/>
              </w:rPr>
            </w:pPr>
            <w:r>
              <w:rPr>
                <w:rFonts w:ascii="Arial" w:cs="Arial" w:eastAsia="Arial" w:hAnsi="Arial"/>
                <w:sz w:val="14"/>
                <w:szCs w:val="14"/>
                <w:color w:val="010035"/>
              </w:rPr>
              <w:t>Operations</w:t>
            </w:r>
          </w:p>
        </w:tc>
        <w:tc>
          <w:tcPr>
            <w:tcW w:w="100" w:type="dxa"/>
            <w:vAlign w:val="bottom"/>
            <w:shd w:val="clear" w:color="auto" w:fill="DED8EC"/>
          </w:tcPr>
          <w:p>
            <w:pPr>
              <w:spacing w:after="0"/>
              <w:rPr>
                <w:sz w:val="16"/>
                <w:szCs w:val="16"/>
                <w:color w:val="auto"/>
              </w:rPr>
            </w:pPr>
          </w:p>
        </w:tc>
        <w:tc>
          <w:tcPr>
            <w:tcW w:w="38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2023</w:t>
            </w:r>
          </w:p>
        </w:tc>
        <w:tc>
          <w:tcPr>
            <w:tcW w:w="80" w:type="dxa"/>
            <w:vAlign w:val="bottom"/>
            <w:shd w:val="clear" w:color="auto" w:fill="DED8EC"/>
          </w:tcPr>
          <w:p>
            <w:pPr>
              <w:spacing w:after="0"/>
              <w:rPr>
                <w:sz w:val="16"/>
                <w:szCs w:val="16"/>
                <w:color w:val="auto"/>
              </w:rPr>
            </w:pPr>
          </w:p>
        </w:tc>
        <w:tc>
          <w:tcPr>
            <w:tcW w:w="84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948,077</w:t>
            </w:r>
          </w:p>
        </w:tc>
        <w:tc>
          <w:tcPr>
            <w:tcW w:w="70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92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839,580</w:t>
            </w:r>
          </w:p>
        </w:tc>
        <w:tc>
          <w:tcPr>
            <w:tcW w:w="82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1,662,504</w:t>
            </w:r>
          </w:p>
        </w:tc>
        <w:tc>
          <w:tcPr>
            <w:tcW w:w="1360" w:type="dxa"/>
            <w:vAlign w:val="bottom"/>
            <w:gridSpan w:val="2"/>
            <w:vMerge w:val="restart"/>
            <w:shd w:val="clear" w:color="auto" w:fill="DED8EC"/>
          </w:tcPr>
          <w:p>
            <w:pPr>
              <w:jc w:val="center"/>
              <w:spacing w:after="0"/>
              <w:rPr>
                <w:sz w:val="20"/>
                <w:szCs w:val="20"/>
                <w:color w:val="auto"/>
              </w:rPr>
            </w:pPr>
            <w:r>
              <w:rPr>
                <w:rFonts w:ascii="Arial" w:cs="Arial" w:eastAsia="Arial" w:hAnsi="Arial"/>
                <w:sz w:val="14"/>
                <w:szCs w:val="14"/>
                <w:color w:val="010035"/>
              </w:rPr>
              <w:t>929,417</w:t>
            </w:r>
          </w:p>
        </w:tc>
        <w:tc>
          <w:tcPr>
            <w:tcW w:w="136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100,196</w:t>
            </w:r>
          </w:p>
        </w:tc>
        <w:tc>
          <w:tcPr>
            <w:tcW w:w="900" w:type="dxa"/>
            <w:vAlign w:val="bottom"/>
            <w:vMerge w:val="restart"/>
            <w:shd w:val="clear" w:color="auto" w:fill="DED8EC"/>
          </w:tcPr>
          <w:p>
            <w:pPr>
              <w:jc w:val="center"/>
              <w:spacing w:after="0"/>
              <w:rPr>
                <w:sz w:val="20"/>
                <w:szCs w:val="20"/>
                <w:color w:val="auto"/>
              </w:rPr>
            </w:pPr>
            <w:r>
              <w:rPr>
                <w:rFonts w:ascii="Arial" w:cs="Arial" w:eastAsia="Arial" w:hAnsi="Arial"/>
                <w:sz w:val="14"/>
                <w:szCs w:val="14"/>
                <w:color w:val="010035"/>
              </w:rPr>
              <w:t>4,479,774</w:t>
            </w:r>
          </w:p>
        </w:tc>
        <w:tc>
          <w:tcPr>
            <w:tcW w:w="0" w:type="dxa"/>
            <w:vAlign w:val="bottom"/>
          </w:tcPr>
          <w:p>
            <w:pPr>
              <w:spacing w:after="0"/>
              <w:rPr>
                <w:sz w:val="1"/>
                <w:szCs w:val="1"/>
                <w:color w:val="auto"/>
              </w:rPr>
            </w:pPr>
          </w:p>
        </w:tc>
      </w:tr>
      <w:tr>
        <w:trPr>
          <w:trHeight w:val="164"/>
        </w:trPr>
        <w:tc>
          <w:tcPr>
            <w:tcW w:w="40" w:type="dxa"/>
            <w:vAlign w:val="bottom"/>
            <w:tcBorders>
              <w:bottom w:val="single" w:sz="8" w:color="DED8EC"/>
            </w:tcBorders>
            <w:shd w:val="clear" w:color="auto" w:fill="DED8EC"/>
          </w:tcPr>
          <w:p>
            <w:pPr>
              <w:spacing w:after="0"/>
              <w:rPr>
                <w:sz w:val="14"/>
                <w:szCs w:val="14"/>
                <w:color w:val="auto"/>
              </w:rPr>
            </w:pPr>
          </w:p>
        </w:tc>
        <w:tc>
          <w:tcPr>
            <w:tcW w:w="1900" w:type="dxa"/>
            <w:vAlign w:val="bottom"/>
            <w:tcBorders>
              <w:bottom w:val="single" w:sz="8" w:color="DED8EC"/>
            </w:tcBorders>
            <w:shd w:val="clear" w:color="auto" w:fill="DED8EC"/>
          </w:tcPr>
          <w:p>
            <w:pPr>
              <w:spacing w:after="0"/>
              <w:rPr>
                <w:sz w:val="14"/>
                <w:szCs w:val="14"/>
                <w:color w:val="auto"/>
              </w:rPr>
            </w:pPr>
          </w:p>
        </w:tc>
        <w:tc>
          <w:tcPr>
            <w:tcW w:w="100" w:type="dxa"/>
            <w:vAlign w:val="bottom"/>
            <w:tcBorders>
              <w:bottom w:val="single" w:sz="8" w:color="DED8EC"/>
            </w:tcBorders>
            <w:shd w:val="clear" w:color="auto" w:fill="DED8EC"/>
          </w:tcPr>
          <w:p>
            <w:pPr>
              <w:spacing w:after="0"/>
              <w:rPr>
                <w:sz w:val="14"/>
                <w:szCs w:val="14"/>
                <w:color w:val="auto"/>
              </w:rPr>
            </w:pPr>
          </w:p>
        </w:tc>
        <w:tc>
          <w:tcPr>
            <w:tcW w:w="380" w:type="dxa"/>
            <w:vAlign w:val="bottom"/>
            <w:tcBorders>
              <w:bottom w:val="single" w:sz="8" w:color="DED8EC"/>
            </w:tcBorders>
            <w:vMerge w:val="continue"/>
            <w:shd w:val="clear" w:color="auto" w:fill="DED8EC"/>
          </w:tcPr>
          <w:p>
            <w:pPr>
              <w:spacing w:after="0"/>
              <w:rPr>
                <w:sz w:val="14"/>
                <w:szCs w:val="14"/>
                <w:color w:val="auto"/>
              </w:rPr>
            </w:pPr>
          </w:p>
        </w:tc>
        <w:tc>
          <w:tcPr>
            <w:tcW w:w="80" w:type="dxa"/>
            <w:vAlign w:val="bottom"/>
            <w:tcBorders>
              <w:bottom w:val="single" w:sz="8" w:color="DED8EC"/>
            </w:tcBorders>
            <w:shd w:val="clear" w:color="auto" w:fill="DED8EC"/>
          </w:tcPr>
          <w:p>
            <w:pPr>
              <w:spacing w:after="0"/>
              <w:rPr>
                <w:sz w:val="14"/>
                <w:szCs w:val="14"/>
                <w:color w:val="auto"/>
              </w:rPr>
            </w:pPr>
          </w:p>
        </w:tc>
        <w:tc>
          <w:tcPr>
            <w:tcW w:w="840" w:type="dxa"/>
            <w:vAlign w:val="bottom"/>
            <w:tcBorders>
              <w:bottom w:val="single" w:sz="8" w:color="DED8EC"/>
            </w:tcBorders>
            <w:vMerge w:val="continue"/>
            <w:shd w:val="clear" w:color="auto" w:fill="DED8EC"/>
          </w:tcPr>
          <w:p>
            <w:pPr>
              <w:spacing w:after="0"/>
              <w:rPr>
                <w:sz w:val="14"/>
                <w:szCs w:val="14"/>
                <w:color w:val="auto"/>
              </w:rPr>
            </w:pPr>
          </w:p>
        </w:tc>
        <w:tc>
          <w:tcPr>
            <w:tcW w:w="700" w:type="dxa"/>
            <w:vAlign w:val="bottom"/>
            <w:tcBorders>
              <w:bottom w:val="single" w:sz="8" w:color="DED8EC"/>
            </w:tcBorders>
            <w:vMerge w:val="continue"/>
            <w:shd w:val="clear" w:color="auto" w:fill="DED8EC"/>
          </w:tcPr>
          <w:p>
            <w:pPr>
              <w:spacing w:after="0"/>
              <w:rPr>
                <w:sz w:val="14"/>
                <w:szCs w:val="14"/>
                <w:color w:val="auto"/>
              </w:rPr>
            </w:pPr>
          </w:p>
        </w:tc>
        <w:tc>
          <w:tcPr>
            <w:tcW w:w="920" w:type="dxa"/>
            <w:vAlign w:val="bottom"/>
            <w:tcBorders>
              <w:bottom w:val="single" w:sz="8" w:color="DED8EC"/>
            </w:tcBorders>
            <w:vMerge w:val="continue"/>
            <w:shd w:val="clear" w:color="auto" w:fill="DED8EC"/>
          </w:tcPr>
          <w:p>
            <w:pPr>
              <w:spacing w:after="0"/>
              <w:rPr>
                <w:sz w:val="14"/>
                <w:szCs w:val="14"/>
                <w:color w:val="auto"/>
              </w:rPr>
            </w:pPr>
          </w:p>
        </w:tc>
        <w:tc>
          <w:tcPr>
            <w:tcW w:w="820" w:type="dxa"/>
            <w:vAlign w:val="bottom"/>
            <w:tcBorders>
              <w:bottom w:val="single" w:sz="8" w:color="DED8EC"/>
            </w:tcBorders>
            <w:vMerge w:val="continue"/>
            <w:shd w:val="clear" w:color="auto" w:fill="DED8EC"/>
          </w:tcPr>
          <w:p>
            <w:pPr>
              <w:spacing w:after="0"/>
              <w:rPr>
                <w:sz w:val="14"/>
                <w:szCs w:val="14"/>
                <w:color w:val="auto"/>
              </w:rPr>
            </w:pPr>
          </w:p>
        </w:tc>
        <w:tc>
          <w:tcPr>
            <w:tcW w:w="1360" w:type="dxa"/>
            <w:vAlign w:val="bottom"/>
            <w:tcBorders>
              <w:bottom w:val="single" w:sz="8" w:color="DED8EC"/>
            </w:tcBorders>
            <w:gridSpan w:val="2"/>
            <w:vMerge w:val="continue"/>
            <w:shd w:val="clear" w:color="auto" w:fill="DED8EC"/>
          </w:tcPr>
          <w:p>
            <w:pPr>
              <w:spacing w:after="0"/>
              <w:rPr>
                <w:sz w:val="14"/>
                <w:szCs w:val="14"/>
                <w:color w:val="auto"/>
              </w:rPr>
            </w:pPr>
          </w:p>
        </w:tc>
        <w:tc>
          <w:tcPr>
            <w:tcW w:w="1360" w:type="dxa"/>
            <w:vAlign w:val="bottom"/>
            <w:tcBorders>
              <w:bottom w:val="single" w:sz="8" w:color="DED8EC"/>
            </w:tcBorders>
            <w:vMerge w:val="continue"/>
            <w:shd w:val="clear" w:color="auto" w:fill="DED8EC"/>
          </w:tcPr>
          <w:p>
            <w:pPr>
              <w:spacing w:after="0"/>
              <w:rPr>
                <w:sz w:val="14"/>
                <w:szCs w:val="14"/>
                <w:color w:val="auto"/>
              </w:rPr>
            </w:pPr>
          </w:p>
        </w:tc>
        <w:tc>
          <w:tcPr>
            <w:tcW w:w="900" w:type="dxa"/>
            <w:vAlign w:val="bottom"/>
            <w:tcBorders>
              <w:bottom w:val="single" w:sz="8" w:color="DED8EC"/>
            </w:tcBorders>
            <w:vMerge w:val="continue"/>
            <w:shd w:val="clear" w:color="auto" w:fill="DED8E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180" w:hanging="174"/>
        <w:spacing w:after="0" w:line="234" w:lineRule="auto"/>
        <w:tabs>
          <w:tab w:leader="none" w:pos="180" w:val="left"/>
        </w:tabs>
        <w:numPr>
          <w:ilvl w:val="0"/>
          <w:numId w:val="59"/>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Amounts set forth in the Stock Awards and Option Awards columns represent the aggregate grant date fair value of awards granted in each year as computed in accordance with ASC 718, disregarding estimates of forfeitures related to service- based vesting conditions. Performance Award values are based upon their probable outcome of the performance condition as of the grant date. For compensation purposes, Performance Awards are not considered granted until such time that the performance goals are established. For additional information about the assumptions used in these calculations, [see (i) footnote (a) in the Grants of Plan Based Awards Table below, and (ii) Notes 2 and 15 to our audited consolidated financial statements included in our 2025 Annual Report. Higher stock award values reported for 2024 reflect in part a shift from a one-year to a full three-year performance period starting with 2024 performance-based restricted stock unit awards. Stock award values reported for 2024 include the full three-year target grant date fair value of 2024 performance-based restricted stock units, in addition to 2023 performance-based restricted stock units associated with the two-year 2024-2025 performance period and 2022 performance-based restricted stock units associated with the one-year 2024 performance period, for which performance goals were set in 2024. In accordance with SEC disclosure rules, portions of these previously issued 2022 and 2023 performance-based restricted stock units, covering the 2024 and 2025 performance periods, could not be included in the executive compensation tables until all applicable performance targets were approved. At the time of grant, the performance targets for the 2022 and 2023 performance-based awards were set annually for 33% of each year’s overall targeted award, so only the 33% portion of each year’s overall targeted PSU awards could be included in the proxy tables for the year in which the goals were established.]</w:t>
      </w:r>
    </w:p>
    <w:p>
      <w:pPr>
        <w:spacing w:after="0" w:line="63" w:lineRule="exact"/>
        <w:rPr>
          <w:sz w:val="20"/>
          <w:szCs w:val="20"/>
          <w:color w:val="auto"/>
        </w:rPr>
      </w:pPr>
    </w:p>
    <w:p>
      <w:pPr>
        <w:ind w:left="180" w:hanging="174"/>
        <w:spacing w:after="0"/>
        <w:tabs>
          <w:tab w:leader="none" w:pos="180" w:val="left"/>
        </w:tabs>
        <w:numPr>
          <w:ilvl w:val="0"/>
          <w:numId w:val="60"/>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amounts presented in the Stock Awards column for each named executive officer during 2025 include the grant date fair value of their awards as follows:</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010035"/>
        </w:rPr>
        <w:t>Mr. Snowden: (i) the 2025 time-based restricted stock unit award ($4,749,990); and (ii) the 2025 performance-based restricted stock unit award at target ($9,499,999) and at stretch ($18,999,998).</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010035"/>
        </w:rPr>
        <w:t>Ms. Hendrix: (i) the 2025 time-based restricted stock unit award ($927,002); and (ii) the 2025 performance-based restricted stock unit award at target ($1,853,999) and at stretch ($3,707,998).</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010035"/>
        </w:rPr>
        <w:t>Mr. Rogers: (i) the 2025 time-based restricted stock unit award ($823,991); and (ii) the 2025 performance-based restricted stock unit award at target ($1,647,994) and at stretch ($3,295,988).</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010035"/>
        </w:rPr>
        <w:t>Mr. George: (i) the 2025 time-based restricted stock unit award ($1,287,502); and (ii) the 2025 performance-based restricted stock unit award at target ($2,575,001) and at stretch ($5,150,002).</w:t>
      </w:r>
    </w:p>
    <w:p>
      <w:pPr>
        <w:spacing w:after="0" w:line="14" w:lineRule="exact"/>
        <w:rPr>
          <w:sz w:val="20"/>
          <w:szCs w:val="20"/>
          <w:color w:val="auto"/>
        </w:rPr>
      </w:pPr>
    </w:p>
    <w:p>
      <w:pPr>
        <w:ind w:left="180" w:right="260" w:hanging="174"/>
        <w:spacing w:after="0" w:line="243" w:lineRule="auto"/>
        <w:tabs>
          <w:tab w:leader="none" w:pos="180" w:val="left"/>
        </w:tabs>
        <w:numPr>
          <w:ilvl w:val="0"/>
          <w:numId w:val="61"/>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amounts reflect cash payments for 2025 pursuant to the Company’s annual short-term incentive plan, which provided for the payment of incentive compensation upon the Company’s achievement of pre-established performance goals. A discussion of our annual short-term incentive plan may be found in our CD&amp;A under “Annual Short-Term Incentive Plan."</w:t>
      </w:r>
    </w:p>
    <w:p>
      <w:pPr>
        <w:ind w:left="180" w:right="160" w:hanging="174"/>
        <w:spacing w:after="0" w:line="239" w:lineRule="auto"/>
        <w:tabs>
          <w:tab w:leader="none" w:pos="180" w:val="left"/>
        </w:tabs>
        <w:numPr>
          <w:ilvl w:val="0"/>
          <w:numId w:val="61"/>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For Mr. Snowden, All Other Compensation in 2025 consisted of: (i) $231,750 in Company matching contributions under the Company’s Deferred Compensation Plan (“DCP”); (ii) $8,551 in Company paid insurance premiums; (iii) $28,551 in tax and financial planning; (iv) $8,750 in matching 401(k) contributions; and (v) $64,656 representing aggregate incremental cost for use of the Company’s aircraft which is based on variable costs of operating the aircraft including fuel costs, landing costs and repairs and maintenance.</w:t>
      </w:r>
    </w:p>
    <w:p>
      <w:pPr>
        <w:spacing w:after="0" w:line="8" w:lineRule="exact"/>
        <w:rPr>
          <w:rFonts w:ascii="Times New Roman" w:cs="Times New Roman" w:eastAsia="Times New Roman" w:hAnsi="Times New Roman"/>
          <w:sz w:val="11"/>
          <w:szCs w:val="11"/>
          <w:color w:val="010035"/>
        </w:rPr>
      </w:pPr>
    </w:p>
    <w:p>
      <w:pPr>
        <w:ind w:left="360" w:right="100"/>
        <w:spacing w:after="0" w:line="256" w:lineRule="auto"/>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For Ms. Hendrix, All Other Compensation in 2025 consisted of: (i) $81,725 in Company matching contributions under the DCP; (ii) $14,000 in tax and financial planning; and (iii) $8,750 in matching 401(k) contributions.</w:t>
      </w:r>
    </w:p>
    <w:p>
      <w:pPr>
        <w:ind w:left="360" w:right="160"/>
        <w:spacing w:after="0" w:line="256" w:lineRule="auto"/>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For Mr. Rogers, All Other Compensation in 2025 consisted of: (i) $72,645 in Company matching contributions under the DCP; (ii) $14,000 in tax and financial planning; and (iii) $8,750 in matching 401(k) contributions.</w:t>
      </w:r>
    </w:p>
    <w:p>
      <w:pPr>
        <w:ind w:left="360"/>
        <w:spacing w:after="0"/>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For Mr. George, All Other Compensation in 2025 consisted of: (i) $90,806 in Company matching contributions under the DCP; and (ii) $8,750 in matching 401(k)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125730</wp:posOffset>
            </wp:positionV>
            <wp:extent cx="699516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22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Grants of Plan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80" w:type="dxa"/>
            <w:vAlign w:val="bottom"/>
            <w:tcBorders>
              <w:top w:val="single" w:sz="8" w:color="69439A"/>
            </w:tcBorders>
            <w:shd w:val="clear" w:color="auto" w:fill="010035"/>
          </w:tcPr>
          <w:p>
            <w:pPr>
              <w:spacing w:after="0"/>
              <w:rPr>
                <w:sz w:val="24"/>
                <w:szCs w:val="24"/>
                <w:color w:val="auto"/>
              </w:rPr>
            </w:pPr>
          </w:p>
        </w:tc>
        <w:tc>
          <w:tcPr>
            <w:tcW w:w="580" w:type="dxa"/>
            <w:vAlign w:val="bottom"/>
            <w:tcBorders>
              <w:top w:val="single" w:sz="8" w:color="69439A"/>
            </w:tcBorders>
            <w:shd w:val="clear" w:color="auto" w:fill="010035"/>
          </w:tcPr>
          <w:p>
            <w:pPr>
              <w:spacing w:after="0"/>
              <w:rPr>
                <w:sz w:val="24"/>
                <w:szCs w:val="24"/>
                <w:color w:val="auto"/>
              </w:rPr>
            </w:pPr>
          </w:p>
        </w:tc>
        <w:tc>
          <w:tcPr>
            <w:tcW w:w="2880" w:type="dxa"/>
            <w:vAlign w:val="bottom"/>
            <w:tcBorders>
              <w:top w:val="single" w:sz="8" w:color="69439A"/>
            </w:tcBorders>
            <w:gridSpan w:val="3"/>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ESTIMATED FUTURE PAYOUTS UNDER</w:t>
            </w:r>
          </w:p>
        </w:tc>
        <w:tc>
          <w:tcPr>
            <w:tcW w:w="2720" w:type="dxa"/>
            <w:vAlign w:val="bottom"/>
            <w:tcBorders>
              <w:top w:val="single" w:sz="8" w:color="69439A"/>
            </w:tcBorders>
            <w:gridSpan w:val="3"/>
            <w:shd w:val="clear" w:color="auto" w:fill="010035"/>
          </w:tcPr>
          <w:p>
            <w:pPr>
              <w:ind w:left="60"/>
              <w:spacing w:after="0"/>
              <w:rPr>
                <w:sz w:val="20"/>
                <w:szCs w:val="20"/>
                <w:color w:val="auto"/>
              </w:rPr>
            </w:pPr>
            <w:r>
              <w:rPr>
                <w:rFonts w:ascii="Arial" w:cs="Arial" w:eastAsia="Arial" w:hAnsi="Arial"/>
                <w:sz w:val="14"/>
                <w:szCs w:val="14"/>
                <w:b w:val="1"/>
                <w:bCs w:val="1"/>
                <w:color w:val="FFFFFF"/>
                <w:w w:val="98"/>
              </w:rPr>
              <w:t>ESTIMATED FUTURE PAYOUTS UNDER</w:t>
            </w:r>
          </w:p>
        </w:tc>
        <w:tc>
          <w:tcPr>
            <w:tcW w:w="62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rPr>
              <w:t>ALL</w:t>
            </w:r>
          </w:p>
        </w:tc>
        <w:tc>
          <w:tcPr>
            <w:tcW w:w="64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5"/>
              </w:rPr>
              <w:t>ALL</w:t>
            </w:r>
          </w:p>
        </w:tc>
        <w:tc>
          <w:tcPr>
            <w:tcW w:w="1780" w:type="dxa"/>
            <w:vAlign w:val="bottom"/>
            <w:tcBorders>
              <w:top w:val="single" w:sz="8" w:color="69439A"/>
            </w:tcBorders>
            <w:gridSpan w:val="2"/>
            <w:shd w:val="clear" w:color="auto" w:fill="010035"/>
          </w:tcPr>
          <w:p>
            <w:pPr>
              <w:ind w:left="40"/>
              <w:spacing w:after="0"/>
              <w:rPr>
                <w:sz w:val="20"/>
                <w:szCs w:val="20"/>
                <w:color w:val="auto"/>
              </w:rPr>
            </w:pPr>
            <w:r>
              <w:rPr>
                <w:rFonts w:ascii="Arial" w:cs="Arial" w:eastAsia="Arial" w:hAnsi="Arial"/>
                <w:sz w:val="14"/>
                <w:szCs w:val="14"/>
                <w:b w:val="1"/>
                <w:bCs w:val="1"/>
                <w:color w:val="FFFFFF"/>
              </w:rPr>
              <w:t>EXERCISE GRANT DATE</w:t>
            </w:r>
          </w:p>
        </w:tc>
        <w:tc>
          <w:tcPr>
            <w:tcW w:w="0" w:type="dxa"/>
            <w:vAlign w:val="bottom"/>
          </w:tcPr>
          <w:p>
            <w:pPr>
              <w:spacing w:after="0"/>
              <w:rPr>
                <w:sz w:val="1"/>
                <w:szCs w:val="1"/>
                <w:color w:val="auto"/>
              </w:rPr>
            </w:pPr>
          </w:p>
        </w:tc>
      </w:tr>
      <w:tr>
        <w:trPr>
          <w:trHeight w:val="162"/>
        </w:trPr>
        <w:tc>
          <w:tcPr>
            <w:tcW w:w="580" w:type="dxa"/>
            <w:vAlign w:val="bottom"/>
            <w:shd w:val="clear" w:color="auto" w:fill="010035"/>
          </w:tcPr>
          <w:p>
            <w:pPr>
              <w:spacing w:after="0"/>
              <w:rPr>
                <w:sz w:val="14"/>
                <w:szCs w:val="14"/>
                <w:color w:val="auto"/>
              </w:rPr>
            </w:pPr>
          </w:p>
        </w:tc>
        <w:tc>
          <w:tcPr>
            <w:tcW w:w="580" w:type="dxa"/>
            <w:vAlign w:val="bottom"/>
            <w:vMerge w:val="restart"/>
            <w:shd w:val="clear" w:color="auto" w:fill="010035"/>
          </w:tcPr>
          <w:p>
            <w:pPr>
              <w:ind w:left="20"/>
              <w:spacing w:after="0"/>
              <w:rPr>
                <w:sz w:val="20"/>
                <w:szCs w:val="20"/>
                <w:color w:val="auto"/>
              </w:rPr>
            </w:pPr>
            <w:r>
              <w:rPr>
                <w:rFonts w:ascii="Arial" w:cs="Arial" w:eastAsia="Arial" w:hAnsi="Arial"/>
                <w:sz w:val="14"/>
                <w:szCs w:val="14"/>
                <w:b w:val="1"/>
                <w:bCs w:val="1"/>
                <w:color w:val="FFFFFF"/>
              </w:rPr>
              <w:t>GRANT</w:t>
            </w:r>
          </w:p>
        </w:tc>
        <w:tc>
          <w:tcPr>
            <w:tcW w:w="5600" w:type="dxa"/>
            <w:vAlign w:val="bottom"/>
            <w:gridSpan w:val="6"/>
            <w:shd w:val="clear" w:color="auto" w:fill="010035"/>
          </w:tcPr>
          <w:p>
            <w:pPr>
              <w:spacing w:after="0"/>
              <w:rPr>
                <w:sz w:val="20"/>
                <w:szCs w:val="20"/>
                <w:color w:val="auto"/>
              </w:rPr>
            </w:pPr>
            <w:r>
              <w:rPr>
                <w:rFonts w:ascii="Arial" w:cs="Arial" w:eastAsia="Arial" w:hAnsi="Arial"/>
                <w:sz w:val="14"/>
                <w:szCs w:val="14"/>
                <w:b w:val="1"/>
                <w:bCs w:val="1"/>
                <w:color w:val="FFFFFF"/>
                <w:w w:val="99"/>
              </w:rPr>
              <w:t>NON-EQUITY INCENTIVE PLAN AWARDS ($) EQUITY INCENTIVE PLAN AWARDS (#)</w:t>
            </w:r>
          </w:p>
        </w:tc>
        <w:tc>
          <w:tcPr>
            <w:tcW w:w="6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OTHER</w:t>
            </w:r>
          </w:p>
        </w:tc>
        <w:tc>
          <w:tcPr>
            <w:tcW w:w="64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OTHER</w:t>
            </w:r>
          </w:p>
        </w:tc>
        <w:tc>
          <w:tcPr>
            <w:tcW w:w="760" w:type="dxa"/>
            <w:vAlign w:val="bottom"/>
            <w:shd w:val="clear" w:color="auto" w:fill="010035"/>
          </w:tcPr>
          <w:p>
            <w:pPr>
              <w:ind w:left="60"/>
              <w:spacing w:after="0"/>
              <w:rPr>
                <w:sz w:val="20"/>
                <w:szCs w:val="20"/>
                <w:color w:val="auto"/>
              </w:rPr>
            </w:pPr>
            <w:r>
              <w:rPr>
                <w:rFonts w:ascii="Arial" w:cs="Arial" w:eastAsia="Arial" w:hAnsi="Arial"/>
                <w:sz w:val="14"/>
                <w:szCs w:val="14"/>
                <w:b w:val="1"/>
                <w:bCs w:val="1"/>
                <w:color w:val="FFFFFF"/>
              </w:rPr>
              <w:t>PRICE OF</w:t>
            </w:r>
          </w:p>
        </w:tc>
        <w:tc>
          <w:tcPr>
            <w:tcW w:w="10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FAIR VALUE</w:t>
            </w:r>
          </w:p>
        </w:tc>
        <w:tc>
          <w:tcPr>
            <w:tcW w:w="0" w:type="dxa"/>
            <w:vAlign w:val="bottom"/>
          </w:tcPr>
          <w:p>
            <w:pPr>
              <w:spacing w:after="0"/>
              <w:rPr>
                <w:sz w:val="1"/>
                <w:szCs w:val="1"/>
                <w:color w:val="auto"/>
              </w:rPr>
            </w:pPr>
          </w:p>
        </w:tc>
      </w:tr>
      <w:tr>
        <w:trPr>
          <w:trHeight w:val="81"/>
        </w:trPr>
        <w:tc>
          <w:tcPr>
            <w:tcW w:w="580" w:type="dxa"/>
            <w:vAlign w:val="bottom"/>
            <w:tcBorders>
              <w:bottom w:val="single" w:sz="8" w:color="010035"/>
            </w:tcBorders>
            <w:vMerge w:val="restart"/>
            <w:shd w:val="clear" w:color="auto" w:fill="010035"/>
          </w:tcPr>
          <w:p>
            <w:pPr>
              <w:ind w:left="40"/>
              <w:spacing w:after="0" w:line="149" w:lineRule="exact"/>
              <w:rPr>
                <w:sz w:val="20"/>
                <w:szCs w:val="20"/>
                <w:color w:val="auto"/>
              </w:rPr>
            </w:pPr>
            <w:r>
              <w:rPr>
                <w:rFonts w:ascii="Arial" w:cs="Arial" w:eastAsia="Arial" w:hAnsi="Arial"/>
                <w:sz w:val="14"/>
                <w:szCs w:val="14"/>
                <w:b w:val="1"/>
                <w:bCs w:val="1"/>
                <w:color w:val="FFFFFF"/>
              </w:rPr>
              <w:t>NAME</w:t>
            </w:r>
          </w:p>
        </w:tc>
        <w:tc>
          <w:tcPr>
            <w:tcW w:w="580" w:type="dxa"/>
            <w:vAlign w:val="bottom"/>
            <w:tcBorders>
              <w:bottom w:val="single" w:sz="8" w:color="010035"/>
            </w:tcBorders>
            <w:vMerge w:val="continue"/>
            <w:shd w:val="clear" w:color="auto" w:fill="010035"/>
          </w:tcPr>
          <w:p>
            <w:pPr>
              <w:spacing w:after="0"/>
              <w:rPr>
                <w:sz w:val="7"/>
                <w:szCs w:val="7"/>
                <w:color w:val="auto"/>
              </w:rPr>
            </w:pPr>
          </w:p>
        </w:tc>
        <w:tc>
          <w:tcPr>
            <w:tcW w:w="1020" w:type="dxa"/>
            <w:vAlign w:val="bottom"/>
            <w:tcBorders>
              <w:bottom w:val="single" w:sz="8" w:color="69439A"/>
            </w:tcBorders>
            <w:shd w:val="clear" w:color="auto" w:fill="010035"/>
          </w:tcPr>
          <w:p>
            <w:pPr>
              <w:spacing w:after="0"/>
              <w:rPr>
                <w:sz w:val="7"/>
                <w:szCs w:val="7"/>
                <w:color w:val="auto"/>
              </w:rPr>
            </w:pPr>
          </w:p>
        </w:tc>
        <w:tc>
          <w:tcPr>
            <w:tcW w:w="920" w:type="dxa"/>
            <w:vAlign w:val="bottom"/>
            <w:tcBorders>
              <w:bottom w:val="single" w:sz="8" w:color="69439A"/>
            </w:tcBorders>
            <w:shd w:val="clear" w:color="auto" w:fill="010035"/>
          </w:tcPr>
          <w:p>
            <w:pPr>
              <w:spacing w:after="0"/>
              <w:rPr>
                <w:sz w:val="7"/>
                <w:szCs w:val="7"/>
                <w:color w:val="auto"/>
              </w:rPr>
            </w:pPr>
          </w:p>
        </w:tc>
        <w:tc>
          <w:tcPr>
            <w:tcW w:w="940" w:type="dxa"/>
            <w:vAlign w:val="bottom"/>
            <w:tcBorders>
              <w:bottom w:val="single" w:sz="8" w:color="69439A"/>
            </w:tcBorders>
            <w:shd w:val="clear" w:color="auto" w:fill="010035"/>
          </w:tcPr>
          <w:p>
            <w:pPr>
              <w:spacing w:after="0"/>
              <w:rPr>
                <w:sz w:val="7"/>
                <w:szCs w:val="7"/>
                <w:color w:val="auto"/>
              </w:rPr>
            </w:pPr>
          </w:p>
        </w:tc>
        <w:tc>
          <w:tcPr>
            <w:tcW w:w="1040" w:type="dxa"/>
            <w:vAlign w:val="bottom"/>
            <w:tcBorders>
              <w:bottom w:val="single" w:sz="8" w:color="69439A"/>
            </w:tcBorders>
            <w:shd w:val="clear" w:color="auto" w:fill="010035"/>
          </w:tcPr>
          <w:p>
            <w:pPr>
              <w:spacing w:after="0"/>
              <w:rPr>
                <w:sz w:val="7"/>
                <w:szCs w:val="7"/>
                <w:color w:val="auto"/>
              </w:rPr>
            </w:pPr>
          </w:p>
        </w:tc>
        <w:tc>
          <w:tcPr>
            <w:tcW w:w="820" w:type="dxa"/>
            <w:vAlign w:val="bottom"/>
            <w:tcBorders>
              <w:bottom w:val="single" w:sz="8" w:color="69439A"/>
            </w:tcBorders>
            <w:shd w:val="clear" w:color="auto" w:fill="010035"/>
          </w:tcPr>
          <w:p>
            <w:pPr>
              <w:spacing w:after="0"/>
              <w:rPr>
                <w:sz w:val="7"/>
                <w:szCs w:val="7"/>
                <w:color w:val="auto"/>
              </w:rPr>
            </w:pPr>
          </w:p>
        </w:tc>
        <w:tc>
          <w:tcPr>
            <w:tcW w:w="860" w:type="dxa"/>
            <w:vAlign w:val="bottom"/>
            <w:tcBorders>
              <w:bottom w:val="single" w:sz="8" w:color="69439A"/>
            </w:tcBorders>
            <w:shd w:val="clear" w:color="auto" w:fill="010035"/>
          </w:tcPr>
          <w:p>
            <w:pPr>
              <w:spacing w:after="0"/>
              <w:rPr>
                <w:sz w:val="7"/>
                <w:szCs w:val="7"/>
                <w:color w:val="auto"/>
              </w:rPr>
            </w:pPr>
          </w:p>
        </w:tc>
        <w:tc>
          <w:tcPr>
            <w:tcW w:w="620" w:type="dxa"/>
            <w:vAlign w:val="bottom"/>
            <w:tcBorders>
              <w:bottom w:val="single" w:sz="8" w:color="010035"/>
            </w:tcBorders>
            <w:vMerge w:val="restart"/>
            <w:shd w:val="clear" w:color="auto" w:fill="010035"/>
          </w:tcPr>
          <w:p>
            <w:pPr>
              <w:jc w:val="center"/>
              <w:spacing w:after="0" w:line="149" w:lineRule="exact"/>
              <w:rPr>
                <w:sz w:val="20"/>
                <w:szCs w:val="20"/>
                <w:color w:val="auto"/>
              </w:rPr>
            </w:pPr>
            <w:r>
              <w:rPr>
                <w:rFonts w:ascii="Arial" w:cs="Arial" w:eastAsia="Arial" w:hAnsi="Arial"/>
                <w:sz w:val="14"/>
                <w:szCs w:val="14"/>
                <w:b w:val="1"/>
                <w:bCs w:val="1"/>
                <w:color w:val="FFFFFF"/>
                <w:w w:val="97"/>
              </w:rPr>
              <w:t>STOCK</w:t>
            </w:r>
          </w:p>
        </w:tc>
        <w:tc>
          <w:tcPr>
            <w:tcW w:w="640" w:type="dxa"/>
            <w:vAlign w:val="bottom"/>
            <w:tcBorders>
              <w:bottom w:val="single" w:sz="8" w:color="010035"/>
            </w:tcBorders>
            <w:vMerge w:val="restart"/>
            <w:shd w:val="clear" w:color="auto" w:fill="010035"/>
          </w:tcPr>
          <w:p>
            <w:pPr>
              <w:jc w:val="center"/>
              <w:spacing w:after="0" w:line="149" w:lineRule="exact"/>
              <w:rPr>
                <w:sz w:val="20"/>
                <w:szCs w:val="20"/>
                <w:color w:val="auto"/>
              </w:rPr>
            </w:pPr>
            <w:r>
              <w:rPr>
                <w:rFonts w:ascii="Arial" w:cs="Arial" w:eastAsia="Arial" w:hAnsi="Arial"/>
                <w:sz w:val="14"/>
                <w:szCs w:val="14"/>
                <w:b w:val="1"/>
                <w:bCs w:val="1"/>
                <w:color w:val="FFFFFF"/>
              </w:rPr>
              <w:t>OPTION</w:t>
            </w:r>
          </w:p>
        </w:tc>
        <w:tc>
          <w:tcPr>
            <w:tcW w:w="760" w:type="dxa"/>
            <w:vAlign w:val="bottom"/>
            <w:tcBorders>
              <w:bottom w:val="single" w:sz="8" w:color="010035"/>
            </w:tcBorders>
            <w:vMerge w:val="restart"/>
            <w:shd w:val="clear" w:color="auto" w:fill="010035"/>
          </w:tcPr>
          <w:p>
            <w:pPr>
              <w:ind w:left="120"/>
              <w:spacing w:after="0" w:line="149" w:lineRule="exact"/>
              <w:rPr>
                <w:sz w:val="20"/>
                <w:szCs w:val="20"/>
                <w:color w:val="auto"/>
              </w:rPr>
            </w:pPr>
            <w:r>
              <w:rPr>
                <w:rFonts w:ascii="Arial" w:cs="Arial" w:eastAsia="Arial" w:hAnsi="Arial"/>
                <w:sz w:val="14"/>
                <w:szCs w:val="14"/>
                <w:b w:val="1"/>
                <w:bCs w:val="1"/>
                <w:color w:val="FFFFFF"/>
              </w:rPr>
              <w:t>OPTION</w:t>
            </w:r>
          </w:p>
        </w:tc>
        <w:tc>
          <w:tcPr>
            <w:tcW w:w="1020" w:type="dxa"/>
            <w:vAlign w:val="bottom"/>
            <w:tcBorders>
              <w:bottom w:val="single" w:sz="8" w:color="010035"/>
            </w:tcBorders>
            <w:vMerge w:val="restart"/>
            <w:shd w:val="clear" w:color="auto" w:fill="010035"/>
          </w:tcPr>
          <w:p>
            <w:pPr>
              <w:jc w:val="center"/>
              <w:spacing w:after="0" w:line="149" w:lineRule="exact"/>
              <w:rPr>
                <w:sz w:val="20"/>
                <w:szCs w:val="20"/>
                <w:color w:val="auto"/>
              </w:rPr>
            </w:pPr>
            <w:r>
              <w:rPr>
                <w:rFonts w:ascii="Arial" w:cs="Arial" w:eastAsia="Arial" w:hAnsi="Arial"/>
                <w:sz w:val="14"/>
                <w:szCs w:val="14"/>
                <w:b w:val="1"/>
                <w:bCs w:val="1"/>
                <w:color w:val="FFFFFF"/>
                <w:w w:val="96"/>
              </w:rPr>
              <w:t>OF STOCK</w:t>
            </w:r>
          </w:p>
        </w:tc>
        <w:tc>
          <w:tcPr>
            <w:tcW w:w="0" w:type="dxa"/>
            <w:vAlign w:val="bottom"/>
          </w:tcPr>
          <w:p>
            <w:pPr>
              <w:spacing w:after="0"/>
              <w:rPr>
                <w:sz w:val="1"/>
                <w:szCs w:val="1"/>
                <w:color w:val="auto"/>
              </w:rPr>
            </w:pPr>
          </w:p>
        </w:tc>
      </w:tr>
      <w:tr>
        <w:trPr>
          <w:trHeight w:val="48"/>
        </w:trPr>
        <w:tc>
          <w:tcPr>
            <w:tcW w:w="580" w:type="dxa"/>
            <w:vAlign w:val="bottom"/>
            <w:vMerge w:val="continue"/>
            <w:shd w:val="clear" w:color="auto" w:fill="010035"/>
          </w:tcPr>
          <w:p>
            <w:pPr>
              <w:spacing w:after="0"/>
              <w:rPr>
                <w:sz w:val="4"/>
                <w:szCs w:val="4"/>
                <w:color w:val="auto"/>
              </w:rPr>
            </w:pPr>
          </w:p>
        </w:tc>
        <w:tc>
          <w:tcPr>
            <w:tcW w:w="1600" w:type="dxa"/>
            <w:vAlign w:val="bottom"/>
            <w:gridSpan w:val="2"/>
            <w:vMerge w:val="restart"/>
            <w:shd w:val="clear" w:color="auto" w:fill="010035"/>
          </w:tcPr>
          <w:p>
            <w:pPr>
              <w:ind w:left="20"/>
              <w:spacing w:after="0" w:line="210" w:lineRule="exact"/>
              <w:rPr>
                <w:sz w:val="20"/>
                <w:szCs w:val="20"/>
                <w:color w:val="auto"/>
              </w:rPr>
            </w:pPr>
            <w:r>
              <w:rPr>
                <w:rFonts w:ascii="Arial" w:cs="Arial" w:eastAsia="Arial" w:hAnsi="Arial"/>
                <w:sz w:val="13"/>
                <w:szCs w:val="13"/>
                <w:b w:val="1"/>
                <w:bCs w:val="1"/>
                <w:color w:val="FFFFFF"/>
                <w:w w:val="99"/>
              </w:rPr>
              <w:t>DATE</w:t>
            </w:r>
            <w:r>
              <w:rPr>
                <w:rFonts w:ascii="Arial" w:cs="Arial" w:eastAsia="Arial" w:hAnsi="Arial"/>
                <w:sz w:val="20"/>
                <w:szCs w:val="20"/>
                <w:b w:val="1"/>
                <w:bCs w:val="1"/>
                <w:color w:val="FFFFFF"/>
                <w:w w:val="99"/>
                <w:vertAlign w:val="superscript"/>
              </w:rPr>
              <w:t>(A)</w:t>
            </w:r>
            <w:r>
              <w:rPr>
                <w:rFonts w:ascii="Arial" w:cs="Arial" w:eastAsia="Arial" w:hAnsi="Arial"/>
                <w:sz w:val="13"/>
                <w:szCs w:val="13"/>
                <w:b w:val="1"/>
                <w:bCs w:val="1"/>
                <w:color w:val="FFFFFF"/>
                <w:w w:val="99"/>
              </w:rPr>
              <w:t xml:space="preserve"> </w:t>
            </w:r>
            <w:r>
              <w:rPr>
                <w:rFonts w:ascii="Arial" w:cs="Arial" w:eastAsia="Arial" w:hAnsi="Arial"/>
                <w:sz w:val="24"/>
                <w:szCs w:val="24"/>
                <w:b w:val="1"/>
                <w:bCs w:val="1"/>
                <w:color w:val="FFFFFF"/>
                <w:w w:val="99"/>
                <w:vertAlign w:val="subscript"/>
              </w:rPr>
              <w:t>THRESHOLD</w:t>
            </w:r>
          </w:p>
        </w:tc>
        <w:tc>
          <w:tcPr>
            <w:tcW w:w="920" w:type="dxa"/>
            <w:vAlign w:val="bottom"/>
            <w:shd w:val="clear" w:color="auto" w:fill="010035"/>
          </w:tcPr>
          <w:p>
            <w:pPr>
              <w:spacing w:after="0"/>
              <w:rPr>
                <w:sz w:val="4"/>
                <w:szCs w:val="4"/>
                <w:color w:val="auto"/>
              </w:rPr>
            </w:pPr>
          </w:p>
        </w:tc>
        <w:tc>
          <w:tcPr>
            <w:tcW w:w="940" w:type="dxa"/>
            <w:vAlign w:val="bottom"/>
            <w:shd w:val="clear" w:color="auto" w:fill="010035"/>
          </w:tcPr>
          <w:p>
            <w:pPr>
              <w:spacing w:after="0"/>
              <w:rPr>
                <w:sz w:val="4"/>
                <w:szCs w:val="4"/>
                <w:color w:val="auto"/>
              </w:rPr>
            </w:pPr>
          </w:p>
        </w:tc>
        <w:tc>
          <w:tcPr>
            <w:tcW w:w="1040" w:type="dxa"/>
            <w:vAlign w:val="bottom"/>
            <w:shd w:val="clear" w:color="auto" w:fill="010035"/>
          </w:tcPr>
          <w:p>
            <w:pPr>
              <w:spacing w:after="0"/>
              <w:rPr>
                <w:sz w:val="4"/>
                <w:szCs w:val="4"/>
                <w:color w:val="auto"/>
              </w:rPr>
            </w:pPr>
          </w:p>
        </w:tc>
        <w:tc>
          <w:tcPr>
            <w:tcW w:w="820" w:type="dxa"/>
            <w:vAlign w:val="bottom"/>
            <w:shd w:val="clear" w:color="auto" w:fill="010035"/>
          </w:tcPr>
          <w:p>
            <w:pPr>
              <w:spacing w:after="0"/>
              <w:rPr>
                <w:sz w:val="4"/>
                <w:szCs w:val="4"/>
                <w:color w:val="auto"/>
              </w:rPr>
            </w:pPr>
          </w:p>
        </w:tc>
        <w:tc>
          <w:tcPr>
            <w:tcW w:w="860" w:type="dxa"/>
            <w:vAlign w:val="bottom"/>
            <w:shd w:val="clear" w:color="auto" w:fill="010035"/>
          </w:tcPr>
          <w:p>
            <w:pPr>
              <w:spacing w:after="0"/>
              <w:rPr>
                <w:sz w:val="4"/>
                <w:szCs w:val="4"/>
                <w:color w:val="auto"/>
              </w:rPr>
            </w:pPr>
          </w:p>
        </w:tc>
        <w:tc>
          <w:tcPr>
            <w:tcW w:w="620" w:type="dxa"/>
            <w:vAlign w:val="bottom"/>
            <w:vMerge w:val="continue"/>
            <w:shd w:val="clear" w:color="auto" w:fill="010035"/>
          </w:tcPr>
          <w:p>
            <w:pPr>
              <w:spacing w:after="0"/>
              <w:rPr>
                <w:sz w:val="4"/>
                <w:szCs w:val="4"/>
                <w:color w:val="auto"/>
              </w:rPr>
            </w:pPr>
          </w:p>
        </w:tc>
        <w:tc>
          <w:tcPr>
            <w:tcW w:w="640" w:type="dxa"/>
            <w:vAlign w:val="bottom"/>
            <w:vMerge w:val="continue"/>
            <w:shd w:val="clear" w:color="auto" w:fill="010035"/>
          </w:tcPr>
          <w:p>
            <w:pPr>
              <w:spacing w:after="0"/>
              <w:rPr>
                <w:sz w:val="4"/>
                <w:szCs w:val="4"/>
                <w:color w:val="auto"/>
              </w:rPr>
            </w:pPr>
          </w:p>
        </w:tc>
        <w:tc>
          <w:tcPr>
            <w:tcW w:w="760" w:type="dxa"/>
            <w:vAlign w:val="bottom"/>
            <w:vMerge w:val="continue"/>
            <w:shd w:val="clear" w:color="auto" w:fill="010035"/>
          </w:tcPr>
          <w:p>
            <w:pPr>
              <w:spacing w:after="0"/>
              <w:rPr>
                <w:sz w:val="4"/>
                <w:szCs w:val="4"/>
                <w:color w:val="auto"/>
              </w:rPr>
            </w:pPr>
          </w:p>
        </w:tc>
        <w:tc>
          <w:tcPr>
            <w:tcW w:w="1020" w:type="dxa"/>
            <w:vAlign w:val="bottom"/>
            <w:vMerge w:val="continue"/>
            <w:shd w:val="clear" w:color="auto" w:fill="010035"/>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80" w:type="dxa"/>
            <w:vAlign w:val="bottom"/>
            <w:shd w:val="clear" w:color="auto" w:fill="010035"/>
          </w:tcPr>
          <w:p>
            <w:pPr>
              <w:spacing w:after="0"/>
              <w:rPr>
                <w:sz w:val="14"/>
                <w:szCs w:val="14"/>
                <w:color w:val="auto"/>
              </w:rPr>
            </w:pPr>
          </w:p>
        </w:tc>
        <w:tc>
          <w:tcPr>
            <w:tcW w:w="1600" w:type="dxa"/>
            <w:vAlign w:val="bottom"/>
            <w:gridSpan w:val="2"/>
            <w:vMerge w:val="continue"/>
            <w:shd w:val="clear" w:color="auto" w:fill="010035"/>
          </w:tcPr>
          <w:p>
            <w:pPr>
              <w:spacing w:after="0"/>
              <w:rPr>
                <w:sz w:val="14"/>
                <w:szCs w:val="14"/>
                <w:color w:val="auto"/>
              </w:rPr>
            </w:pPr>
          </w:p>
        </w:tc>
        <w:tc>
          <w:tcPr>
            <w:tcW w:w="9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TARGET</w:t>
            </w:r>
          </w:p>
        </w:tc>
        <w:tc>
          <w:tcPr>
            <w:tcW w:w="940" w:type="dxa"/>
            <w:vAlign w:val="bottom"/>
            <w:shd w:val="clear" w:color="auto" w:fill="010035"/>
          </w:tcPr>
          <w:p>
            <w:pPr>
              <w:ind w:left="200"/>
              <w:spacing w:after="0"/>
              <w:rPr>
                <w:sz w:val="20"/>
                <w:szCs w:val="20"/>
                <w:color w:val="auto"/>
              </w:rPr>
            </w:pPr>
            <w:r>
              <w:rPr>
                <w:rFonts w:ascii="Arial" w:cs="Arial" w:eastAsia="Arial" w:hAnsi="Arial"/>
                <w:sz w:val="14"/>
                <w:szCs w:val="14"/>
                <w:b w:val="1"/>
                <w:bCs w:val="1"/>
                <w:color w:val="FFFFFF"/>
              </w:rPr>
              <w:t>MAXIMUM</w:t>
            </w:r>
          </w:p>
        </w:tc>
        <w:tc>
          <w:tcPr>
            <w:tcW w:w="1040" w:type="dxa"/>
            <w:vAlign w:val="bottom"/>
            <w:shd w:val="clear" w:color="auto" w:fill="010035"/>
          </w:tcPr>
          <w:p>
            <w:pPr>
              <w:ind w:left="60"/>
              <w:spacing w:after="0"/>
              <w:rPr>
                <w:sz w:val="20"/>
                <w:szCs w:val="20"/>
                <w:color w:val="auto"/>
              </w:rPr>
            </w:pPr>
            <w:r>
              <w:rPr>
                <w:rFonts w:ascii="Arial" w:cs="Arial" w:eastAsia="Arial" w:hAnsi="Arial"/>
                <w:sz w:val="14"/>
                <w:szCs w:val="14"/>
                <w:b w:val="1"/>
                <w:bCs w:val="1"/>
                <w:color w:val="FFFFFF"/>
              </w:rPr>
              <w:t>THRESHOLD</w:t>
            </w:r>
          </w:p>
        </w:tc>
        <w:tc>
          <w:tcPr>
            <w:tcW w:w="820" w:type="dxa"/>
            <w:vAlign w:val="bottom"/>
            <w:shd w:val="clear" w:color="auto" w:fill="010035"/>
          </w:tcPr>
          <w:p>
            <w:pPr>
              <w:ind w:left="120"/>
              <w:spacing w:after="0"/>
              <w:rPr>
                <w:sz w:val="20"/>
                <w:szCs w:val="20"/>
                <w:color w:val="auto"/>
              </w:rPr>
            </w:pPr>
            <w:r>
              <w:rPr>
                <w:rFonts w:ascii="Arial" w:cs="Arial" w:eastAsia="Arial" w:hAnsi="Arial"/>
                <w:sz w:val="14"/>
                <w:szCs w:val="14"/>
                <w:b w:val="1"/>
                <w:bCs w:val="1"/>
                <w:color w:val="FFFFFF"/>
              </w:rPr>
              <w:t>TARGET</w:t>
            </w:r>
          </w:p>
        </w:tc>
        <w:tc>
          <w:tcPr>
            <w:tcW w:w="2880" w:type="dxa"/>
            <w:vAlign w:val="bottom"/>
            <w:gridSpan w:val="4"/>
            <w:shd w:val="clear" w:color="auto" w:fill="010035"/>
          </w:tcPr>
          <w:p>
            <w:pPr>
              <w:ind w:left="140"/>
              <w:spacing w:after="0"/>
              <w:rPr>
                <w:sz w:val="20"/>
                <w:szCs w:val="20"/>
                <w:color w:val="auto"/>
              </w:rPr>
            </w:pPr>
            <w:r>
              <w:rPr>
                <w:rFonts w:ascii="Arial" w:cs="Arial" w:eastAsia="Arial" w:hAnsi="Arial"/>
                <w:sz w:val="14"/>
                <w:szCs w:val="14"/>
                <w:b w:val="1"/>
                <w:bCs w:val="1"/>
                <w:color w:val="FFFFFF"/>
              </w:rPr>
              <w:t>MAXIMUM AWARDS AWARDS AWARDS</w:t>
            </w:r>
          </w:p>
        </w:tc>
        <w:tc>
          <w:tcPr>
            <w:tcW w:w="10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AND OPTION</w:t>
            </w:r>
          </w:p>
        </w:tc>
        <w:tc>
          <w:tcPr>
            <w:tcW w:w="0" w:type="dxa"/>
            <w:vAlign w:val="bottom"/>
          </w:tcPr>
          <w:p>
            <w:pPr>
              <w:spacing w:after="0"/>
              <w:rPr>
                <w:sz w:val="1"/>
                <w:szCs w:val="1"/>
                <w:color w:val="auto"/>
              </w:rPr>
            </w:pPr>
          </w:p>
        </w:tc>
      </w:tr>
      <w:tr>
        <w:trPr>
          <w:trHeight w:val="230"/>
        </w:trPr>
        <w:tc>
          <w:tcPr>
            <w:tcW w:w="580" w:type="dxa"/>
            <w:vAlign w:val="bottom"/>
            <w:shd w:val="clear" w:color="auto" w:fill="010035"/>
          </w:tcPr>
          <w:p>
            <w:pPr>
              <w:spacing w:after="0"/>
              <w:rPr>
                <w:sz w:val="19"/>
                <w:szCs w:val="19"/>
                <w:color w:val="auto"/>
              </w:rPr>
            </w:pPr>
          </w:p>
        </w:tc>
        <w:tc>
          <w:tcPr>
            <w:tcW w:w="580" w:type="dxa"/>
            <w:vAlign w:val="bottom"/>
            <w:shd w:val="clear" w:color="auto" w:fill="010035"/>
          </w:tcPr>
          <w:p>
            <w:pPr>
              <w:spacing w:after="0"/>
              <w:rPr>
                <w:sz w:val="19"/>
                <w:szCs w:val="19"/>
                <w:color w:val="auto"/>
              </w:rPr>
            </w:pPr>
          </w:p>
        </w:tc>
        <w:tc>
          <w:tcPr>
            <w:tcW w:w="1020" w:type="dxa"/>
            <w:vAlign w:val="bottom"/>
            <w:shd w:val="clear" w:color="auto" w:fill="010035"/>
          </w:tcPr>
          <w:p>
            <w:pPr>
              <w:jc w:val="center"/>
              <w:ind w:right="76"/>
              <w:spacing w:after="0"/>
              <w:rPr>
                <w:sz w:val="20"/>
                <w:szCs w:val="20"/>
                <w:color w:val="auto"/>
              </w:rPr>
            </w:pPr>
            <w:r>
              <w:rPr>
                <w:rFonts w:ascii="Arial" w:cs="Arial" w:eastAsia="Arial" w:hAnsi="Arial"/>
                <w:sz w:val="14"/>
                <w:szCs w:val="14"/>
                <w:b w:val="1"/>
                <w:bCs w:val="1"/>
                <w:color w:val="FFFFFF"/>
                <w:w w:val="93"/>
              </w:rPr>
              <w:t>($)</w:t>
            </w:r>
          </w:p>
        </w:tc>
        <w:tc>
          <w:tcPr>
            <w:tcW w:w="9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3"/>
              </w:rPr>
              <w:t>($)</w:t>
            </w:r>
          </w:p>
        </w:tc>
        <w:tc>
          <w:tcPr>
            <w:tcW w:w="940" w:type="dxa"/>
            <w:vAlign w:val="bottom"/>
            <w:shd w:val="clear" w:color="auto" w:fill="010035"/>
          </w:tcPr>
          <w:p>
            <w:pPr>
              <w:jc w:val="center"/>
              <w:ind w:left="76"/>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3"/>
              </w:rPr>
              <w:t>($)</w:t>
            </w:r>
          </w:p>
        </w:tc>
        <w:tc>
          <w:tcPr>
            <w:tcW w:w="860" w:type="dxa"/>
            <w:vAlign w:val="bottom"/>
            <w:shd w:val="clear" w:color="auto" w:fill="010035"/>
          </w:tcPr>
          <w:p>
            <w:pPr>
              <w:jc w:val="center"/>
              <w:ind w:left="16"/>
              <w:spacing w:after="0"/>
              <w:rPr>
                <w:sz w:val="20"/>
                <w:szCs w:val="20"/>
                <w:color w:val="auto"/>
              </w:rPr>
            </w:pPr>
            <w:r>
              <w:rPr>
                <w:rFonts w:ascii="Arial" w:cs="Arial" w:eastAsia="Arial" w:hAnsi="Arial"/>
                <w:sz w:val="14"/>
                <w:szCs w:val="14"/>
                <w:b w:val="1"/>
                <w:bCs w:val="1"/>
                <w:color w:val="FFFFFF"/>
              </w:rPr>
              <w:t>($)</w:t>
            </w:r>
          </w:p>
        </w:tc>
        <w:tc>
          <w:tcPr>
            <w:tcW w:w="6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3"/>
              </w:rPr>
              <w:t>(#)</w:t>
            </w:r>
          </w:p>
        </w:tc>
        <w:tc>
          <w:tcPr>
            <w:tcW w:w="640" w:type="dxa"/>
            <w:vAlign w:val="bottom"/>
            <w:shd w:val="clear" w:color="auto" w:fill="010035"/>
          </w:tcPr>
          <w:p>
            <w:pPr>
              <w:jc w:val="center"/>
              <w:spacing w:after="0" w:line="230" w:lineRule="exact"/>
              <w:rPr>
                <w:sz w:val="20"/>
                <w:szCs w:val="20"/>
                <w:color w:val="auto"/>
              </w:rPr>
            </w:pPr>
            <w:r>
              <w:rPr>
                <w:rFonts w:ascii="Arial" w:cs="Arial" w:eastAsia="Arial" w:hAnsi="Arial"/>
                <w:sz w:val="14"/>
                <w:szCs w:val="14"/>
                <w:b w:val="1"/>
                <w:bCs w:val="1"/>
                <w:color w:val="FFFFFF"/>
                <w:w w:val="83"/>
              </w:rPr>
              <w:t xml:space="preserve">(#) </w:t>
            </w:r>
            <w:r>
              <w:rPr>
                <w:rFonts w:ascii="Arial" w:cs="Arial" w:eastAsia="Arial" w:hAnsi="Arial"/>
                <w:sz w:val="23"/>
                <w:szCs w:val="23"/>
                <w:b w:val="1"/>
                <w:bCs w:val="1"/>
                <w:color w:val="FFFFFF"/>
                <w:w w:val="83"/>
                <w:vertAlign w:val="superscript"/>
              </w:rPr>
              <w:t>(b)</w:t>
            </w:r>
          </w:p>
        </w:tc>
        <w:tc>
          <w:tcPr>
            <w:tcW w:w="1780" w:type="dxa"/>
            <w:vAlign w:val="bottom"/>
            <w:gridSpan w:val="2"/>
            <w:shd w:val="clear" w:color="auto" w:fill="010035"/>
          </w:tcPr>
          <w:p>
            <w:pPr>
              <w:ind w:left="60"/>
              <w:spacing w:after="0" w:line="230" w:lineRule="exact"/>
              <w:rPr>
                <w:sz w:val="20"/>
                <w:szCs w:val="20"/>
                <w:color w:val="auto"/>
              </w:rPr>
            </w:pPr>
            <w:r>
              <w:rPr>
                <w:rFonts w:ascii="Arial" w:cs="Arial" w:eastAsia="Arial" w:hAnsi="Arial"/>
                <w:sz w:val="14"/>
                <w:szCs w:val="14"/>
                <w:b w:val="1"/>
                <w:bCs w:val="1"/>
                <w:color w:val="FFFFFF"/>
                <w:w w:val="94"/>
              </w:rPr>
              <w:t xml:space="preserve">($/SHARE) AWARDS ($) </w:t>
            </w:r>
            <w:r>
              <w:rPr>
                <w:rFonts w:ascii="Arial" w:cs="Arial" w:eastAsia="Arial" w:hAnsi="Arial"/>
                <w:sz w:val="23"/>
                <w:szCs w:val="23"/>
                <w:b w:val="1"/>
                <w:bCs w:val="1"/>
                <w:color w:val="FFFFFF"/>
                <w:w w:val="94"/>
                <w:vertAlign w:val="superscript"/>
              </w:rPr>
              <w:t>(c)</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10035"/>
              </w:rPr>
              <w:t>—</w:t>
            </w:r>
          </w:p>
        </w:tc>
        <w:tc>
          <w:tcPr>
            <w:tcW w:w="1020" w:type="dxa"/>
            <w:vAlign w:val="bottom"/>
          </w:tcPr>
          <w:p>
            <w:pPr>
              <w:jc w:val="center"/>
              <w:ind w:right="76"/>
              <w:spacing w:after="0"/>
              <w:rPr>
                <w:sz w:val="20"/>
                <w:szCs w:val="20"/>
                <w:color w:val="auto"/>
              </w:rPr>
            </w:pPr>
            <w:r>
              <w:rPr>
                <w:rFonts w:ascii="Arial" w:cs="Arial" w:eastAsia="Arial" w:hAnsi="Arial"/>
                <w:sz w:val="13"/>
                <w:szCs w:val="13"/>
                <w:color w:val="010035"/>
                <w:w w:val="96"/>
              </w:rPr>
              <w:t>2,250,000</w:t>
            </w:r>
          </w:p>
        </w:tc>
        <w:tc>
          <w:tcPr>
            <w:tcW w:w="920" w:type="dxa"/>
            <w:vAlign w:val="bottom"/>
          </w:tcPr>
          <w:p>
            <w:pPr>
              <w:jc w:val="center"/>
              <w:spacing w:after="0"/>
              <w:rPr>
                <w:sz w:val="20"/>
                <w:szCs w:val="20"/>
                <w:color w:val="auto"/>
              </w:rPr>
            </w:pPr>
            <w:r>
              <w:rPr>
                <w:rFonts w:ascii="Arial" w:cs="Arial" w:eastAsia="Arial" w:hAnsi="Arial"/>
                <w:sz w:val="13"/>
                <w:szCs w:val="13"/>
                <w:color w:val="010035"/>
                <w:w w:val="96"/>
              </w:rPr>
              <w:t>4,500,000</w:t>
            </w:r>
          </w:p>
        </w:tc>
        <w:tc>
          <w:tcPr>
            <w:tcW w:w="940" w:type="dxa"/>
            <w:vAlign w:val="bottom"/>
          </w:tcPr>
          <w:p>
            <w:pPr>
              <w:jc w:val="center"/>
              <w:ind w:left="76"/>
              <w:spacing w:after="0"/>
              <w:rPr>
                <w:sz w:val="20"/>
                <w:szCs w:val="20"/>
                <w:color w:val="auto"/>
              </w:rPr>
            </w:pPr>
            <w:r>
              <w:rPr>
                <w:rFonts w:ascii="Arial" w:cs="Arial" w:eastAsia="Arial" w:hAnsi="Arial"/>
                <w:sz w:val="13"/>
                <w:szCs w:val="13"/>
                <w:color w:val="010035"/>
                <w:w w:val="96"/>
              </w:rPr>
              <w:t>9,000,000</w:t>
            </w:r>
          </w:p>
        </w:tc>
        <w:tc>
          <w:tcPr>
            <w:tcW w:w="1040" w:type="dxa"/>
            <w:vAlign w:val="bottom"/>
          </w:tcPr>
          <w:p>
            <w:pPr>
              <w:jc w:val="center"/>
              <w:spacing w:after="0"/>
              <w:rPr>
                <w:sz w:val="20"/>
                <w:szCs w:val="20"/>
                <w:color w:val="auto"/>
              </w:rPr>
            </w:pPr>
            <w:r>
              <w:rPr>
                <w:rFonts w:ascii="Arial" w:cs="Arial" w:eastAsia="Arial" w:hAnsi="Arial"/>
                <w:sz w:val="13"/>
                <w:szCs w:val="13"/>
                <w:color w:val="010035"/>
              </w:rPr>
              <w:t>—</w:t>
            </w:r>
          </w:p>
        </w:tc>
        <w:tc>
          <w:tcPr>
            <w:tcW w:w="8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010035"/>
              </w:rPr>
              <w:t>—</w:t>
            </w:r>
          </w:p>
        </w:tc>
        <w:tc>
          <w:tcPr>
            <w:tcW w:w="7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tcPr>
          <w:p>
            <w:pPr>
              <w:jc w:val="center"/>
              <w:spacing w:after="0"/>
              <w:rPr>
                <w:sz w:val="20"/>
                <w:szCs w:val="20"/>
                <w:color w:val="auto"/>
              </w:rPr>
            </w:pPr>
            <w:r>
              <w:rPr>
                <w:rFonts w:ascii="Arial" w:cs="Arial" w:eastAsia="Arial" w:hAnsi="Arial"/>
                <w:sz w:val="13"/>
                <w:szCs w:val="13"/>
                <w:color w:val="010035"/>
              </w:rPr>
              <w:t>—</w:t>
            </w:r>
          </w:p>
        </w:tc>
        <w:tc>
          <w:tcPr>
            <w:tcW w:w="0" w:type="dxa"/>
            <w:vAlign w:val="bottom"/>
          </w:tcPr>
          <w:p>
            <w:pPr>
              <w:spacing w:after="0"/>
              <w:rPr>
                <w:sz w:val="1"/>
                <w:szCs w:val="1"/>
                <w:color w:val="auto"/>
              </w:rPr>
            </w:pPr>
          </w:p>
        </w:tc>
      </w:tr>
      <w:tr>
        <w:trPr>
          <w:trHeight w:val="199"/>
        </w:trPr>
        <w:tc>
          <w:tcPr>
            <w:tcW w:w="580" w:type="dxa"/>
            <w:vAlign w:val="bottom"/>
          </w:tcPr>
          <w:p>
            <w:pPr>
              <w:ind w:left="40"/>
              <w:spacing w:after="0"/>
              <w:rPr>
                <w:sz w:val="20"/>
                <w:szCs w:val="20"/>
                <w:color w:val="auto"/>
              </w:rPr>
            </w:pPr>
            <w:r>
              <w:rPr>
                <w:rFonts w:ascii="Arial" w:cs="Arial" w:eastAsia="Arial" w:hAnsi="Arial"/>
                <w:sz w:val="13"/>
                <w:szCs w:val="13"/>
                <w:color w:val="010035"/>
              </w:rPr>
              <w:t>Jay</w:t>
            </w:r>
          </w:p>
        </w:tc>
        <w:tc>
          <w:tcPr>
            <w:tcW w:w="580" w:type="dxa"/>
            <w:vAlign w:val="bottom"/>
          </w:tcPr>
          <w:p>
            <w:pPr>
              <w:jc w:val="center"/>
              <w:spacing w:after="0"/>
              <w:rPr>
                <w:sz w:val="20"/>
                <w:szCs w:val="20"/>
                <w:color w:val="auto"/>
              </w:rPr>
            </w:pPr>
            <w:r>
              <w:rPr>
                <w:rFonts w:ascii="Arial" w:cs="Arial" w:eastAsia="Arial" w:hAnsi="Arial"/>
                <w:sz w:val="13"/>
                <w:szCs w:val="13"/>
                <w:color w:val="010035"/>
                <w:w w:val="98"/>
              </w:rPr>
              <w:t>1/3/2025</w:t>
            </w:r>
          </w:p>
        </w:tc>
        <w:tc>
          <w:tcPr>
            <w:tcW w:w="1020" w:type="dxa"/>
            <w:vAlign w:val="bottom"/>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tcPr>
          <w:p>
            <w:pPr>
              <w:jc w:val="center"/>
              <w:spacing w:after="0"/>
              <w:rPr>
                <w:sz w:val="20"/>
                <w:szCs w:val="20"/>
                <w:color w:val="auto"/>
              </w:rPr>
            </w:pPr>
            <w:r>
              <w:rPr>
                <w:rFonts w:ascii="Arial" w:cs="Arial" w:eastAsia="Arial" w:hAnsi="Arial"/>
                <w:sz w:val="13"/>
                <w:szCs w:val="13"/>
                <w:color w:val="010035"/>
              </w:rPr>
              <w:t>—</w:t>
            </w:r>
          </w:p>
        </w:tc>
        <w:tc>
          <w:tcPr>
            <w:tcW w:w="8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010035"/>
                <w:w w:val="97"/>
              </w:rPr>
              <w:t>372,269</w:t>
            </w:r>
          </w:p>
        </w:tc>
        <w:tc>
          <w:tcPr>
            <w:tcW w:w="760" w:type="dxa"/>
            <w:vAlign w:val="bottom"/>
          </w:tcPr>
          <w:p>
            <w:pPr>
              <w:jc w:val="center"/>
              <w:spacing w:after="0"/>
              <w:rPr>
                <w:sz w:val="20"/>
                <w:szCs w:val="20"/>
                <w:color w:val="auto"/>
              </w:rPr>
            </w:pPr>
            <w:r>
              <w:rPr>
                <w:rFonts w:ascii="Arial" w:cs="Arial" w:eastAsia="Arial" w:hAnsi="Arial"/>
                <w:sz w:val="13"/>
                <w:szCs w:val="13"/>
                <w:color w:val="010035"/>
                <w:w w:val="98"/>
              </w:rPr>
              <w:t>19.24</w:t>
            </w:r>
          </w:p>
        </w:tc>
        <w:tc>
          <w:tcPr>
            <w:tcW w:w="1020" w:type="dxa"/>
            <w:vAlign w:val="bottom"/>
          </w:tcPr>
          <w:p>
            <w:pPr>
              <w:jc w:val="center"/>
              <w:spacing w:after="0"/>
              <w:rPr>
                <w:sz w:val="20"/>
                <w:szCs w:val="20"/>
                <w:color w:val="auto"/>
              </w:rPr>
            </w:pPr>
            <w:r>
              <w:rPr>
                <w:rFonts w:ascii="Arial" w:cs="Arial" w:eastAsia="Arial" w:hAnsi="Arial"/>
                <w:sz w:val="13"/>
                <w:szCs w:val="13"/>
                <w:color w:val="010035"/>
                <w:w w:val="96"/>
              </w:rPr>
              <w:t>4,750,004</w:t>
            </w:r>
          </w:p>
        </w:tc>
        <w:tc>
          <w:tcPr>
            <w:tcW w:w="0" w:type="dxa"/>
            <w:vAlign w:val="bottom"/>
          </w:tcPr>
          <w:p>
            <w:pPr>
              <w:spacing w:after="0"/>
              <w:rPr>
                <w:sz w:val="1"/>
                <w:szCs w:val="1"/>
                <w:color w:val="auto"/>
              </w:rPr>
            </w:pPr>
          </w:p>
        </w:tc>
      </w:tr>
      <w:tr>
        <w:trPr>
          <w:trHeight w:val="256"/>
        </w:trPr>
        <w:tc>
          <w:tcPr>
            <w:tcW w:w="1160" w:type="dxa"/>
            <w:vAlign w:val="bottom"/>
            <w:gridSpan w:val="2"/>
          </w:tcPr>
          <w:p>
            <w:pPr>
              <w:ind w:left="40"/>
              <w:spacing w:after="0" w:line="257" w:lineRule="exact"/>
              <w:rPr>
                <w:sz w:val="20"/>
                <w:szCs w:val="20"/>
                <w:color w:val="auto"/>
              </w:rPr>
            </w:pPr>
            <w:r>
              <w:rPr>
                <w:rFonts w:ascii="Arial" w:cs="Arial" w:eastAsia="Arial" w:hAnsi="Arial"/>
                <w:sz w:val="25"/>
                <w:szCs w:val="25"/>
                <w:color w:val="010035"/>
                <w:w w:val="88"/>
                <w:vertAlign w:val="superscript"/>
              </w:rPr>
              <w:t>Snowden</w:t>
            </w:r>
            <w:r>
              <w:rPr>
                <w:rFonts w:ascii="Arial" w:cs="Arial" w:eastAsia="Arial" w:hAnsi="Arial"/>
                <w:sz w:val="13"/>
                <w:szCs w:val="13"/>
                <w:color w:val="010035"/>
                <w:w w:val="88"/>
              </w:rPr>
              <w:t xml:space="preserve"> 1/3/2025</w:t>
            </w:r>
          </w:p>
        </w:tc>
        <w:tc>
          <w:tcPr>
            <w:tcW w:w="1020" w:type="dxa"/>
            <w:vAlign w:val="bottom"/>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tcPr>
          <w:p>
            <w:pPr>
              <w:jc w:val="center"/>
              <w:spacing w:after="0"/>
              <w:rPr>
                <w:sz w:val="20"/>
                <w:szCs w:val="20"/>
                <w:color w:val="auto"/>
              </w:rPr>
            </w:pPr>
            <w:r>
              <w:rPr>
                <w:rFonts w:ascii="Arial" w:cs="Arial" w:eastAsia="Arial" w:hAnsi="Arial"/>
                <w:sz w:val="13"/>
                <w:szCs w:val="13"/>
                <w:color w:val="010035"/>
              </w:rPr>
              <w:t>—</w:t>
            </w:r>
          </w:p>
        </w:tc>
        <w:tc>
          <w:tcPr>
            <w:tcW w:w="8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tcPr>
          <w:p>
            <w:pPr>
              <w:jc w:val="center"/>
              <w:spacing w:after="0"/>
              <w:rPr>
                <w:sz w:val="20"/>
                <w:szCs w:val="20"/>
                <w:color w:val="auto"/>
              </w:rPr>
            </w:pPr>
            <w:r>
              <w:rPr>
                <w:rFonts w:ascii="Arial" w:cs="Arial" w:eastAsia="Arial" w:hAnsi="Arial"/>
                <w:sz w:val="13"/>
                <w:szCs w:val="13"/>
                <w:color w:val="010035"/>
                <w:w w:val="93"/>
              </w:rPr>
              <w:t>246,881</w:t>
            </w:r>
          </w:p>
        </w:tc>
        <w:tc>
          <w:tcPr>
            <w:tcW w:w="640" w:type="dxa"/>
            <w:vAlign w:val="bottom"/>
          </w:tcPr>
          <w:p>
            <w:pPr>
              <w:jc w:val="center"/>
              <w:spacing w:after="0"/>
              <w:rPr>
                <w:sz w:val="20"/>
                <w:szCs w:val="20"/>
                <w:color w:val="auto"/>
              </w:rPr>
            </w:pPr>
            <w:r>
              <w:rPr>
                <w:rFonts w:ascii="Arial" w:cs="Arial" w:eastAsia="Arial" w:hAnsi="Arial"/>
                <w:sz w:val="13"/>
                <w:szCs w:val="13"/>
                <w:color w:val="010035"/>
              </w:rPr>
              <w:t>—</w:t>
            </w:r>
          </w:p>
        </w:tc>
        <w:tc>
          <w:tcPr>
            <w:tcW w:w="7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tcPr>
          <w:p>
            <w:pPr>
              <w:jc w:val="center"/>
              <w:spacing w:after="0"/>
              <w:rPr>
                <w:sz w:val="20"/>
                <w:szCs w:val="20"/>
                <w:color w:val="auto"/>
              </w:rPr>
            </w:pPr>
            <w:r>
              <w:rPr>
                <w:rFonts w:ascii="Arial" w:cs="Arial" w:eastAsia="Arial" w:hAnsi="Arial"/>
                <w:sz w:val="13"/>
                <w:szCs w:val="13"/>
                <w:color w:val="010035"/>
                <w:w w:val="96"/>
              </w:rPr>
              <w:t>4,749,990</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10035"/>
                <w:w w:val="98"/>
              </w:rPr>
              <w:t>4/9/2025</w:t>
            </w:r>
          </w:p>
        </w:tc>
        <w:tc>
          <w:tcPr>
            <w:tcW w:w="1020" w:type="dxa"/>
            <w:vAlign w:val="bottom"/>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tcPr>
          <w:p>
            <w:pPr>
              <w:jc w:val="center"/>
              <w:spacing w:after="0"/>
              <w:rPr>
                <w:sz w:val="20"/>
                <w:szCs w:val="20"/>
                <w:color w:val="auto"/>
              </w:rPr>
            </w:pPr>
            <w:r>
              <w:rPr>
                <w:rFonts w:ascii="Arial" w:cs="Arial" w:eastAsia="Arial" w:hAnsi="Arial"/>
                <w:sz w:val="13"/>
                <w:szCs w:val="13"/>
                <w:color w:val="010035"/>
                <w:w w:val="97"/>
              </w:rPr>
              <w:t>345,455</w:t>
            </w:r>
          </w:p>
        </w:tc>
        <w:tc>
          <w:tcPr>
            <w:tcW w:w="820" w:type="dxa"/>
            <w:vAlign w:val="bottom"/>
          </w:tcPr>
          <w:p>
            <w:pPr>
              <w:jc w:val="center"/>
              <w:spacing w:after="0"/>
              <w:rPr>
                <w:sz w:val="20"/>
                <w:szCs w:val="20"/>
                <w:color w:val="auto"/>
              </w:rPr>
            </w:pPr>
            <w:r>
              <w:rPr>
                <w:rFonts w:ascii="Arial" w:cs="Arial" w:eastAsia="Arial" w:hAnsi="Arial"/>
                <w:sz w:val="13"/>
                <w:szCs w:val="13"/>
                <w:color w:val="010035"/>
                <w:w w:val="93"/>
              </w:rPr>
              <w:t>690,909</w:t>
            </w:r>
          </w:p>
        </w:tc>
        <w:tc>
          <w:tcPr>
            <w:tcW w:w="860" w:type="dxa"/>
            <w:vAlign w:val="bottom"/>
          </w:tcPr>
          <w:p>
            <w:pPr>
              <w:jc w:val="center"/>
              <w:ind w:left="36"/>
              <w:spacing w:after="0"/>
              <w:rPr>
                <w:sz w:val="20"/>
                <w:szCs w:val="20"/>
                <w:color w:val="auto"/>
              </w:rPr>
            </w:pPr>
            <w:r>
              <w:rPr>
                <w:rFonts w:ascii="Arial" w:cs="Arial" w:eastAsia="Arial" w:hAnsi="Arial"/>
                <w:sz w:val="13"/>
                <w:szCs w:val="13"/>
                <w:color w:val="010035"/>
                <w:w w:val="96"/>
              </w:rPr>
              <w:t>1,381,818</w:t>
            </w:r>
          </w:p>
        </w:tc>
        <w:tc>
          <w:tcPr>
            <w:tcW w:w="6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010035"/>
              </w:rPr>
              <w:t>—</w:t>
            </w:r>
          </w:p>
        </w:tc>
        <w:tc>
          <w:tcPr>
            <w:tcW w:w="7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tcPr>
          <w:p>
            <w:pPr>
              <w:jc w:val="center"/>
              <w:spacing w:after="0"/>
              <w:rPr>
                <w:sz w:val="20"/>
                <w:szCs w:val="20"/>
                <w:color w:val="auto"/>
              </w:rPr>
            </w:pPr>
            <w:r>
              <w:rPr>
                <w:rFonts w:ascii="Arial" w:cs="Arial" w:eastAsia="Arial" w:hAnsi="Arial"/>
                <w:sz w:val="13"/>
                <w:szCs w:val="13"/>
                <w:color w:val="010035"/>
                <w:w w:val="96"/>
              </w:rPr>
              <w:t>9,499,999</w:t>
            </w:r>
          </w:p>
        </w:tc>
        <w:tc>
          <w:tcPr>
            <w:tcW w:w="0" w:type="dxa"/>
            <w:vAlign w:val="bottom"/>
          </w:tcPr>
          <w:p>
            <w:pPr>
              <w:spacing w:after="0"/>
              <w:rPr>
                <w:sz w:val="1"/>
                <w:szCs w:val="1"/>
                <w:color w:val="auto"/>
              </w:rPr>
            </w:pPr>
          </w:p>
        </w:tc>
      </w:tr>
      <w:tr>
        <w:trPr>
          <w:trHeight w:val="209"/>
        </w:trPr>
        <w:tc>
          <w:tcPr>
            <w:tcW w:w="580" w:type="dxa"/>
            <w:vAlign w:val="bottom"/>
            <w:shd w:val="clear" w:color="auto" w:fill="DED8EC"/>
          </w:tcPr>
          <w:p>
            <w:pPr>
              <w:spacing w:after="0"/>
              <w:rPr>
                <w:sz w:val="18"/>
                <w:szCs w:val="18"/>
                <w:color w:val="auto"/>
              </w:rPr>
            </w:pPr>
          </w:p>
        </w:tc>
        <w:tc>
          <w:tcPr>
            <w:tcW w:w="58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020" w:type="dxa"/>
            <w:vAlign w:val="bottom"/>
            <w:shd w:val="clear" w:color="auto" w:fill="DED8EC"/>
          </w:tcPr>
          <w:p>
            <w:pPr>
              <w:jc w:val="center"/>
              <w:ind w:right="76"/>
              <w:spacing w:after="0"/>
              <w:rPr>
                <w:sz w:val="20"/>
                <w:szCs w:val="20"/>
                <w:color w:val="auto"/>
              </w:rPr>
            </w:pPr>
            <w:r>
              <w:rPr>
                <w:rFonts w:ascii="Arial" w:cs="Arial" w:eastAsia="Arial" w:hAnsi="Arial"/>
                <w:sz w:val="13"/>
                <w:szCs w:val="13"/>
                <w:color w:val="010035"/>
                <w:w w:val="93"/>
              </w:rPr>
              <w:t>579,375</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6"/>
              </w:rPr>
              <w:t>1,158,750</w:t>
            </w:r>
          </w:p>
        </w:tc>
        <w:tc>
          <w:tcPr>
            <w:tcW w:w="940" w:type="dxa"/>
            <w:vAlign w:val="bottom"/>
            <w:shd w:val="clear" w:color="auto" w:fill="DED8EC"/>
          </w:tcPr>
          <w:p>
            <w:pPr>
              <w:jc w:val="center"/>
              <w:ind w:left="76"/>
              <w:spacing w:after="0"/>
              <w:rPr>
                <w:sz w:val="20"/>
                <w:szCs w:val="20"/>
                <w:color w:val="auto"/>
              </w:rPr>
            </w:pPr>
            <w:r>
              <w:rPr>
                <w:rFonts w:ascii="Arial" w:cs="Arial" w:eastAsia="Arial" w:hAnsi="Arial"/>
                <w:sz w:val="13"/>
                <w:szCs w:val="13"/>
                <w:color w:val="010035"/>
                <w:w w:val="96"/>
              </w:rPr>
              <w:t>2,317,500</w:t>
            </w:r>
          </w:p>
        </w:tc>
        <w:tc>
          <w:tcPr>
            <w:tcW w:w="104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8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shd w:val="clear" w:color="auto" w:fill="DED8EC"/>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7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0" w:type="dxa"/>
            <w:vAlign w:val="bottom"/>
          </w:tcPr>
          <w:p>
            <w:pPr>
              <w:spacing w:after="0"/>
              <w:rPr>
                <w:sz w:val="1"/>
                <w:szCs w:val="1"/>
                <w:color w:val="auto"/>
              </w:rPr>
            </w:pPr>
          </w:p>
        </w:tc>
      </w:tr>
      <w:tr>
        <w:trPr>
          <w:trHeight w:val="199"/>
        </w:trPr>
        <w:tc>
          <w:tcPr>
            <w:tcW w:w="58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Felicia</w:t>
            </w:r>
          </w:p>
        </w:tc>
        <w:tc>
          <w:tcPr>
            <w:tcW w:w="5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1/3/2025</w:t>
            </w:r>
          </w:p>
        </w:tc>
        <w:tc>
          <w:tcPr>
            <w:tcW w:w="1020" w:type="dxa"/>
            <w:vAlign w:val="bottom"/>
            <w:shd w:val="clear" w:color="auto" w:fill="DED8EC"/>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shd w:val="clear" w:color="auto" w:fill="DED8EC"/>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8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shd w:val="clear" w:color="auto" w:fill="DED8EC"/>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72,651</w:t>
            </w:r>
          </w:p>
        </w:tc>
        <w:tc>
          <w:tcPr>
            <w:tcW w:w="7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19.24</w:t>
            </w:r>
          </w:p>
        </w:tc>
        <w:tc>
          <w:tcPr>
            <w:tcW w:w="10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7"/>
              </w:rPr>
              <w:t>926,998</w:t>
            </w:r>
          </w:p>
        </w:tc>
        <w:tc>
          <w:tcPr>
            <w:tcW w:w="0" w:type="dxa"/>
            <w:vAlign w:val="bottom"/>
          </w:tcPr>
          <w:p>
            <w:pPr>
              <w:spacing w:after="0"/>
              <w:rPr>
                <w:sz w:val="1"/>
                <w:szCs w:val="1"/>
                <w:color w:val="auto"/>
              </w:rPr>
            </w:pPr>
          </w:p>
        </w:tc>
      </w:tr>
      <w:tr>
        <w:trPr>
          <w:trHeight w:val="166"/>
        </w:trPr>
        <w:tc>
          <w:tcPr>
            <w:tcW w:w="58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Hendrix</w:t>
            </w:r>
          </w:p>
        </w:tc>
        <w:tc>
          <w:tcPr>
            <w:tcW w:w="58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8"/>
              </w:rPr>
              <w:t>1/3/2025</w:t>
            </w:r>
          </w:p>
        </w:tc>
        <w:tc>
          <w:tcPr>
            <w:tcW w:w="1020" w:type="dxa"/>
            <w:vAlign w:val="bottom"/>
            <w:vMerge w:val="restart"/>
            <w:shd w:val="clear" w:color="auto" w:fill="DED8EC"/>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vMerge w:val="restart"/>
            <w:shd w:val="clear" w:color="auto" w:fill="DED8EC"/>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8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vMerge w:val="restart"/>
            <w:shd w:val="clear" w:color="auto" w:fill="DED8EC"/>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rPr>
              <w:t>48,181</w:t>
            </w:r>
          </w:p>
        </w:tc>
        <w:tc>
          <w:tcPr>
            <w:tcW w:w="64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7"/>
              </w:rPr>
              <w:t>927,002</w:t>
            </w:r>
          </w:p>
        </w:tc>
        <w:tc>
          <w:tcPr>
            <w:tcW w:w="0" w:type="dxa"/>
            <w:vAlign w:val="bottom"/>
          </w:tcPr>
          <w:p>
            <w:pPr>
              <w:spacing w:after="0"/>
              <w:rPr>
                <w:sz w:val="1"/>
                <w:szCs w:val="1"/>
                <w:color w:val="auto"/>
              </w:rPr>
            </w:pPr>
          </w:p>
        </w:tc>
      </w:tr>
      <w:tr>
        <w:trPr>
          <w:trHeight w:val="68"/>
        </w:trPr>
        <w:tc>
          <w:tcPr>
            <w:tcW w:w="580" w:type="dxa"/>
            <w:vAlign w:val="bottom"/>
            <w:shd w:val="clear" w:color="auto" w:fill="DED8EC"/>
          </w:tcPr>
          <w:p>
            <w:pPr>
              <w:spacing w:after="0"/>
              <w:rPr>
                <w:sz w:val="5"/>
                <w:szCs w:val="5"/>
                <w:color w:val="auto"/>
              </w:rPr>
            </w:pPr>
          </w:p>
        </w:tc>
        <w:tc>
          <w:tcPr>
            <w:tcW w:w="580" w:type="dxa"/>
            <w:vAlign w:val="bottom"/>
            <w:vMerge w:val="continue"/>
            <w:shd w:val="clear" w:color="auto" w:fill="DED8EC"/>
          </w:tcPr>
          <w:p>
            <w:pPr>
              <w:spacing w:after="0"/>
              <w:rPr>
                <w:sz w:val="5"/>
                <w:szCs w:val="5"/>
                <w:color w:val="auto"/>
              </w:rPr>
            </w:pPr>
          </w:p>
        </w:tc>
        <w:tc>
          <w:tcPr>
            <w:tcW w:w="1020" w:type="dxa"/>
            <w:vAlign w:val="bottom"/>
            <w:vMerge w:val="continue"/>
            <w:shd w:val="clear" w:color="auto" w:fill="DED8EC"/>
          </w:tcPr>
          <w:p>
            <w:pPr>
              <w:spacing w:after="0"/>
              <w:rPr>
                <w:sz w:val="5"/>
                <w:szCs w:val="5"/>
                <w:color w:val="auto"/>
              </w:rPr>
            </w:pPr>
          </w:p>
        </w:tc>
        <w:tc>
          <w:tcPr>
            <w:tcW w:w="920" w:type="dxa"/>
            <w:vAlign w:val="bottom"/>
            <w:vMerge w:val="continue"/>
            <w:shd w:val="clear" w:color="auto" w:fill="DED8EC"/>
          </w:tcPr>
          <w:p>
            <w:pPr>
              <w:spacing w:after="0"/>
              <w:rPr>
                <w:sz w:val="5"/>
                <w:szCs w:val="5"/>
                <w:color w:val="auto"/>
              </w:rPr>
            </w:pPr>
          </w:p>
        </w:tc>
        <w:tc>
          <w:tcPr>
            <w:tcW w:w="940" w:type="dxa"/>
            <w:vAlign w:val="bottom"/>
            <w:vMerge w:val="continue"/>
            <w:shd w:val="clear" w:color="auto" w:fill="DED8EC"/>
          </w:tcPr>
          <w:p>
            <w:pPr>
              <w:spacing w:after="0"/>
              <w:rPr>
                <w:sz w:val="5"/>
                <w:szCs w:val="5"/>
                <w:color w:val="auto"/>
              </w:rPr>
            </w:pPr>
          </w:p>
        </w:tc>
        <w:tc>
          <w:tcPr>
            <w:tcW w:w="1040" w:type="dxa"/>
            <w:vAlign w:val="bottom"/>
            <w:vMerge w:val="continue"/>
            <w:shd w:val="clear" w:color="auto" w:fill="DED8EC"/>
          </w:tcPr>
          <w:p>
            <w:pPr>
              <w:spacing w:after="0"/>
              <w:rPr>
                <w:sz w:val="5"/>
                <w:szCs w:val="5"/>
                <w:color w:val="auto"/>
              </w:rPr>
            </w:pPr>
          </w:p>
        </w:tc>
        <w:tc>
          <w:tcPr>
            <w:tcW w:w="820" w:type="dxa"/>
            <w:vAlign w:val="bottom"/>
            <w:vMerge w:val="continue"/>
            <w:shd w:val="clear" w:color="auto" w:fill="DED8EC"/>
          </w:tcPr>
          <w:p>
            <w:pPr>
              <w:spacing w:after="0"/>
              <w:rPr>
                <w:sz w:val="5"/>
                <w:szCs w:val="5"/>
                <w:color w:val="auto"/>
              </w:rPr>
            </w:pPr>
          </w:p>
        </w:tc>
        <w:tc>
          <w:tcPr>
            <w:tcW w:w="860" w:type="dxa"/>
            <w:vAlign w:val="bottom"/>
            <w:vMerge w:val="continue"/>
            <w:shd w:val="clear" w:color="auto" w:fill="DED8EC"/>
          </w:tcPr>
          <w:p>
            <w:pPr>
              <w:spacing w:after="0"/>
              <w:rPr>
                <w:sz w:val="5"/>
                <w:szCs w:val="5"/>
                <w:color w:val="auto"/>
              </w:rPr>
            </w:pPr>
          </w:p>
        </w:tc>
        <w:tc>
          <w:tcPr>
            <w:tcW w:w="620" w:type="dxa"/>
            <w:vAlign w:val="bottom"/>
            <w:vMerge w:val="continue"/>
            <w:shd w:val="clear" w:color="auto" w:fill="DED8EC"/>
          </w:tcPr>
          <w:p>
            <w:pPr>
              <w:spacing w:after="0"/>
              <w:rPr>
                <w:sz w:val="5"/>
                <w:szCs w:val="5"/>
                <w:color w:val="auto"/>
              </w:rPr>
            </w:pPr>
          </w:p>
        </w:tc>
        <w:tc>
          <w:tcPr>
            <w:tcW w:w="640" w:type="dxa"/>
            <w:vAlign w:val="bottom"/>
            <w:vMerge w:val="continue"/>
            <w:shd w:val="clear" w:color="auto" w:fill="DED8EC"/>
          </w:tcPr>
          <w:p>
            <w:pPr>
              <w:spacing w:after="0"/>
              <w:rPr>
                <w:sz w:val="5"/>
                <w:szCs w:val="5"/>
                <w:color w:val="auto"/>
              </w:rPr>
            </w:pPr>
          </w:p>
        </w:tc>
        <w:tc>
          <w:tcPr>
            <w:tcW w:w="760" w:type="dxa"/>
            <w:vAlign w:val="bottom"/>
            <w:vMerge w:val="continue"/>
            <w:shd w:val="clear" w:color="auto" w:fill="DED8EC"/>
          </w:tcPr>
          <w:p>
            <w:pPr>
              <w:spacing w:after="0"/>
              <w:rPr>
                <w:sz w:val="5"/>
                <w:szCs w:val="5"/>
                <w:color w:val="auto"/>
              </w:rPr>
            </w:pPr>
          </w:p>
        </w:tc>
        <w:tc>
          <w:tcPr>
            <w:tcW w:w="1020" w:type="dxa"/>
            <w:vAlign w:val="bottom"/>
            <w:vMerge w:val="continue"/>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80" w:type="dxa"/>
            <w:vAlign w:val="bottom"/>
            <w:shd w:val="clear" w:color="auto" w:fill="DED8EC"/>
          </w:tcPr>
          <w:p>
            <w:pPr>
              <w:spacing w:after="0"/>
              <w:rPr>
                <w:sz w:val="17"/>
                <w:szCs w:val="17"/>
                <w:color w:val="auto"/>
              </w:rPr>
            </w:pPr>
          </w:p>
        </w:tc>
        <w:tc>
          <w:tcPr>
            <w:tcW w:w="5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4/7/2025</w:t>
            </w:r>
          </w:p>
        </w:tc>
        <w:tc>
          <w:tcPr>
            <w:tcW w:w="1020" w:type="dxa"/>
            <w:vAlign w:val="bottom"/>
            <w:shd w:val="clear" w:color="auto" w:fill="DED8EC"/>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shd w:val="clear" w:color="auto" w:fill="DED8EC"/>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64,871</w:t>
            </w:r>
          </w:p>
        </w:tc>
        <w:tc>
          <w:tcPr>
            <w:tcW w:w="8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3"/>
              </w:rPr>
              <w:t>129,741</w:t>
            </w:r>
          </w:p>
        </w:tc>
        <w:tc>
          <w:tcPr>
            <w:tcW w:w="860" w:type="dxa"/>
            <w:vAlign w:val="bottom"/>
            <w:shd w:val="clear" w:color="auto" w:fill="DED8EC"/>
          </w:tcPr>
          <w:p>
            <w:pPr>
              <w:jc w:val="center"/>
              <w:ind w:left="16"/>
              <w:spacing w:after="0"/>
              <w:rPr>
                <w:sz w:val="20"/>
                <w:szCs w:val="20"/>
                <w:color w:val="auto"/>
              </w:rPr>
            </w:pPr>
            <w:r>
              <w:rPr>
                <w:rFonts w:ascii="Arial" w:cs="Arial" w:eastAsia="Arial" w:hAnsi="Arial"/>
                <w:sz w:val="13"/>
                <w:szCs w:val="13"/>
                <w:color w:val="010035"/>
                <w:w w:val="97"/>
              </w:rPr>
              <w:t>259,482</w:t>
            </w:r>
          </w:p>
        </w:tc>
        <w:tc>
          <w:tcPr>
            <w:tcW w:w="6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7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6"/>
              </w:rPr>
              <w:t>1,853,999</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10035"/>
              </w:rPr>
              <w:t>—</w:t>
            </w:r>
          </w:p>
        </w:tc>
        <w:tc>
          <w:tcPr>
            <w:tcW w:w="1020" w:type="dxa"/>
            <w:vAlign w:val="bottom"/>
          </w:tcPr>
          <w:p>
            <w:pPr>
              <w:jc w:val="center"/>
              <w:ind w:right="76"/>
              <w:spacing w:after="0"/>
              <w:rPr>
                <w:sz w:val="20"/>
                <w:szCs w:val="20"/>
                <w:color w:val="auto"/>
              </w:rPr>
            </w:pPr>
            <w:r>
              <w:rPr>
                <w:rFonts w:ascii="Arial" w:cs="Arial" w:eastAsia="Arial" w:hAnsi="Arial"/>
                <w:sz w:val="13"/>
                <w:szCs w:val="13"/>
                <w:color w:val="010035"/>
                <w:w w:val="93"/>
              </w:rPr>
              <w:t>515,000</w:t>
            </w:r>
          </w:p>
        </w:tc>
        <w:tc>
          <w:tcPr>
            <w:tcW w:w="920" w:type="dxa"/>
            <w:vAlign w:val="bottom"/>
          </w:tcPr>
          <w:p>
            <w:pPr>
              <w:jc w:val="center"/>
              <w:spacing w:after="0"/>
              <w:rPr>
                <w:sz w:val="20"/>
                <w:szCs w:val="20"/>
                <w:color w:val="auto"/>
              </w:rPr>
            </w:pPr>
            <w:r>
              <w:rPr>
                <w:rFonts w:ascii="Arial" w:cs="Arial" w:eastAsia="Arial" w:hAnsi="Arial"/>
                <w:sz w:val="13"/>
                <w:szCs w:val="13"/>
                <w:color w:val="010035"/>
                <w:w w:val="96"/>
              </w:rPr>
              <w:t>1,030,000</w:t>
            </w:r>
          </w:p>
        </w:tc>
        <w:tc>
          <w:tcPr>
            <w:tcW w:w="940" w:type="dxa"/>
            <w:vAlign w:val="bottom"/>
          </w:tcPr>
          <w:p>
            <w:pPr>
              <w:jc w:val="center"/>
              <w:ind w:left="76"/>
              <w:spacing w:after="0"/>
              <w:rPr>
                <w:sz w:val="20"/>
                <w:szCs w:val="20"/>
                <w:color w:val="auto"/>
              </w:rPr>
            </w:pPr>
            <w:r>
              <w:rPr>
                <w:rFonts w:ascii="Arial" w:cs="Arial" w:eastAsia="Arial" w:hAnsi="Arial"/>
                <w:sz w:val="13"/>
                <w:szCs w:val="13"/>
                <w:color w:val="010035"/>
                <w:w w:val="96"/>
              </w:rPr>
              <w:t>2,060,000</w:t>
            </w:r>
          </w:p>
        </w:tc>
        <w:tc>
          <w:tcPr>
            <w:tcW w:w="1040" w:type="dxa"/>
            <w:vAlign w:val="bottom"/>
          </w:tcPr>
          <w:p>
            <w:pPr>
              <w:jc w:val="center"/>
              <w:spacing w:after="0"/>
              <w:rPr>
                <w:sz w:val="20"/>
                <w:szCs w:val="20"/>
                <w:color w:val="auto"/>
              </w:rPr>
            </w:pPr>
            <w:r>
              <w:rPr>
                <w:rFonts w:ascii="Arial" w:cs="Arial" w:eastAsia="Arial" w:hAnsi="Arial"/>
                <w:sz w:val="13"/>
                <w:szCs w:val="13"/>
                <w:color w:val="010035"/>
              </w:rPr>
              <w:t>—</w:t>
            </w:r>
          </w:p>
        </w:tc>
        <w:tc>
          <w:tcPr>
            <w:tcW w:w="8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010035"/>
              </w:rPr>
              <w:t>—</w:t>
            </w:r>
          </w:p>
        </w:tc>
        <w:tc>
          <w:tcPr>
            <w:tcW w:w="7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tcPr>
          <w:p>
            <w:pPr>
              <w:jc w:val="center"/>
              <w:spacing w:after="0"/>
              <w:rPr>
                <w:sz w:val="20"/>
                <w:szCs w:val="20"/>
                <w:color w:val="auto"/>
              </w:rPr>
            </w:pPr>
            <w:r>
              <w:rPr>
                <w:rFonts w:ascii="Arial" w:cs="Arial" w:eastAsia="Arial" w:hAnsi="Arial"/>
                <w:sz w:val="13"/>
                <w:szCs w:val="13"/>
                <w:color w:val="010035"/>
              </w:rPr>
              <w:t>—</w:t>
            </w:r>
          </w:p>
        </w:tc>
        <w:tc>
          <w:tcPr>
            <w:tcW w:w="0" w:type="dxa"/>
            <w:vAlign w:val="bottom"/>
          </w:tcPr>
          <w:p>
            <w:pPr>
              <w:spacing w:after="0"/>
              <w:rPr>
                <w:sz w:val="1"/>
                <w:szCs w:val="1"/>
                <w:color w:val="auto"/>
              </w:rPr>
            </w:pPr>
          </w:p>
        </w:tc>
      </w:tr>
      <w:tr>
        <w:trPr>
          <w:trHeight w:val="199"/>
        </w:trPr>
        <w:tc>
          <w:tcPr>
            <w:tcW w:w="580" w:type="dxa"/>
            <w:vAlign w:val="bottom"/>
          </w:tcPr>
          <w:p>
            <w:pPr>
              <w:ind w:left="40"/>
              <w:spacing w:after="0"/>
              <w:rPr>
                <w:sz w:val="20"/>
                <w:szCs w:val="20"/>
                <w:color w:val="auto"/>
              </w:rPr>
            </w:pPr>
            <w:r>
              <w:rPr>
                <w:rFonts w:ascii="Arial" w:cs="Arial" w:eastAsia="Arial" w:hAnsi="Arial"/>
                <w:sz w:val="13"/>
                <w:szCs w:val="13"/>
                <w:color w:val="010035"/>
              </w:rPr>
              <w:t>Chris</w:t>
            </w:r>
          </w:p>
        </w:tc>
        <w:tc>
          <w:tcPr>
            <w:tcW w:w="580" w:type="dxa"/>
            <w:vAlign w:val="bottom"/>
          </w:tcPr>
          <w:p>
            <w:pPr>
              <w:jc w:val="center"/>
              <w:spacing w:after="0"/>
              <w:rPr>
                <w:sz w:val="20"/>
                <w:szCs w:val="20"/>
                <w:color w:val="auto"/>
              </w:rPr>
            </w:pPr>
            <w:r>
              <w:rPr>
                <w:rFonts w:ascii="Arial" w:cs="Arial" w:eastAsia="Arial" w:hAnsi="Arial"/>
                <w:sz w:val="13"/>
                <w:szCs w:val="13"/>
                <w:color w:val="010035"/>
                <w:w w:val="98"/>
              </w:rPr>
              <w:t>1/3/2025</w:t>
            </w:r>
          </w:p>
        </w:tc>
        <w:tc>
          <w:tcPr>
            <w:tcW w:w="1020" w:type="dxa"/>
            <w:vAlign w:val="bottom"/>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tcPr>
          <w:p>
            <w:pPr>
              <w:jc w:val="center"/>
              <w:spacing w:after="0"/>
              <w:rPr>
                <w:sz w:val="20"/>
                <w:szCs w:val="20"/>
                <w:color w:val="auto"/>
              </w:rPr>
            </w:pPr>
            <w:r>
              <w:rPr>
                <w:rFonts w:ascii="Arial" w:cs="Arial" w:eastAsia="Arial" w:hAnsi="Arial"/>
                <w:sz w:val="13"/>
                <w:szCs w:val="13"/>
                <w:color w:val="010035"/>
              </w:rPr>
              <w:t>—</w:t>
            </w:r>
          </w:p>
        </w:tc>
        <w:tc>
          <w:tcPr>
            <w:tcW w:w="8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010035"/>
                <w:w w:val="95"/>
              </w:rPr>
              <w:t>64,579</w:t>
            </w:r>
          </w:p>
        </w:tc>
        <w:tc>
          <w:tcPr>
            <w:tcW w:w="760" w:type="dxa"/>
            <w:vAlign w:val="bottom"/>
          </w:tcPr>
          <w:p>
            <w:pPr>
              <w:jc w:val="center"/>
              <w:spacing w:after="0"/>
              <w:rPr>
                <w:sz w:val="20"/>
                <w:szCs w:val="20"/>
                <w:color w:val="auto"/>
              </w:rPr>
            </w:pPr>
            <w:r>
              <w:rPr>
                <w:rFonts w:ascii="Arial" w:cs="Arial" w:eastAsia="Arial" w:hAnsi="Arial"/>
                <w:sz w:val="13"/>
                <w:szCs w:val="13"/>
                <w:color w:val="010035"/>
                <w:w w:val="98"/>
              </w:rPr>
              <w:t>19.24</w:t>
            </w:r>
          </w:p>
        </w:tc>
        <w:tc>
          <w:tcPr>
            <w:tcW w:w="1020" w:type="dxa"/>
            <w:vAlign w:val="bottom"/>
          </w:tcPr>
          <w:p>
            <w:pPr>
              <w:jc w:val="center"/>
              <w:spacing w:after="0"/>
              <w:rPr>
                <w:sz w:val="20"/>
                <w:szCs w:val="20"/>
                <w:color w:val="auto"/>
              </w:rPr>
            </w:pPr>
            <w:r>
              <w:rPr>
                <w:rFonts w:ascii="Arial" w:cs="Arial" w:eastAsia="Arial" w:hAnsi="Arial"/>
                <w:sz w:val="13"/>
                <w:szCs w:val="13"/>
                <w:color w:val="010035"/>
                <w:w w:val="97"/>
              </w:rPr>
              <w:t>824,002</w:t>
            </w:r>
          </w:p>
        </w:tc>
        <w:tc>
          <w:tcPr>
            <w:tcW w:w="0" w:type="dxa"/>
            <w:vAlign w:val="bottom"/>
          </w:tcPr>
          <w:p>
            <w:pPr>
              <w:spacing w:after="0"/>
              <w:rPr>
                <w:sz w:val="1"/>
                <w:szCs w:val="1"/>
                <w:color w:val="auto"/>
              </w:rPr>
            </w:pPr>
          </w:p>
        </w:tc>
      </w:tr>
      <w:tr>
        <w:trPr>
          <w:trHeight w:val="166"/>
        </w:trPr>
        <w:tc>
          <w:tcPr>
            <w:tcW w:w="580" w:type="dxa"/>
            <w:vAlign w:val="bottom"/>
          </w:tcPr>
          <w:p>
            <w:pPr>
              <w:ind w:left="40"/>
              <w:spacing w:after="0"/>
              <w:rPr>
                <w:sz w:val="20"/>
                <w:szCs w:val="20"/>
                <w:color w:val="auto"/>
              </w:rPr>
            </w:pPr>
            <w:r>
              <w:rPr>
                <w:rFonts w:ascii="Arial" w:cs="Arial" w:eastAsia="Arial" w:hAnsi="Arial"/>
                <w:sz w:val="13"/>
                <w:szCs w:val="13"/>
                <w:color w:val="010035"/>
              </w:rPr>
              <w:t>Rogers</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010035"/>
                <w:w w:val="98"/>
              </w:rPr>
              <w:t>1/3/2025</w:t>
            </w:r>
          </w:p>
        </w:tc>
        <w:tc>
          <w:tcPr>
            <w:tcW w:w="1020" w:type="dxa"/>
            <w:vAlign w:val="bottom"/>
            <w:vMerge w:val="restart"/>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vMerge w:val="restart"/>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10035"/>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vMerge w:val="restart"/>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010035"/>
              </w:rPr>
              <w:t>42,827</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10035"/>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10035"/>
                <w:w w:val="97"/>
              </w:rPr>
              <w:t>823,991</w:t>
            </w: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10035"/>
                <w:w w:val="98"/>
              </w:rPr>
              <w:t>4/7/2025</w:t>
            </w:r>
          </w:p>
        </w:tc>
        <w:tc>
          <w:tcPr>
            <w:tcW w:w="1020" w:type="dxa"/>
            <w:vAlign w:val="bottom"/>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tcPr>
          <w:p>
            <w:pPr>
              <w:jc w:val="center"/>
              <w:spacing w:after="0"/>
              <w:rPr>
                <w:sz w:val="20"/>
                <w:szCs w:val="20"/>
                <w:color w:val="auto"/>
              </w:rPr>
            </w:pPr>
            <w:r>
              <w:rPr>
                <w:rFonts w:ascii="Arial" w:cs="Arial" w:eastAsia="Arial" w:hAnsi="Arial"/>
                <w:sz w:val="13"/>
                <w:szCs w:val="13"/>
                <w:color w:val="010035"/>
                <w:w w:val="95"/>
              </w:rPr>
              <w:t>57,663</w:t>
            </w:r>
          </w:p>
        </w:tc>
        <w:tc>
          <w:tcPr>
            <w:tcW w:w="820" w:type="dxa"/>
            <w:vAlign w:val="bottom"/>
          </w:tcPr>
          <w:p>
            <w:pPr>
              <w:jc w:val="center"/>
              <w:spacing w:after="0"/>
              <w:rPr>
                <w:sz w:val="20"/>
                <w:szCs w:val="20"/>
                <w:color w:val="auto"/>
              </w:rPr>
            </w:pPr>
            <w:r>
              <w:rPr>
                <w:rFonts w:ascii="Arial" w:cs="Arial" w:eastAsia="Arial" w:hAnsi="Arial"/>
                <w:sz w:val="13"/>
                <w:szCs w:val="13"/>
                <w:color w:val="010035"/>
                <w:w w:val="93"/>
              </w:rPr>
              <w:t>115,325</w:t>
            </w:r>
          </w:p>
        </w:tc>
        <w:tc>
          <w:tcPr>
            <w:tcW w:w="860" w:type="dxa"/>
            <w:vAlign w:val="bottom"/>
          </w:tcPr>
          <w:p>
            <w:pPr>
              <w:jc w:val="center"/>
              <w:ind w:left="16"/>
              <w:spacing w:after="0"/>
              <w:rPr>
                <w:sz w:val="20"/>
                <w:szCs w:val="20"/>
                <w:color w:val="auto"/>
              </w:rPr>
            </w:pPr>
            <w:r>
              <w:rPr>
                <w:rFonts w:ascii="Arial" w:cs="Arial" w:eastAsia="Arial" w:hAnsi="Arial"/>
                <w:sz w:val="13"/>
                <w:szCs w:val="13"/>
                <w:color w:val="010035"/>
                <w:w w:val="97"/>
              </w:rPr>
              <w:t>230,650</w:t>
            </w:r>
          </w:p>
        </w:tc>
        <w:tc>
          <w:tcPr>
            <w:tcW w:w="6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010035"/>
              </w:rPr>
              <w:t>—</w:t>
            </w:r>
          </w:p>
        </w:tc>
        <w:tc>
          <w:tcPr>
            <w:tcW w:w="7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tcPr>
          <w:p>
            <w:pPr>
              <w:jc w:val="center"/>
              <w:spacing w:after="0"/>
              <w:rPr>
                <w:sz w:val="20"/>
                <w:szCs w:val="20"/>
                <w:color w:val="auto"/>
              </w:rPr>
            </w:pPr>
            <w:r>
              <w:rPr>
                <w:rFonts w:ascii="Arial" w:cs="Arial" w:eastAsia="Arial" w:hAnsi="Arial"/>
                <w:sz w:val="13"/>
                <w:szCs w:val="13"/>
                <w:color w:val="010035"/>
                <w:w w:val="96"/>
              </w:rPr>
              <w:t>1,647,994</w:t>
            </w:r>
          </w:p>
        </w:tc>
        <w:tc>
          <w:tcPr>
            <w:tcW w:w="0" w:type="dxa"/>
            <w:vAlign w:val="bottom"/>
          </w:tcPr>
          <w:p>
            <w:pPr>
              <w:spacing w:after="0"/>
              <w:rPr>
                <w:sz w:val="1"/>
                <w:szCs w:val="1"/>
                <w:color w:val="auto"/>
              </w:rPr>
            </w:pPr>
          </w:p>
        </w:tc>
      </w:tr>
      <w:tr>
        <w:trPr>
          <w:trHeight w:val="209"/>
        </w:trPr>
        <w:tc>
          <w:tcPr>
            <w:tcW w:w="580" w:type="dxa"/>
            <w:vAlign w:val="bottom"/>
            <w:shd w:val="clear" w:color="auto" w:fill="DED8EC"/>
          </w:tcPr>
          <w:p>
            <w:pPr>
              <w:spacing w:after="0"/>
              <w:rPr>
                <w:sz w:val="18"/>
                <w:szCs w:val="18"/>
                <w:color w:val="auto"/>
              </w:rPr>
            </w:pPr>
          </w:p>
        </w:tc>
        <w:tc>
          <w:tcPr>
            <w:tcW w:w="58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020" w:type="dxa"/>
            <w:vAlign w:val="bottom"/>
            <w:shd w:val="clear" w:color="auto" w:fill="DED8EC"/>
          </w:tcPr>
          <w:p>
            <w:pPr>
              <w:jc w:val="center"/>
              <w:ind w:right="76"/>
              <w:spacing w:after="0"/>
              <w:rPr>
                <w:sz w:val="20"/>
                <w:szCs w:val="20"/>
                <w:color w:val="auto"/>
              </w:rPr>
            </w:pPr>
            <w:r>
              <w:rPr>
                <w:rFonts w:ascii="Arial" w:cs="Arial" w:eastAsia="Arial" w:hAnsi="Arial"/>
                <w:sz w:val="13"/>
                <w:szCs w:val="13"/>
                <w:color w:val="010035"/>
                <w:w w:val="93"/>
              </w:rPr>
              <w:t>643,750</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6"/>
              </w:rPr>
              <w:t>1,287,500</w:t>
            </w:r>
          </w:p>
        </w:tc>
        <w:tc>
          <w:tcPr>
            <w:tcW w:w="940" w:type="dxa"/>
            <w:vAlign w:val="bottom"/>
            <w:shd w:val="clear" w:color="auto" w:fill="DED8EC"/>
          </w:tcPr>
          <w:p>
            <w:pPr>
              <w:jc w:val="center"/>
              <w:ind w:left="76"/>
              <w:spacing w:after="0"/>
              <w:rPr>
                <w:sz w:val="20"/>
                <w:szCs w:val="20"/>
                <w:color w:val="auto"/>
              </w:rPr>
            </w:pPr>
            <w:r>
              <w:rPr>
                <w:rFonts w:ascii="Arial" w:cs="Arial" w:eastAsia="Arial" w:hAnsi="Arial"/>
                <w:sz w:val="13"/>
                <w:szCs w:val="13"/>
                <w:color w:val="010035"/>
                <w:w w:val="96"/>
              </w:rPr>
              <w:t>2,575,000</w:t>
            </w:r>
          </w:p>
        </w:tc>
        <w:tc>
          <w:tcPr>
            <w:tcW w:w="104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8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shd w:val="clear" w:color="auto" w:fill="DED8EC"/>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7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0" w:type="dxa"/>
            <w:vAlign w:val="bottom"/>
          </w:tcPr>
          <w:p>
            <w:pPr>
              <w:spacing w:after="0"/>
              <w:rPr>
                <w:sz w:val="1"/>
                <w:szCs w:val="1"/>
                <w:color w:val="auto"/>
              </w:rPr>
            </w:pPr>
          </w:p>
        </w:tc>
      </w:tr>
      <w:tr>
        <w:trPr>
          <w:trHeight w:val="212"/>
        </w:trPr>
        <w:tc>
          <w:tcPr>
            <w:tcW w:w="58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Todd</w:t>
            </w:r>
          </w:p>
        </w:tc>
        <w:tc>
          <w:tcPr>
            <w:tcW w:w="5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1/3/2025</w:t>
            </w:r>
          </w:p>
        </w:tc>
        <w:tc>
          <w:tcPr>
            <w:tcW w:w="1020" w:type="dxa"/>
            <w:vAlign w:val="bottom"/>
            <w:shd w:val="clear" w:color="auto" w:fill="DED8EC"/>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shd w:val="clear" w:color="auto" w:fill="DED8EC"/>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8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shd w:val="clear" w:color="auto" w:fill="DED8EC"/>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7"/>
              </w:rPr>
              <w:t>100,904</w:t>
            </w:r>
          </w:p>
        </w:tc>
        <w:tc>
          <w:tcPr>
            <w:tcW w:w="7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19.24</w:t>
            </w:r>
          </w:p>
        </w:tc>
        <w:tc>
          <w:tcPr>
            <w:tcW w:w="10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6"/>
              </w:rPr>
              <w:t>1,287,495</w:t>
            </w:r>
          </w:p>
        </w:tc>
        <w:tc>
          <w:tcPr>
            <w:tcW w:w="0" w:type="dxa"/>
            <w:vAlign w:val="bottom"/>
          </w:tcPr>
          <w:p>
            <w:pPr>
              <w:spacing w:after="0"/>
              <w:rPr>
                <w:sz w:val="1"/>
                <w:szCs w:val="1"/>
                <w:color w:val="auto"/>
              </w:rPr>
            </w:pPr>
          </w:p>
        </w:tc>
      </w:tr>
      <w:tr>
        <w:trPr>
          <w:trHeight w:val="166"/>
        </w:trPr>
        <w:tc>
          <w:tcPr>
            <w:tcW w:w="58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George</w:t>
            </w:r>
          </w:p>
        </w:tc>
        <w:tc>
          <w:tcPr>
            <w:tcW w:w="58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8"/>
              </w:rPr>
              <w:t>1/3/2025</w:t>
            </w:r>
          </w:p>
        </w:tc>
        <w:tc>
          <w:tcPr>
            <w:tcW w:w="1020" w:type="dxa"/>
            <w:vAlign w:val="bottom"/>
            <w:vMerge w:val="restart"/>
            <w:shd w:val="clear" w:color="auto" w:fill="DED8EC"/>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vMerge w:val="restart"/>
            <w:shd w:val="clear" w:color="auto" w:fill="DED8EC"/>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8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860" w:type="dxa"/>
            <w:vAlign w:val="bottom"/>
            <w:vMerge w:val="restart"/>
            <w:shd w:val="clear" w:color="auto" w:fill="DED8EC"/>
          </w:tcPr>
          <w:p>
            <w:pPr>
              <w:jc w:val="center"/>
              <w:ind w:left="16"/>
              <w:spacing w:after="0"/>
              <w:rPr>
                <w:sz w:val="20"/>
                <w:szCs w:val="20"/>
                <w:color w:val="auto"/>
              </w:rPr>
            </w:pPr>
            <w:r>
              <w:rPr>
                <w:rFonts w:ascii="Arial" w:cs="Arial" w:eastAsia="Arial" w:hAnsi="Arial"/>
                <w:sz w:val="13"/>
                <w:szCs w:val="13"/>
                <w:color w:val="010035"/>
              </w:rPr>
              <w:t>—</w:t>
            </w:r>
          </w:p>
        </w:tc>
        <w:tc>
          <w:tcPr>
            <w:tcW w:w="6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rPr>
              <w:t>66,918</w:t>
            </w:r>
          </w:p>
        </w:tc>
        <w:tc>
          <w:tcPr>
            <w:tcW w:w="64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6"/>
              </w:rPr>
              <w:t>1,287,502</w:t>
            </w:r>
          </w:p>
        </w:tc>
        <w:tc>
          <w:tcPr>
            <w:tcW w:w="0" w:type="dxa"/>
            <w:vAlign w:val="bottom"/>
          </w:tcPr>
          <w:p>
            <w:pPr>
              <w:spacing w:after="0"/>
              <w:rPr>
                <w:sz w:val="1"/>
                <w:szCs w:val="1"/>
                <w:color w:val="auto"/>
              </w:rPr>
            </w:pPr>
          </w:p>
        </w:tc>
      </w:tr>
      <w:tr>
        <w:trPr>
          <w:trHeight w:val="81"/>
        </w:trPr>
        <w:tc>
          <w:tcPr>
            <w:tcW w:w="580" w:type="dxa"/>
            <w:vAlign w:val="bottom"/>
            <w:shd w:val="clear" w:color="auto" w:fill="DED8EC"/>
          </w:tcPr>
          <w:p>
            <w:pPr>
              <w:spacing w:after="0"/>
              <w:rPr>
                <w:sz w:val="7"/>
                <w:szCs w:val="7"/>
                <w:color w:val="auto"/>
              </w:rPr>
            </w:pPr>
          </w:p>
        </w:tc>
        <w:tc>
          <w:tcPr>
            <w:tcW w:w="580" w:type="dxa"/>
            <w:vAlign w:val="bottom"/>
            <w:vMerge w:val="continue"/>
            <w:shd w:val="clear" w:color="auto" w:fill="DED8EC"/>
          </w:tcPr>
          <w:p>
            <w:pPr>
              <w:spacing w:after="0"/>
              <w:rPr>
                <w:sz w:val="7"/>
                <w:szCs w:val="7"/>
                <w:color w:val="auto"/>
              </w:rPr>
            </w:pPr>
          </w:p>
        </w:tc>
        <w:tc>
          <w:tcPr>
            <w:tcW w:w="1020" w:type="dxa"/>
            <w:vAlign w:val="bottom"/>
            <w:vMerge w:val="continue"/>
            <w:shd w:val="clear" w:color="auto" w:fill="DED8EC"/>
          </w:tcPr>
          <w:p>
            <w:pPr>
              <w:spacing w:after="0"/>
              <w:rPr>
                <w:sz w:val="7"/>
                <w:szCs w:val="7"/>
                <w:color w:val="auto"/>
              </w:rPr>
            </w:pPr>
          </w:p>
        </w:tc>
        <w:tc>
          <w:tcPr>
            <w:tcW w:w="920" w:type="dxa"/>
            <w:vAlign w:val="bottom"/>
            <w:vMerge w:val="continue"/>
            <w:shd w:val="clear" w:color="auto" w:fill="DED8EC"/>
          </w:tcPr>
          <w:p>
            <w:pPr>
              <w:spacing w:after="0"/>
              <w:rPr>
                <w:sz w:val="7"/>
                <w:szCs w:val="7"/>
                <w:color w:val="auto"/>
              </w:rPr>
            </w:pPr>
          </w:p>
        </w:tc>
        <w:tc>
          <w:tcPr>
            <w:tcW w:w="940" w:type="dxa"/>
            <w:vAlign w:val="bottom"/>
            <w:vMerge w:val="continue"/>
            <w:shd w:val="clear" w:color="auto" w:fill="DED8EC"/>
          </w:tcPr>
          <w:p>
            <w:pPr>
              <w:spacing w:after="0"/>
              <w:rPr>
                <w:sz w:val="7"/>
                <w:szCs w:val="7"/>
                <w:color w:val="auto"/>
              </w:rPr>
            </w:pPr>
          </w:p>
        </w:tc>
        <w:tc>
          <w:tcPr>
            <w:tcW w:w="1040" w:type="dxa"/>
            <w:vAlign w:val="bottom"/>
            <w:vMerge w:val="continue"/>
            <w:shd w:val="clear" w:color="auto" w:fill="DED8EC"/>
          </w:tcPr>
          <w:p>
            <w:pPr>
              <w:spacing w:after="0"/>
              <w:rPr>
                <w:sz w:val="7"/>
                <w:szCs w:val="7"/>
                <w:color w:val="auto"/>
              </w:rPr>
            </w:pPr>
          </w:p>
        </w:tc>
        <w:tc>
          <w:tcPr>
            <w:tcW w:w="820" w:type="dxa"/>
            <w:vAlign w:val="bottom"/>
            <w:vMerge w:val="continue"/>
            <w:shd w:val="clear" w:color="auto" w:fill="DED8EC"/>
          </w:tcPr>
          <w:p>
            <w:pPr>
              <w:spacing w:after="0"/>
              <w:rPr>
                <w:sz w:val="7"/>
                <w:szCs w:val="7"/>
                <w:color w:val="auto"/>
              </w:rPr>
            </w:pPr>
          </w:p>
        </w:tc>
        <w:tc>
          <w:tcPr>
            <w:tcW w:w="860" w:type="dxa"/>
            <w:vAlign w:val="bottom"/>
            <w:vMerge w:val="continue"/>
            <w:shd w:val="clear" w:color="auto" w:fill="DED8EC"/>
          </w:tcPr>
          <w:p>
            <w:pPr>
              <w:spacing w:after="0"/>
              <w:rPr>
                <w:sz w:val="7"/>
                <w:szCs w:val="7"/>
                <w:color w:val="auto"/>
              </w:rPr>
            </w:pPr>
          </w:p>
        </w:tc>
        <w:tc>
          <w:tcPr>
            <w:tcW w:w="620" w:type="dxa"/>
            <w:vAlign w:val="bottom"/>
            <w:vMerge w:val="continue"/>
            <w:shd w:val="clear" w:color="auto" w:fill="DED8EC"/>
          </w:tcPr>
          <w:p>
            <w:pPr>
              <w:spacing w:after="0"/>
              <w:rPr>
                <w:sz w:val="7"/>
                <w:szCs w:val="7"/>
                <w:color w:val="auto"/>
              </w:rPr>
            </w:pPr>
          </w:p>
        </w:tc>
        <w:tc>
          <w:tcPr>
            <w:tcW w:w="640" w:type="dxa"/>
            <w:vAlign w:val="bottom"/>
            <w:vMerge w:val="continue"/>
            <w:shd w:val="clear" w:color="auto" w:fill="DED8EC"/>
          </w:tcPr>
          <w:p>
            <w:pPr>
              <w:spacing w:after="0"/>
              <w:rPr>
                <w:sz w:val="7"/>
                <w:szCs w:val="7"/>
                <w:color w:val="auto"/>
              </w:rPr>
            </w:pPr>
          </w:p>
        </w:tc>
        <w:tc>
          <w:tcPr>
            <w:tcW w:w="760" w:type="dxa"/>
            <w:vAlign w:val="bottom"/>
            <w:vMerge w:val="continue"/>
            <w:shd w:val="clear" w:color="auto" w:fill="DED8EC"/>
          </w:tcPr>
          <w:p>
            <w:pPr>
              <w:spacing w:after="0"/>
              <w:rPr>
                <w:sz w:val="7"/>
                <w:szCs w:val="7"/>
                <w:color w:val="auto"/>
              </w:rPr>
            </w:pPr>
          </w:p>
        </w:tc>
        <w:tc>
          <w:tcPr>
            <w:tcW w:w="1020" w:type="dxa"/>
            <w:vAlign w:val="bottom"/>
            <w:vMerge w:val="continue"/>
            <w:shd w:val="clear" w:color="auto" w:fill="DED8EC"/>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580" w:type="dxa"/>
            <w:vAlign w:val="bottom"/>
            <w:tcBorders>
              <w:bottom w:val="single" w:sz="8" w:color="DED8EC"/>
            </w:tcBorders>
            <w:shd w:val="clear" w:color="auto" w:fill="DED8EC"/>
          </w:tcPr>
          <w:p>
            <w:pPr>
              <w:spacing w:after="0"/>
              <w:rPr>
                <w:sz w:val="17"/>
                <w:szCs w:val="17"/>
                <w:color w:val="auto"/>
              </w:rPr>
            </w:pPr>
          </w:p>
        </w:tc>
        <w:tc>
          <w:tcPr>
            <w:tcW w:w="58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8"/>
              </w:rPr>
              <w:t>4/7/2025</w:t>
            </w:r>
          </w:p>
        </w:tc>
        <w:tc>
          <w:tcPr>
            <w:tcW w:w="1020" w:type="dxa"/>
            <w:vAlign w:val="bottom"/>
            <w:tcBorders>
              <w:bottom w:val="single" w:sz="8" w:color="DED8EC"/>
            </w:tcBorders>
            <w:shd w:val="clear" w:color="auto" w:fill="DED8EC"/>
          </w:tcPr>
          <w:p>
            <w:pPr>
              <w:jc w:val="center"/>
              <w:ind w:right="76"/>
              <w:spacing w:after="0"/>
              <w:rPr>
                <w:sz w:val="20"/>
                <w:szCs w:val="20"/>
                <w:color w:val="auto"/>
              </w:rPr>
            </w:pPr>
            <w:r>
              <w:rPr>
                <w:rFonts w:ascii="Arial" w:cs="Arial" w:eastAsia="Arial" w:hAnsi="Arial"/>
                <w:sz w:val="13"/>
                <w:szCs w:val="13"/>
                <w:color w:val="010035"/>
                <w:w w:val="91"/>
              </w:rPr>
              <w:t>—</w:t>
            </w:r>
          </w:p>
        </w:tc>
        <w:tc>
          <w:tcPr>
            <w:tcW w:w="9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40" w:type="dxa"/>
            <w:vAlign w:val="bottom"/>
            <w:tcBorders>
              <w:bottom w:val="single" w:sz="8" w:color="DED8EC"/>
            </w:tcBorders>
            <w:shd w:val="clear" w:color="auto" w:fill="DED8EC"/>
          </w:tcPr>
          <w:p>
            <w:pPr>
              <w:jc w:val="center"/>
              <w:ind w:left="76"/>
              <w:spacing w:after="0"/>
              <w:rPr>
                <w:sz w:val="20"/>
                <w:szCs w:val="20"/>
                <w:color w:val="auto"/>
              </w:rPr>
            </w:pPr>
            <w:r>
              <w:rPr>
                <w:rFonts w:ascii="Arial" w:cs="Arial" w:eastAsia="Arial" w:hAnsi="Arial"/>
                <w:sz w:val="13"/>
                <w:szCs w:val="13"/>
                <w:color w:val="010035"/>
                <w:w w:val="91"/>
              </w:rPr>
              <w:t>—</w:t>
            </w:r>
          </w:p>
        </w:tc>
        <w:tc>
          <w:tcPr>
            <w:tcW w:w="10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5"/>
              </w:rPr>
              <w:t>90,098</w:t>
            </w:r>
          </w:p>
        </w:tc>
        <w:tc>
          <w:tcPr>
            <w:tcW w:w="8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3"/>
              </w:rPr>
              <w:t>180,196</w:t>
            </w:r>
          </w:p>
        </w:tc>
        <w:tc>
          <w:tcPr>
            <w:tcW w:w="860" w:type="dxa"/>
            <w:vAlign w:val="bottom"/>
            <w:tcBorders>
              <w:bottom w:val="single" w:sz="8" w:color="DED8EC"/>
            </w:tcBorders>
            <w:shd w:val="clear" w:color="auto" w:fill="DED8EC"/>
          </w:tcPr>
          <w:p>
            <w:pPr>
              <w:jc w:val="center"/>
              <w:ind w:left="16"/>
              <w:spacing w:after="0"/>
              <w:rPr>
                <w:sz w:val="20"/>
                <w:szCs w:val="20"/>
                <w:color w:val="auto"/>
              </w:rPr>
            </w:pPr>
            <w:r>
              <w:rPr>
                <w:rFonts w:ascii="Arial" w:cs="Arial" w:eastAsia="Arial" w:hAnsi="Arial"/>
                <w:sz w:val="13"/>
                <w:szCs w:val="13"/>
                <w:color w:val="010035"/>
                <w:w w:val="97"/>
              </w:rPr>
              <w:t>360,392</w:t>
            </w:r>
          </w:p>
        </w:tc>
        <w:tc>
          <w:tcPr>
            <w:tcW w:w="6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6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76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0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6"/>
              </w:rPr>
              <w:t>2,575,001</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180" w:right="640" w:hanging="174"/>
        <w:spacing w:after="0" w:line="248" w:lineRule="auto"/>
        <w:tabs>
          <w:tab w:leader="none" w:pos="180" w:val="left"/>
        </w:tabs>
        <w:numPr>
          <w:ilvl w:val="0"/>
          <w:numId w:val="62"/>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grant date shown in the table was determined pursuant to ASC 718, which is the date our Compensation Committee (or our Board for the CEO) established the performance criteria and awarded the target number of the 2025 Performance Awards.</w:t>
      </w:r>
    </w:p>
    <w:p>
      <w:pPr>
        <w:ind w:left="180" w:right="500" w:hanging="174"/>
        <w:spacing w:after="0" w:line="246" w:lineRule="auto"/>
        <w:tabs>
          <w:tab w:leader="none" w:pos="180" w:val="left"/>
        </w:tabs>
        <w:numPr>
          <w:ilvl w:val="0"/>
          <w:numId w:val="62"/>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Option awards represent stock options granted to the executives as part of their annual equity incentive compensation. The option awards vest over three years, 33.33% on the first anniversary of the date of grant and 33.33% on each succeeding anniversary.</w:t>
      </w:r>
    </w:p>
    <w:p>
      <w:pPr>
        <w:spacing w:after="0" w:line="5" w:lineRule="exact"/>
        <w:rPr>
          <w:rFonts w:ascii="Times New Roman" w:cs="Times New Roman" w:eastAsia="Times New Roman" w:hAnsi="Times New Roman"/>
          <w:sz w:val="11"/>
          <w:szCs w:val="11"/>
          <w:color w:val="010035"/>
        </w:rPr>
      </w:pPr>
    </w:p>
    <w:p>
      <w:pPr>
        <w:ind w:left="180" w:right="680" w:hanging="174"/>
        <w:spacing w:after="0" w:line="306" w:lineRule="auto"/>
        <w:tabs>
          <w:tab w:leader="none" w:pos="180" w:val="left"/>
        </w:tabs>
        <w:numPr>
          <w:ilvl w:val="0"/>
          <w:numId w:val="62"/>
        </w:numPr>
        <w:rPr>
          <w:rFonts w:ascii="Times New Roman" w:cs="Times New Roman" w:eastAsia="Times New Roman" w:hAnsi="Times New Roman"/>
          <w:sz w:val="10"/>
          <w:szCs w:val="10"/>
          <w:color w:val="010035"/>
        </w:rPr>
      </w:pPr>
      <w:r>
        <w:rPr>
          <w:rFonts w:ascii="Times New Roman" w:cs="Times New Roman" w:eastAsia="Times New Roman" w:hAnsi="Times New Roman"/>
          <w:sz w:val="10"/>
          <w:szCs w:val="10"/>
          <w:color w:val="010035"/>
        </w:rPr>
        <w:t>Represents the full grant date fair value of awards under ASC 718. Generally, the full grant date fair value is the amount the Company expenses in its financial statements over the award’s vesting period. Assumptions used in the calculation of the amounts for stock option awards and performance awards are included in Notes 2 and 15 to the Company’s audited financial statements in our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88265</wp:posOffset>
            </wp:positionV>
            <wp:extent cx="699516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00"/>
          </w:cols>
          <w:pgMar w:left="1240" w:top="114" w:right="8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580" w:type="dxa"/>
            <w:vAlign w:val="bottom"/>
            <w:tcBorders>
              <w:top w:val="single" w:sz="8" w:color="69439A"/>
            </w:tcBorders>
            <w:shd w:val="clear" w:color="auto" w:fill="010035"/>
          </w:tcPr>
          <w:p>
            <w:pPr>
              <w:spacing w:after="0"/>
              <w:rPr>
                <w:sz w:val="24"/>
                <w:szCs w:val="24"/>
                <w:color w:val="auto"/>
              </w:rPr>
            </w:pPr>
          </w:p>
        </w:tc>
        <w:tc>
          <w:tcPr>
            <w:tcW w:w="1000" w:type="dxa"/>
            <w:vAlign w:val="bottom"/>
            <w:tcBorders>
              <w:top w:val="single" w:sz="8" w:color="69439A"/>
            </w:tcBorders>
            <w:shd w:val="clear" w:color="auto" w:fill="010035"/>
          </w:tcPr>
          <w:p>
            <w:pPr>
              <w:spacing w:after="0"/>
              <w:rPr>
                <w:sz w:val="24"/>
                <w:szCs w:val="24"/>
                <w:color w:val="auto"/>
              </w:rPr>
            </w:pPr>
          </w:p>
        </w:tc>
        <w:tc>
          <w:tcPr>
            <w:tcW w:w="40" w:type="dxa"/>
            <w:vAlign w:val="bottom"/>
            <w:tcBorders>
              <w:top w:val="single" w:sz="8" w:color="69439A"/>
            </w:tcBorders>
            <w:shd w:val="clear" w:color="auto" w:fill="010035"/>
          </w:tcPr>
          <w:p>
            <w:pPr>
              <w:spacing w:after="0"/>
              <w:rPr>
                <w:sz w:val="24"/>
                <w:szCs w:val="24"/>
                <w:color w:val="auto"/>
              </w:rPr>
            </w:pPr>
          </w:p>
        </w:tc>
        <w:tc>
          <w:tcPr>
            <w:tcW w:w="1980" w:type="dxa"/>
            <w:vAlign w:val="bottom"/>
            <w:tcBorders>
              <w:top w:val="single" w:sz="8" w:color="69439A"/>
            </w:tcBorders>
            <w:gridSpan w:val="2"/>
            <w:shd w:val="clear" w:color="auto" w:fill="010035"/>
          </w:tcPr>
          <w:p>
            <w:pPr>
              <w:ind w:left="280"/>
              <w:spacing w:after="0"/>
              <w:rPr>
                <w:sz w:val="20"/>
                <w:szCs w:val="20"/>
                <w:color w:val="auto"/>
              </w:rPr>
            </w:pPr>
            <w:r>
              <w:rPr>
                <w:rFonts w:ascii="Arial" w:cs="Arial" w:eastAsia="Arial" w:hAnsi="Arial"/>
                <w:sz w:val="14"/>
                <w:szCs w:val="14"/>
                <w:b w:val="1"/>
                <w:bCs w:val="1"/>
                <w:color w:val="FFFFFF"/>
              </w:rPr>
              <w:t>OPTION AWARDS</w:t>
            </w:r>
          </w:p>
        </w:tc>
        <w:tc>
          <w:tcPr>
            <w:tcW w:w="820" w:type="dxa"/>
            <w:vAlign w:val="bottom"/>
            <w:tcBorders>
              <w:top w:val="single" w:sz="8" w:color="69439A"/>
              <w:right w:val="single" w:sz="8" w:color="69439A"/>
            </w:tcBorders>
            <w:shd w:val="clear" w:color="auto" w:fill="010035"/>
          </w:tcPr>
          <w:p>
            <w:pPr>
              <w:spacing w:after="0"/>
              <w:rPr>
                <w:sz w:val="24"/>
                <w:szCs w:val="24"/>
                <w:color w:val="auto"/>
              </w:rPr>
            </w:pPr>
          </w:p>
        </w:tc>
        <w:tc>
          <w:tcPr>
            <w:tcW w:w="920" w:type="dxa"/>
            <w:vAlign w:val="bottom"/>
            <w:tcBorders>
              <w:top w:val="single" w:sz="8" w:color="69439A"/>
            </w:tcBorders>
            <w:shd w:val="clear" w:color="auto" w:fill="010035"/>
          </w:tcPr>
          <w:p>
            <w:pPr>
              <w:spacing w:after="0"/>
              <w:rPr>
                <w:sz w:val="24"/>
                <w:szCs w:val="24"/>
                <w:color w:val="auto"/>
              </w:rPr>
            </w:pPr>
          </w:p>
        </w:tc>
        <w:tc>
          <w:tcPr>
            <w:tcW w:w="2860" w:type="dxa"/>
            <w:vAlign w:val="bottom"/>
            <w:tcBorders>
              <w:top w:val="single" w:sz="8" w:color="69439A"/>
            </w:tcBorders>
            <w:gridSpan w:val="2"/>
            <w:shd w:val="clear" w:color="auto" w:fill="010035"/>
          </w:tcPr>
          <w:p>
            <w:pPr>
              <w:ind w:left="1140"/>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3"/>
                <w:szCs w:val="23"/>
                <w:b w:val="1"/>
                <w:bCs w:val="1"/>
                <w:color w:val="FFFFFF"/>
                <w:vertAlign w:val="superscript"/>
              </w:rPr>
              <w:t>(a)</w:t>
            </w:r>
          </w:p>
        </w:tc>
        <w:tc>
          <w:tcPr>
            <w:tcW w:w="1600" w:type="dxa"/>
            <w:vAlign w:val="bottom"/>
            <w:tcBorders>
              <w:top w:val="single" w:sz="8" w:color="69439A"/>
            </w:tcBorders>
            <w:shd w:val="clear" w:color="auto" w:fill="010035"/>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shd w:val="clear" w:color="auto" w:fill="010035"/>
          </w:tcPr>
          <w:p>
            <w:pPr>
              <w:spacing w:after="0"/>
              <w:rPr>
                <w:sz w:val="16"/>
                <w:szCs w:val="16"/>
                <w:color w:val="auto"/>
              </w:rPr>
            </w:pPr>
          </w:p>
        </w:tc>
        <w:tc>
          <w:tcPr>
            <w:tcW w:w="2240" w:type="dxa"/>
            <w:vAlign w:val="bottom"/>
            <w:gridSpan w:val="3"/>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NUMBER OF SECURITIES</w:t>
            </w:r>
          </w:p>
        </w:tc>
        <w:tc>
          <w:tcPr>
            <w:tcW w:w="780" w:type="dxa"/>
            <w:vAlign w:val="bottom"/>
            <w:shd w:val="clear" w:color="auto" w:fill="010035"/>
          </w:tcPr>
          <w:p>
            <w:pPr>
              <w:spacing w:after="0"/>
              <w:rPr>
                <w:sz w:val="16"/>
                <w:szCs w:val="16"/>
                <w:color w:val="auto"/>
              </w:rPr>
            </w:pPr>
          </w:p>
        </w:tc>
        <w:tc>
          <w:tcPr>
            <w:tcW w:w="820" w:type="dxa"/>
            <w:vAlign w:val="bottom"/>
            <w:tcBorders>
              <w:right w:val="single" w:sz="8" w:color="69439A"/>
            </w:tcBorders>
            <w:shd w:val="clear" w:color="auto" w:fill="010035"/>
          </w:tcPr>
          <w:p>
            <w:pPr>
              <w:spacing w:after="0"/>
              <w:rPr>
                <w:sz w:val="16"/>
                <w:szCs w:val="16"/>
                <w:color w:val="auto"/>
              </w:rPr>
            </w:pPr>
          </w:p>
        </w:tc>
        <w:tc>
          <w:tcPr>
            <w:tcW w:w="9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360" w:type="dxa"/>
            <w:vAlign w:val="bottom"/>
            <w:shd w:val="clear" w:color="auto" w:fill="010035"/>
          </w:tcPr>
          <w:p>
            <w:pPr>
              <w:spacing w:after="0"/>
              <w:rPr>
                <w:sz w:val="16"/>
                <w:szCs w:val="16"/>
                <w:color w:val="auto"/>
              </w:rPr>
            </w:pPr>
          </w:p>
        </w:tc>
        <w:tc>
          <w:tcPr>
            <w:tcW w:w="150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EQUITY INCENTIVE</w:t>
            </w:r>
          </w:p>
        </w:tc>
        <w:tc>
          <w:tcPr>
            <w:tcW w:w="160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EQUITY INCENTIVE</w:t>
            </w:r>
          </w:p>
        </w:tc>
        <w:tc>
          <w:tcPr>
            <w:tcW w:w="0" w:type="dxa"/>
            <w:vAlign w:val="bottom"/>
          </w:tcPr>
          <w:p>
            <w:pPr>
              <w:spacing w:after="0"/>
              <w:rPr>
                <w:sz w:val="1"/>
                <w:szCs w:val="1"/>
                <w:color w:val="auto"/>
              </w:rPr>
            </w:pPr>
          </w:p>
        </w:tc>
      </w:tr>
      <w:tr>
        <w:trPr>
          <w:trHeight w:val="68"/>
        </w:trPr>
        <w:tc>
          <w:tcPr>
            <w:tcW w:w="580" w:type="dxa"/>
            <w:vAlign w:val="bottom"/>
            <w:shd w:val="clear" w:color="auto" w:fill="010035"/>
          </w:tcPr>
          <w:p>
            <w:pPr>
              <w:spacing w:after="0"/>
              <w:rPr>
                <w:sz w:val="5"/>
                <w:szCs w:val="5"/>
                <w:color w:val="auto"/>
              </w:rPr>
            </w:pPr>
          </w:p>
        </w:tc>
        <w:tc>
          <w:tcPr>
            <w:tcW w:w="2240" w:type="dxa"/>
            <w:vAlign w:val="bottom"/>
            <w:gridSpan w:val="3"/>
            <w:vMerge w:val="continue"/>
            <w:shd w:val="clear" w:color="auto" w:fill="010035"/>
          </w:tcPr>
          <w:p>
            <w:pPr>
              <w:spacing w:after="0"/>
              <w:rPr>
                <w:sz w:val="5"/>
                <w:szCs w:val="5"/>
                <w:color w:val="auto"/>
              </w:rPr>
            </w:pPr>
          </w:p>
        </w:tc>
        <w:tc>
          <w:tcPr>
            <w:tcW w:w="780" w:type="dxa"/>
            <w:vAlign w:val="bottom"/>
            <w:shd w:val="clear" w:color="auto" w:fill="010035"/>
          </w:tcPr>
          <w:p>
            <w:pPr>
              <w:spacing w:after="0"/>
              <w:rPr>
                <w:sz w:val="5"/>
                <w:szCs w:val="5"/>
                <w:color w:val="auto"/>
              </w:rPr>
            </w:pPr>
          </w:p>
        </w:tc>
        <w:tc>
          <w:tcPr>
            <w:tcW w:w="820" w:type="dxa"/>
            <w:vAlign w:val="bottom"/>
            <w:tcBorders>
              <w:right w:val="single" w:sz="8" w:color="69439A"/>
            </w:tcBorders>
            <w:shd w:val="clear" w:color="auto" w:fill="010035"/>
          </w:tcPr>
          <w:p>
            <w:pPr>
              <w:spacing w:after="0"/>
              <w:rPr>
                <w:sz w:val="5"/>
                <w:szCs w:val="5"/>
                <w:color w:val="auto"/>
              </w:rPr>
            </w:pPr>
          </w:p>
        </w:tc>
        <w:tc>
          <w:tcPr>
            <w:tcW w:w="920" w:type="dxa"/>
            <w:vAlign w:val="bottom"/>
            <w:vMerge w:val="continue"/>
            <w:shd w:val="clear" w:color="auto" w:fill="010035"/>
          </w:tcPr>
          <w:p>
            <w:pPr>
              <w:spacing w:after="0"/>
              <w:rPr>
                <w:sz w:val="5"/>
                <w:szCs w:val="5"/>
                <w:color w:val="auto"/>
              </w:rPr>
            </w:pPr>
          </w:p>
        </w:tc>
        <w:tc>
          <w:tcPr>
            <w:tcW w:w="1360" w:type="dxa"/>
            <w:vAlign w:val="bottom"/>
            <w:shd w:val="clear" w:color="auto" w:fill="010035"/>
          </w:tcPr>
          <w:p>
            <w:pPr>
              <w:spacing w:after="0"/>
              <w:rPr>
                <w:sz w:val="5"/>
                <w:szCs w:val="5"/>
                <w:color w:val="auto"/>
              </w:rPr>
            </w:pPr>
          </w:p>
        </w:tc>
        <w:tc>
          <w:tcPr>
            <w:tcW w:w="15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PLAN AWARDS:</w:t>
            </w:r>
          </w:p>
        </w:tc>
        <w:tc>
          <w:tcPr>
            <w:tcW w:w="16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PLAN AWARDS:</w:t>
            </w:r>
          </w:p>
        </w:tc>
        <w:tc>
          <w:tcPr>
            <w:tcW w:w="0" w:type="dxa"/>
            <w:vAlign w:val="bottom"/>
          </w:tcPr>
          <w:p>
            <w:pPr>
              <w:spacing w:after="0"/>
              <w:rPr>
                <w:sz w:val="1"/>
                <w:szCs w:val="1"/>
                <w:color w:val="auto"/>
              </w:rPr>
            </w:pPr>
          </w:p>
        </w:tc>
      </w:tr>
      <w:tr>
        <w:trPr>
          <w:trHeight w:val="95"/>
        </w:trPr>
        <w:tc>
          <w:tcPr>
            <w:tcW w:w="580" w:type="dxa"/>
            <w:vAlign w:val="bottom"/>
            <w:shd w:val="clear" w:color="auto" w:fill="010035"/>
          </w:tcPr>
          <w:p>
            <w:pPr>
              <w:spacing w:after="0"/>
              <w:rPr>
                <w:sz w:val="8"/>
                <w:szCs w:val="8"/>
                <w:color w:val="auto"/>
              </w:rPr>
            </w:pPr>
          </w:p>
        </w:tc>
        <w:tc>
          <w:tcPr>
            <w:tcW w:w="2240" w:type="dxa"/>
            <w:vAlign w:val="bottom"/>
            <w:gridSpan w:val="3"/>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UNDERLYING UNEXERCISED</w:t>
            </w:r>
          </w:p>
        </w:tc>
        <w:tc>
          <w:tcPr>
            <w:tcW w:w="780" w:type="dxa"/>
            <w:vAlign w:val="bottom"/>
            <w:shd w:val="clear" w:color="auto" w:fill="010035"/>
          </w:tcPr>
          <w:p>
            <w:pPr>
              <w:spacing w:after="0"/>
              <w:rPr>
                <w:sz w:val="8"/>
                <w:szCs w:val="8"/>
                <w:color w:val="auto"/>
              </w:rPr>
            </w:pPr>
          </w:p>
        </w:tc>
        <w:tc>
          <w:tcPr>
            <w:tcW w:w="820" w:type="dxa"/>
            <w:vAlign w:val="bottom"/>
            <w:tcBorders>
              <w:right w:val="single" w:sz="8" w:color="69439A"/>
            </w:tcBorders>
            <w:shd w:val="clear" w:color="auto" w:fill="010035"/>
          </w:tcPr>
          <w:p>
            <w:pPr>
              <w:spacing w:after="0"/>
              <w:rPr>
                <w:sz w:val="8"/>
                <w:szCs w:val="8"/>
                <w:color w:val="auto"/>
              </w:rPr>
            </w:pPr>
          </w:p>
        </w:tc>
        <w:tc>
          <w:tcPr>
            <w:tcW w:w="2280" w:type="dxa"/>
            <w:vAlign w:val="bottom"/>
            <w:gridSpan w:val="2"/>
            <w:vMerge w:val="restart"/>
            <w:shd w:val="clear" w:color="auto" w:fill="010035"/>
          </w:tcPr>
          <w:p>
            <w:pPr>
              <w:ind w:left="20"/>
              <w:spacing w:after="0"/>
              <w:rPr>
                <w:sz w:val="20"/>
                <w:szCs w:val="20"/>
                <w:color w:val="auto"/>
              </w:rPr>
            </w:pPr>
            <w:r>
              <w:rPr>
                <w:rFonts w:ascii="Arial" w:cs="Arial" w:eastAsia="Arial" w:hAnsi="Arial"/>
                <w:sz w:val="14"/>
                <w:szCs w:val="14"/>
                <w:b w:val="1"/>
                <w:bCs w:val="1"/>
                <w:color w:val="FFFFFF"/>
              </w:rPr>
              <w:t>SHARES OR MARKET VALUE OF</w:t>
            </w:r>
          </w:p>
        </w:tc>
        <w:tc>
          <w:tcPr>
            <w:tcW w:w="1500" w:type="dxa"/>
            <w:vAlign w:val="bottom"/>
            <w:vMerge w:val="continue"/>
            <w:shd w:val="clear" w:color="auto" w:fill="010035"/>
          </w:tcPr>
          <w:p>
            <w:pPr>
              <w:spacing w:after="0"/>
              <w:rPr>
                <w:sz w:val="8"/>
                <w:szCs w:val="8"/>
                <w:color w:val="auto"/>
              </w:rPr>
            </w:pPr>
          </w:p>
        </w:tc>
        <w:tc>
          <w:tcPr>
            <w:tcW w:w="1600" w:type="dxa"/>
            <w:vAlign w:val="bottom"/>
            <w:vMerge w:val="continue"/>
            <w:shd w:val="clear" w:color="auto" w:fill="010035"/>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80" w:type="dxa"/>
            <w:vAlign w:val="bottom"/>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NAME</w:t>
            </w:r>
          </w:p>
        </w:tc>
        <w:tc>
          <w:tcPr>
            <w:tcW w:w="2240" w:type="dxa"/>
            <w:vAlign w:val="bottom"/>
            <w:gridSpan w:val="3"/>
            <w:vMerge w:val="continue"/>
            <w:shd w:val="clear" w:color="auto" w:fill="010035"/>
          </w:tcPr>
          <w:p>
            <w:pPr>
              <w:spacing w:after="0"/>
              <w:rPr>
                <w:sz w:val="5"/>
                <w:szCs w:val="5"/>
                <w:color w:val="auto"/>
              </w:rPr>
            </w:pPr>
          </w:p>
        </w:tc>
        <w:tc>
          <w:tcPr>
            <w:tcW w:w="780" w:type="dxa"/>
            <w:vAlign w:val="bottom"/>
            <w:vMerge w:val="restart"/>
            <w:shd w:val="clear" w:color="auto" w:fill="010035"/>
          </w:tcPr>
          <w:p>
            <w:pPr>
              <w:jc w:val="center"/>
              <w:ind w:right="36"/>
              <w:spacing w:after="0"/>
              <w:rPr>
                <w:sz w:val="20"/>
                <w:szCs w:val="20"/>
                <w:color w:val="auto"/>
              </w:rPr>
            </w:pPr>
            <w:r>
              <w:rPr>
                <w:rFonts w:ascii="Arial" w:cs="Arial" w:eastAsia="Arial" w:hAnsi="Arial"/>
                <w:sz w:val="14"/>
                <w:szCs w:val="14"/>
                <w:b w:val="1"/>
                <w:bCs w:val="1"/>
                <w:color w:val="FFFFFF"/>
                <w:w w:val="96"/>
              </w:rPr>
              <w:t>OPTION</w:t>
            </w:r>
          </w:p>
        </w:tc>
        <w:tc>
          <w:tcPr>
            <w:tcW w:w="820" w:type="dxa"/>
            <w:vAlign w:val="bottom"/>
            <w:tcBorders>
              <w:right w:val="single" w:sz="8" w:color="69439A"/>
            </w:tcBorders>
            <w:vMerge w:val="restart"/>
            <w:shd w:val="clear" w:color="auto" w:fill="010035"/>
          </w:tcPr>
          <w:p>
            <w:pPr>
              <w:jc w:val="center"/>
              <w:ind w:right="36"/>
              <w:spacing w:after="0"/>
              <w:rPr>
                <w:sz w:val="20"/>
                <w:szCs w:val="20"/>
                <w:color w:val="auto"/>
              </w:rPr>
            </w:pPr>
            <w:r>
              <w:rPr>
                <w:rFonts w:ascii="Arial" w:cs="Arial" w:eastAsia="Arial" w:hAnsi="Arial"/>
                <w:sz w:val="14"/>
                <w:szCs w:val="14"/>
                <w:b w:val="1"/>
                <w:bCs w:val="1"/>
                <w:color w:val="FFFFFF"/>
                <w:w w:val="96"/>
              </w:rPr>
              <w:t>OPTION</w:t>
            </w:r>
          </w:p>
        </w:tc>
        <w:tc>
          <w:tcPr>
            <w:tcW w:w="2280" w:type="dxa"/>
            <w:vAlign w:val="bottom"/>
            <w:gridSpan w:val="2"/>
            <w:vMerge w:val="continue"/>
            <w:shd w:val="clear" w:color="auto" w:fill="010035"/>
          </w:tcPr>
          <w:p>
            <w:pPr>
              <w:spacing w:after="0"/>
              <w:rPr>
                <w:sz w:val="5"/>
                <w:szCs w:val="5"/>
                <w:color w:val="auto"/>
              </w:rPr>
            </w:pPr>
          </w:p>
        </w:tc>
        <w:tc>
          <w:tcPr>
            <w:tcW w:w="15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6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MARKET OR PAYOUT</w:t>
            </w:r>
          </w:p>
        </w:tc>
        <w:tc>
          <w:tcPr>
            <w:tcW w:w="0" w:type="dxa"/>
            <w:vAlign w:val="bottom"/>
          </w:tcPr>
          <w:p>
            <w:pPr>
              <w:spacing w:after="0"/>
              <w:rPr>
                <w:sz w:val="1"/>
                <w:szCs w:val="1"/>
                <w:color w:val="auto"/>
              </w:rPr>
            </w:pPr>
          </w:p>
        </w:tc>
      </w:tr>
      <w:tr>
        <w:trPr>
          <w:trHeight w:val="158"/>
        </w:trPr>
        <w:tc>
          <w:tcPr>
            <w:tcW w:w="580" w:type="dxa"/>
            <w:vAlign w:val="bottom"/>
            <w:vMerge w:val="continue"/>
            <w:shd w:val="clear" w:color="auto" w:fill="010035"/>
          </w:tcPr>
          <w:p>
            <w:pPr>
              <w:spacing w:after="0"/>
              <w:rPr>
                <w:sz w:val="13"/>
                <w:szCs w:val="13"/>
                <w:color w:val="auto"/>
              </w:rPr>
            </w:pPr>
          </w:p>
        </w:tc>
        <w:tc>
          <w:tcPr>
            <w:tcW w:w="2240" w:type="dxa"/>
            <w:vAlign w:val="bottom"/>
            <w:gridSpan w:val="3"/>
            <w:shd w:val="clear" w:color="auto" w:fill="010035"/>
          </w:tcPr>
          <w:p>
            <w:pPr>
              <w:jc w:val="center"/>
              <w:spacing w:after="0" w:line="158" w:lineRule="exact"/>
              <w:rPr>
                <w:sz w:val="20"/>
                <w:szCs w:val="20"/>
                <w:color w:val="auto"/>
              </w:rPr>
            </w:pPr>
            <w:r>
              <w:rPr>
                <w:rFonts w:ascii="Arial" w:cs="Arial" w:eastAsia="Arial" w:hAnsi="Arial"/>
                <w:sz w:val="14"/>
                <w:szCs w:val="14"/>
                <w:b w:val="1"/>
                <w:bCs w:val="1"/>
                <w:color w:val="FFFFFF"/>
              </w:rPr>
              <w:t>OPTIONS:</w:t>
            </w:r>
          </w:p>
        </w:tc>
        <w:tc>
          <w:tcPr>
            <w:tcW w:w="780" w:type="dxa"/>
            <w:vAlign w:val="bottom"/>
            <w:vMerge w:val="continue"/>
            <w:shd w:val="clear" w:color="auto" w:fill="010035"/>
          </w:tcPr>
          <w:p>
            <w:pPr>
              <w:spacing w:after="0"/>
              <w:rPr>
                <w:sz w:val="13"/>
                <w:szCs w:val="13"/>
                <w:color w:val="auto"/>
              </w:rPr>
            </w:pPr>
          </w:p>
        </w:tc>
        <w:tc>
          <w:tcPr>
            <w:tcW w:w="820" w:type="dxa"/>
            <w:vAlign w:val="bottom"/>
            <w:tcBorders>
              <w:right w:val="single" w:sz="8" w:color="69439A"/>
            </w:tcBorders>
            <w:vMerge w:val="continue"/>
            <w:shd w:val="clear" w:color="auto" w:fill="010035"/>
          </w:tcPr>
          <w:p>
            <w:pPr>
              <w:spacing w:after="0"/>
              <w:rPr>
                <w:sz w:val="13"/>
                <w:szCs w:val="13"/>
                <w:color w:val="auto"/>
              </w:rPr>
            </w:pPr>
          </w:p>
        </w:tc>
        <w:tc>
          <w:tcPr>
            <w:tcW w:w="2280" w:type="dxa"/>
            <w:vAlign w:val="bottom"/>
            <w:gridSpan w:val="2"/>
            <w:shd w:val="clear" w:color="auto" w:fill="010035"/>
          </w:tcPr>
          <w:p>
            <w:pPr>
              <w:ind w:left="20"/>
              <w:spacing w:after="0" w:line="158" w:lineRule="exact"/>
              <w:rPr>
                <w:sz w:val="20"/>
                <w:szCs w:val="20"/>
                <w:color w:val="auto"/>
              </w:rPr>
            </w:pPr>
            <w:r>
              <w:rPr>
                <w:rFonts w:ascii="Arial" w:cs="Arial" w:eastAsia="Arial" w:hAnsi="Arial"/>
                <w:sz w:val="14"/>
                <w:szCs w:val="14"/>
                <w:b w:val="1"/>
                <w:bCs w:val="1"/>
                <w:color w:val="FFFFFF"/>
              </w:rPr>
              <w:t>UNITS HELD SHARES OR UNITS</w:t>
            </w:r>
          </w:p>
        </w:tc>
        <w:tc>
          <w:tcPr>
            <w:tcW w:w="1500" w:type="dxa"/>
            <w:vAlign w:val="bottom"/>
            <w:vMerge w:val="continue"/>
            <w:shd w:val="clear" w:color="auto" w:fill="010035"/>
          </w:tcPr>
          <w:p>
            <w:pPr>
              <w:spacing w:after="0"/>
              <w:rPr>
                <w:sz w:val="13"/>
                <w:szCs w:val="13"/>
                <w:color w:val="auto"/>
              </w:rPr>
            </w:pPr>
          </w:p>
        </w:tc>
        <w:tc>
          <w:tcPr>
            <w:tcW w:w="1600" w:type="dxa"/>
            <w:vAlign w:val="bottom"/>
            <w:vMerge w:val="continue"/>
            <w:shd w:val="clear" w:color="auto" w:fill="010035"/>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580" w:type="dxa"/>
            <w:vAlign w:val="bottom"/>
            <w:shd w:val="clear" w:color="auto" w:fill="010035"/>
          </w:tcPr>
          <w:p>
            <w:pPr>
              <w:spacing w:after="0"/>
              <w:rPr>
                <w:sz w:val="9"/>
                <w:szCs w:val="9"/>
                <w:color w:val="auto"/>
              </w:rPr>
            </w:pPr>
          </w:p>
        </w:tc>
        <w:tc>
          <w:tcPr>
            <w:tcW w:w="1000" w:type="dxa"/>
            <w:vAlign w:val="bottom"/>
            <w:shd w:val="clear" w:color="auto" w:fill="010035"/>
          </w:tcPr>
          <w:p>
            <w:pPr>
              <w:spacing w:after="0"/>
              <w:rPr>
                <w:sz w:val="9"/>
                <w:szCs w:val="9"/>
                <w:color w:val="auto"/>
              </w:rPr>
            </w:pPr>
          </w:p>
        </w:tc>
        <w:tc>
          <w:tcPr>
            <w:tcW w:w="40" w:type="dxa"/>
            <w:vAlign w:val="bottom"/>
            <w:shd w:val="clear" w:color="auto" w:fill="010035"/>
          </w:tcPr>
          <w:p>
            <w:pPr>
              <w:spacing w:after="0"/>
              <w:rPr>
                <w:sz w:val="9"/>
                <w:szCs w:val="9"/>
                <w:color w:val="auto"/>
              </w:rPr>
            </w:pPr>
          </w:p>
        </w:tc>
        <w:tc>
          <w:tcPr>
            <w:tcW w:w="1200" w:type="dxa"/>
            <w:vAlign w:val="bottom"/>
            <w:shd w:val="clear" w:color="auto" w:fill="010035"/>
          </w:tcPr>
          <w:p>
            <w:pPr>
              <w:spacing w:after="0"/>
              <w:rPr>
                <w:sz w:val="9"/>
                <w:szCs w:val="9"/>
                <w:color w:val="auto"/>
              </w:rPr>
            </w:pPr>
          </w:p>
        </w:tc>
        <w:tc>
          <w:tcPr>
            <w:tcW w:w="1600" w:type="dxa"/>
            <w:vAlign w:val="bottom"/>
            <w:tcBorders>
              <w:right w:val="single" w:sz="8" w:color="69439A"/>
            </w:tcBorders>
            <w:gridSpan w:val="2"/>
            <w:shd w:val="clear" w:color="auto" w:fill="010035"/>
          </w:tcPr>
          <w:p>
            <w:pPr>
              <w:spacing w:after="0" w:line="113" w:lineRule="exact"/>
              <w:rPr>
                <w:sz w:val="20"/>
                <w:szCs w:val="20"/>
                <w:color w:val="auto"/>
              </w:rPr>
            </w:pPr>
            <w:r>
              <w:rPr>
                <w:rFonts w:ascii="Arial" w:cs="Arial" w:eastAsia="Arial" w:hAnsi="Arial"/>
                <w:sz w:val="13"/>
                <w:szCs w:val="13"/>
                <w:b w:val="1"/>
                <w:bCs w:val="1"/>
                <w:color w:val="FFFFFF"/>
              </w:rPr>
              <w:t>EXERCISE EXPIRATION</w:t>
            </w:r>
          </w:p>
        </w:tc>
        <w:tc>
          <w:tcPr>
            <w:tcW w:w="920" w:type="dxa"/>
            <w:vAlign w:val="bottom"/>
            <w:shd w:val="clear" w:color="auto" w:fill="010035"/>
          </w:tcPr>
          <w:p>
            <w:pPr>
              <w:jc w:val="center"/>
              <w:spacing w:after="0" w:line="113" w:lineRule="exact"/>
              <w:rPr>
                <w:sz w:val="20"/>
                <w:szCs w:val="20"/>
                <w:color w:val="auto"/>
              </w:rPr>
            </w:pPr>
            <w:r>
              <w:rPr>
                <w:rFonts w:ascii="Arial" w:cs="Arial" w:eastAsia="Arial" w:hAnsi="Arial"/>
                <w:sz w:val="13"/>
                <w:szCs w:val="13"/>
                <w:b w:val="1"/>
                <w:bCs w:val="1"/>
                <w:color w:val="FFFFFF"/>
              </w:rPr>
              <w:t>THAT HAVE</w:t>
            </w:r>
          </w:p>
        </w:tc>
        <w:tc>
          <w:tcPr>
            <w:tcW w:w="1360" w:type="dxa"/>
            <w:vAlign w:val="bottom"/>
            <w:shd w:val="clear" w:color="auto" w:fill="010035"/>
          </w:tcPr>
          <w:p>
            <w:pPr>
              <w:jc w:val="center"/>
              <w:spacing w:after="0" w:line="113" w:lineRule="exact"/>
              <w:rPr>
                <w:sz w:val="20"/>
                <w:szCs w:val="20"/>
                <w:color w:val="auto"/>
              </w:rPr>
            </w:pPr>
            <w:r>
              <w:rPr>
                <w:rFonts w:ascii="Arial" w:cs="Arial" w:eastAsia="Arial" w:hAnsi="Arial"/>
                <w:sz w:val="13"/>
                <w:szCs w:val="13"/>
                <w:b w:val="1"/>
                <w:bCs w:val="1"/>
                <w:color w:val="FFFFFF"/>
              </w:rPr>
              <w:t>HELD THAT HAVE</w:t>
            </w:r>
          </w:p>
        </w:tc>
        <w:tc>
          <w:tcPr>
            <w:tcW w:w="3100" w:type="dxa"/>
            <w:vAlign w:val="bottom"/>
            <w:gridSpan w:val="2"/>
            <w:shd w:val="clear" w:color="auto" w:fill="010035"/>
          </w:tcPr>
          <w:p>
            <w:pPr>
              <w:ind w:left="40"/>
              <w:spacing w:after="0" w:line="113" w:lineRule="exact"/>
              <w:rPr>
                <w:sz w:val="20"/>
                <w:szCs w:val="20"/>
                <w:color w:val="auto"/>
              </w:rPr>
            </w:pPr>
            <w:r>
              <w:rPr>
                <w:rFonts w:ascii="Arial" w:cs="Arial" w:eastAsia="Arial" w:hAnsi="Arial"/>
                <w:sz w:val="13"/>
                <w:szCs w:val="13"/>
                <w:b w:val="1"/>
                <w:bCs w:val="1"/>
                <w:color w:val="FFFFFF"/>
              </w:rPr>
              <w:t>UNEARNED SHARES, VALUE OF UNEARNED</w:t>
            </w:r>
          </w:p>
        </w:tc>
        <w:tc>
          <w:tcPr>
            <w:tcW w:w="0" w:type="dxa"/>
            <w:vAlign w:val="bottom"/>
          </w:tcPr>
          <w:p>
            <w:pPr>
              <w:spacing w:after="0"/>
              <w:rPr>
                <w:sz w:val="1"/>
                <w:szCs w:val="1"/>
                <w:color w:val="auto"/>
              </w:rPr>
            </w:pPr>
          </w:p>
        </w:tc>
      </w:tr>
      <w:tr>
        <w:trPr>
          <w:trHeight w:val="22"/>
        </w:trPr>
        <w:tc>
          <w:tcPr>
            <w:tcW w:w="580" w:type="dxa"/>
            <w:vAlign w:val="bottom"/>
            <w:shd w:val="clear" w:color="auto" w:fill="010035"/>
          </w:tcPr>
          <w:p>
            <w:pPr>
              <w:spacing w:after="0" w:line="20" w:lineRule="exact"/>
              <w:rPr>
                <w:sz w:val="1"/>
                <w:szCs w:val="1"/>
                <w:color w:val="auto"/>
              </w:rPr>
            </w:pPr>
          </w:p>
        </w:tc>
        <w:tc>
          <w:tcPr>
            <w:tcW w:w="1000" w:type="dxa"/>
            <w:vAlign w:val="bottom"/>
            <w:shd w:val="clear" w:color="auto" w:fill="010035"/>
          </w:tcPr>
          <w:p>
            <w:pPr>
              <w:spacing w:after="0" w:line="20" w:lineRule="exact"/>
              <w:rPr>
                <w:sz w:val="1"/>
                <w:szCs w:val="1"/>
                <w:color w:val="auto"/>
              </w:rPr>
            </w:pPr>
          </w:p>
        </w:tc>
        <w:tc>
          <w:tcPr>
            <w:tcW w:w="40" w:type="dxa"/>
            <w:vAlign w:val="bottom"/>
            <w:shd w:val="clear" w:color="auto" w:fill="010035"/>
          </w:tcPr>
          <w:p>
            <w:pPr>
              <w:spacing w:after="0" w:line="20" w:lineRule="exact"/>
              <w:rPr>
                <w:sz w:val="1"/>
                <w:szCs w:val="1"/>
                <w:color w:val="auto"/>
              </w:rPr>
            </w:pPr>
          </w:p>
        </w:tc>
        <w:tc>
          <w:tcPr>
            <w:tcW w:w="1200" w:type="dxa"/>
            <w:vAlign w:val="bottom"/>
            <w:shd w:val="clear" w:color="auto" w:fill="010035"/>
          </w:tcPr>
          <w:p>
            <w:pPr>
              <w:spacing w:after="0" w:line="20" w:lineRule="exact"/>
              <w:rPr>
                <w:sz w:val="1"/>
                <w:szCs w:val="1"/>
                <w:color w:val="auto"/>
              </w:rPr>
            </w:pPr>
          </w:p>
        </w:tc>
        <w:tc>
          <w:tcPr>
            <w:tcW w:w="7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rPr>
              <w:t>PRICE ($)</w:t>
            </w:r>
          </w:p>
        </w:tc>
        <w:tc>
          <w:tcPr>
            <w:tcW w:w="820" w:type="dxa"/>
            <w:vAlign w:val="bottom"/>
            <w:tcBorders>
              <w:right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4"/>
              </w:rPr>
              <w:t>DATE</w:t>
            </w:r>
          </w:p>
        </w:tc>
        <w:tc>
          <w:tcPr>
            <w:tcW w:w="9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rPr>
              <w:t>NOT</w:t>
            </w:r>
          </w:p>
        </w:tc>
        <w:tc>
          <w:tcPr>
            <w:tcW w:w="136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NOT VESTED ($)</w:t>
            </w:r>
          </w:p>
        </w:tc>
        <w:tc>
          <w:tcPr>
            <w:tcW w:w="15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UNITS OR OTHER</w:t>
            </w:r>
          </w:p>
        </w:tc>
        <w:tc>
          <w:tcPr>
            <w:tcW w:w="16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SHARES, UNITS OR</w:t>
            </w:r>
          </w:p>
        </w:tc>
        <w:tc>
          <w:tcPr>
            <w:tcW w:w="0" w:type="dxa"/>
            <w:vAlign w:val="bottom"/>
          </w:tcPr>
          <w:p>
            <w:pPr>
              <w:spacing w:after="0" w:line="20" w:lineRule="exact"/>
              <w:rPr>
                <w:sz w:val="1"/>
                <w:szCs w:val="1"/>
                <w:color w:val="auto"/>
              </w:rPr>
            </w:pPr>
          </w:p>
        </w:tc>
      </w:tr>
      <w:tr>
        <w:trPr>
          <w:trHeight w:val="216"/>
        </w:trPr>
        <w:tc>
          <w:tcPr>
            <w:tcW w:w="580" w:type="dxa"/>
            <w:vAlign w:val="bottom"/>
            <w:shd w:val="clear" w:color="auto" w:fill="010035"/>
          </w:tcPr>
          <w:p>
            <w:pPr>
              <w:spacing w:after="0"/>
              <w:rPr>
                <w:sz w:val="18"/>
                <w:szCs w:val="18"/>
                <w:color w:val="auto"/>
              </w:rPr>
            </w:pPr>
          </w:p>
        </w:tc>
        <w:tc>
          <w:tcPr>
            <w:tcW w:w="2240" w:type="dxa"/>
            <w:vAlign w:val="bottom"/>
            <w:gridSpan w:val="3"/>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EXERCISABLE UNEXERCISABLE</w:t>
            </w:r>
          </w:p>
        </w:tc>
        <w:tc>
          <w:tcPr>
            <w:tcW w:w="780" w:type="dxa"/>
            <w:vAlign w:val="bottom"/>
            <w:vMerge w:val="continue"/>
            <w:shd w:val="clear" w:color="auto" w:fill="010035"/>
          </w:tcPr>
          <w:p>
            <w:pPr>
              <w:spacing w:after="0"/>
              <w:rPr>
                <w:sz w:val="18"/>
                <w:szCs w:val="18"/>
                <w:color w:val="auto"/>
              </w:rPr>
            </w:pPr>
          </w:p>
        </w:tc>
        <w:tc>
          <w:tcPr>
            <w:tcW w:w="820" w:type="dxa"/>
            <w:vAlign w:val="bottom"/>
            <w:tcBorders>
              <w:right w:val="single" w:sz="8" w:color="69439A"/>
            </w:tcBorders>
            <w:vMerge w:val="continue"/>
            <w:shd w:val="clear" w:color="auto" w:fill="010035"/>
          </w:tcPr>
          <w:p>
            <w:pPr>
              <w:spacing w:after="0"/>
              <w:rPr>
                <w:sz w:val="18"/>
                <w:szCs w:val="18"/>
                <w:color w:val="auto"/>
              </w:rPr>
            </w:pPr>
          </w:p>
        </w:tc>
        <w:tc>
          <w:tcPr>
            <w:tcW w:w="920" w:type="dxa"/>
            <w:vAlign w:val="bottom"/>
            <w:vMerge w:val="continue"/>
            <w:shd w:val="clear" w:color="auto" w:fill="010035"/>
          </w:tcPr>
          <w:p>
            <w:pPr>
              <w:spacing w:after="0"/>
              <w:rPr>
                <w:sz w:val="18"/>
                <w:szCs w:val="18"/>
                <w:color w:val="auto"/>
              </w:rPr>
            </w:pPr>
          </w:p>
        </w:tc>
        <w:tc>
          <w:tcPr>
            <w:tcW w:w="1360" w:type="dxa"/>
            <w:vAlign w:val="bottom"/>
            <w:vMerge w:val="continue"/>
            <w:shd w:val="clear" w:color="auto" w:fill="010035"/>
          </w:tcPr>
          <w:p>
            <w:pPr>
              <w:spacing w:after="0"/>
              <w:rPr>
                <w:sz w:val="18"/>
                <w:szCs w:val="18"/>
                <w:color w:val="auto"/>
              </w:rPr>
            </w:pPr>
          </w:p>
        </w:tc>
        <w:tc>
          <w:tcPr>
            <w:tcW w:w="1500" w:type="dxa"/>
            <w:vAlign w:val="bottom"/>
            <w:vMerge w:val="continue"/>
            <w:shd w:val="clear" w:color="auto" w:fill="010035"/>
          </w:tcPr>
          <w:p>
            <w:pPr>
              <w:spacing w:after="0"/>
              <w:rPr>
                <w:sz w:val="18"/>
                <w:szCs w:val="18"/>
                <w:color w:val="auto"/>
              </w:rPr>
            </w:pPr>
          </w:p>
        </w:tc>
        <w:tc>
          <w:tcPr>
            <w:tcW w:w="1600" w:type="dxa"/>
            <w:vAlign w:val="bottom"/>
            <w:vMerge w:val="continue"/>
            <w:shd w:val="clear" w:color="auto" w:fill="010035"/>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580" w:type="dxa"/>
            <w:vAlign w:val="bottom"/>
            <w:shd w:val="clear" w:color="auto" w:fill="010035"/>
          </w:tcPr>
          <w:p>
            <w:pPr>
              <w:spacing w:after="0"/>
              <w:rPr>
                <w:sz w:val="6"/>
                <w:szCs w:val="6"/>
                <w:color w:val="auto"/>
              </w:rPr>
            </w:pPr>
          </w:p>
        </w:tc>
        <w:tc>
          <w:tcPr>
            <w:tcW w:w="10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3"/>
              </w:rPr>
              <w:t>(#)</w:t>
            </w:r>
          </w:p>
        </w:tc>
        <w:tc>
          <w:tcPr>
            <w:tcW w:w="1240" w:type="dxa"/>
            <w:vAlign w:val="bottom"/>
            <w:gridSpan w:val="2"/>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010035"/>
          </w:tcPr>
          <w:p>
            <w:pPr>
              <w:spacing w:after="0"/>
              <w:rPr>
                <w:sz w:val="6"/>
                <w:szCs w:val="6"/>
                <w:color w:val="auto"/>
              </w:rPr>
            </w:pPr>
          </w:p>
        </w:tc>
        <w:tc>
          <w:tcPr>
            <w:tcW w:w="820" w:type="dxa"/>
            <w:vAlign w:val="bottom"/>
            <w:tcBorders>
              <w:right w:val="single" w:sz="8" w:color="69439A"/>
            </w:tcBorders>
            <w:shd w:val="clear" w:color="auto" w:fill="010035"/>
          </w:tcPr>
          <w:p>
            <w:pPr>
              <w:spacing w:after="0"/>
              <w:rPr>
                <w:sz w:val="6"/>
                <w:szCs w:val="6"/>
                <w:color w:val="auto"/>
              </w:rPr>
            </w:pPr>
          </w:p>
        </w:tc>
        <w:tc>
          <w:tcPr>
            <w:tcW w:w="9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VESTED (#)</w:t>
            </w:r>
          </w:p>
        </w:tc>
        <w:tc>
          <w:tcPr>
            <w:tcW w:w="1360" w:type="dxa"/>
            <w:vAlign w:val="bottom"/>
            <w:shd w:val="clear" w:color="auto" w:fill="010035"/>
          </w:tcPr>
          <w:p>
            <w:pPr>
              <w:spacing w:after="0"/>
              <w:rPr>
                <w:sz w:val="6"/>
                <w:szCs w:val="6"/>
                <w:color w:val="auto"/>
              </w:rPr>
            </w:pPr>
          </w:p>
        </w:tc>
        <w:tc>
          <w:tcPr>
            <w:tcW w:w="1500" w:type="dxa"/>
            <w:vAlign w:val="bottom"/>
            <w:shd w:val="clear" w:color="auto" w:fill="010035"/>
          </w:tcPr>
          <w:p>
            <w:pPr>
              <w:jc w:val="center"/>
              <w:spacing w:after="0" w:line="72" w:lineRule="exact"/>
              <w:rPr>
                <w:sz w:val="20"/>
                <w:szCs w:val="20"/>
                <w:color w:val="auto"/>
              </w:rPr>
            </w:pPr>
            <w:r>
              <w:rPr>
                <w:rFonts w:ascii="Arial" w:cs="Arial" w:eastAsia="Arial" w:hAnsi="Arial"/>
                <w:sz w:val="8"/>
                <w:szCs w:val="8"/>
                <w:b w:val="1"/>
                <w:bCs w:val="1"/>
                <w:color w:val="FFFFFF"/>
              </w:rPr>
              <w:t>RIGHTS THAT HAVE</w:t>
            </w:r>
          </w:p>
        </w:tc>
        <w:tc>
          <w:tcPr>
            <w:tcW w:w="1600" w:type="dxa"/>
            <w:vAlign w:val="bottom"/>
            <w:shd w:val="clear" w:color="auto" w:fill="010035"/>
          </w:tcPr>
          <w:p>
            <w:pPr>
              <w:jc w:val="center"/>
              <w:spacing w:after="0" w:line="72" w:lineRule="exact"/>
              <w:rPr>
                <w:sz w:val="20"/>
                <w:szCs w:val="20"/>
                <w:color w:val="auto"/>
              </w:rPr>
            </w:pPr>
            <w:r>
              <w:rPr>
                <w:rFonts w:ascii="Arial" w:cs="Arial" w:eastAsia="Arial" w:hAnsi="Arial"/>
                <w:sz w:val="8"/>
                <w:szCs w:val="8"/>
                <w:b w:val="1"/>
                <w:bCs w:val="1"/>
                <w:color w:val="FFFFFF"/>
              </w:rPr>
              <w:t>OTHER RIGHTS THAT</w:t>
            </w:r>
          </w:p>
        </w:tc>
        <w:tc>
          <w:tcPr>
            <w:tcW w:w="0" w:type="dxa"/>
            <w:vAlign w:val="bottom"/>
          </w:tcPr>
          <w:p>
            <w:pPr>
              <w:spacing w:after="0"/>
              <w:rPr>
                <w:sz w:val="1"/>
                <w:szCs w:val="1"/>
                <w:color w:val="auto"/>
              </w:rPr>
            </w:pPr>
          </w:p>
        </w:tc>
      </w:tr>
      <w:tr>
        <w:trPr>
          <w:trHeight w:val="178"/>
        </w:trPr>
        <w:tc>
          <w:tcPr>
            <w:tcW w:w="580" w:type="dxa"/>
            <w:vAlign w:val="bottom"/>
            <w:tcBorders>
              <w:bottom w:val="single" w:sz="8" w:color="010035"/>
            </w:tcBorders>
            <w:shd w:val="clear" w:color="auto" w:fill="010035"/>
          </w:tcPr>
          <w:p>
            <w:pPr>
              <w:spacing w:after="0"/>
              <w:rPr>
                <w:sz w:val="15"/>
                <w:szCs w:val="15"/>
                <w:color w:val="auto"/>
              </w:rPr>
            </w:pPr>
          </w:p>
        </w:tc>
        <w:tc>
          <w:tcPr>
            <w:tcW w:w="1000" w:type="dxa"/>
            <w:vAlign w:val="bottom"/>
            <w:tcBorders>
              <w:bottom w:val="single" w:sz="8" w:color="010035"/>
            </w:tcBorders>
            <w:vMerge w:val="continue"/>
            <w:shd w:val="clear" w:color="auto" w:fill="010035"/>
          </w:tcPr>
          <w:p>
            <w:pPr>
              <w:spacing w:after="0"/>
              <w:rPr>
                <w:sz w:val="15"/>
                <w:szCs w:val="15"/>
                <w:color w:val="auto"/>
              </w:rPr>
            </w:pPr>
          </w:p>
        </w:tc>
        <w:tc>
          <w:tcPr>
            <w:tcW w:w="1240" w:type="dxa"/>
            <w:vAlign w:val="bottom"/>
            <w:tcBorders>
              <w:bottom w:val="single" w:sz="8" w:color="010035"/>
            </w:tcBorders>
            <w:gridSpan w:val="2"/>
            <w:vMerge w:val="continue"/>
            <w:shd w:val="clear" w:color="auto" w:fill="010035"/>
          </w:tcPr>
          <w:p>
            <w:pPr>
              <w:spacing w:after="0"/>
              <w:rPr>
                <w:sz w:val="15"/>
                <w:szCs w:val="15"/>
                <w:color w:val="auto"/>
              </w:rPr>
            </w:pPr>
          </w:p>
        </w:tc>
        <w:tc>
          <w:tcPr>
            <w:tcW w:w="780" w:type="dxa"/>
            <w:vAlign w:val="bottom"/>
            <w:tcBorders>
              <w:bottom w:val="single" w:sz="8" w:color="010035"/>
            </w:tcBorders>
            <w:shd w:val="clear" w:color="auto" w:fill="010035"/>
          </w:tcPr>
          <w:p>
            <w:pPr>
              <w:spacing w:after="0"/>
              <w:rPr>
                <w:sz w:val="15"/>
                <w:szCs w:val="15"/>
                <w:color w:val="auto"/>
              </w:rPr>
            </w:pPr>
          </w:p>
        </w:tc>
        <w:tc>
          <w:tcPr>
            <w:tcW w:w="820" w:type="dxa"/>
            <w:vAlign w:val="bottom"/>
            <w:tcBorders>
              <w:bottom w:val="single" w:sz="8" w:color="010035"/>
              <w:right w:val="single" w:sz="8" w:color="69439A"/>
            </w:tcBorders>
            <w:shd w:val="clear" w:color="auto" w:fill="010035"/>
          </w:tcPr>
          <w:p>
            <w:pPr>
              <w:spacing w:after="0"/>
              <w:rPr>
                <w:sz w:val="15"/>
                <w:szCs w:val="15"/>
                <w:color w:val="auto"/>
              </w:rPr>
            </w:pPr>
          </w:p>
        </w:tc>
        <w:tc>
          <w:tcPr>
            <w:tcW w:w="920" w:type="dxa"/>
            <w:vAlign w:val="bottom"/>
            <w:tcBorders>
              <w:bottom w:val="single" w:sz="8" w:color="010035"/>
            </w:tcBorders>
            <w:vMerge w:val="continue"/>
            <w:shd w:val="clear" w:color="auto" w:fill="010035"/>
          </w:tcPr>
          <w:p>
            <w:pPr>
              <w:spacing w:after="0"/>
              <w:rPr>
                <w:sz w:val="15"/>
                <w:szCs w:val="15"/>
                <w:color w:val="auto"/>
              </w:rPr>
            </w:pPr>
          </w:p>
        </w:tc>
        <w:tc>
          <w:tcPr>
            <w:tcW w:w="1360" w:type="dxa"/>
            <w:vAlign w:val="bottom"/>
            <w:tcBorders>
              <w:bottom w:val="single" w:sz="8" w:color="010035"/>
            </w:tcBorders>
            <w:shd w:val="clear" w:color="auto" w:fill="010035"/>
          </w:tcPr>
          <w:p>
            <w:pPr>
              <w:spacing w:after="0"/>
              <w:rPr>
                <w:sz w:val="15"/>
                <w:szCs w:val="15"/>
                <w:color w:val="auto"/>
              </w:rPr>
            </w:pPr>
          </w:p>
        </w:tc>
        <w:tc>
          <w:tcPr>
            <w:tcW w:w="3100" w:type="dxa"/>
            <w:vAlign w:val="bottom"/>
            <w:tcBorders>
              <w:bottom w:val="single" w:sz="8" w:color="010035"/>
            </w:tcBorders>
            <w:gridSpan w:val="2"/>
            <w:shd w:val="clear" w:color="auto" w:fill="010035"/>
          </w:tcPr>
          <w:p>
            <w:pPr>
              <w:ind w:left="220"/>
              <w:spacing w:after="0"/>
              <w:rPr>
                <w:sz w:val="20"/>
                <w:szCs w:val="20"/>
                <w:color w:val="auto"/>
              </w:rPr>
            </w:pPr>
            <w:r>
              <w:rPr>
                <w:rFonts w:ascii="Arial" w:cs="Arial" w:eastAsia="Arial" w:hAnsi="Arial"/>
                <w:sz w:val="14"/>
                <w:szCs w:val="14"/>
                <w:b w:val="1"/>
                <w:bCs w:val="1"/>
                <w:color w:val="FFFFFF"/>
              </w:rPr>
              <w:t>NOT VESTED (#)   HAVE NOT VESTED ($)</w:t>
            </w:r>
          </w:p>
        </w:tc>
        <w:tc>
          <w:tcPr>
            <w:tcW w:w="0" w:type="dxa"/>
            <w:vAlign w:val="bottom"/>
          </w:tcPr>
          <w:p>
            <w:pPr>
              <w:spacing w:after="0"/>
              <w:rPr>
                <w:sz w:val="1"/>
                <w:szCs w:val="1"/>
                <w:color w:val="auto"/>
              </w:rPr>
            </w:pPr>
          </w:p>
        </w:tc>
      </w:tr>
      <w:tr>
        <w:trPr>
          <w:trHeight w:val="260"/>
        </w:trPr>
        <w:tc>
          <w:tcPr>
            <w:tcW w:w="58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w w:val="97"/>
              </w:rPr>
              <w:t>156,203</w:t>
            </w:r>
          </w:p>
        </w:tc>
        <w:tc>
          <w:tcPr>
            <w:tcW w:w="4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19.45</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1/3/2029</w:t>
            </w:r>
          </w:p>
        </w:tc>
        <w:tc>
          <w:tcPr>
            <w:tcW w:w="920" w:type="dxa"/>
            <w:vAlign w:val="bottom"/>
          </w:tcPr>
          <w:p>
            <w:pPr>
              <w:jc w:val="center"/>
              <w:spacing w:after="0"/>
              <w:rPr>
                <w:sz w:val="20"/>
                <w:szCs w:val="20"/>
                <w:color w:val="auto"/>
              </w:rPr>
            </w:pPr>
            <w:r>
              <w:rPr>
                <w:rFonts w:ascii="Arial" w:cs="Arial" w:eastAsia="Arial" w:hAnsi="Arial"/>
                <w:sz w:val="13"/>
                <w:szCs w:val="13"/>
                <w:color w:val="010035"/>
                <w:w w:val="91"/>
              </w:rPr>
              <w:t>246,881</w:t>
            </w:r>
            <w:r>
              <w:rPr>
                <w:rFonts w:ascii="Arial" w:cs="Arial" w:eastAsia="Arial" w:hAnsi="Arial"/>
                <w:sz w:val="20"/>
                <w:szCs w:val="20"/>
                <w:color w:val="010035"/>
                <w:w w:val="91"/>
                <w:vertAlign w:val="superscript"/>
              </w:rPr>
              <w:t>(e)</w:t>
            </w:r>
          </w:p>
        </w:tc>
        <w:tc>
          <w:tcPr>
            <w:tcW w:w="1360" w:type="dxa"/>
            <w:vAlign w:val="bottom"/>
          </w:tcPr>
          <w:p>
            <w:pPr>
              <w:jc w:val="center"/>
              <w:spacing w:after="0"/>
              <w:rPr>
                <w:sz w:val="20"/>
                <w:szCs w:val="20"/>
                <w:color w:val="auto"/>
              </w:rPr>
            </w:pPr>
            <w:r>
              <w:rPr>
                <w:rFonts w:ascii="Arial" w:cs="Arial" w:eastAsia="Arial" w:hAnsi="Arial"/>
                <w:sz w:val="13"/>
                <w:szCs w:val="13"/>
                <w:color w:val="010035"/>
                <w:w w:val="96"/>
              </w:rPr>
              <w:t>3,641,495</w:t>
            </w:r>
          </w:p>
        </w:tc>
        <w:tc>
          <w:tcPr>
            <w:tcW w:w="1500" w:type="dxa"/>
            <w:vAlign w:val="bottom"/>
          </w:tcPr>
          <w:p>
            <w:pPr>
              <w:jc w:val="center"/>
              <w:spacing w:after="0"/>
              <w:rPr>
                <w:sz w:val="20"/>
                <w:szCs w:val="20"/>
                <w:color w:val="auto"/>
              </w:rPr>
            </w:pPr>
            <w:r>
              <w:rPr>
                <w:rFonts w:ascii="Arial" w:cs="Arial" w:eastAsia="Arial" w:hAnsi="Arial"/>
                <w:sz w:val="13"/>
                <w:szCs w:val="13"/>
                <w:color w:val="010035"/>
              </w:rPr>
              <w:t>—</w:t>
            </w:r>
          </w:p>
        </w:tc>
        <w:tc>
          <w:tcPr>
            <w:tcW w:w="16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w w:val="96"/>
              </w:rPr>
              <w:t>1,032,706</w:t>
            </w:r>
          </w:p>
        </w:tc>
        <w:tc>
          <w:tcPr>
            <w:tcW w:w="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18.81</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8/6/2029</w:t>
            </w:r>
          </w:p>
        </w:tc>
        <w:tc>
          <w:tcPr>
            <w:tcW w:w="920" w:type="dxa"/>
            <w:vAlign w:val="bottom"/>
          </w:tcPr>
          <w:p>
            <w:pPr>
              <w:jc w:val="center"/>
              <w:spacing w:after="0"/>
              <w:rPr>
                <w:sz w:val="20"/>
                <w:szCs w:val="20"/>
                <w:color w:val="auto"/>
              </w:rPr>
            </w:pPr>
            <w:r>
              <w:rPr>
                <w:rFonts w:ascii="Arial" w:cs="Arial" w:eastAsia="Arial" w:hAnsi="Arial"/>
                <w:sz w:val="13"/>
                <w:szCs w:val="13"/>
                <w:color w:val="010035"/>
                <w:w w:val="91"/>
              </w:rPr>
              <w:t>62,185</w:t>
            </w:r>
            <w:r>
              <w:rPr>
                <w:rFonts w:ascii="Arial" w:cs="Arial" w:eastAsia="Arial" w:hAnsi="Arial"/>
                <w:sz w:val="20"/>
                <w:szCs w:val="20"/>
                <w:color w:val="010035"/>
                <w:w w:val="91"/>
                <w:vertAlign w:val="superscript"/>
              </w:rPr>
              <w:t>(f)</w:t>
            </w:r>
          </w:p>
        </w:tc>
        <w:tc>
          <w:tcPr>
            <w:tcW w:w="1360" w:type="dxa"/>
            <w:vAlign w:val="bottom"/>
          </w:tcPr>
          <w:p>
            <w:pPr>
              <w:jc w:val="center"/>
              <w:spacing w:after="0"/>
              <w:rPr>
                <w:sz w:val="20"/>
                <w:szCs w:val="20"/>
                <w:color w:val="auto"/>
              </w:rPr>
            </w:pPr>
            <w:r>
              <w:rPr>
                <w:rFonts w:ascii="Arial" w:cs="Arial" w:eastAsia="Arial" w:hAnsi="Arial"/>
                <w:sz w:val="13"/>
                <w:szCs w:val="13"/>
                <w:color w:val="010035"/>
                <w:w w:val="93"/>
              </w:rPr>
              <w:t>917,229</w:t>
            </w:r>
          </w:p>
        </w:tc>
        <w:tc>
          <w:tcPr>
            <w:tcW w:w="1500" w:type="dxa"/>
            <w:vAlign w:val="bottom"/>
          </w:tcPr>
          <w:p>
            <w:pPr>
              <w:jc w:val="center"/>
              <w:spacing w:after="0"/>
              <w:rPr>
                <w:sz w:val="20"/>
                <w:szCs w:val="20"/>
                <w:color w:val="auto"/>
              </w:rPr>
            </w:pPr>
            <w:r>
              <w:rPr>
                <w:rFonts w:ascii="Arial" w:cs="Arial" w:eastAsia="Arial" w:hAnsi="Arial"/>
                <w:sz w:val="13"/>
                <w:szCs w:val="13"/>
                <w:color w:val="010035"/>
                <w:w w:val="90"/>
              </w:rPr>
              <w:t>124,372</w:t>
            </w:r>
            <w:r>
              <w:rPr>
                <w:rFonts w:ascii="Arial" w:cs="Arial" w:eastAsia="Arial" w:hAnsi="Arial"/>
                <w:sz w:val="20"/>
                <w:szCs w:val="20"/>
                <w:color w:val="010035"/>
                <w:w w:val="90"/>
                <w:vertAlign w:val="superscript"/>
              </w:rPr>
              <w:t>(f)</w:t>
            </w:r>
          </w:p>
        </w:tc>
        <w:tc>
          <w:tcPr>
            <w:tcW w:w="1600" w:type="dxa"/>
            <w:vAlign w:val="bottom"/>
          </w:tcPr>
          <w:p>
            <w:pPr>
              <w:jc w:val="center"/>
              <w:spacing w:after="0"/>
              <w:rPr>
                <w:sz w:val="20"/>
                <w:szCs w:val="20"/>
                <w:color w:val="auto"/>
              </w:rPr>
            </w:pPr>
            <w:r>
              <w:rPr>
                <w:rFonts w:ascii="Arial" w:cs="Arial" w:eastAsia="Arial" w:hAnsi="Arial"/>
                <w:sz w:val="13"/>
                <w:szCs w:val="13"/>
                <w:color w:val="010035"/>
                <w:w w:val="96"/>
              </w:rPr>
              <w:t>1,834,487</w:t>
            </w:r>
          </w:p>
        </w:tc>
        <w:tc>
          <w:tcPr>
            <w:tcW w:w="0" w:type="dxa"/>
            <w:vAlign w:val="bottom"/>
          </w:tcPr>
          <w:p>
            <w:pPr>
              <w:spacing w:after="0"/>
              <w:rPr>
                <w:sz w:val="1"/>
                <w:szCs w:val="1"/>
                <w:color w:val="auto"/>
              </w:rPr>
            </w:pPr>
          </w:p>
        </w:tc>
      </w:tr>
      <w:tr>
        <w:trPr>
          <w:trHeight w:val="243"/>
        </w:trPr>
        <w:tc>
          <w:tcPr>
            <w:tcW w:w="580" w:type="dxa"/>
            <w:vAlign w:val="bottom"/>
            <w:vMerge w:val="restart"/>
          </w:tcPr>
          <w:p>
            <w:pPr>
              <w:ind w:left="40"/>
              <w:spacing w:after="0"/>
              <w:rPr>
                <w:sz w:val="20"/>
                <w:szCs w:val="20"/>
                <w:color w:val="auto"/>
              </w:rPr>
            </w:pPr>
            <w:r>
              <w:rPr>
                <w:rFonts w:ascii="Arial" w:cs="Arial" w:eastAsia="Arial" w:hAnsi="Arial"/>
                <w:sz w:val="13"/>
                <w:szCs w:val="13"/>
                <w:color w:val="010035"/>
              </w:rPr>
              <w:t>Jay</w:t>
            </w:r>
          </w:p>
        </w:tc>
        <w:tc>
          <w:tcPr>
            <w:tcW w:w="1000" w:type="dxa"/>
            <w:vAlign w:val="bottom"/>
          </w:tcPr>
          <w:p>
            <w:pPr>
              <w:jc w:val="center"/>
              <w:spacing w:after="0"/>
              <w:rPr>
                <w:sz w:val="20"/>
                <w:szCs w:val="20"/>
                <w:color w:val="auto"/>
              </w:rPr>
            </w:pPr>
            <w:r>
              <w:rPr>
                <w:rFonts w:ascii="Arial" w:cs="Arial" w:eastAsia="Arial" w:hAnsi="Arial"/>
                <w:sz w:val="13"/>
                <w:szCs w:val="13"/>
                <w:color w:val="010035"/>
                <w:w w:val="95"/>
              </w:rPr>
              <w:t>89,639</w:t>
            </w:r>
          </w:p>
        </w:tc>
        <w:tc>
          <w:tcPr>
            <w:tcW w:w="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80.89</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1/5/2031</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3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010035"/>
                <w:w w:val="91"/>
              </w:rPr>
              <w:t>882,900</w:t>
            </w:r>
            <w:r>
              <w:rPr>
                <w:rFonts w:ascii="Arial" w:cs="Arial" w:eastAsia="Arial" w:hAnsi="Arial"/>
                <w:sz w:val="20"/>
                <w:szCs w:val="20"/>
                <w:color w:val="010035"/>
                <w:w w:val="91"/>
                <w:vertAlign w:val="superscript"/>
              </w:rPr>
              <w:t>(g)</w:t>
            </w:r>
          </w:p>
        </w:tc>
        <w:tc>
          <w:tcPr>
            <w:tcW w:w="1600" w:type="dxa"/>
            <w:vAlign w:val="bottom"/>
          </w:tcPr>
          <w:p>
            <w:pPr>
              <w:jc w:val="center"/>
              <w:spacing w:after="0"/>
              <w:rPr>
                <w:sz w:val="20"/>
                <w:szCs w:val="20"/>
                <w:color w:val="auto"/>
              </w:rPr>
            </w:pPr>
            <w:r>
              <w:rPr>
                <w:rFonts w:ascii="Arial" w:cs="Arial" w:eastAsia="Arial" w:hAnsi="Arial"/>
                <w:sz w:val="13"/>
                <w:szCs w:val="13"/>
                <w:color w:val="010035"/>
                <w:w w:val="98"/>
              </w:rPr>
              <w:t>13,022,775</w:t>
            </w:r>
          </w:p>
        </w:tc>
        <w:tc>
          <w:tcPr>
            <w:tcW w:w="0" w:type="dxa"/>
            <w:vAlign w:val="bottom"/>
          </w:tcPr>
          <w:p>
            <w:pPr>
              <w:spacing w:after="0"/>
              <w:rPr>
                <w:sz w:val="1"/>
                <w:szCs w:val="1"/>
                <w:color w:val="auto"/>
              </w:rPr>
            </w:pPr>
          </w:p>
        </w:tc>
      </w:tr>
      <w:tr>
        <w:trPr>
          <w:trHeight w:val="73"/>
        </w:trPr>
        <w:tc>
          <w:tcPr>
            <w:tcW w:w="580" w:type="dxa"/>
            <w:vAlign w:val="bottom"/>
            <w:vMerge w:val="continue"/>
          </w:tcPr>
          <w:p>
            <w:pPr>
              <w:spacing w:after="0"/>
              <w:rPr>
                <w:sz w:val="6"/>
                <w:szCs w:val="6"/>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10035"/>
                <w:w w:val="97"/>
              </w:rPr>
              <w:t>119,556</w:t>
            </w:r>
          </w:p>
        </w:tc>
        <w:tc>
          <w:tcPr>
            <w:tcW w:w="40" w:type="dxa"/>
            <w:vAlign w:val="bottom"/>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010035"/>
                <w:w w:val="89"/>
              </w:rPr>
              <w:t>39,852</w:t>
            </w:r>
            <w:r>
              <w:rPr>
                <w:rFonts w:ascii="Arial" w:cs="Arial" w:eastAsia="Arial" w:hAnsi="Arial"/>
                <w:sz w:val="20"/>
                <w:szCs w:val="20"/>
                <w:color w:val="010035"/>
                <w:w w:val="89"/>
                <w:vertAlign w:val="superscript"/>
              </w:rPr>
              <w:t>(b)</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010035"/>
                <w:w w:val="98"/>
              </w:rPr>
              <w:t>50.64</w:t>
            </w:r>
          </w:p>
        </w:tc>
        <w:tc>
          <w:tcPr>
            <w:tcW w:w="820" w:type="dxa"/>
            <w:vAlign w:val="bottom"/>
            <w:vMerge w:val="restart"/>
          </w:tcPr>
          <w:p>
            <w:pPr>
              <w:jc w:val="center"/>
              <w:ind w:right="16"/>
              <w:spacing w:after="0"/>
              <w:rPr>
                <w:sz w:val="20"/>
                <w:szCs w:val="20"/>
                <w:color w:val="auto"/>
              </w:rPr>
            </w:pPr>
            <w:r>
              <w:rPr>
                <w:rFonts w:ascii="Arial" w:cs="Arial" w:eastAsia="Arial" w:hAnsi="Arial"/>
                <w:sz w:val="13"/>
                <w:szCs w:val="13"/>
                <w:color w:val="010035"/>
                <w:w w:val="98"/>
              </w:rPr>
              <w:t>1/4/2032</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10035"/>
              </w:rPr>
              <w:t>—</w:t>
            </w:r>
          </w:p>
        </w:tc>
        <w:tc>
          <w:tcPr>
            <w:tcW w:w="136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vMerge w:val="restart"/>
          </w:tcPr>
          <w:p>
            <w:pPr>
              <w:jc w:val="center"/>
              <w:spacing w:after="0"/>
              <w:rPr>
                <w:sz w:val="20"/>
                <w:szCs w:val="20"/>
                <w:color w:val="auto"/>
              </w:rPr>
            </w:pPr>
            <w:r>
              <w:rPr>
                <w:rFonts w:ascii="Arial" w:cs="Arial" w:eastAsia="Arial" w:hAnsi="Arial"/>
                <w:sz w:val="13"/>
                <w:szCs w:val="13"/>
                <w:color w:val="010035"/>
                <w:w w:val="91"/>
              </w:rPr>
              <w:t>690,909</w:t>
            </w:r>
            <w:r>
              <w:rPr>
                <w:rFonts w:ascii="Arial" w:cs="Arial" w:eastAsia="Arial" w:hAnsi="Arial"/>
                <w:sz w:val="20"/>
                <w:szCs w:val="20"/>
                <w:color w:val="010035"/>
                <w:w w:val="91"/>
                <w:vertAlign w:val="superscript"/>
              </w:rPr>
              <w:t>(h)</w:t>
            </w:r>
          </w:p>
        </w:tc>
        <w:tc>
          <w:tcPr>
            <w:tcW w:w="1600" w:type="dxa"/>
            <w:vAlign w:val="bottom"/>
            <w:vMerge w:val="restart"/>
          </w:tcPr>
          <w:p>
            <w:pPr>
              <w:jc w:val="center"/>
              <w:spacing w:after="0"/>
              <w:rPr>
                <w:sz w:val="20"/>
                <w:szCs w:val="20"/>
                <w:color w:val="auto"/>
              </w:rPr>
            </w:pPr>
            <w:r>
              <w:rPr>
                <w:rFonts w:ascii="Arial" w:cs="Arial" w:eastAsia="Arial" w:hAnsi="Arial"/>
                <w:sz w:val="13"/>
                <w:szCs w:val="13"/>
                <w:color w:val="010035"/>
                <w:w w:val="98"/>
              </w:rPr>
              <w:t>10,190,908</w:t>
            </w:r>
          </w:p>
        </w:tc>
        <w:tc>
          <w:tcPr>
            <w:tcW w:w="0" w:type="dxa"/>
            <w:vAlign w:val="bottom"/>
          </w:tcPr>
          <w:p>
            <w:pPr>
              <w:spacing w:after="0"/>
              <w:rPr>
                <w:sz w:val="1"/>
                <w:szCs w:val="1"/>
                <w:color w:val="auto"/>
              </w:rPr>
            </w:pPr>
          </w:p>
        </w:tc>
      </w:tr>
      <w:tr>
        <w:trPr>
          <w:trHeight w:val="170"/>
        </w:trPr>
        <w:tc>
          <w:tcPr>
            <w:tcW w:w="580" w:type="dxa"/>
            <w:vAlign w:val="bottom"/>
          </w:tcPr>
          <w:p>
            <w:pPr>
              <w:ind w:left="40"/>
              <w:spacing w:after="0"/>
              <w:rPr>
                <w:sz w:val="20"/>
                <w:szCs w:val="20"/>
                <w:color w:val="auto"/>
              </w:rPr>
            </w:pPr>
            <w:r>
              <w:rPr>
                <w:rFonts w:ascii="Arial" w:cs="Arial" w:eastAsia="Arial" w:hAnsi="Arial"/>
                <w:sz w:val="13"/>
                <w:szCs w:val="13"/>
                <w:color w:val="010035"/>
                <w:w w:val="95"/>
              </w:rPr>
              <w:t>Snowden</w:t>
            </w: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w w:val="97"/>
              </w:rPr>
              <w:t>148,283</w:t>
            </w:r>
          </w:p>
        </w:tc>
        <w:tc>
          <w:tcPr>
            <w:tcW w:w="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92"/>
              </w:rPr>
              <w:t>148,283</w:t>
            </w:r>
            <w:r>
              <w:rPr>
                <w:rFonts w:ascii="Arial" w:cs="Arial" w:eastAsia="Arial" w:hAnsi="Arial"/>
                <w:sz w:val="20"/>
                <w:szCs w:val="20"/>
                <w:color w:val="010035"/>
                <w:w w:val="92"/>
                <w:vertAlign w:val="superscript"/>
              </w:rPr>
              <w:t>(c)</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29.27</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1/4/2033</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3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010035"/>
              </w:rPr>
              <w:t>—</w:t>
            </w:r>
          </w:p>
        </w:tc>
        <w:tc>
          <w:tcPr>
            <w:tcW w:w="16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w w:val="95"/>
              </w:rPr>
              <w:t>70,466</w:t>
            </w:r>
          </w:p>
        </w:tc>
        <w:tc>
          <w:tcPr>
            <w:tcW w:w="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91"/>
              </w:rPr>
              <w:t>211,398</w:t>
            </w:r>
            <w:r>
              <w:rPr>
                <w:rFonts w:ascii="Arial" w:cs="Arial" w:eastAsia="Arial" w:hAnsi="Arial"/>
                <w:sz w:val="20"/>
                <w:szCs w:val="20"/>
                <w:color w:val="010035"/>
                <w:w w:val="91"/>
                <w:vertAlign w:val="superscript"/>
              </w:rPr>
              <w:t>(d)</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25.95</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1/3/2034</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3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010035"/>
              </w:rPr>
              <w:t>—</w:t>
            </w:r>
          </w:p>
        </w:tc>
        <w:tc>
          <w:tcPr>
            <w:tcW w:w="16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rPr>
              <w:t>—</w:t>
            </w:r>
          </w:p>
        </w:tc>
        <w:tc>
          <w:tcPr>
            <w:tcW w:w="40" w:type="dxa"/>
            <w:vAlign w:val="bottom"/>
          </w:tcPr>
          <w:p>
            <w:pPr>
              <w:spacing w:after="0"/>
              <w:rPr>
                <w:sz w:val="19"/>
                <w:szCs w:val="19"/>
                <w:color w:val="auto"/>
              </w:rPr>
            </w:pPr>
          </w:p>
        </w:tc>
        <w:tc>
          <w:tcPr>
            <w:tcW w:w="1200" w:type="dxa"/>
            <w:vAlign w:val="bottom"/>
          </w:tcPr>
          <w:p>
            <w:pPr>
              <w:jc w:val="center"/>
              <w:spacing w:after="0" w:line="227" w:lineRule="exact"/>
              <w:rPr>
                <w:sz w:val="20"/>
                <w:szCs w:val="20"/>
                <w:color w:val="auto"/>
              </w:rPr>
            </w:pPr>
            <w:r>
              <w:rPr>
                <w:rFonts w:ascii="Arial" w:cs="Arial" w:eastAsia="Arial" w:hAnsi="Arial"/>
                <w:sz w:val="13"/>
                <w:szCs w:val="13"/>
                <w:color w:val="010035"/>
                <w:w w:val="91"/>
              </w:rPr>
              <w:t>372,269</w:t>
            </w:r>
            <w:r>
              <w:rPr>
                <w:rFonts w:ascii="Arial" w:cs="Arial" w:eastAsia="Arial" w:hAnsi="Arial"/>
                <w:sz w:val="20"/>
                <w:szCs w:val="20"/>
                <w:color w:val="010035"/>
                <w:w w:val="91"/>
                <w:vertAlign w:val="superscript"/>
              </w:rPr>
              <w:t>(d)</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19.24</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1/3/2035</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3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010035"/>
              </w:rPr>
              <w:t>—</w:t>
            </w:r>
          </w:p>
        </w:tc>
        <w:tc>
          <w:tcPr>
            <w:tcW w:w="16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43"/>
        </w:trPr>
        <w:tc>
          <w:tcPr>
            <w:tcW w:w="580" w:type="dxa"/>
            <w:vAlign w:val="bottom"/>
            <w:shd w:val="clear" w:color="auto" w:fill="DED8EC"/>
          </w:tcPr>
          <w:p>
            <w:pPr>
              <w:spacing w:after="0"/>
              <w:rPr>
                <w:sz w:val="21"/>
                <w:szCs w:val="21"/>
                <w:color w:val="auto"/>
              </w:rPr>
            </w:pP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11,697</w:t>
            </w:r>
          </w:p>
        </w:tc>
        <w:tc>
          <w:tcPr>
            <w:tcW w:w="40" w:type="dxa"/>
            <w:vAlign w:val="bottom"/>
            <w:shd w:val="clear" w:color="auto" w:fill="DED8EC"/>
          </w:tcPr>
          <w:p>
            <w:pPr>
              <w:spacing w:after="0"/>
              <w:rPr>
                <w:sz w:val="21"/>
                <w:szCs w:val="21"/>
                <w:color w:val="auto"/>
              </w:rPr>
            </w:pP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0"/>
              </w:rPr>
              <w:t>117.82</w:t>
            </w:r>
          </w:p>
        </w:tc>
        <w:tc>
          <w:tcPr>
            <w:tcW w:w="820" w:type="dxa"/>
            <w:vAlign w:val="bottom"/>
            <w:tcBorders>
              <w:right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6"/>
              </w:rPr>
              <w:t>2/23/2031</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89"/>
              </w:rPr>
              <w:t>48,181</w:t>
            </w:r>
            <w:r>
              <w:rPr>
                <w:rFonts w:ascii="Arial" w:cs="Arial" w:eastAsia="Arial" w:hAnsi="Arial"/>
                <w:sz w:val="20"/>
                <w:szCs w:val="20"/>
                <w:color w:val="010035"/>
                <w:w w:val="89"/>
                <w:vertAlign w:val="superscript"/>
              </w:rPr>
              <w:t>(e)</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3"/>
              </w:rPr>
              <w:t>710,670</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43"/>
        </w:trPr>
        <w:tc>
          <w:tcPr>
            <w:tcW w:w="580" w:type="dxa"/>
            <w:vAlign w:val="bottom"/>
            <w:vMerge w:val="restart"/>
            <w:shd w:val="clear" w:color="auto" w:fill="DED8EC"/>
          </w:tcPr>
          <w:p>
            <w:pPr>
              <w:ind w:left="40"/>
              <w:spacing w:after="0"/>
              <w:rPr>
                <w:sz w:val="20"/>
                <w:szCs w:val="20"/>
                <w:color w:val="auto"/>
              </w:rPr>
            </w:pPr>
            <w:r>
              <w:rPr>
                <w:rFonts w:ascii="Arial" w:cs="Arial" w:eastAsia="Arial" w:hAnsi="Arial"/>
                <w:sz w:val="13"/>
                <w:szCs w:val="13"/>
                <w:color w:val="010035"/>
              </w:rPr>
              <w:t>Felicia</w:t>
            </w: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21,303</w:t>
            </w:r>
          </w:p>
        </w:tc>
        <w:tc>
          <w:tcPr>
            <w:tcW w:w="40" w:type="dxa"/>
            <w:vAlign w:val="bottom"/>
            <w:shd w:val="clear" w:color="auto" w:fill="DED8EC"/>
          </w:tcPr>
          <w:p>
            <w:pPr>
              <w:spacing w:after="0"/>
              <w:rPr>
                <w:sz w:val="21"/>
                <w:szCs w:val="21"/>
                <w:color w:val="auto"/>
              </w:rPr>
            </w:pP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0"/>
              </w:rPr>
              <w:t>7,102</w:t>
            </w:r>
            <w:r>
              <w:rPr>
                <w:rFonts w:ascii="Arial" w:cs="Arial" w:eastAsia="Arial" w:hAnsi="Arial"/>
                <w:sz w:val="20"/>
                <w:szCs w:val="20"/>
                <w:color w:val="010035"/>
                <w:w w:val="90"/>
                <w:vertAlign w:val="superscript"/>
              </w:rPr>
              <w:t>(b)</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50.64</w:t>
            </w:r>
          </w:p>
        </w:tc>
        <w:tc>
          <w:tcPr>
            <w:tcW w:w="820" w:type="dxa"/>
            <w:vAlign w:val="bottom"/>
            <w:tcBorders>
              <w:right w:val="single" w:sz="8" w:color="DED8EC"/>
            </w:tcBorders>
            <w:shd w:val="clear" w:color="auto" w:fill="DED8EC"/>
          </w:tcPr>
          <w:p>
            <w:pPr>
              <w:jc w:val="center"/>
              <w:ind w:right="16"/>
              <w:spacing w:after="0"/>
              <w:rPr>
                <w:sz w:val="20"/>
                <w:szCs w:val="20"/>
                <w:color w:val="auto"/>
              </w:rPr>
            </w:pPr>
            <w:r>
              <w:rPr>
                <w:rFonts w:ascii="Arial" w:cs="Arial" w:eastAsia="Arial" w:hAnsi="Arial"/>
                <w:sz w:val="13"/>
                <w:szCs w:val="13"/>
                <w:color w:val="010035"/>
                <w:w w:val="98"/>
              </w:rPr>
              <w:t>1/4/2032</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16,473</w:t>
            </w:r>
            <w:r>
              <w:rPr>
                <w:rFonts w:ascii="Arial" w:cs="Arial" w:eastAsia="Arial" w:hAnsi="Arial"/>
                <w:sz w:val="20"/>
                <w:szCs w:val="20"/>
                <w:color w:val="010035"/>
                <w:w w:val="91"/>
                <w:vertAlign w:val="superscript"/>
              </w:rPr>
              <w:t>(f)</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3"/>
              </w:rPr>
              <w:t>242,977</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32,946</w:t>
            </w:r>
            <w:r>
              <w:rPr>
                <w:rFonts w:ascii="Arial" w:cs="Arial" w:eastAsia="Arial" w:hAnsi="Arial"/>
                <w:sz w:val="20"/>
                <w:szCs w:val="20"/>
                <w:color w:val="010035"/>
                <w:w w:val="95"/>
                <w:vertAlign w:val="superscript"/>
              </w:rPr>
              <w:t>(f)</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7"/>
              </w:rPr>
              <w:t>485,954</w:t>
            </w:r>
          </w:p>
        </w:tc>
        <w:tc>
          <w:tcPr>
            <w:tcW w:w="0" w:type="dxa"/>
            <w:vAlign w:val="bottom"/>
          </w:tcPr>
          <w:p>
            <w:pPr>
              <w:spacing w:after="0"/>
              <w:rPr>
                <w:sz w:val="1"/>
                <w:szCs w:val="1"/>
                <w:color w:val="auto"/>
              </w:rPr>
            </w:pPr>
          </w:p>
        </w:tc>
      </w:tr>
      <w:tr>
        <w:trPr>
          <w:trHeight w:val="90"/>
        </w:trPr>
        <w:tc>
          <w:tcPr>
            <w:tcW w:w="580" w:type="dxa"/>
            <w:vAlign w:val="bottom"/>
            <w:vMerge w:val="continue"/>
            <w:shd w:val="clear" w:color="auto" w:fill="DED8EC"/>
          </w:tcPr>
          <w:p>
            <w:pPr>
              <w:spacing w:after="0"/>
              <w:rPr>
                <w:sz w:val="7"/>
                <w:szCs w:val="7"/>
                <w:color w:val="auto"/>
              </w:rPr>
            </w:pPr>
          </w:p>
        </w:tc>
        <w:tc>
          <w:tcPr>
            <w:tcW w:w="100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5"/>
              </w:rPr>
              <w:t>39,635</w:t>
            </w:r>
          </w:p>
        </w:tc>
        <w:tc>
          <w:tcPr>
            <w:tcW w:w="40" w:type="dxa"/>
            <w:vAlign w:val="bottom"/>
            <w:shd w:val="clear" w:color="auto" w:fill="DED8EC"/>
          </w:tcPr>
          <w:p>
            <w:pPr>
              <w:spacing w:after="0"/>
              <w:rPr>
                <w:sz w:val="7"/>
                <w:szCs w:val="7"/>
                <w:color w:val="auto"/>
              </w:rPr>
            </w:pPr>
          </w:p>
        </w:tc>
        <w:tc>
          <w:tcPr>
            <w:tcW w:w="120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0"/>
              </w:rPr>
              <w:t>39,636</w:t>
            </w:r>
            <w:r>
              <w:rPr>
                <w:rFonts w:ascii="Arial" w:cs="Arial" w:eastAsia="Arial" w:hAnsi="Arial"/>
                <w:sz w:val="20"/>
                <w:szCs w:val="20"/>
                <w:color w:val="010035"/>
                <w:w w:val="90"/>
                <w:vertAlign w:val="superscript"/>
              </w:rPr>
              <w:t>(c)</w:t>
            </w:r>
          </w:p>
        </w:tc>
        <w:tc>
          <w:tcPr>
            <w:tcW w:w="78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8"/>
              </w:rPr>
              <w:t>29.27</w:t>
            </w:r>
          </w:p>
        </w:tc>
        <w:tc>
          <w:tcPr>
            <w:tcW w:w="820" w:type="dxa"/>
            <w:vAlign w:val="bottom"/>
            <w:tcBorders>
              <w:right w:val="single" w:sz="8" w:color="DED8EC"/>
            </w:tcBorders>
            <w:vMerge w:val="restart"/>
            <w:shd w:val="clear" w:color="auto" w:fill="DED8EC"/>
          </w:tcPr>
          <w:p>
            <w:pPr>
              <w:jc w:val="center"/>
              <w:ind w:right="16"/>
              <w:spacing w:after="0"/>
              <w:rPr>
                <w:sz w:val="20"/>
                <w:szCs w:val="20"/>
                <w:color w:val="auto"/>
              </w:rPr>
            </w:pPr>
            <w:r>
              <w:rPr>
                <w:rFonts w:ascii="Arial" w:cs="Arial" w:eastAsia="Arial" w:hAnsi="Arial"/>
                <w:sz w:val="13"/>
                <w:szCs w:val="13"/>
                <w:color w:val="010035"/>
                <w:w w:val="98"/>
              </w:rPr>
              <w:t>1/4/2033</w:t>
            </w:r>
          </w:p>
        </w:tc>
        <w:tc>
          <w:tcPr>
            <w:tcW w:w="9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36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107,784</w:t>
            </w:r>
            <w:r>
              <w:rPr>
                <w:rFonts w:ascii="Arial" w:cs="Arial" w:eastAsia="Arial" w:hAnsi="Arial"/>
                <w:sz w:val="20"/>
                <w:szCs w:val="20"/>
                <w:color w:val="010035"/>
                <w:w w:val="91"/>
                <w:vertAlign w:val="superscript"/>
              </w:rPr>
              <w:t>(g)</w:t>
            </w:r>
          </w:p>
        </w:tc>
        <w:tc>
          <w:tcPr>
            <w:tcW w:w="160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6"/>
              </w:rPr>
              <w:t>1,589,814</w:t>
            </w:r>
          </w:p>
        </w:tc>
        <w:tc>
          <w:tcPr>
            <w:tcW w:w="0" w:type="dxa"/>
            <w:vAlign w:val="bottom"/>
          </w:tcPr>
          <w:p>
            <w:pPr>
              <w:spacing w:after="0"/>
              <w:rPr>
                <w:sz w:val="1"/>
                <w:szCs w:val="1"/>
                <w:color w:val="auto"/>
              </w:rPr>
            </w:pPr>
          </w:p>
        </w:tc>
      </w:tr>
      <w:tr>
        <w:trPr>
          <w:trHeight w:val="153"/>
        </w:trPr>
        <w:tc>
          <w:tcPr>
            <w:tcW w:w="58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Hendrix</w:t>
            </w:r>
          </w:p>
        </w:tc>
        <w:tc>
          <w:tcPr>
            <w:tcW w:w="1000" w:type="dxa"/>
            <w:vAlign w:val="bottom"/>
            <w:vMerge w:val="continue"/>
            <w:shd w:val="clear" w:color="auto" w:fill="DED8EC"/>
          </w:tcPr>
          <w:p>
            <w:pPr>
              <w:spacing w:after="0"/>
              <w:rPr>
                <w:sz w:val="13"/>
                <w:szCs w:val="13"/>
                <w:color w:val="auto"/>
              </w:rPr>
            </w:pPr>
          </w:p>
        </w:tc>
        <w:tc>
          <w:tcPr>
            <w:tcW w:w="40" w:type="dxa"/>
            <w:vAlign w:val="bottom"/>
            <w:shd w:val="clear" w:color="auto" w:fill="DED8EC"/>
          </w:tcPr>
          <w:p>
            <w:pPr>
              <w:spacing w:after="0"/>
              <w:rPr>
                <w:sz w:val="13"/>
                <w:szCs w:val="13"/>
                <w:color w:val="auto"/>
              </w:rPr>
            </w:pPr>
          </w:p>
        </w:tc>
        <w:tc>
          <w:tcPr>
            <w:tcW w:w="1200" w:type="dxa"/>
            <w:vAlign w:val="bottom"/>
            <w:vMerge w:val="continue"/>
            <w:shd w:val="clear" w:color="auto" w:fill="DED8EC"/>
          </w:tcPr>
          <w:p>
            <w:pPr>
              <w:spacing w:after="0"/>
              <w:rPr>
                <w:sz w:val="13"/>
                <w:szCs w:val="13"/>
                <w:color w:val="auto"/>
              </w:rPr>
            </w:pPr>
          </w:p>
        </w:tc>
        <w:tc>
          <w:tcPr>
            <w:tcW w:w="780" w:type="dxa"/>
            <w:vAlign w:val="bottom"/>
            <w:vMerge w:val="continue"/>
            <w:shd w:val="clear" w:color="auto" w:fill="DED8EC"/>
          </w:tcPr>
          <w:p>
            <w:pPr>
              <w:spacing w:after="0"/>
              <w:rPr>
                <w:sz w:val="13"/>
                <w:szCs w:val="13"/>
                <w:color w:val="auto"/>
              </w:rPr>
            </w:pPr>
          </w:p>
        </w:tc>
        <w:tc>
          <w:tcPr>
            <w:tcW w:w="820" w:type="dxa"/>
            <w:vAlign w:val="bottom"/>
            <w:tcBorders>
              <w:right w:val="single" w:sz="8" w:color="DED8EC"/>
            </w:tcBorders>
            <w:vMerge w:val="continue"/>
            <w:shd w:val="clear" w:color="auto" w:fill="DED8EC"/>
          </w:tcPr>
          <w:p>
            <w:pPr>
              <w:spacing w:after="0"/>
              <w:rPr>
                <w:sz w:val="13"/>
                <w:szCs w:val="13"/>
                <w:color w:val="auto"/>
              </w:rPr>
            </w:pPr>
          </w:p>
        </w:tc>
        <w:tc>
          <w:tcPr>
            <w:tcW w:w="920" w:type="dxa"/>
            <w:vAlign w:val="bottom"/>
            <w:vMerge w:val="continue"/>
            <w:shd w:val="clear" w:color="auto" w:fill="DED8EC"/>
          </w:tcPr>
          <w:p>
            <w:pPr>
              <w:spacing w:after="0"/>
              <w:rPr>
                <w:sz w:val="13"/>
                <w:szCs w:val="13"/>
                <w:color w:val="auto"/>
              </w:rPr>
            </w:pPr>
          </w:p>
        </w:tc>
        <w:tc>
          <w:tcPr>
            <w:tcW w:w="1360" w:type="dxa"/>
            <w:vAlign w:val="bottom"/>
            <w:vMerge w:val="continue"/>
            <w:shd w:val="clear" w:color="auto" w:fill="DED8EC"/>
          </w:tcPr>
          <w:p>
            <w:pPr>
              <w:spacing w:after="0"/>
              <w:rPr>
                <w:sz w:val="13"/>
                <w:szCs w:val="13"/>
                <w:color w:val="auto"/>
              </w:rPr>
            </w:pPr>
          </w:p>
        </w:tc>
        <w:tc>
          <w:tcPr>
            <w:tcW w:w="1500" w:type="dxa"/>
            <w:vAlign w:val="bottom"/>
            <w:vMerge w:val="continue"/>
            <w:shd w:val="clear" w:color="auto" w:fill="DED8EC"/>
          </w:tcPr>
          <w:p>
            <w:pPr>
              <w:spacing w:after="0"/>
              <w:rPr>
                <w:sz w:val="13"/>
                <w:szCs w:val="13"/>
                <w:color w:val="auto"/>
              </w:rPr>
            </w:pPr>
          </w:p>
        </w:tc>
        <w:tc>
          <w:tcPr>
            <w:tcW w:w="1600" w:type="dxa"/>
            <w:vAlign w:val="bottom"/>
            <w:vMerge w:val="continue"/>
            <w:shd w:val="clear" w:color="auto" w:fill="DED8E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80" w:type="dxa"/>
            <w:vAlign w:val="bottom"/>
            <w:shd w:val="clear" w:color="auto" w:fill="DED8EC"/>
          </w:tcPr>
          <w:p>
            <w:pPr>
              <w:spacing w:after="0"/>
              <w:rPr>
                <w:sz w:val="21"/>
                <w:szCs w:val="21"/>
                <w:color w:val="auto"/>
              </w:rPr>
            </w:pP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26,703</w:t>
            </w:r>
          </w:p>
        </w:tc>
        <w:tc>
          <w:tcPr>
            <w:tcW w:w="40" w:type="dxa"/>
            <w:vAlign w:val="bottom"/>
            <w:shd w:val="clear" w:color="auto" w:fill="DED8EC"/>
          </w:tcPr>
          <w:p>
            <w:pPr>
              <w:spacing w:after="0"/>
              <w:rPr>
                <w:sz w:val="21"/>
                <w:szCs w:val="21"/>
                <w:color w:val="auto"/>
              </w:rPr>
            </w:pP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89"/>
              </w:rPr>
              <w:t>80,109</w:t>
            </w:r>
            <w:r>
              <w:rPr>
                <w:rFonts w:ascii="Arial" w:cs="Arial" w:eastAsia="Arial" w:hAnsi="Arial"/>
                <w:sz w:val="20"/>
                <w:szCs w:val="20"/>
                <w:color w:val="010035"/>
                <w:w w:val="89"/>
                <w:vertAlign w:val="superscript"/>
              </w:rPr>
              <w:t>(d)</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25.95</w:t>
            </w:r>
          </w:p>
        </w:tc>
        <w:tc>
          <w:tcPr>
            <w:tcW w:w="820" w:type="dxa"/>
            <w:vAlign w:val="bottom"/>
            <w:tcBorders>
              <w:right w:val="single" w:sz="8" w:color="DED8EC"/>
            </w:tcBorders>
            <w:shd w:val="clear" w:color="auto" w:fill="DED8EC"/>
          </w:tcPr>
          <w:p>
            <w:pPr>
              <w:jc w:val="center"/>
              <w:ind w:right="16"/>
              <w:spacing w:after="0"/>
              <w:rPr>
                <w:sz w:val="20"/>
                <w:szCs w:val="20"/>
                <w:color w:val="auto"/>
              </w:rPr>
            </w:pPr>
            <w:r>
              <w:rPr>
                <w:rFonts w:ascii="Arial" w:cs="Arial" w:eastAsia="Arial" w:hAnsi="Arial"/>
                <w:sz w:val="13"/>
                <w:szCs w:val="13"/>
                <w:color w:val="010035"/>
                <w:w w:val="98"/>
              </w:rPr>
              <w:t>1/3/2034</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129,741</w:t>
            </w:r>
            <w:r>
              <w:rPr>
                <w:rFonts w:ascii="Arial" w:cs="Arial" w:eastAsia="Arial" w:hAnsi="Arial"/>
                <w:sz w:val="20"/>
                <w:szCs w:val="20"/>
                <w:color w:val="010035"/>
                <w:w w:val="91"/>
                <w:vertAlign w:val="superscript"/>
              </w:rPr>
              <w:t>(h)</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6"/>
              </w:rPr>
              <w:t>1,913,680</w:t>
            </w:r>
          </w:p>
        </w:tc>
        <w:tc>
          <w:tcPr>
            <w:tcW w:w="0" w:type="dxa"/>
            <w:vAlign w:val="bottom"/>
          </w:tcPr>
          <w:p>
            <w:pPr>
              <w:spacing w:after="0"/>
              <w:rPr>
                <w:sz w:val="1"/>
                <w:szCs w:val="1"/>
                <w:color w:val="auto"/>
              </w:rPr>
            </w:pPr>
          </w:p>
        </w:tc>
      </w:tr>
      <w:tr>
        <w:trPr>
          <w:trHeight w:val="243"/>
        </w:trPr>
        <w:tc>
          <w:tcPr>
            <w:tcW w:w="580" w:type="dxa"/>
            <w:vAlign w:val="bottom"/>
            <w:shd w:val="clear" w:color="auto" w:fill="DED8EC"/>
          </w:tcPr>
          <w:p>
            <w:pPr>
              <w:spacing w:after="0"/>
              <w:rPr>
                <w:sz w:val="21"/>
                <w:szCs w:val="21"/>
                <w:color w:val="auto"/>
              </w:rPr>
            </w:pP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40" w:type="dxa"/>
            <w:vAlign w:val="bottom"/>
            <w:shd w:val="clear" w:color="auto" w:fill="DED8EC"/>
          </w:tcPr>
          <w:p>
            <w:pPr>
              <w:spacing w:after="0"/>
              <w:rPr>
                <w:sz w:val="21"/>
                <w:szCs w:val="21"/>
                <w:color w:val="auto"/>
              </w:rPr>
            </w:pP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89"/>
              </w:rPr>
              <w:t>72,651</w:t>
            </w:r>
            <w:r>
              <w:rPr>
                <w:rFonts w:ascii="Arial" w:cs="Arial" w:eastAsia="Arial" w:hAnsi="Arial"/>
                <w:sz w:val="20"/>
                <w:szCs w:val="20"/>
                <w:color w:val="010035"/>
                <w:w w:val="89"/>
                <w:vertAlign w:val="superscript"/>
              </w:rPr>
              <w:t>(d)</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19.24</w:t>
            </w:r>
          </w:p>
        </w:tc>
        <w:tc>
          <w:tcPr>
            <w:tcW w:w="820" w:type="dxa"/>
            <w:vAlign w:val="bottom"/>
            <w:tcBorders>
              <w:right w:val="single" w:sz="8" w:color="DED8EC"/>
            </w:tcBorders>
            <w:shd w:val="clear" w:color="auto" w:fill="DED8EC"/>
          </w:tcPr>
          <w:p>
            <w:pPr>
              <w:jc w:val="center"/>
              <w:ind w:right="16"/>
              <w:spacing w:after="0"/>
              <w:rPr>
                <w:sz w:val="20"/>
                <w:szCs w:val="20"/>
                <w:color w:val="auto"/>
              </w:rPr>
            </w:pPr>
            <w:r>
              <w:rPr>
                <w:rFonts w:ascii="Arial" w:cs="Arial" w:eastAsia="Arial" w:hAnsi="Arial"/>
                <w:sz w:val="13"/>
                <w:szCs w:val="13"/>
                <w:color w:val="010035"/>
                <w:w w:val="98"/>
              </w:rPr>
              <w:t>1/3/2035</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60"/>
        </w:trPr>
        <w:tc>
          <w:tcPr>
            <w:tcW w:w="58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w w:val="95"/>
              </w:rPr>
              <w:t>24,290</w:t>
            </w:r>
          </w:p>
        </w:tc>
        <w:tc>
          <w:tcPr>
            <w:tcW w:w="4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19.45</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1/3/2029</w:t>
            </w:r>
          </w:p>
        </w:tc>
        <w:tc>
          <w:tcPr>
            <w:tcW w:w="920" w:type="dxa"/>
            <w:vAlign w:val="bottom"/>
          </w:tcPr>
          <w:p>
            <w:pPr>
              <w:jc w:val="center"/>
              <w:spacing w:after="0"/>
              <w:rPr>
                <w:sz w:val="20"/>
                <w:szCs w:val="20"/>
                <w:color w:val="auto"/>
              </w:rPr>
            </w:pPr>
            <w:r>
              <w:rPr>
                <w:rFonts w:ascii="Arial" w:cs="Arial" w:eastAsia="Arial" w:hAnsi="Arial"/>
                <w:sz w:val="13"/>
                <w:szCs w:val="13"/>
                <w:color w:val="010035"/>
                <w:w w:val="89"/>
              </w:rPr>
              <w:t>42,827</w:t>
            </w:r>
            <w:r>
              <w:rPr>
                <w:rFonts w:ascii="Arial" w:cs="Arial" w:eastAsia="Arial" w:hAnsi="Arial"/>
                <w:sz w:val="20"/>
                <w:szCs w:val="20"/>
                <w:color w:val="010035"/>
                <w:w w:val="89"/>
                <w:vertAlign w:val="superscript"/>
              </w:rPr>
              <w:t>(e)</w:t>
            </w:r>
          </w:p>
        </w:tc>
        <w:tc>
          <w:tcPr>
            <w:tcW w:w="1360" w:type="dxa"/>
            <w:vAlign w:val="bottom"/>
          </w:tcPr>
          <w:p>
            <w:pPr>
              <w:jc w:val="center"/>
              <w:spacing w:after="0"/>
              <w:rPr>
                <w:sz w:val="20"/>
                <w:szCs w:val="20"/>
                <w:color w:val="auto"/>
              </w:rPr>
            </w:pPr>
            <w:r>
              <w:rPr>
                <w:rFonts w:ascii="Arial" w:cs="Arial" w:eastAsia="Arial" w:hAnsi="Arial"/>
                <w:sz w:val="13"/>
                <w:szCs w:val="13"/>
                <w:color w:val="010035"/>
                <w:w w:val="93"/>
              </w:rPr>
              <w:t>631,698</w:t>
            </w:r>
          </w:p>
        </w:tc>
        <w:tc>
          <w:tcPr>
            <w:tcW w:w="1500" w:type="dxa"/>
            <w:vAlign w:val="bottom"/>
          </w:tcPr>
          <w:p>
            <w:pPr>
              <w:jc w:val="center"/>
              <w:spacing w:after="0"/>
              <w:rPr>
                <w:sz w:val="20"/>
                <w:szCs w:val="20"/>
                <w:color w:val="auto"/>
              </w:rPr>
            </w:pPr>
            <w:r>
              <w:rPr>
                <w:rFonts w:ascii="Arial" w:cs="Arial" w:eastAsia="Arial" w:hAnsi="Arial"/>
                <w:sz w:val="13"/>
                <w:szCs w:val="13"/>
                <w:color w:val="010035"/>
              </w:rPr>
              <w:t>—</w:t>
            </w:r>
          </w:p>
        </w:tc>
        <w:tc>
          <w:tcPr>
            <w:tcW w:w="16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w w:val="95"/>
              </w:rPr>
              <w:t>23,485</w:t>
            </w:r>
          </w:p>
        </w:tc>
        <w:tc>
          <w:tcPr>
            <w:tcW w:w="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26.14</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1/3/2030</w:t>
            </w:r>
          </w:p>
        </w:tc>
        <w:tc>
          <w:tcPr>
            <w:tcW w:w="920" w:type="dxa"/>
            <w:vAlign w:val="bottom"/>
          </w:tcPr>
          <w:p>
            <w:pPr>
              <w:jc w:val="center"/>
              <w:spacing w:after="0"/>
              <w:rPr>
                <w:sz w:val="20"/>
                <w:szCs w:val="20"/>
                <w:color w:val="auto"/>
              </w:rPr>
            </w:pPr>
            <w:r>
              <w:rPr>
                <w:rFonts w:ascii="Arial" w:cs="Arial" w:eastAsia="Arial" w:hAnsi="Arial"/>
                <w:sz w:val="13"/>
                <w:szCs w:val="13"/>
                <w:color w:val="010035"/>
                <w:w w:val="92"/>
              </w:rPr>
              <w:t>9,634</w:t>
            </w:r>
            <w:r>
              <w:rPr>
                <w:rFonts w:ascii="Arial" w:cs="Arial" w:eastAsia="Arial" w:hAnsi="Arial"/>
                <w:sz w:val="20"/>
                <w:szCs w:val="20"/>
                <w:color w:val="010035"/>
                <w:w w:val="92"/>
                <w:vertAlign w:val="superscript"/>
              </w:rPr>
              <w:t>(f)</w:t>
            </w:r>
          </w:p>
        </w:tc>
        <w:tc>
          <w:tcPr>
            <w:tcW w:w="1360" w:type="dxa"/>
            <w:vAlign w:val="bottom"/>
          </w:tcPr>
          <w:p>
            <w:pPr>
              <w:jc w:val="center"/>
              <w:spacing w:after="0"/>
              <w:rPr>
                <w:sz w:val="20"/>
                <w:szCs w:val="20"/>
                <w:color w:val="auto"/>
              </w:rPr>
            </w:pPr>
            <w:r>
              <w:rPr>
                <w:rFonts w:ascii="Arial" w:cs="Arial" w:eastAsia="Arial" w:hAnsi="Arial"/>
                <w:sz w:val="13"/>
                <w:szCs w:val="13"/>
                <w:color w:val="010035"/>
                <w:w w:val="93"/>
              </w:rPr>
              <w:t>142,102</w:t>
            </w:r>
          </w:p>
        </w:tc>
        <w:tc>
          <w:tcPr>
            <w:tcW w:w="1500" w:type="dxa"/>
            <w:vAlign w:val="bottom"/>
          </w:tcPr>
          <w:p>
            <w:pPr>
              <w:jc w:val="center"/>
              <w:spacing w:after="0"/>
              <w:rPr>
                <w:sz w:val="20"/>
                <w:szCs w:val="20"/>
                <w:color w:val="auto"/>
              </w:rPr>
            </w:pPr>
            <w:r>
              <w:rPr>
                <w:rFonts w:ascii="Arial" w:cs="Arial" w:eastAsia="Arial" w:hAnsi="Arial"/>
                <w:sz w:val="13"/>
                <w:szCs w:val="13"/>
                <w:color w:val="010035"/>
                <w:w w:val="95"/>
              </w:rPr>
              <w:t>19,270</w:t>
            </w:r>
            <w:r>
              <w:rPr>
                <w:rFonts w:ascii="Arial" w:cs="Arial" w:eastAsia="Arial" w:hAnsi="Arial"/>
                <w:sz w:val="20"/>
                <w:szCs w:val="20"/>
                <w:color w:val="010035"/>
                <w:w w:val="95"/>
                <w:vertAlign w:val="superscript"/>
              </w:rPr>
              <w:t>(f)</w:t>
            </w:r>
          </w:p>
        </w:tc>
        <w:tc>
          <w:tcPr>
            <w:tcW w:w="1600" w:type="dxa"/>
            <w:vAlign w:val="bottom"/>
          </w:tcPr>
          <w:p>
            <w:pPr>
              <w:jc w:val="center"/>
              <w:spacing w:after="0"/>
              <w:rPr>
                <w:sz w:val="20"/>
                <w:szCs w:val="20"/>
                <w:color w:val="auto"/>
              </w:rPr>
            </w:pPr>
            <w:r>
              <w:rPr>
                <w:rFonts w:ascii="Arial" w:cs="Arial" w:eastAsia="Arial" w:hAnsi="Arial"/>
                <w:sz w:val="13"/>
                <w:szCs w:val="13"/>
                <w:color w:val="010035"/>
                <w:w w:val="97"/>
              </w:rPr>
              <w:t>284,233</w:t>
            </w:r>
          </w:p>
        </w:tc>
        <w:tc>
          <w:tcPr>
            <w:tcW w:w="0" w:type="dxa"/>
            <w:vAlign w:val="bottom"/>
          </w:tcPr>
          <w:p>
            <w:pPr>
              <w:spacing w:after="0"/>
              <w:rPr>
                <w:sz w:val="1"/>
                <w:szCs w:val="1"/>
                <w:color w:val="auto"/>
              </w:rPr>
            </w:pPr>
          </w:p>
        </w:tc>
      </w:tr>
      <w:tr>
        <w:trPr>
          <w:trHeight w:val="243"/>
        </w:trPr>
        <w:tc>
          <w:tcPr>
            <w:tcW w:w="580" w:type="dxa"/>
            <w:vAlign w:val="bottom"/>
            <w:vMerge w:val="restart"/>
          </w:tcPr>
          <w:p>
            <w:pPr>
              <w:ind w:left="40"/>
              <w:spacing w:after="0"/>
              <w:rPr>
                <w:sz w:val="20"/>
                <w:szCs w:val="20"/>
                <w:color w:val="auto"/>
              </w:rPr>
            </w:pPr>
            <w:r>
              <w:rPr>
                <w:rFonts w:ascii="Arial" w:cs="Arial" w:eastAsia="Arial" w:hAnsi="Arial"/>
                <w:sz w:val="13"/>
                <w:szCs w:val="13"/>
                <w:color w:val="010035"/>
              </w:rPr>
              <w:t>Chris</w:t>
            </w:r>
          </w:p>
        </w:tc>
        <w:tc>
          <w:tcPr>
            <w:tcW w:w="1000" w:type="dxa"/>
            <w:vAlign w:val="bottom"/>
          </w:tcPr>
          <w:p>
            <w:pPr>
              <w:jc w:val="center"/>
              <w:spacing w:after="0"/>
              <w:rPr>
                <w:sz w:val="20"/>
                <w:szCs w:val="20"/>
                <w:color w:val="auto"/>
              </w:rPr>
            </w:pPr>
            <w:r>
              <w:rPr>
                <w:rFonts w:ascii="Arial" w:cs="Arial" w:eastAsia="Arial" w:hAnsi="Arial"/>
                <w:sz w:val="13"/>
                <w:szCs w:val="13"/>
                <w:color w:val="010035"/>
                <w:w w:val="95"/>
              </w:rPr>
              <w:t>15,272</w:t>
            </w:r>
          </w:p>
        </w:tc>
        <w:tc>
          <w:tcPr>
            <w:tcW w:w="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80.89</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1/5/2031</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3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010035"/>
                <w:w w:val="89"/>
              </w:rPr>
              <w:t>95,808</w:t>
            </w:r>
            <w:r>
              <w:rPr>
                <w:rFonts w:ascii="Arial" w:cs="Arial" w:eastAsia="Arial" w:hAnsi="Arial"/>
                <w:sz w:val="20"/>
                <w:szCs w:val="20"/>
                <w:color w:val="010035"/>
                <w:w w:val="89"/>
                <w:vertAlign w:val="superscript"/>
              </w:rPr>
              <w:t>(g)</w:t>
            </w:r>
          </w:p>
        </w:tc>
        <w:tc>
          <w:tcPr>
            <w:tcW w:w="1600" w:type="dxa"/>
            <w:vAlign w:val="bottom"/>
          </w:tcPr>
          <w:p>
            <w:pPr>
              <w:jc w:val="center"/>
              <w:spacing w:after="0"/>
              <w:rPr>
                <w:sz w:val="20"/>
                <w:szCs w:val="20"/>
                <w:color w:val="auto"/>
              </w:rPr>
            </w:pPr>
            <w:r>
              <w:rPr>
                <w:rFonts w:ascii="Arial" w:cs="Arial" w:eastAsia="Arial" w:hAnsi="Arial"/>
                <w:sz w:val="13"/>
                <w:szCs w:val="13"/>
                <w:color w:val="010035"/>
                <w:w w:val="96"/>
              </w:rPr>
              <w:t>1,413,168</w:t>
            </w:r>
          </w:p>
        </w:tc>
        <w:tc>
          <w:tcPr>
            <w:tcW w:w="0" w:type="dxa"/>
            <w:vAlign w:val="bottom"/>
          </w:tcPr>
          <w:p>
            <w:pPr>
              <w:spacing w:after="0"/>
              <w:rPr>
                <w:sz w:val="1"/>
                <w:szCs w:val="1"/>
                <w:color w:val="auto"/>
              </w:rPr>
            </w:pPr>
          </w:p>
        </w:tc>
      </w:tr>
      <w:tr>
        <w:trPr>
          <w:trHeight w:val="73"/>
        </w:trPr>
        <w:tc>
          <w:tcPr>
            <w:tcW w:w="580" w:type="dxa"/>
            <w:vAlign w:val="bottom"/>
            <w:vMerge w:val="continue"/>
          </w:tcPr>
          <w:p>
            <w:pPr>
              <w:spacing w:after="0"/>
              <w:rPr>
                <w:sz w:val="6"/>
                <w:szCs w:val="6"/>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10035"/>
                <w:w w:val="95"/>
              </w:rPr>
              <w:t>20,113</w:t>
            </w:r>
          </w:p>
        </w:tc>
        <w:tc>
          <w:tcPr>
            <w:tcW w:w="40" w:type="dxa"/>
            <w:vAlign w:val="bottom"/>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010035"/>
                <w:w w:val="90"/>
              </w:rPr>
              <w:t>6,705</w:t>
            </w:r>
            <w:r>
              <w:rPr>
                <w:rFonts w:ascii="Arial" w:cs="Arial" w:eastAsia="Arial" w:hAnsi="Arial"/>
                <w:sz w:val="20"/>
                <w:szCs w:val="20"/>
                <w:color w:val="010035"/>
                <w:w w:val="90"/>
                <w:vertAlign w:val="superscript"/>
              </w:rPr>
              <w:t>(b)</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010035"/>
                <w:w w:val="98"/>
              </w:rPr>
              <w:t>50.64</w:t>
            </w:r>
          </w:p>
        </w:tc>
        <w:tc>
          <w:tcPr>
            <w:tcW w:w="820" w:type="dxa"/>
            <w:vAlign w:val="bottom"/>
            <w:vMerge w:val="restart"/>
          </w:tcPr>
          <w:p>
            <w:pPr>
              <w:jc w:val="center"/>
              <w:ind w:right="16"/>
              <w:spacing w:after="0"/>
              <w:rPr>
                <w:sz w:val="20"/>
                <w:szCs w:val="20"/>
                <w:color w:val="auto"/>
              </w:rPr>
            </w:pPr>
            <w:r>
              <w:rPr>
                <w:rFonts w:ascii="Arial" w:cs="Arial" w:eastAsia="Arial" w:hAnsi="Arial"/>
                <w:sz w:val="13"/>
                <w:szCs w:val="13"/>
                <w:color w:val="010035"/>
                <w:w w:val="98"/>
              </w:rPr>
              <w:t>1/4/2032</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10035"/>
              </w:rPr>
              <w:t>—</w:t>
            </w:r>
          </w:p>
        </w:tc>
        <w:tc>
          <w:tcPr>
            <w:tcW w:w="136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vMerge w:val="restart"/>
          </w:tcPr>
          <w:p>
            <w:pPr>
              <w:jc w:val="center"/>
              <w:spacing w:after="0"/>
              <w:rPr>
                <w:sz w:val="20"/>
                <w:szCs w:val="20"/>
                <w:color w:val="auto"/>
              </w:rPr>
            </w:pPr>
            <w:r>
              <w:rPr>
                <w:rFonts w:ascii="Arial" w:cs="Arial" w:eastAsia="Arial" w:hAnsi="Arial"/>
                <w:sz w:val="13"/>
                <w:szCs w:val="13"/>
                <w:color w:val="010035"/>
                <w:w w:val="92"/>
              </w:rPr>
              <w:t xml:space="preserve">115,325 </w:t>
            </w:r>
            <w:r>
              <w:rPr>
                <w:rFonts w:ascii="Arial" w:cs="Arial" w:eastAsia="Arial" w:hAnsi="Arial"/>
                <w:sz w:val="20"/>
                <w:szCs w:val="20"/>
                <w:color w:val="010035"/>
                <w:w w:val="92"/>
                <w:vertAlign w:val="superscript"/>
              </w:rPr>
              <w:t>(h)</w:t>
            </w:r>
          </w:p>
        </w:tc>
        <w:tc>
          <w:tcPr>
            <w:tcW w:w="1600" w:type="dxa"/>
            <w:vAlign w:val="bottom"/>
            <w:vMerge w:val="restart"/>
          </w:tcPr>
          <w:p>
            <w:pPr>
              <w:jc w:val="center"/>
              <w:spacing w:after="0"/>
              <w:rPr>
                <w:sz w:val="20"/>
                <w:szCs w:val="20"/>
                <w:color w:val="auto"/>
              </w:rPr>
            </w:pPr>
            <w:r>
              <w:rPr>
                <w:rFonts w:ascii="Arial" w:cs="Arial" w:eastAsia="Arial" w:hAnsi="Arial"/>
                <w:sz w:val="13"/>
                <w:szCs w:val="13"/>
                <w:color w:val="010035"/>
                <w:w w:val="96"/>
              </w:rPr>
              <w:t>1,701,044</w:t>
            </w:r>
          </w:p>
        </w:tc>
        <w:tc>
          <w:tcPr>
            <w:tcW w:w="0" w:type="dxa"/>
            <w:vAlign w:val="bottom"/>
          </w:tcPr>
          <w:p>
            <w:pPr>
              <w:spacing w:after="0"/>
              <w:rPr>
                <w:sz w:val="1"/>
                <w:szCs w:val="1"/>
                <w:color w:val="auto"/>
              </w:rPr>
            </w:pPr>
          </w:p>
        </w:tc>
      </w:tr>
      <w:tr>
        <w:trPr>
          <w:trHeight w:val="170"/>
        </w:trPr>
        <w:tc>
          <w:tcPr>
            <w:tcW w:w="580" w:type="dxa"/>
            <w:vAlign w:val="bottom"/>
          </w:tcPr>
          <w:p>
            <w:pPr>
              <w:ind w:left="40"/>
              <w:spacing w:after="0"/>
              <w:rPr>
                <w:sz w:val="20"/>
                <w:szCs w:val="20"/>
                <w:color w:val="auto"/>
              </w:rPr>
            </w:pPr>
            <w:r>
              <w:rPr>
                <w:rFonts w:ascii="Arial" w:cs="Arial" w:eastAsia="Arial" w:hAnsi="Arial"/>
                <w:sz w:val="13"/>
                <w:szCs w:val="13"/>
                <w:color w:val="010035"/>
              </w:rPr>
              <w:t>Rogers</w:t>
            </w: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w w:val="95"/>
              </w:rPr>
              <w:t>23,181</w:t>
            </w:r>
          </w:p>
        </w:tc>
        <w:tc>
          <w:tcPr>
            <w:tcW w:w="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90"/>
              </w:rPr>
              <w:t>23,182</w:t>
            </w:r>
            <w:r>
              <w:rPr>
                <w:rFonts w:ascii="Arial" w:cs="Arial" w:eastAsia="Arial" w:hAnsi="Arial"/>
                <w:sz w:val="20"/>
                <w:szCs w:val="20"/>
                <w:color w:val="010035"/>
                <w:w w:val="90"/>
                <w:vertAlign w:val="superscript"/>
              </w:rPr>
              <w:t>(c)</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29.27</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1/4/2033</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3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010035"/>
              </w:rPr>
              <w:t>—</w:t>
            </w:r>
          </w:p>
        </w:tc>
        <w:tc>
          <w:tcPr>
            <w:tcW w:w="16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w w:val="95"/>
              </w:rPr>
              <w:t>23,736</w:t>
            </w:r>
          </w:p>
        </w:tc>
        <w:tc>
          <w:tcPr>
            <w:tcW w:w="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010035"/>
                <w:w w:val="89"/>
              </w:rPr>
              <w:t>71,208</w:t>
            </w:r>
            <w:r>
              <w:rPr>
                <w:rFonts w:ascii="Arial" w:cs="Arial" w:eastAsia="Arial" w:hAnsi="Arial"/>
                <w:sz w:val="20"/>
                <w:szCs w:val="20"/>
                <w:color w:val="010035"/>
                <w:w w:val="89"/>
                <w:vertAlign w:val="superscript"/>
              </w:rPr>
              <w:t>(d)</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25.95</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1/3/2034</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3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010035"/>
              </w:rPr>
              <w:t>—</w:t>
            </w:r>
          </w:p>
        </w:tc>
        <w:tc>
          <w:tcPr>
            <w:tcW w:w="16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010035"/>
              </w:rPr>
              <w:t>—</w:t>
            </w:r>
          </w:p>
        </w:tc>
        <w:tc>
          <w:tcPr>
            <w:tcW w:w="40" w:type="dxa"/>
            <w:vAlign w:val="bottom"/>
          </w:tcPr>
          <w:p>
            <w:pPr>
              <w:spacing w:after="0"/>
              <w:rPr>
                <w:sz w:val="19"/>
                <w:szCs w:val="19"/>
                <w:color w:val="auto"/>
              </w:rPr>
            </w:pPr>
          </w:p>
        </w:tc>
        <w:tc>
          <w:tcPr>
            <w:tcW w:w="1200" w:type="dxa"/>
            <w:vAlign w:val="bottom"/>
          </w:tcPr>
          <w:p>
            <w:pPr>
              <w:jc w:val="center"/>
              <w:spacing w:after="0" w:line="227" w:lineRule="exact"/>
              <w:rPr>
                <w:sz w:val="20"/>
                <w:szCs w:val="20"/>
                <w:color w:val="auto"/>
              </w:rPr>
            </w:pPr>
            <w:r>
              <w:rPr>
                <w:rFonts w:ascii="Arial" w:cs="Arial" w:eastAsia="Arial" w:hAnsi="Arial"/>
                <w:sz w:val="13"/>
                <w:szCs w:val="13"/>
                <w:color w:val="010035"/>
                <w:w w:val="89"/>
              </w:rPr>
              <w:t>64,579</w:t>
            </w:r>
            <w:r>
              <w:rPr>
                <w:rFonts w:ascii="Arial" w:cs="Arial" w:eastAsia="Arial" w:hAnsi="Arial"/>
                <w:sz w:val="20"/>
                <w:szCs w:val="20"/>
                <w:color w:val="010035"/>
                <w:w w:val="89"/>
                <w:vertAlign w:val="superscript"/>
              </w:rPr>
              <w:t>(d)</w:t>
            </w:r>
          </w:p>
        </w:tc>
        <w:tc>
          <w:tcPr>
            <w:tcW w:w="780" w:type="dxa"/>
            <w:vAlign w:val="bottom"/>
          </w:tcPr>
          <w:p>
            <w:pPr>
              <w:jc w:val="center"/>
              <w:spacing w:after="0"/>
              <w:rPr>
                <w:sz w:val="20"/>
                <w:szCs w:val="20"/>
                <w:color w:val="auto"/>
              </w:rPr>
            </w:pPr>
            <w:r>
              <w:rPr>
                <w:rFonts w:ascii="Arial" w:cs="Arial" w:eastAsia="Arial" w:hAnsi="Arial"/>
                <w:sz w:val="13"/>
                <w:szCs w:val="13"/>
                <w:color w:val="010035"/>
                <w:w w:val="98"/>
              </w:rPr>
              <w:t>19.24</w:t>
            </w:r>
          </w:p>
        </w:tc>
        <w:tc>
          <w:tcPr>
            <w:tcW w:w="820" w:type="dxa"/>
            <w:vAlign w:val="bottom"/>
          </w:tcPr>
          <w:p>
            <w:pPr>
              <w:jc w:val="center"/>
              <w:ind w:right="16"/>
              <w:spacing w:after="0"/>
              <w:rPr>
                <w:sz w:val="20"/>
                <w:szCs w:val="20"/>
                <w:color w:val="auto"/>
              </w:rPr>
            </w:pPr>
            <w:r>
              <w:rPr>
                <w:rFonts w:ascii="Arial" w:cs="Arial" w:eastAsia="Arial" w:hAnsi="Arial"/>
                <w:sz w:val="13"/>
                <w:szCs w:val="13"/>
                <w:color w:val="010035"/>
                <w:w w:val="98"/>
              </w:rPr>
              <w:t>1/3/2035</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3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010035"/>
              </w:rPr>
              <w:t>—</w:t>
            </w:r>
          </w:p>
        </w:tc>
        <w:tc>
          <w:tcPr>
            <w:tcW w:w="16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43"/>
        </w:trPr>
        <w:tc>
          <w:tcPr>
            <w:tcW w:w="580" w:type="dxa"/>
            <w:vAlign w:val="bottom"/>
            <w:shd w:val="clear" w:color="auto" w:fill="DED8EC"/>
          </w:tcPr>
          <w:p>
            <w:pPr>
              <w:spacing w:after="0"/>
              <w:rPr>
                <w:sz w:val="21"/>
                <w:szCs w:val="21"/>
                <w:color w:val="auto"/>
              </w:rPr>
            </w:pP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25,404</w:t>
            </w:r>
          </w:p>
        </w:tc>
        <w:tc>
          <w:tcPr>
            <w:tcW w:w="40" w:type="dxa"/>
            <w:vAlign w:val="bottom"/>
            <w:shd w:val="clear" w:color="auto" w:fill="DED8EC"/>
          </w:tcPr>
          <w:p>
            <w:pPr>
              <w:spacing w:after="0"/>
              <w:rPr>
                <w:sz w:val="21"/>
                <w:szCs w:val="21"/>
                <w:color w:val="auto"/>
              </w:rPr>
            </w:pP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19.45</w:t>
            </w:r>
          </w:p>
        </w:tc>
        <w:tc>
          <w:tcPr>
            <w:tcW w:w="820" w:type="dxa"/>
            <w:vAlign w:val="bottom"/>
            <w:tcBorders>
              <w:right w:val="single" w:sz="8" w:color="DED8EC"/>
            </w:tcBorders>
            <w:shd w:val="clear" w:color="auto" w:fill="DED8EC"/>
          </w:tcPr>
          <w:p>
            <w:pPr>
              <w:jc w:val="center"/>
              <w:ind w:right="16"/>
              <w:spacing w:after="0"/>
              <w:rPr>
                <w:sz w:val="20"/>
                <w:szCs w:val="20"/>
                <w:color w:val="auto"/>
              </w:rPr>
            </w:pPr>
            <w:r>
              <w:rPr>
                <w:rFonts w:ascii="Arial" w:cs="Arial" w:eastAsia="Arial" w:hAnsi="Arial"/>
                <w:sz w:val="13"/>
                <w:szCs w:val="13"/>
                <w:color w:val="010035"/>
                <w:w w:val="98"/>
              </w:rPr>
              <w:t>1/3/2029</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89"/>
              </w:rPr>
              <w:t>66,918</w:t>
            </w:r>
            <w:r>
              <w:rPr>
                <w:rFonts w:ascii="Arial" w:cs="Arial" w:eastAsia="Arial" w:hAnsi="Arial"/>
                <w:sz w:val="20"/>
                <w:szCs w:val="20"/>
                <w:color w:val="010035"/>
                <w:w w:val="89"/>
                <w:vertAlign w:val="superscript"/>
              </w:rPr>
              <w:t>(e)</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3"/>
              </w:rPr>
              <w:t>987,041</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43"/>
        </w:trPr>
        <w:tc>
          <w:tcPr>
            <w:tcW w:w="580" w:type="dxa"/>
            <w:vAlign w:val="bottom"/>
            <w:shd w:val="clear" w:color="auto" w:fill="DED8EC"/>
          </w:tcPr>
          <w:p>
            <w:pPr>
              <w:spacing w:after="0"/>
              <w:rPr>
                <w:sz w:val="21"/>
                <w:szCs w:val="21"/>
                <w:color w:val="auto"/>
              </w:rPr>
            </w:pP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61,061</w:t>
            </w:r>
          </w:p>
        </w:tc>
        <w:tc>
          <w:tcPr>
            <w:tcW w:w="40" w:type="dxa"/>
            <w:vAlign w:val="bottom"/>
            <w:shd w:val="clear" w:color="auto" w:fill="DED8EC"/>
          </w:tcPr>
          <w:p>
            <w:pPr>
              <w:spacing w:after="0"/>
              <w:rPr>
                <w:sz w:val="21"/>
                <w:szCs w:val="21"/>
                <w:color w:val="auto"/>
              </w:rPr>
            </w:pP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26.14</w:t>
            </w:r>
          </w:p>
        </w:tc>
        <w:tc>
          <w:tcPr>
            <w:tcW w:w="820" w:type="dxa"/>
            <w:vAlign w:val="bottom"/>
            <w:tcBorders>
              <w:right w:val="single" w:sz="8" w:color="DED8EC"/>
            </w:tcBorders>
            <w:shd w:val="clear" w:color="auto" w:fill="DED8EC"/>
          </w:tcPr>
          <w:p>
            <w:pPr>
              <w:jc w:val="center"/>
              <w:ind w:right="16"/>
              <w:spacing w:after="0"/>
              <w:rPr>
                <w:sz w:val="20"/>
                <w:szCs w:val="20"/>
                <w:color w:val="auto"/>
              </w:rPr>
            </w:pPr>
            <w:r>
              <w:rPr>
                <w:rFonts w:ascii="Arial" w:cs="Arial" w:eastAsia="Arial" w:hAnsi="Arial"/>
                <w:sz w:val="13"/>
                <w:szCs w:val="13"/>
                <w:color w:val="010035"/>
                <w:w w:val="98"/>
              </w:rPr>
              <w:t>1/3/2030</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18,411</w:t>
            </w:r>
            <w:r>
              <w:rPr>
                <w:rFonts w:ascii="Arial" w:cs="Arial" w:eastAsia="Arial" w:hAnsi="Arial"/>
                <w:sz w:val="20"/>
                <w:szCs w:val="20"/>
                <w:color w:val="010035"/>
                <w:w w:val="91"/>
                <w:vertAlign w:val="superscript"/>
              </w:rPr>
              <w:t>(f)</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3"/>
              </w:rPr>
              <w:t>271,562</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36,822</w:t>
            </w:r>
            <w:r>
              <w:rPr>
                <w:rFonts w:ascii="Arial" w:cs="Arial" w:eastAsia="Arial" w:hAnsi="Arial"/>
                <w:sz w:val="20"/>
                <w:szCs w:val="20"/>
                <w:color w:val="010035"/>
                <w:w w:val="95"/>
                <w:vertAlign w:val="superscript"/>
              </w:rPr>
              <w:t>(f)</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7"/>
              </w:rPr>
              <w:t>543,125</w:t>
            </w:r>
          </w:p>
        </w:tc>
        <w:tc>
          <w:tcPr>
            <w:tcW w:w="0" w:type="dxa"/>
            <w:vAlign w:val="bottom"/>
          </w:tcPr>
          <w:p>
            <w:pPr>
              <w:spacing w:after="0"/>
              <w:rPr>
                <w:sz w:val="1"/>
                <w:szCs w:val="1"/>
                <w:color w:val="auto"/>
              </w:rPr>
            </w:pPr>
          </w:p>
        </w:tc>
      </w:tr>
      <w:tr>
        <w:trPr>
          <w:trHeight w:val="243"/>
        </w:trPr>
        <w:tc>
          <w:tcPr>
            <w:tcW w:w="580" w:type="dxa"/>
            <w:vAlign w:val="bottom"/>
            <w:vMerge w:val="restart"/>
            <w:shd w:val="clear" w:color="auto" w:fill="DED8EC"/>
          </w:tcPr>
          <w:p>
            <w:pPr>
              <w:ind w:left="40"/>
              <w:spacing w:after="0"/>
              <w:rPr>
                <w:sz w:val="20"/>
                <w:szCs w:val="20"/>
                <w:color w:val="auto"/>
              </w:rPr>
            </w:pPr>
            <w:r>
              <w:rPr>
                <w:rFonts w:ascii="Arial" w:cs="Arial" w:eastAsia="Arial" w:hAnsi="Arial"/>
                <w:sz w:val="13"/>
                <w:szCs w:val="13"/>
                <w:color w:val="010035"/>
              </w:rPr>
              <w:t>Todd</w:t>
            </w: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19,256</w:t>
            </w:r>
          </w:p>
        </w:tc>
        <w:tc>
          <w:tcPr>
            <w:tcW w:w="40" w:type="dxa"/>
            <w:vAlign w:val="bottom"/>
            <w:shd w:val="clear" w:color="auto" w:fill="DED8EC"/>
          </w:tcPr>
          <w:p>
            <w:pPr>
              <w:spacing w:after="0"/>
              <w:rPr>
                <w:sz w:val="21"/>
                <w:szCs w:val="21"/>
                <w:color w:val="auto"/>
              </w:rPr>
            </w:pP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80.89</w:t>
            </w:r>
          </w:p>
        </w:tc>
        <w:tc>
          <w:tcPr>
            <w:tcW w:w="820" w:type="dxa"/>
            <w:vAlign w:val="bottom"/>
            <w:tcBorders>
              <w:right w:val="single" w:sz="8" w:color="DED8EC"/>
            </w:tcBorders>
            <w:shd w:val="clear" w:color="auto" w:fill="DED8EC"/>
          </w:tcPr>
          <w:p>
            <w:pPr>
              <w:jc w:val="center"/>
              <w:ind w:right="16"/>
              <w:spacing w:after="0"/>
              <w:rPr>
                <w:sz w:val="20"/>
                <w:szCs w:val="20"/>
                <w:color w:val="auto"/>
              </w:rPr>
            </w:pPr>
            <w:r>
              <w:rPr>
                <w:rFonts w:ascii="Arial" w:cs="Arial" w:eastAsia="Arial" w:hAnsi="Arial"/>
                <w:sz w:val="13"/>
                <w:szCs w:val="13"/>
                <w:color w:val="010035"/>
                <w:w w:val="98"/>
              </w:rPr>
              <w:t>1/5/2031</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119,760</w:t>
            </w:r>
            <w:r>
              <w:rPr>
                <w:rFonts w:ascii="Arial" w:cs="Arial" w:eastAsia="Arial" w:hAnsi="Arial"/>
                <w:sz w:val="20"/>
                <w:szCs w:val="20"/>
                <w:color w:val="010035"/>
                <w:w w:val="91"/>
                <w:vertAlign w:val="superscript"/>
              </w:rPr>
              <w:t>(g)</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6"/>
              </w:rPr>
              <w:t>1,766,460</w:t>
            </w:r>
          </w:p>
        </w:tc>
        <w:tc>
          <w:tcPr>
            <w:tcW w:w="0" w:type="dxa"/>
            <w:vAlign w:val="bottom"/>
          </w:tcPr>
          <w:p>
            <w:pPr>
              <w:spacing w:after="0"/>
              <w:rPr>
                <w:sz w:val="1"/>
                <w:szCs w:val="1"/>
                <w:color w:val="auto"/>
              </w:rPr>
            </w:pPr>
          </w:p>
        </w:tc>
      </w:tr>
      <w:tr>
        <w:trPr>
          <w:trHeight w:val="90"/>
        </w:trPr>
        <w:tc>
          <w:tcPr>
            <w:tcW w:w="580" w:type="dxa"/>
            <w:vAlign w:val="bottom"/>
            <w:vMerge w:val="continue"/>
            <w:shd w:val="clear" w:color="auto" w:fill="DED8EC"/>
          </w:tcPr>
          <w:p>
            <w:pPr>
              <w:spacing w:after="0"/>
              <w:rPr>
                <w:sz w:val="7"/>
                <w:szCs w:val="7"/>
                <w:color w:val="auto"/>
              </w:rPr>
            </w:pPr>
          </w:p>
        </w:tc>
        <w:tc>
          <w:tcPr>
            <w:tcW w:w="100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5"/>
              </w:rPr>
              <w:t>23,848</w:t>
            </w:r>
          </w:p>
        </w:tc>
        <w:tc>
          <w:tcPr>
            <w:tcW w:w="40" w:type="dxa"/>
            <w:vAlign w:val="bottom"/>
            <w:shd w:val="clear" w:color="auto" w:fill="DED8EC"/>
          </w:tcPr>
          <w:p>
            <w:pPr>
              <w:spacing w:after="0"/>
              <w:rPr>
                <w:sz w:val="7"/>
                <w:szCs w:val="7"/>
                <w:color w:val="auto"/>
              </w:rPr>
            </w:pPr>
          </w:p>
        </w:tc>
        <w:tc>
          <w:tcPr>
            <w:tcW w:w="120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0"/>
              </w:rPr>
              <w:t>7,950</w:t>
            </w:r>
            <w:r>
              <w:rPr>
                <w:rFonts w:ascii="Arial" w:cs="Arial" w:eastAsia="Arial" w:hAnsi="Arial"/>
                <w:sz w:val="20"/>
                <w:szCs w:val="20"/>
                <w:color w:val="010035"/>
                <w:w w:val="90"/>
                <w:vertAlign w:val="superscript"/>
              </w:rPr>
              <w:t>(b)</w:t>
            </w:r>
          </w:p>
        </w:tc>
        <w:tc>
          <w:tcPr>
            <w:tcW w:w="78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8"/>
              </w:rPr>
              <w:t>50.64</w:t>
            </w:r>
          </w:p>
        </w:tc>
        <w:tc>
          <w:tcPr>
            <w:tcW w:w="820" w:type="dxa"/>
            <w:vAlign w:val="bottom"/>
            <w:tcBorders>
              <w:right w:val="single" w:sz="8" w:color="DED8EC"/>
            </w:tcBorders>
            <w:vMerge w:val="restart"/>
            <w:shd w:val="clear" w:color="auto" w:fill="DED8EC"/>
          </w:tcPr>
          <w:p>
            <w:pPr>
              <w:jc w:val="center"/>
              <w:ind w:right="16"/>
              <w:spacing w:after="0"/>
              <w:rPr>
                <w:sz w:val="20"/>
                <w:szCs w:val="20"/>
                <w:color w:val="auto"/>
              </w:rPr>
            </w:pPr>
            <w:r>
              <w:rPr>
                <w:rFonts w:ascii="Arial" w:cs="Arial" w:eastAsia="Arial" w:hAnsi="Arial"/>
                <w:sz w:val="13"/>
                <w:szCs w:val="13"/>
                <w:color w:val="010035"/>
                <w:w w:val="98"/>
              </w:rPr>
              <w:t>1/4/2032</w:t>
            </w:r>
          </w:p>
        </w:tc>
        <w:tc>
          <w:tcPr>
            <w:tcW w:w="92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36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1"/>
              </w:rPr>
              <w:t>180,196</w:t>
            </w:r>
            <w:r>
              <w:rPr>
                <w:rFonts w:ascii="Arial" w:cs="Arial" w:eastAsia="Arial" w:hAnsi="Arial"/>
                <w:sz w:val="20"/>
                <w:szCs w:val="20"/>
                <w:color w:val="010035"/>
                <w:w w:val="91"/>
                <w:vertAlign w:val="superscript"/>
              </w:rPr>
              <w:t>(h)</w:t>
            </w:r>
          </w:p>
        </w:tc>
        <w:tc>
          <w:tcPr>
            <w:tcW w:w="1600" w:type="dxa"/>
            <w:vAlign w:val="bottom"/>
            <w:vMerge w:val="restart"/>
            <w:shd w:val="clear" w:color="auto" w:fill="DED8EC"/>
          </w:tcPr>
          <w:p>
            <w:pPr>
              <w:jc w:val="center"/>
              <w:spacing w:after="0"/>
              <w:rPr>
                <w:sz w:val="20"/>
                <w:szCs w:val="20"/>
                <w:color w:val="auto"/>
              </w:rPr>
            </w:pPr>
            <w:r>
              <w:rPr>
                <w:rFonts w:ascii="Arial" w:cs="Arial" w:eastAsia="Arial" w:hAnsi="Arial"/>
                <w:sz w:val="13"/>
                <w:szCs w:val="13"/>
                <w:color w:val="010035"/>
                <w:w w:val="96"/>
              </w:rPr>
              <w:t>2,657,891</w:t>
            </w:r>
          </w:p>
        </w:tc>
        <w:tc>
          <w:tcPr>
            <w:tcW w:w="0" w:type="dxa"/>
            <w:vAlign w:val="bottom"/>
          </w:tcPr>
          <w:p>
            <w:pPr>
              <w:spacing w:after="0"/>
              <w:rPr>
                <w:sz w:val="1"/>
                <w:szCs w:val="1"/>
                <w:color w:val="auto"/>
              </w:rPr>
            </w:pPr>
          </w:p>
        </w:tc>
      </w:tr>
      <w:tr>
        <w:trPr>
          <w:trHeight w:val="153"/>
        </w:trPr>
        <w:tc>
          <w:tcPr>
            <w:tcW w:w="58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George</w:t>
            </w:r>
          </w:p>
        </w:tc>
        <w:tc>
          <w:tcPr>
            <w:tcW w:w="1000" w:type="dxa"/>
            <w:vAlign w:val="bottom"/>
            <w:vMerge w:val="continue"/>
            <w:shd w:val="clear" w:color="auto" w:fill="DED8EC"/>
          </w:tcPr>
          <w:p>
            <w:pPr>
              <w:spacing w:after="0"/>
              <w:rPr>
                <w:sz w:val="13"/>
                <w:szCs w:val="13"/>
                <w:color w:val="auto"/>
              </w:rPr>
            </w:pPr>
          </w:p>
        </w:tc>
        <w:tc>
          <w:tcPr>
            <w:tcW w:w="40" w:type="dxa"/>
            <w:vAlign w:val="bottom"/>
            <w:shd w:val="clear" w:color="auto" w:fill="DED8EC"/>
          </w:tcPr>
          <w:p>
            <w:pPr>
              <w:spacing w:after="0"/>
              <w:rPr>
                <w:sz w:val="13"/>
                <w:szCs w:val="13"/>
                <w:color w:val="auto"/>
              </w:rPr>
            </w:pPr>
          </w:p>
        </w:tc>
        <w:tc>
          <w:tcPr>
            <w:tcW w:w="1200" w:type="dxa"/>
            <w:vAlign w:val="bottom"/>
            <w:vMerge w:val="continue"/>
            <w:shd w:val="clear" w:color="auto" w:fill="DED8EC"/>
          </w:tcPr>
          <w:p>
            <w:pPr>
              <w:spacing w:after="0"/>
              <w:rPr>
                <w:sz w:val="13"/>
                <w:szCs w:val="13"/>
                <w:color w:val="auto"/>
              </w:rPr>
            </w:pPr>
          </w:p>
        </w:tc>
        <w:tc>
          <w:tcPr>
            <w:tcW w:w="780" w:type="dxa"/>
            <w:vAlign w:val="bottom"/>
            <w:vMerge w:val="continue"/>
            <w:shd w:val="clear" w:color="auto" w:fill="DED8EC"/>
          </w:tcPr>
          <w:p>
            <w:pPr>
              <w:spacing w:after="0"/>
              <w:rPr>
                <w:sz w:val="13"/>
                <w:szCs w:val="13"/>
                <w:color w:val="auto"/>
              </w:rPr>
            </w:pPr>
          </w:p>
        </w:tc>
        <w:tc>
          <w:tcPr>
            <w:tcW w:w="820" w:type="dxa"/>
            <w:vAlign w:val="bottom"/>
            <w:tcBorders>
              <w:right w:val="single" w:sz="8" w:color="DED8EC"/>
            </w:tcBorders>
            <w:vMerge w:val="continue"/>
            <w:shd w:val="clear" w:color="auto" w:fill="DED8EC"/>
          </w:tcPr>
          <w:p>
            <w:pPr>
              <w:spacing w:after="0"/>
              <w:rPr>
                <w:sz w:val="13"/>
                <w:szCs w:val="13"/>
                <w:color w:val="auto"/>
              </w:rPr>
            </w:pPr>
          </w:p>
        </w:tc>
        <w:tc>
          <w:tcPr>
            <w:tcW w:w="920" w:type="dxa"/>
            <w:vAlign w:val="bottom"/>
            <w:vMerge w:val="continue"/>
            <w:shd w:val="clear" w:color="auto" w:fill="DED8EC"/>
          </w:tcPr>
          <w:p>
            <w:pPr>
              <w:spacing w:after="0"/>
              <w:rPr>
                <w:sz w:val="13"/>
                <w:szCs w:val="13"/>
                <w:color w:val="auto"/>
              </w:rPr>
            </w:pPr>
          </w:p>
        </w:tc>
        <w:tc>
          <w:tcPr>
            <w:tcW w:w="1360" w:type="dxa"/>
            <w:vAlign w:val="bottom"/>
            <w:vMerge w:val="continue"/>
            <w:shd w:val="clear" w:color="auto" w:fill="DED8EC"/>
          </w:tcPr>
          <w:p>
            <w:pPr>
              <w:spacing w:after="0"/>
              <w:rPr>
                <w:sz w:val="13"/>
                <w:szCs w:val="13"/>
                <w:color w:val="auto"/>
              </w:rPr>
            </w:pPr>
          </w:p>
        </w:tc>
        <w:tc>
          <w:tcPr>
            <w:tcW w:w="1500" w:type="dxa"/>
            <w:vAlign w:val="bottom"/>
            <w:vMerge w:val="continue"/>
            <w:shd w:val="clear" w:color="auto" w:fill="DED8EC"/>
          </w:tcPr>
          <w:p>
            <w:pPr>
              <w:spacing w:after="0"/>
              <w:rPr>
                <w:sz w:val="13"/>
                <w:szCs w:val="13"/>
                <w:color w:val="auto"/>
              </w:rPr>
            </w:pPr>
          </w:p>
        </w:tc>
        <w:tc>
          <w:tcPr>
            <w:tcW w:w="1600" w:type="dxa"/>
            <w:vAlign w:val="bottom"/>
            <w:vMerge w:val="continue"/>
            <w:shd w:val="clear" w:color="auto" w:fill="DED8E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80" w:type="dxa"/>
            <w:vAlign w:val="bottom"/>
            <w:shd w:val="clear" w:color="auto" w:fill="DED8EC"/>
          </w:tcPr>
          <w:p>
            <w:pPr>
              <w:spacing w:after="0"/>
              <w:rPr>
                <w:sz w:val="21"/>
                <w:szCs w:val="21"/>
                <w:color w:val="auto"/>
              </w:rPr>
            </w:pP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44,298</w:t>
            </w:r>
          </w:p>
        </w:tc>
        <w:tc>
          <w:tcPr>
            <w:tcW w:w="40" w:type="dxa"/>
            <w:vAlign w:val="bottom"/>
            <w:shd w:val="clear" w:color="auto" w:fill="DED8EC"/>
          </w:tcPr>
          <w:p>
            <w:pPr>
              <w:spacing w:after="0"/>
              <w:rPr>
                <w:sz w:val="21"/>
                <w:szCs w:val="21"/>
                <w:color w:val="auto"/>
              </w:rPr>
            </w:pP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0"/>
              </w:rPr>
              <w:t>44,299</w:t>
            </w:r>
            <w:r>
              <w:rPr>
                <w:rFonts w:ascii="Arial" w:cs="Arial" w:eastAsia="Arial" w:hAnsi="Arial"/>
                <w:sz w:val="20"/>
                <w:szCs w:val="20"/>
                <w:color w:val="010035"/>
                <w:w w:val="90"/>
                <w:vertAlign w:val="superscript"/>
              </w:rPr>
              <w:t>(c)</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29.27</w:t>
            </w:r>
          </w:p>
        </w:tc>
        <w:tc>
          <w:tcPr>
            <w:tcW w:w="820" w:type="dxa"/>
            <w:vAlign w:val="bottom"/>
            <w:tcBorders>
              <w:right w:val="single" w:sz="8" w:color="DED8EC"/>
            </w:tcBorders>
            <w:shd w:val="clear" w:color="auto" w:fill="DED8EC"/>
          </w:tcPr>
          <w:p>
            <w:pPr>
              <w:jc w:val="center"/>
              <w:ind w:right="16"/>
              <w:spacing w:after="0"/>
              <w:rPr>
                <w:sz w:val="20"/>
                <w:szCs w:val="20"/>
                <w:color w:val="auto"/>
              </w:rPr>
            </w:pPr>
            <w:r>
              <w:rPr>
                <w:rFonts w:ascii="Arial" w:cs="Arial" w:eastAsia="Arial" w:hAnsi="Arial"/>
                <w:sz w:val="13"/>
                <w:szCs w:val="13"/>
                <w:color w:val="010035"/>
                <w:w w:val="98"/>
              </w:rPr>
              <w:t>1/4/2033</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43"/>
        </w:trPr>
        <w:tc>
          <w:tcPr>
            <w:tcW w:w="580" w:type="dxa"/>
            <w:vAlign w:val="bottom"/>
            <w:shd w:val="clear" w:color="auto" w:fill="DED8EC"/>
          </w:tcPr>
          <w:p>
            <w:pPr>
              <w:spacing w:after="0"/>
              <w:rPr>
                <w:sz w:val="21"/>
                <w:szCs w:val="21"/>
                <w:color w:val="auto"/>
              </w:rPr>
            </w:pP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29,669</w:t>
            </w:r>
          </w:p>
        </w:tc>
        <w:tc>
          <w:tcPr>
            <w:tcW w:w="40" w:type="dxa"/>
            <w:vAlign w:val="bottom"/>
            <w:shd w:val="clear" w:color="auto" w:fill="DED8EC"/>
          </w:tcPr>
          <w:p>
            <w:pPr>
              <w:spacing w:after="0"/>
              <w:rPr>
                <w:sz w:val="21"/>
                <w:szCs w:val="21"/>
                <w:color w:val="auto"/>
              </w:rPr>
            </w:pP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89"/>
              </w:rPr>
              <w:t>89,010</w:t>
            </w:r>
            <w:r>
              <w:rPr>
                <w:rFonts w:ascii="Arial" w:cs="Arial" w:eastAsia="Arial" w:hAnsi="Arial"/>
                <w:sz w:val="20"/>
                <w:szCs w:val="20"/>
                <w:color w:val="010035"/>
                <w:w w:val="89"/>
                <w:vertAlign w:val="superscript"/>
              </w:rPr>
              <w:t>(d)</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25.95</w:t>
            </w:r>
          </w:p>
        </w:tc>
        <w:tc>
          <w:tcPr>
            <w:tcW w:w="820" w:type="dxa"/>
            <w:vAlign w:val="bottom"/>
            <w:tcBorders>
              <w:right w:val="single" w:sz="8" w:color="DED8EC"/>
            </w:tcBorders>
            <w:shd w:val="clear" w:color="auto" w:fill="DED8EC"/>
          </w:tcPr>
          <w:p>
            <w:pPr>
              <w:jc w:val="center"/>
              <w:ind w:right="16"/>
              <w:spacing w:after="0"/>
              <w:rPr>
                <w:sz w:val="20"/>
                <w:szCs w:val="20"/>
                <w:color w:val="auto"/>
              </w:rPr>
            </w:pPr>
            <w:r>
              <w:rPr>
                <w:rFonts w:ascii="Arial" w:cs="Arial" w:eastAsia="Arial" w:hAnsi="Arial"/>
                <w:sz w:val="13"/>
                <w:szCs w:val="13"/>
                <w:color w:val="010035"/>
                <w:w w:val="98"/>
              </w:rPr>
              <w:t>1/3/2034</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03"/>
        </w:trPr>
        <w:tc>
          <w:tcPr>
            <w:tcW w:w="580" w:type="dxa"/>
            <w:vAlign w:val="bottom"/>
            <w:shd w:val="clear" w:color="auto" w:fill="DED8EC"/>
          </w:tcPr>
          <w:p>
            <w:pPr>
              <w:spacing w:after="0"/>
              <w:rPr>
                <w:sz w:val="17"/>
                <w:szCs w:val="17"/>
                <w:color w:val="auto"/>
              </w:rPr>
            </w:pPr>
          </w:p>
        </w:tc>
        <w:tc>
          <w:tcPr>
            <w:tcW w:w="100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40" w:type="dxa"/>
            <w:vAlign w:val="bottom"/>
            <w:shd w:val="clear" w:color="auto" w:fill="DED8EC"/>
          </w:tcPr>
          <w:p>
            <w:pPr>
              <w:spacing w:after="0"/>
              <w:rPr>
                <w:sz w:val="17"/>
                <w:szCs w:val="17"/>
                <w:color w:val="auto"/>
              </w:rPr>
            </w:pPr>
          </w:p>
        </w:tc>
        <w:tc>
          <w:tcPr>
            <w:tcW w:w="1200" w:type="dxa"/>
            <w:vAlign w:val="bottom"/>
            <w:shd w:val="clear" w:color="auto" w:fill="DED8EC"/>
          </w:tcPr>
          <w:p>
            <w:pPr>
              <w:jc w:val="center"/>
              <w:spacing w:after="0" w:line="203" w:lineRule="exact"/>
              <w:rPr>
                <w:sz w:val="20"/>
                <w:szCs w:val="20"/>
                <w:color w:val="auto"/>
              </w:rPr>
            </w:pPr>
            <w:r>
              <w:rPr>
                <w:rFonts w:ascii="Arial" w:cs="Arial" w:eastAsia="Arial" w:hAnsi="Arial"/>
                <w:sz w:val="13"/>
                <w:szCs w:val="13"/>
                <w:color w:val="010035"/>
                <w:w w:val="91"/>
              </w:rPr>
              <w:t>100,904</w:t>
            </w:r>
            <w:r>
              <w:rPr>
                <w:rFonts w:ascii="Arial" w:cs="Arial" w:eastAsia="Arial" w:hAnsi="Arial"/>
                <w:sz w:val="20"/>
                <w:szCs w:val="20"/>
                <w:color w:val="010035"/>
                <w:w w:val="91"/>
                <w:vertAlign w:val="superscript"/>
              </w:rPr>
              <w:t>(d)</w:t>
            </w:r>
          </w:p>
        </w:tc>
        <w:tc>
          <w:tcPr>
            <w:tcW w:w="78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19.24</w:t>
            </w:r>
          </w:p>
        </w:tc>
        <w:tc>
          <w:tcPr>
            <w:tcW w:w="820" w:type="dxa"/>
            <w:vAlign w:val="bottom"/>
            <w:tcBorders>
              <w:right w:val="single" w:sz="8" w:color="DED8EC"/>
            </w:tcBorders>
            <w:shd w:val="clear" w:color="auto" w:fill="DED8EC"/>
          </w:tcPr>
          <w:p>
            <w:pPr>
              <w:jc w:val="center"/>
              <w:ind w:right="16"/>
              <w:spacing w:after="0"/>
              <w:rPr>
                <w:sz w:val="20"/>
                <w:szCs w:val="20"/>
                <w:color w:val="auto"/>
              </w:rPr>
            </w:pPr>
            <w:r>
              <w:rPr>
                <w:rFonts w:ascii="Arial" w:cs="Arial" w:eastAsia="Arial" w:hAnsi="Arial"/>
                <w:sz w:val="13"/>
                <w:szCs w:val="13"/>
                <w:color w:val="010035"/>
                <w:w w:val="98"/>
              </w:rPr>
              <w:t>1/3/2035</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3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0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68"/>
        </w:trPr>
        <w:tc>
          <w:tcPr>
            <w:tcW w:w="580" w:type="dxa"/>
            <w:vAlign w:val="bottom"/>
            <w:tcBorders>
              <w:bottom w:val="single" w:sz="8" w:color="010035"/>
            </w:tcBorders>
            <w:shd w:val="clear" w:color="auto" w:fill="DED8EC"/>
          </w:tcPr>
          <w:p>
            <w:pPr>
              <w:spacing w:after="0"/>
              <w:rPr>
                <w:sz w:val="5"/>
                <w:szCs w:val="5"/>
                <w:color w:val="auto"/>
              </w:rPr>
            </w:pPr>
          </w:p>
        </w:tc>
        <w:tc>
          <w:tcPr>
            <w:tcW w:w="1000" w:type="dxa"/>
            <w:vAlign w:val="bottom"/>
            <w:tcBorders>
              <w:bottom w:val="single" w:sz="8" w:color="010035"/>
            </w:tcBorders>
            <w:shd w:val="clear" w:color="auto" w:fill="DED8EC"/>
          </w:tcPr>
          <w:p>
            <w:pPr>
              <w:spacing w:after="0"/>
              <w:rPr>
                <w:sz w:val="5"/>
                <w:szCs w:val="5"/>
                <w:color w:val="auto"/>
              </w:rPr>
            </w:pPr>
          </w:p>
        </w:tc>
        <w:tc>
          <w:tcPr>
            <w:tcW w:w="40" w:type="dxa"/>
            <w:vAlign w:val="bottom"/>
            <w:tcBorders>
              <w:bottom w:val="single" w:sz="8" w:color="010035"/>
            </w:tcBorders>
            <w:shd w:val="clear" w:color="auto" w:fill="DED8EC"/>
          </w:tcPr>
          <w:p>
            <w:pPr>
              <w:spacing w:after="0"/>
              <w:rPr>
                <w:sz w:val="5"/>
                <w:szCs w:val="5"/>
                <w:color w:val="auto"/>
              </w:rPr>
            </w:pPr>
          </w:p>
        </w:tc>
        <w:tc>
          <w:tcPr>
            <w:tcW w:w="1200" w:type="dxa"/>
            <w:vAlign w:val="bottom"/>
            <w:tcBorders>
              <w:bottom w:val="single" w:sz="8" w:color="010035"/>
            </w:tcBorders>
            <w:shd w:val="clear" w:color="auto" w:fill="DED8EC"/>
          </w:tcPr>
          <w:p>
            <w:pPr>
              <w:spacing w:after="0"/>
              <w:rPr>
                <w:sz w:val="5"/>
                <w:szCs w:val="5"/>
                <w:color w:val="auto"/>
              </w:rPr>
            </w:pPr>
          </w:p>
        </w:tc>
        <w:tc>
          <w:tcPr>
            <w:tcW w:w="780" w:type="dxa"/>
            <w:vAlign w:val="bottom"/>
            <w:tcBorders>
              <w:bottom w:val="single" w:sz="8" w:color="010035"/>
            </w:tcBorders>
            <w:shd w:val="clear" w:color="auto" w:fill="DED8EC"/>
          </w:tcPr>
          <w:p>
            <w:pPr>
              <w:spacing w:after="0"/>
              <w:rPr>
                <w:sz w:val="5"/>
                <w:szCs w:val="5"/>
                <w:color w:val="auto"/>
              </w:rPr>
            </w:pPr>
          </w:p>
        </w:tc>
        <w:tc>
          <w:tcPr>
            <w:tcW w:w="820" w:type="dxa"/>
            <w:vAlign w:val="bottom"/>
            <w:tcBorders>
              <w:bottom w:val="single" w:sz="8" w:color="010035"/>
              <w:right w:val="single" w:sz="8" w:color="DED8EC"/>
            </w:tcBorders>
            <w:shd w:val="clear" w:color="auto" w:fill="DED8EC"/>
          </w:tcPr>
          <w:p>
            <w:pPr>
              <w:spacing w:after="0"/>
              <w:rPr>
                <w:sz w:val="5"/>
                <w:szCs w:val="5"/>
                <w:color w:val="auto"/>
              </w:rPr>
            </w:pPr>
          </w:p>
        </w:tc>
        <w:tc>
          <w:tcPr>
            <w:tcW w:w="920" w:type="dxa"/>
            <w:vAlign w:val="bottom"/>
            <w:tcBorders>
              <w:bottom w:val="single" w:sz="8" w:color="010035"/>
            </w:tcBorders>
            <w:shd w:val="clear" w:color="auto" w:fill="DED8EC"/>
          </w:tcPr>
          <w:p>
            <w:pPr>
              <w:spacing w:after="0"/>
              <w:rPr>
                <w:sz w:val="5"/>
                <w:szCs w:val="5"/>
                <w:color w:val="auto"/>
              </w:rPr>
            </w:pPr>
          </w:p>
        </w:tc>
        <w:tc>
          <w:tcPr>
            <w:tcW w:w="1360" w:type="dxa"/>
            <w:vAlign w:val="bottom"/>
            <w:tcBorders>
              <w:bottom w:val="single" w:sz="8" w:color="010035"/>
            </w:tcBorders>
            <w:shd w:val="clear" w:color="auto" w:fill="DED8EC"/>
          </w:tcPr>
          <w:p>
            <w:pPr>
              <w:spacing w:after="0"/>
              <w:rPr>
                <w:sz w:val="5"/>
                <w:szCs w:val="5"/>
                <w:color w:val="auto"/>
              </w:rPr>
            </w:pPr>
          </w:p>
        </w:tc>
        <w:tc>
          <w:tcPr>
            <w:tcW w:w="1500" w:type="dxa"/>
            <w:vAlign w:val="bottom"/>
            <w:tcBorders>
              <w:bottom w:val="single" w:sz="8" w:color="010035"/>
            </w:tcBorders>
            <w:shd w:val="clear" w:color="auto" w:fill="DED8EC"/>
          </w:tcPr>
          <w:p>
            <w:pPr>
              <w:spacing w:after="0"/>
              <w:rPr>
                <w:sz w:val="5"/>
                <w:szCs w:val="5"/>
                <w:color w:val="auto"/>
              </w:rPr>
            </w:pPr>
          </w:p>
        </w:tc>
        <w:tc>
          <w:tcPr>
            <w:tcW w:w="1600" w:type="dxa"/>
            <w:vAlign w:val="bottom"/>
            <w:tcBorders>
              <w:bottom w:val="single" w:sz="8" w:color="010035"/>
            </w:tcBorders>
            <w:shd w:val="clear" w:color="auto" w:fill="DED8EC"/>
          </w:tcPr>
          <w:p>
            <w:pPr>
              <w:spacing w:after="0"/>
              <w:rPr>
                <w:sz w:val="5"/>
                <w:szCs w:val="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80" w:right="460" w:hanging="174"/>
        <w:spacing w:after="0" w:line="248" w:lineRule="auto"/>
        <w:tabs>
          <w:tab w:leader="none" w:pos="180" w:val="left"/>
        </w:tabs>
        <w:numPr>
          <w:ilvl w:val="0"/>
          <w:numId w:val="63"/>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Consists of time based and performance based restricted stock units granted under the 2022 Long Term Incentive Compensation Plan with a market value calculated based on the Company’s closing stock price on December 31, 2025 of $14.75</w:t>
      </w:r>
    </w:p>
    <w:p>
      <w:pPr>
        <w:ind w:left="180" w:hanging="174"/>
        <w:spacing w:after="0"/>
        <w:tabs>
          <w:tab w:leader="none" w:pos="180" w:val="left"/>
        </w:tabs>
        <w:numPr>
          <w:ilvl w:val="0"/>
          <w:numId w:val="63"/>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Vesting date: January 4, 2026.</w:t>
      </w:r>
    </w:p>
    <w:p>
      <w:pPr>
        <w:spacing w:after="0" w:line="16"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63"/>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Vesting dates: January 4, 2026 and January 4, 2027.</w:t>
      </w:r>
    </w:p>
    <w:p>
      <w:pPr>
        <w:spacing w:after="0" w:line="13"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63"/>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Vesting dates: January 3, 2026, January 3, 2027, and January 3, 2028.</w:t>
      </w:r>
    </w:p>
    <w:p>
      <w:pPr>
        <w:spacing w:after="0" w:line="8"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63"/>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Time-based restricted stock units are scheduled to vest on January 3, 2026, January 3, 2027, and January 3, 2028.</w:t>
      </w:r>
    </w:p>
    <w:p>
      <w:pPr>
        <w:spacing w:after="0" w:line="16" w:lineRule="exact"/>
        <w:rPr>
          <w:rFonts w:ascii="Times New Roman" w:cs="Times New Roman" w:eastAsia="Times New Roman" w:hAnsi="Times New Roman"/>
          <w:sz w:val="11"/>
          <w:szCs w:val="11"/>
          <w:color w:val="010035"/>
        </w:rPr>
      </w:pPr>
    </w:p>
    <w:p>
      <w:pPr>
        <w:ind w:left="180" w:right="600" w:hanging="174"/>
        <w:spacing w:after="0" w:line="248" w:lineRule="auto"/>
        <w:tabs>
          <w:tab w:leader="none" w:pos="180" w:val="left"/>
        </w:tabs>
        <w:numPr>
          <w:ilvl w:val="0"/>
          <w:numId w:val="63"/>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vesting date shall be in the first quarter of 2026 following the certification of performance by the Compensation Committee or the Board of Directors, as applicable. Per instructions to Item 402(f)(2), since performance goals exceed the threshold, the disclosure reports the next higher performance measure.</w:t>
      </w:r>
    </w:p>
    <w:p>
      <w:pPr>
        <w:ind w:left="180" w:right="600" w:hanging="174"/>
        <w:spacing w:after="0" w:line="243" w:lineRule="auto"/>
        <w:tabs>
          <w:tab w:leader="none" w:pos="180" w:val="left"/>
        </w:tabs>
        <w:numPr>
          <w:ilvl w:val="0"/>
          <w:numId w:val="63"/>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vesting date shall be in the first quarter of 2027 following the certification of performance by the Compensation Committee or the Board of Directors, as applicable. Per instructions to Item 402(f)(2), since performance goals exceed the threshold, the disclosure reports the next higher performance measure.</w:t>
      </w:r>
    </w:p>
    <w:p>
      <w:pPr>
        <w:ind w:left="180" w:right="600" w:hanging="174"/>
        <w:spacing w:after="0" w:line="246" w:lineRule="auto"/>
        <w:tabs>
          <w:tab w:leader="none" w:pos="180" w:val="left"/>
        </w:tabs>
        <w:numPr>
          <w:ilvl w:val="0"/>
          <w:numId w:val="63"/>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vesting date shall be in the first quarter of 2028 following the certification of performance by the Compensation Committee or the Board of Directors, as applicable. Per instructions to Item 402(f)(2), since performance goals exceed the threshold, the disclosure reports the next higher 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114935</wp:posOffset>
            </wp:positionV>
            <wp:extent cx="699516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00"/>
          </w:cols>
          <w:pgMar w:left="1240" w:top="114" w:right="8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22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60" w:type="dxa"/>
            <w:vAlign w:val="bottom"/>
            <w:tcBorders>
              <w:top w:val="single" w:sz="8" w:color="69439A"/>
            </w:tcBorders>
            <w:shd w:val="clear" w:color="auto" w:fill="010035"/>
          </w:tcPr>
          <w:p>
            <w:pPr>
              <w:spacing w:after="0"/>
              <w:rPr>
                <w:sz w:val="24"/>
                <w:szCs w:val="24"/>
                <w:color w:val="auto"/>
              </w:rPr>
            </w:pPr>
          </w:p>
        </w:tc>
        <w:tc>
          <w:tcPr>
            <w:tcW w:w="2600" w:type="dxa"/>
            <w:vAlign w:val="bottom"/>
            <w:tcBorders>
              <w:top w:val="single" w:sz="8" w:color="69439A"/>
            </w:tcBorders>
            <w:shd w:val="clear" w:color="auto" w:fill="010035"/>
          </w:tcPr>
          <w:p>
            <w:pPr>
              <w:spacing w:after="0"/>
              <w:rPr>
                <w:sz w:val="24"/>
                <w:szCs w:val="24"/>
                <w:color w:val="auto"/>
              </w:rPr>
            </w:pPr>
          </w:p>
        </w:tc>
        <w:tc>
          <w:tcPr>
            <w:tcW w:w="80" w:type="dxa"/>
            <w:vAlign w:val="bottom"/>
            <w:tcBorders>
              <w:top w:val="single" w:sz="8" w:color="69439A"/>
            </w:tcBorders>
            <w:shd w:val="clear" w:color="auto" w:fill="010035"/>
          </w:tcPr>
          <w:p>
            <w:pPr>
              <w:spacing w:after="0"/>
              <w:rPr>
                <w:sz w:val="24"/>
                <w:szCs w:val="24"/>
                <w:color w:val="auto"/>
              </w:rPr>
            </w:pPr>
          </w:p>
        </w:tc>
        <w:tc>
          <w:tcPr>
            <w:tcW w:w="3300" w:type="dxa"/>
            <w:vAlign w:val="bottom"/>
            <w:tcBorders>
              <w:top w:val="single" w:sz="8" w:color="69439A"/>
              <w:right w:val="single" w:sz="8" w:color="69439A"/>
            </w:tcBorders>
            <w:gridSpan w:val="2"/>
            <w:shd w:val="clear" w:color="auto" w:fill="010035"/>
          </w:tcPr>
          <w:p>
            <w:pPr>
              <w:ind w:left="1040"/>
              <w:spacing w:after="0"/>
              <w:rPr>
                <w:sz w:val="20"/>
                <w:szCs w:val="20"/>
                <w:color w:val="auto"/>
              </w:rPr>
            </w:pPr>
            <w:r>
              <w:rPr>
                <w:rFonts w:ascii="Arial" w:cs="Arial" w:eastAsia="Arial" w:hAnsi="Arial"/>
                <w:sz w:val="14"/>
                <w:szCs w:val="14"/>
                <w:b w:val="1"/>
                <w:bCs w:val="1"/>
                <w:color w:val="FFFFFF"/>
              </w:rPr>
              <w:t>OPTION AWARDS</w:t>
            </w:r>
          </w:p>
        </w:tc>
        <w:tc>
          <w:tcPr>
            <w:tcW w:w="40" w:type="dxa"/>
            <w:vAlign w:val="bottom"/>
            <w:tcBorders>
              <w:top w:val="single" w:sz="8" w:color="69439A"/>
            </w:tcBorders>
            <w:shd w:val="clear" w:color="auto" w:fill="010035"/>
          </w:tcPr>
          <w:p>
            <w:pPr>
              <w:spacing w:after="0"/>
              <w:rPr>
                <w:sz w:val="24"/>
                <w:szCs w:val="24"/>
                <w:color w:val="auto"/>
              </w:rPr>
            </w:pPr>
          </w:p>
        </w:tc>
        <w:tc>
          <w:tcPr>
            <w:tcW w:w="3320" w:type="dxa"/>
            <w:vAlign w:val="bottom"/>
            <w:tcBorders>
              <w:top w:val="single" w:sz="8" w:color="69439A"/>
            </w:tcBorders>
            <w:gridSpan w:val="2"/>
            <w:shd w:val="clear" w:color="auto" w:fill="010035"/>
          </w:tcPr>
          <w:p>
            <w:pPr>
              <w:ind w:left="1060"/>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49"/>
        </w:trPr>
        <w:tc>
          <w:tcPr>
            <w:tcW w:w="60" w:type="dxa"/>
            <w:vAlign w:val="bottom"/>
            <w:shd w:val="clear" w:color="auto" w:fill="010035"/>
          </w:tcPr>
          <w:p>
            <w:pPr>
              <w:spacing w:after="0"/>
              <w:rPr>
                <w:sz w:val="4"/>
                <w:szCs w:val="4"/>
                <w:color w:val="auto"/>
              </w:rPr>
            </w:pPr>
          </w:p>
        </w:tc>
        <w:tc>
          <w:tcPr>
            <w:tcW w:w="2600" w:type="dxa"/>
            <w:vAlign w:val="bottom"/>
            <w:shd w:val="clear" w:color="auto" w:fill="010035"/>
          </w:tcPr>
          <w:p>
            <w:pPr>
              <w:spacing w:after="0"/>
              <w:rPr>
                <w:sz w:val="4"/>
                <w:szCs w:val="4"/>
                <w:color w:val="auto"/>
              </w:rPr>
            </w:pPr>
          </w:p>
        </w:tc>
        <w:tc>
          <w:tcPr>
            <w:tcW w:w="80" w:type="dxa"/>
            <w:vAlign w:val="bottom"/>
            <w:shd w:val="clear" w:color="auto" w:fill="010035"/>
          </w:tcPr>
          <w:p>
            <w:pPr>
              <w:spacing w:after="0"/>
              <w:rPr>
                <w:sz w:val="4"/>
                <w:szCs w:val="4"/>
                <w:color w:val="auto"/>
              </w:rPr>
            </w:pPr>
          </w:p>
        </w:tc>
        <w:tc>
          <w:tcPr>
            <w:tcW w:w="1600" w:type="dxa"/>
            <w:vAlign w:val="bottom"/>
            <w:shd w:val="clear" w:color="auto" w:fill="010035"/>
          </w:tcPr>
          <w:p>
            <w:pPr>
              <w:spacing w:after="0"/>
              <w:rPr>
                <w:sz w:val="4"/>
                <w:szCs w:val="4"/>
                <w:color w:val="auto"/>
              </w:rPr>
            </w:pPr>
          </w:p>
        </w:tc>
        <w:tc>
          <w:tcPr>
            <w:tcW w:w="1700" w:type="dxa"/>
            <w:vAlign w:val="bottom"/>
            <w:tcBorders>
              <w:right w:val="single" w:sz="8" w:color="69439A"/>
            </w:tcBorders>
            <w:shd w:val="clear" w:color="auto" w:fill="010035"/>
          </w:tcPr>
          <w:p>
            <w:pPr>
              <w:spacing w:after="0"/>
              <w:rPr>
                <w:sz w:val="4"/>
                <w:szCs w:val="4"/>
                <w:color w:val="auto"/>
              </w:rPr>
            </w:pPr>
          </w:p>
        </w:tc>
        <w:tc>
          <w:tcPr>
            <w:tcW w:w="40" w:type="dxa"/>
            <w:vAlign w:val="bottom"/>
            <w:shd w:val="clear" w:color="auto" w:fill="010035"/>
          </w:tcPr>
          <w:p>
            <w:pPr>
              <w:spacing w:after="0"/>
              <w:rPr>
                <w:sz w:val="4"/>
                <w:szCs w:val="4"/>
                <w:color w:val="auto"/>
              </w:rPr>
            </w:pPr>
          </w:p>
        </w:tc>
        <w:tc>
          <w:tcPr>
            <w:tcW w:w="1500" w:type="dxa"/>
            <w:vAlign w:val="bottom"/>
            <w:shd w:val="clear" w:color="auto" w:fill="010035"/>
          </w:tcPr>
          <w:p>
            <w:pPr>
              <w:spacing w:after="0"/>
              <w:rPr>
                <w:sz w:val="4"/>
                <w:szCs w:val="4"/>
                <w:color w:val="auto"/>
              </w:rPr>
            </w:pPr>
          </w:p>
        </w:tc>
        <w:tc>
          <w:tcPr>
            <w:tcW w:w="1820" w:type="dxa"/>
            <w:vAlign w:val="bottom"/>
            <w:shd w:val="clear" w:color="auto" w:fill="010035"/>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 w:type="dxa"/>
            <w:vAlign w:val="bottom"/>
            <w:shd w:val="clear" w:color="auto" w:fill="010035"/>
          </w:tcPr>
          <w:p>
            <w:pPr>
              <w:spacing w:after="0"/>
              <w:rPr>
                <w:sz w:val="19"/>
                <w:szCs w:val="19"/>
                <w:color w:val="auto"/>
              </w:rPr>
            </w:pPr>
          </w:p>
        </w:tc>
        <w:tc>
          <w:tcPr>
            <w:tcW w:w="2600" w:type="dxa"/>
            <w:vAlign w:val="bottom"/>
            <w:shd w:val="clear" w:color="auto" w:fill="010035"/>
          </w:tcPr>
          <w:p>
            <w:pPr>
              <w:spacing w:after="0"/>
              <w:rPr>
                <w:sz w:val="19"/>
                <w:szCs w:val="19"/>
                <w:color w:val="auto"/>
              </w:rPr>
            </w:pPr>
          </w:p>
        </w:tc>
        <w:tc>
          <w:tcPr>
            <w:tcW w:w="80" w:type="dxa"/>
            <w:vAlign w:val="bottom"/>
            <w:shd w:val="clear" w:color="auto" w:fill="010035"/>
          </w:tcPr>
          <w:p>
            <w:pPr>
              <w:spacing w:after="0"/>
              <w:rPr>
                <w:sz w:val="19"/>
                <w:szCs w:val="19"/>
                <w:color w:val="auto"/>
              </w:rPr>
            </w:pPr>
          </w:p>
        </w:tc>
        <w:tc>
          <w:tcPr>
            <w:tcW w:w="160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700" w:type="dxa"/>
            <w:vAlign w:val="bottom"/>
            <w:tcBorders>
              <w:right w:val="single" w:sz="8" w:color="69439A"/>
            </w:tcBorders>
            <w:shd w:val="clear" w:color="auto" w:fill="010035"/>
          </w:tcPr>
          <w:p>
            <w:pPr>
              <w:spacing w:after="0"/>
              <w:rPr>
                <w:sz w:val="19"/>
                <w:szCs w:val="19"/>
                <w:color w:val="auto"/>
              </w:rPr>
            </w:pPr>
          </w:p>
        </w:tc>
        <w:tc>
          <w:tcPr>
            <w:tcW w:w="40" w:type="dxa"/>
            <w:vAlign w:val="bottom"/>
            <w:shd w:val="clear" w:color="auto" w:fill="010035"/>
          </w:tcPr>
          <w:p>
            <w:pPr>
              <w:spacing w:after="0"/>
              <w:rPr>
                <w:sz w:val="19"/>
                <w:szCs w:val="19"/>
                <w:color w:val="auto"/>
              </w:rPr>
            </w:pPr>
          </w:p>
        </w:tc>
        <w:tc>
          <w:tcPr>
            <w:tcW w:w="150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820" w:type="dxa"/>
            <w:vAlign w:val="bottom"/>
            <w:vMerge w:val="restart"/>
            <w:shd w:val="clear" w:color="auto" w:fill="010035"/>
          </w:tcPr>
          <w:p>
            <w:pPr>
              <w:jc w:val="center"/>
              <w:ind w:left="15"/>
              <w:spacing w:after="0"/>
              <w:rPr>
                <w:sz w:val="20"/>
                <w:szCs w:val="20"/>
                <w:color w:val="auto"/>
              </w:rPr>
            </w:pPr>
            <w:r>
              <w:rPr>
                <w:rFonts w:ascii="Arial" w:cs="Arial" w:eastAsia="Arial" w:hAnsi="Arial"/>
                <w:sz w:val="14"/>
                <w:szCs w:val="14"/>
                <w:b w:val="1"/>
                <w:bCs w:val="1"/>
                <w:color w:val="FFFFFF"/>
                <w:w w:val="98"/>
              </w:rPr>
              <w:t>2025 VALUE REALIZED</w:t>
            </w:r>
          </w:p>
        </w:tc>
        <w:tc>
          <w:tcPr>
            <w:tcW w:w="0" w:type="dxa"/>
            <w:vAlign w:val="bottom"/>
          </w:tcPr>
          <w:p>
            <w:pPr>
              <w:spacing w:after="0"/>
              <w:rPr>
                <w:sz w:val="1"/>
                <w:szCs w:val="1"/>
                <w:color w:val="auto"/>
              </w:rPr>
            </w:pPr>
          </w:p>
        </w:tc>
      </w:tr>
      <w:tr>
        <w:trPr>
          <w:trHeight w:val="145"/>
        </w:trPr>
        <w:tc>
          <w:tcPr>
            <w:tcW w:w="60" w:type="dxa"/>
            <w:vAlign w:val="bottom"/>
            <w:shd w:val="clear" w:color="auto" w:fill="010035"/>
          </w:tcPr>
          <w:p>
            <w:pPr>
              <w:spacing w:after="0"/>
              <w:rPr>
                <w:sz w:val="12"/>
                <w:szCs w:val="12"/>
                <w:color w:val="auto"/>
              </w:rPr>
            </w:pPr>
          </w:p>
        </w:tc>
        <w:tc>
          <w:tcPr>
            <w:tcW w:w="2600" w:type="dxa"/>
            <w:vAlign w:val="bottom"/>
            <w:vMerge w:val="restart"/>
            <w:shd w:val="clear" w:color="auto" w:fill="010035"/>
          </w:tcPr>
          <w:p>
            <w:pPr>
              <w:ind w:left="20"/>
              <w:spacing w:after="0"/>
              <w:rPr>
                <w:sz w:val="20"/>
                <w:szCs w:val="20"/>
                <w:color w:val="auto"/>
              </w:rPr>
            </w:pPr>
            <w:r>
              <w:rPr>
                <w:rFonts w:ascii="Arial" w:cs="Arial" w:eastAsia="Arial" w:hAnsi="Arial"/>
                <w:sz w:val="14"/>
                <w:szCs w:val="14"/>
                <w:b w:val="1"/>
                <w:bCs w:val="1"/>
                <w:color w:val="FFFFFF"/>
              </w:rPr>
              <w:t>NAME</w:t>
            </w:r>
          </w:p>
        </w:tc>
        <w:tc>
          <w:tcPr>
            <w:tcW w:w="80" w:type="dxa"/>
            <w:vAlign w:val="bottom"/>
            <w:shd w:val="clear" w:color="auto" w:fill="010035"/>
          </w:tcPr>
          <w:p>
            <w:pPr>
              <w:spacing w:after="0"/>
              <w:rPr>
                <w:sz w:val="12"/>
                <w:szCs w:val="12"/>
                <w:color w:val="auto"/>
              </w:rPr>
            </w:pPr>
          </w:p>
        </w:tc>
        <w:tc>
          <w:tcPr>
            <w:tcW w:w="160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9"/>
              </w:rPr>
              <w:t>SHARES</w:t>
            </w:r>
          </w:p>
        </w:tc>
        <w:tc>
          <w:tcPr>
            <w:tcW w:w="1700" w:type="dxa"/>
            <w:vAlign w:val="bottom"/>
            <w:tcBorders>
              <w:right w:val="single" w:sz="8" w:color="69439A"/>
            </w:tcBorders>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7"/>
              </w:rPr>
              <w:t>VALUE REALIZED</w:t>
            </w:r>
          </w:p>
        </w:tc>
        <w:tc>
          <w:tcPr>
            <w:tcW w:w="40" w:type="dxa"/>
            <w:vAlign w:val="bottom"/>
            <w:shd w:val="clear" w:color="auto" w:fill="010035"/>
          </w:tcPr>
          <w:p>
            <w:pPr>
              <w:spacing w:after="0"/>
              <w:rPr>
                <w:sz w:val="12"/>
                <w:szCs w:val="12"/>
                <w:color w:val="auto"/>
              </w:rPr>
            </w:pPr>
          </w:p>
        </w:tc>
        <w:tc>
          <w:tcPr>
            <w:tcW w:w="150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9"/>
              </w:rPr>
              <w:t>SHARES</w:t>
            </w:r>
          </w:p>
        </w:tc>
        <w:tc>
          <w:tcPr>
            <w:tcW w:w="1820" w:type="dxa"/>
            <w:vAlign w:val="bottom"/>
            <w:vMerge w:val="continue"/>
            <w:shd w:val="clear" w:color="auto" w:fill="010035"/>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0" w:type="dxa"/>
            <w:vAlign w:val="bottom"/>
            <w:shd w:val="clear" w:color="auto" w:fill="010035"/>
          </w:tcPr>
          <w:p>
            <w:pPr>
              <w:spacing w:after="0"/>
              <w:rPr>
                <w:sz w:val="11"/>
                <w:szCs w:val="11"/>
                <w:color w:val="auto"/>
              </w:rPr>
            </w:pPr>
          </w:p>
        </w:tc>
        <w:tc>
          <w:tcPr>
            <w:tcW w:w="2600" w:type="dxa"/>
            <w:vAlign w:val="bottom"/>
            <w:vMerge w:val="continue"/>
            <w:shd w:val="clear" w:color="auto" w:fill="010035"/>
          </w:tcPr>
          <w:p>
            <w:pPr>
              <w:spacing w:after="0"/>
              <w:rPr>
                <w:sz w:val="11"/>
                <w:szCs w:val="11"/>
                <w:color w:val="auto"/>
              </w:rPr>
            </w:pPr>
          </w:p>
        </w:tc>
        <w:tc>
          <w:tcPr>
            <w:tcW w:w="80" w:type="dxa"/>
            <w:vAlign w:val="bottom"/>
            <w:shd w:val="clear" w:color="auto" w:fill="010035"/>
          </w:tcPr>
          <w:p>
            <w:pPr>
              <w:spacing w:after="0"/>
              <w:rPr>
                <w:sz w:val="11"/>
                <w:szCs w:val="11"/>
                <w:color w:val="auto"/>
              </w:rPr>
            </w:pPr>
          </w:p>
        </w:tc>
        <w:tc>
          <w:tcPr>
            <w:tcW w:w="16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ACQUIRED</w:t>
            </w:r>
          </w:p>
        </w:tc>
        <w:tc>
          <w:tcPr>
            <w:tcW w:w="1700" w:type="dxa"/>
            <w:vAlign w:val="bottom"/>
            <w:tcBorders>
              <w:right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ON EXERCISE ($)</w:t>
            </w:r>
          </w:p>
        </w:tc>
        <w:tc>
          <w:tcPr>
            <w:tcW w:w="40" w:type="dxa"/>
            <w:vAlign w:val="bottom"/>
            <w:shd w:val="clear" w:color="auto" w:fill="010035"/>
          </w:tcPr>
          <w:p>
            <w:pPr>
              <w:spacing w:after="0"/>
              <w:rPr>
                <w:sz w:val="11"/>
                <w:szCs w:val="11"/>
                <w:color w:val="auto"/>
              </w:rPr>
            </w:pPr>
          </w:p>
        </w:tc>
        <w:tc>
          <w:tcPr>
            <w:tcW w:w="15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ACQUIRED</w:t>
            </w:r>
          </w:p>
        </w:tc>
        <w:tc>
          <w:tcPr>
            <w:tcW w:w="1820" w:type="dxa"/>
            <w:vAlign w:val="bottom"/>
            <w:vMerge w:val="restart"/>
            <w:shd w:val="clear" w:color="auto" w:fill="010035"/>
          </w:tcPr>
          <w:p>
            <w:pPr>
              <w:jc w:val="center"/>
              <w:ind w:left="55"/>
              <w:spacing w:after="0" w:line="179" w:lineRule="exact"/>
              <w:rPr>
                <w:sz w:val="20"/>
                <w:szCs w:val="20"/>
                <w:color w:val="auto"/>
              </w:rPr>
            </w:pPr>
            <w:r>
              <w:rPr>
                <w:rFonts w:ascii="Arial" w:cs="Arial" w:eastAsia="Arial" w:hAnsi="Arial"/>
                <w:sz w:val="13"/>
                <w:szCs w:val="13"/>
                <w:b w:val="1"/>
                <w:bCs w:val="1"/>
                <w:color w:val="FFFFFF"/>
              </w:rPr>
              <w:t xml:space="preserve">ON VESTING ($) </w:t>
            </w:r>
            <w:r>
              <w:rPr>
                <w:rFonts w:ascii="Arial" w:cs="Arial" w:eastAsia="Arial" w:hAnsi="Arial"/>
                <w:sz w:val="20"/>
                <w:szCs w:val="20"/>
                <w:b w:val="1"/>
                <w:bCs w:val="1"/>
                <w:color w:val="FFFFFF"/>
                <w:vertAlign w:val="superscript"/>
              </w:rPr>
              <w:t>(a)</w:t>
            </w:r>
          </w:p>
        </w:tc>
        <w:tc>
          <w:tcPr>
            <w:tcW w:w="0" w:type="dxa"/>
            <w:vAlign w:val="bottom"/>
          </w:tcPr>
          <w:p>
            <w:pPr>
              <w:spacing w:after="0"/>
              <w:rPr>
                <w:sz w:val="1"/>
                <w:szCs w:val="1"/>
                <w:color w:val="auto"/>
              </w:rPr>
            </w:pPr>
          </w:p>
        </w:tc>
      </w:tr>
      <w:tr>
        <w:trPr>
          <w:trHeight w:val="47"/>
        </w:trPr>
        <w:tc>
          <w:tcPr>
            <w:tcW w:w="60" w:type="dxa"/>
            <w:vAlign w:val="bottom"/>
            <w:shd w:val="clear" w:color="auto" w:fill="010035"/>
          </w:tcPr>
          <w:p>
            <w:pPr>
              <w:spacing w:after="0"/>
              <w:rPr>
                <w:sz w:val="4"/>
                <w:szCs w:val="4"/>
                <w:color w:val="auto"/>
              </w:rPr>
            </w:pPr>
          </w:p>
        </w:tc>
        <w:tc>
          <w:tcPr>
            <w:tcW w:w="2600" w:type="dxa"/>
            <w:vAlign w:val="bottom"/>
            <w:shd w:val="clear" w:color="auto" w:fill="010035"/>
          </w:tcPr>
          <w:p>
            <w:pPr>
              <w:spacing w:after="0"/>
              <w:rPr>
                <w:sz w:val="4"/>
                <w:szCs w:val="4"/>
                <w:color w:val="auto"/>
              </w:rPr>
            </w:pPr>
          </w:p>
        </w:tc>
        <w:tc>
          <w:tcPr>
            <w:tcW w:w="80" w:type="dxa"/>
            <w:vAlign w:val="bottom"/>
            <w:shd w:val="clear" w:color="auto" w:fill="010035"/>
          </w:tcPr>
          <w:p>
            <w:pPr>
              <w:spacing w:after="0"/>
              <w:rPr>
                <w:sz w:val="4"/>
                <w:szCs w:val="4"/>
                <w:color w:val="auto"/>
              </w:rPr>
            </w:pPr>
          </w:p>
        </w:tc>
        <w:tc>
          <w:tcPr>
            <w:tcW w:w="1600" w:type="dxa"/>
            <w:vAlign w:val="bottom"/>
            <w:vMerge w:val="continue"/>
            <w:shd w:val="clear" w:color="auto" w:fill="010035"/>
          </w:tcPr>
          <w:p>
            <w:pPr>
              <w:spacing w:after="0"/>
              <w:rPr>
                <w:sz w:val="4"/>
                <w:szCs w:val="4"/>
                <w:color w:val="auto"/>
              </w:rPr>
            </w:pPr>
          </w:p>
        </w:tc>
        <w:tc>
          <w:tcPr>
            <w:tcW w:w="1700" w:type="dxa"/>
            <w:vAlign w:val="bottom"/>
            <w:tcBorders>
              <w:right w:val="single" w:sz="8" w:color="69439A"/>
            </w:tcBorders>
            <w:vMerge w:val="continue"/>
            <w:shd w:val="clear" w:color="auto" w:fill="010035"/>
          </w:tcPr>
          <w:p>
            <w:pPr>
              <w:spacing w:after="0"/>
              <w:rPr>
                <w:sz w:val="4"/>
                <w:szCs w:val="4"/>
                <w:color w:val="auto"/>
              </w:rPr>
            </w:pPr>
          </w:p>
        </w:tc>
        <w:tc>
          <w:tcPr>
            <w:tcW w:w="40" w:type="dxa"/>
            <w:vAlign w:val="bottom"/>
            <w:shd w:val="clear" w:color="auto" w:fill="010035"/>
          </w:tcPr>
          <w:p>
            <w:pPr>
              <w:spacing w:after="0"/>
              <w:rPr>
                <w:sz w:val="4"/>
                <w:szCs w:val="4"/>
                <w:color w:val="auto"/>
              </w:rPr>
            </w:pPr>
          </w:p>
        </w:tc>
        <w:tc>
          <w:tcPr>
            <w:tcW w:w="1500" w:type="dxa"/>
            <w:vAlign w:val="bottom"/>
            <w:vMerge w:val="continue"/>
            <w:shd w:val="clear" w:color="auto" w:fill="010035"/>
          </w:tcPr>
          <w:p>
            <w:pPr>
              <w:spacing w:after="0"/>
              <w:rPr>
                <w:sz w:val="4"/>
                <w:szCs w:val="4"/>
                <w:color w:val="auto"/>
              </w:rPr>
            </w:pPr>
          </w:p>
        </w:tc>
        <w:tc>
          <w:tcPr>
            <w:tcW w:w="1820" w:type="dxa"/>
            <w:vAlign w:val="bottom"/>
            <w:vMerge w:val="continue"/>
            <w:shd w:val="clear" w:color="auto" w:fill="010035"/>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010035"/>
            </w:tcBorders>
            <w:shd w:val="clear" w:color="auto" w:fill="010035"/>
          </w:tcPr>
          <w:p>
            <w:pPr>
              <w:spacing w:after="0"/>
              <w:rPr>
                <w:sz w:val="19"/>
                <w:szCs w:val="19"/>
                <w:color w:val="auto"/>
              </w:rPr>
            </w:pPr>
          </w:p>
        </w:tc>
        <w:tc>
          <w:tcPr>
            <w:tcW w:w="2600" w:type="dxa"/>
            <w:vAlign w:val="bottom"/>
            <w:tcBorders>
              <w:bottom w:val="single" w:sz="8" w:color="010035"/>
            </w:tcBorders>
            <w:shd w:val="clear" w:color="auto" w:fill="010035"/>
          </w:tcPr>
          <w:p>
            <w:pPr>
              <w:spacing w:after="0"/>
              <w:rPr>
                <w:sz w:val="19"/>
                <w:szCs w:val="19"/>
                <w:color w:val="auto"/>
              </w:rPr>
            </w:pPr>
          </w:p>
        </w:tc>
        <w:tc>
          <w:tcPr>
            <w:tcW w:w="80" w:type="dxa"/>
            <w:vAlign w:val="bottom"/>
            <w:tcBorders>
              <w:bottom w:val="single" w:sz="8" w:color="010035"/>
            </w:tcBorders>
            <w:shd w:val="clear" w:color="auto" w:fill="010035"/>
          </w:tcPr>
          <w:p>
            <w:pPr>
              <w:spacing w:after="0"/>
              <w:rPr>
                <w:sz w:val="19"/>
                <w:szCs w:val="19"/>
                <w:color w:val="auto"/>
              </w:rPr>
            </w:pPr>
          </w:p>
        </w:tc>
        <w:tc>
          <w:tcPr>
            <w:tcW w:w="1600" w:type="dxa"/>
            <w:vAlign w:val="bottom"/>
            <w:tcBorders>
              <w:bottom w:val="single" w:sz="8" w:color="010035"/>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ON EXERCISE (#)</w:t>
            </w:r>
          </w:p>
        </w:tc>
        <w:tc>
          <w:tcPr>
            <w:tcW w:w="1700" w:type="dxa"/>
            <w:vAlign w:val="bottom"/>
            <w:tcBorders>
              <w:bottom w:val="single" w:sz="8" w:color="010035"/>
              <w:right w:val="single" w:sz="8" w:color="69439A"/>
            </w:tcBorders>
            <w:shd w:val="clear" w:color="auto" w:fill="010035"/>
          </w:tcPr>
          <w:p>
            <w:pPr>
              <w:spacing w:after="0"/>
              <w:rPr>
                <w:sz w:val="19"/>
                <w:szCs w:val="19"/>
                <w:color w:val="auto"/>
              </w:rPr>
            </w:pPr>
          </w:p>
        </w:tc>
        <w:tc>
          <w:tcPr>
            <w:tcW w:w="40" w:type="dxa"/>
            <w:vAlign w:val="bottom"/>
            <w:tcBorders>
              <w:bottom w:val="single" w:sz="8" w:color="010035"/>
            </w:tcBorders>
            <w:shd w:val="clear" w:color="auto" w:fill="010035"/>
          </w:tcPr>
          <w:p>
            <w:pPr>
              <w:spacing w:after="0"/>
              <w:rPr>
                <w:sz w:val="19"/>
                <w:szCs w:val="19"/>
                <w:color w:val="auto"/>
              </w:rPr>
            </w:pPr>
          </w:p>
        </w:tc>
        <w:tc>
          <w:tcPr>
            <w:tcW w:w="1500" w:type="dxa"/>
            <w:vAlign w:val="bottom"/>
            <w:tcBorders>
              <w:bottom w:val="single" w:sz="8" w:color="010035"/>
            </w:tcBorders>
            <w:shd w:val="clear" w:color="auto" w:fill="010035"/>
          </w:tcPr>
          <w:p>
            <w:pPr>
              <w:jc w:val="center"/>
              <w:ind w:left="8"/>
              <w:spacing w:after="0"/>
              <w:rPr>
                <w:sz w:val="20"/>
                <w:szCs w:val="20"/>
                <w:color w:val="auto"/>
              </w:rPr>
            </w:pPr>
            <w:r>
              <w:rPr>
                <w:rFonts w:ascii="Arial" w:cs="Arial" w:eastAsia="Arial" w:hAnsi="Arial"/>
                <w:sz w:val="14"/>
                <w:szCs w:val="14"/>
                <w:b w:val="1"/>
                <w:bCs w:val="1"/>
                <w:color w:val="FFFFFF"/>
                <w:w w:val="98"/>
              </w:rPr>
              <w:t>ON VESTING (#)</w:t>
            </w:r>
          </w:p>
        </w:tc>
        <w:tc>
          <w:tcPr>
            <w:tcW w:w="1820" w:type="dxa"/>
            <w:vAlign w:val="bottom"/>
            <w:tcBorders>
              <w:bottom w:val="single" w:sz="8" w:color="010035"/>
            </w:tcBorders>
            <w:shd w:val="clear" w:color="auto" w:fill="010035"/>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Arial" w:cs="Arial" w:eastAsia="Arial" w:hAnsi="Arial"/>
                <w:sz w:val="13"/>
                <w:szCs w:val="13"/>
                <w:color w:val="010035"/>
              </w:rPr>
              <w:t>Jay Snowden</w:t>
            </w:r>
          </w:p>
        </w:tc>
        <w:tc>
          <w:tcPr>
            <w:tcW w:w="1600" w:type="dxa"/>
            <w:vAlign w:val="bottom"/>
          </w:tcPr>
          <w:p>
            <w:pPr>
              <w:jc w:val="center"/>
              <w:spacing w:after="0"/>
              <w:rPr>
                <w:sz w:val="20"/>
                <w:szCs w:val="20"/>
                <w:color w:val="auto"/>
              </w:rPr>
            </w:pPr>
            <w:r>
              <w:rPr>
                <w:rFonts w:ascii="Arial" w:cs="Arial" w:eastAsia="Arial" w:hAnsi="Arial"/>
                <w:sz w:val="13"/>
                <w:szCs w:val="13"/>
                <w:color w:val="010035"/>
              </w:rPr>
              <w:t>—</w:t>
            </w:r>
          </w:p>
        </w:tc>
        <w:tc>
          <w:tcPr>
            <w:tcW w:w="17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40" w:type="dxa"/>
            <w:vAlign w:val="bottom"/>
            <w:gridSpan w:val="2"/>
          </w:tcPr>
          <w:p>
            <w:pPr>
              <w:jc w:val="center"/>
              <w:ind w:left="37"/>
              <w:spacing w:after="0"/>
              <w:rPr>
                <w:sz w:val="20"/>
                <w:szCs w:val="20"/>
                <w:color w:val="auto"/>
              </w:rPr>
            </w:pPr>
            <w:r>
              <w:rPr>
                <w:rFonts w:ascii="Arial" w:cs="Arial" w:eastAsia="Arial" w:hAnsi="Arial"/>
                <w:sz w:val="13"/>
                <w:szCs w:val="13"/>
                <w:color w:val="010035"/>
                <w:w w:val="93"/>
              </w:rPr>
              <w:t>111,695</w:t>
            </w:r>
          </w:p>
        </w:tc>
        <w:tc>
          <w:tcPr>
            <w:tcW w:w="1820" w:type="dxa"/>
            <w:vAlign w:val="bottom"/>
          </w:tcPr>
          <w:p>
            <w:pPr>
              <w:jc w:val="center"/>
              <w:ind w:left="35"/>
              <w:spacing w:after="0"/>
              <w:rPr>
                <w:sz w:val="20"/>
                <w:szCs w:val="20"/>
                <w:color w:val="auto"/>
              </w:rPr>
            </w:pPr>
            <w:r>
              <w:rPr>
                <w:rFonts w:ascii="Arial" w:cs="Arial" w:eastAsia="Arial" w:hAnsi="Arial"/>
                <w:sz w:val="13"/>
                <w:szCs w:val="13"/>
                <w:color w:val="010035"/>
                <w:w w:val="96"/>
              </w:rPr>
              <w:t>1,890,996</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2680" w:type="dxa"/>
            <w:vAlign w:val="bottom"/>
            <w:gridSpan w:val="2"/>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54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DED8EC"/>
          </w:tcPr>
          <w:p>
            <w:pPr>
              <w:spacing w:after="0"/>
              <w:rPr>
                <w:sz w:val="18"/>
                <w:szCs w:val="18"/>
                <w:color w:val="auto"/>
              </w:rPr>
            </w:pPr>
          </w:p>
        </w:tc>
        <w:tc>
          <w:tcPr>
            <w:tcW w:w="2680" w:type="dxa"/>
            <w:vAlign w:val="bottom"/>
            <w:gridSpan w:val="2"/>
            <w:shd w:val="clear" w:color="auto" w:fill="DED8EC"/>
          </w:tcPr>
          <w:p>
            <w:pPr>
              <w:ind w:left="20"/>
              <w:spacing w:after="0"/>
              <w:rPr>
                <w:sz w:val="20"/>
                <w:szCs w:val="20"/>
                <w:color w:val="auto"/>
              </w:rPr>
            </w:pPr>
            <w:r>
              <w:rPr>
                <w:rFonts w:ascii="Arial" w:cs="Arial" w:eastAsia="Arial" w:hAnsi="Arial"/>
                <w:sz w:val="13"/>
                <w:szCs w:val="13"/>
                <w:color w:val="010035"/>
              </w:rPr>
              <w:t>Felicia Hendrix</w:t>
            </w:r>
          </w:p>
        </w:tc>
        <w:tc>
          <w:tcPr>
            <w:tcW w:w="160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700" w:type="dxa"/>
            <w:vAlign w:val="bottom"/>
            <w:tcBorders>
              <w:right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40" w:type="dxa"/>
            <w:vAlign w:val="bottom"/>
            <w:gridSpan w:val="2"/>
            <w:shd w:val="clear" w:color="auto" w:fill="DED8EC"/>
          </w:tcPr>
          <w:p>
            <w:pPr>
              <w:jc w:val="center"/>
              <w:ind w:left="57"/>
              <w:spacing w:after="0"/>
              <w:rPr>
                <w:sz w:val="20"/>
                <w:szCs w:val="20"/>
                <w:color w:val="auto"/>
              </w:rPr>
            </w:pPr>
            <w:r>
              <w:rPr>
                <w:rFonts w:ascii="Arial" w:cs="Arial" w:eastAsia="Arial" w:hAnsi="Arial"/>
                <w:sz w:val="13"/>
                <w:szCs w:val="13"/>
                <w:color w:val="010035"/>
                <w:w w:val="95"/>
              </w:rPr>
              <w:t>17,381</w:t>
            </w:r>
          </w:p>
        </w:tc>
        <w:tc>
          <w:tcPr>
            <w:tcW w:w="1820" w:type="dxa"/>
            <w:vAlign w:val="bottom"/>
            <w:shd w:val="clear" w:color="auto" w:fill="DED8EC"/>
          </w:tcPr>
          <w:p>
            <w:pPr>
              <w:jc w:val="center"/>
              <w:ind w:left="55"/>
              <w:spacing w:after="0"/>
              <w:rPr>
                <w:sz w:val="20"/>
                <w:szCs w:val="20"/>
                <w:color w:val="auto"/>
              </w:rPr>
            </w:pPr>
            <w:r>
              <w:rPr>
                <w:rFonts w:ascii="Arial" w:cs="Arial" w:eastAsia="Arial" w:hAnsi="Arial"/>
                <w:sz w:val="13"/>
                <w:szCs w:val="13"/>
                <w:color w:val="010035"/>
                <w:w w:val="97"/>
              </w:rPr>
              <w:t>366,218</w:t>
            </w:r>
          </w:p>
        </w:tc>
        <w:tc>
          <w:tcPr>
            <w:tcW w:w="0" w:type="dxa"/>
            <w:vAlign w:val="bottom"/>
          </w:tcPr>
          <w:p>
            <w:pPr>
              <w:spacing w:after="0"/>
              <w:rPr>
                <w:sz w:val="1"/>
                <w:szCs w:val="1"/>
                <w:color w:val="auto"/>
              </w:rPr>
            </w:pPr>
          </w:p>
        </w:tc>
      </w:tr>
      <w:tr>
        <w:trPr>
          <w:trHeight w:val="68"/>
        </w:trPr>
        <w:tc>
          <w:tcPr>
            <w:tcW w:w="60" w:type="dxa"/>
            <w:vAlign w:val="bottom"/>
            <w:shd w:val="clear" w:color="auto" w:fill="DED8EC"/>
          </w:tcPr>
          <w:p>
            <w:pPr>
              <w:spacing w:after="0"/>
              <w:rPr>
                <w:sz w:val="5"/>
                <w:szCs w:val="5"/>
                <w:color w:val="auto"/>
              </w:rPr>
            </w:pPr>
          </w:p>
        </w:tc>
        <w:tc>
          <w:tcPr>
            <w:tcW w:w="2680" w:type="dxa"/>
            <w:vAlign w:val="bottom"/>
            <w:gridSpan w:val="2"/>
            <w:shd w:val="clear" w:color="auto" w:fill="DED8EC"/>
          </w:tcPr>
          <w:p>
            <w:pPr>
              <w:spacing w:after="0"/>
              <w:rPr>
                <w:sz w:val="5"/>
                <w:szCs w:val="5"/>
                <w:color w:val="auto"/>
              </w:rPr>
            </w:pPr>
          </w:p>
        </w:tc>
        <w:tc>
          <w:tcPr>
            <w:tcW w:w="1600" w:type="dxa"/>
            <w:vAlign w:val="bottom"/>
            <w:shd w:val="clear" w:color="auto" w:fill="DED8EC"/>
          </w:tcPr>
          <w:p>
            <w:pPr>
              <w:spacing w:after="0"/>
              <w:rPr>
                <w:sz w:val="5"/>
                <w:szCs w:val="5"/>
                <w:color w:val="auto"/>
              </w:rPr>
            </w:pPr>
          </w:p>
        </w:tc>
        <w:tc>
          <w:tcPr>
            <w:tcW w:w="1700" w:type="dxa"/>
            <w:vAlign w:val="bottom"/>
            <w:tcBorders>
              <w:right w:val="single" w:sz="8" w:color="DED8EC"/>
            </w:tcBorders>
            <w:shd w:val="clear" w:color="auto" w:fill="DED8EC"/>
          </w:tcPr>
          <w:p>
            <w:pPr>
              <w:spacing w:after="0"/>
              <w:rPr>
                <w:sz w:val="5"/>
                <w:szCs w:val="5"/>
                <w:color w:val="auto"/>
              </w:rPr>
            </w:pPr>
          </w:p>
        </w:tc>
        <w:tc>
          <w:tcPr>
            <w:tcW w:w="1540" w:type="dxa"/>
            <w:vAlign w:val="bottom"/>
            <w:gridSpan w:val="2"/>
            <w:shd w:val="clear" w:color="auto" w:fill="DED8EC"/>
          </w:tcPr>
          <w:p>
            <w:pPr>
              <w:spacing w:after="0"/>
              <w:rPr>
                <w:sz w:val="5"/>
                <w:szCs w:val="5"/>
                <w:color w:val="auto"/>
              </w:rPr>
            </w:pPr>
          </w:p>
        </w:tc>
        <w:tc>
          <w:tcPr>
            <w:tcW w:w="182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Arial" w:cs="Arial" w:eastAsia="Arial" w:hAnsi="Arial"/>
                <w:sz w:val="13"/>
                <w:szCs w:val="13"/>
                <w:color w:val="010035"/>
              </w:rPr>
              <w:t>Chris Rogers</w:t>
            </w:r>
          </w:p>
        </w:tc>
        <w:tc>
          <w:tcPr>
            <w:tcW w:w="1600" w:type="dxa"/>
            <w:vAlign w:val="bottom"/>
          </w:tcPr>
          <w:p>
            <w:pPr>
              <w:jc w:val="center"/>
              <w:spacing w:after="0"/>
              <w:rPr>
                <w:sz w:val="20"/>
                <w:szCs w:val="20"/>
                <w:color w:val="auto"/>
              </w:rPr>
            </w:pPr>
            <w:r>
              <w:rPr>
                <w:rFonts w:ascii="Arial" w:cs="Arial" w:eastAsia="Arial" w:hAnsi="Arial"/>
                <w:sz w:val="13"/>
                <w:szCs w:val="13"/>
                <w:color w:val="010035"/>
              </w:rPr>
              <w:t>—</w:t>
            </w:r>
          </w:p>
        </w:tc>
        <w:tc>
          <w:tcPr>
            <w:tcW w:w="17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540" w:type="dxa"/>
            <w:vAlign w:val="bottom"/>
            <w:gridSpan w:val="2"/>
          </w:tcPr>
          <w:p>
            <w:pPr>
              <w:jc w:val="center"/>
              <w:ind w:left="57"/>
              <w:spacing w:after="0"/>
              <w:rPr>
                <w:sz w:val="20"/>
                <w:szCs w:val="20"/>
                <w:color w:val="auto"/>
              </w:rPr>
            </w:pPr>
            <w:r>
              <w:rPr>
                <w:rFonts w:ascii="Arial" w:cs="Arial" w:eastAsia="Arial" w:hAnsi="Arial"/>
                <w:sz w:val="13"/>
                <w:szCs w:val="13"/>
                <w:color w:val="010035"/>
                <w:w w:val="95"/>
              </w:rPr>
              <w:t>16,409</w:t>
            </w:r>
          </w:p>
        </w:tc>
        <w:tc>
          <w:tcPr>
            <w:tcW w:w="1820" w:type="dxa"/>
            <w:vAlign w:val="bottom"/>
          </w:tcPr>
          <w:p>
            <w:pPr>
              <w:jc w:val="center"/>
              <w:ind w:left="55"/>
              <w:spacing w:after="0"/>
              <w:rPr>
                <w:sz w:val="20"/>
                <w:szCs w:val="20"/>
                <w:color w:val="auto"/>
              </w:rPr>
            </w:pPr>
            <w:r>
              <w:rPr>
                <w:rFonts w:ascii="Arial" w:cs="Arial" w:eastAsia="Arial" w:hAnsi="Arial"/>
                <w:sz w:val="13"/>
                <w:szCs w:val="13"/>
                <w:color w:val="010035"/>
                <w:w w:val="97"/>
              </w:rPr>
              <w:t>345,738</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2680" w:type="dxa"/>
            <w:vAlign w:val="bottom"/>
            <w:gridSpan w:val="2"/>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54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0" w:type="dxa"/>
            <w:vAlign w:val="bottom"/>
            <w:tcBorders>
              <w:bottom w:val="single" w:sz="8" w:color="DED8EC"/>
            </w:tcBorders>
            <w:shd w:val="clear" w:color="auto" w:fill="DED8EC"/>
          </w:tcPr>
          <w:p>
            <w:pPr>
              <w:spacing w:after="0"/>
              <w:rPr>
                <w:sz w:val="20"/>
                <w:szCs w:val="20"/>
                <w:color w:val="auto"/>
              </w:rPr>
            </w:pPr>
          </w:p>
        </w:tc>
        <w:tc>
          <w:tcPr>
            <w:tcW w:w="2680" w:type="dxa"/>
            <w:vAlign w:val="bottom"/>
            <w:tcBorders>
              <w:bottom w:val="single" w:sz="8" w:color="DED8EC"/>
            </w:tcBorders>
            <w:gridSpan w:val="2"/>
            <w:shd w:val="clear" w:color="auto" w:fill="DED8EC"/>
          </w:tcPr>
          <w:p>
            <w:pPr>
              <w:ind w:left="20"/>
              <w:spacing w:after="0"/>
              <w:rPr>
                <w:sz w:val="20"/>
                <w:szCs w:val="20"/>
                <w:color w:val="auto"/>
              </w:rPr>
            </w:pPr>
            <w:r>
              <w:rPr>
                <w:rFonts w:ascii="Arial" w:cs="Arial" w:eastAsia="Arial" w:hAnsi="Arial"/>
                <w:sz w:val="13"/>
                <w:szCs w:val="13"/>
                <w:color w:val="010035"/>
              </w:rPr>
              <w:t>Todd George</w:t>
            </w:r>
          </w:p>
        </w:tc>
        <w:tc>
          <w:tcPr>
            <w:tcW w:w="160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700" w:type="dxa"/>
            <w:vAlign w:val="bottom"/>
            <w:tcBorders>
              <w:bottom w:val="single" w:sz="8" w:color="DED8EC"/>
              <w:right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540" w:type="dxa"/>
            <w:vAlign w:val="bottom"/>
            <w:tcBorders>
              <w:bottom w:val="single" w:sz="8" w:color="DED8EC"/>
            </w:tcBorders>
            <w:gridSpan w:val="2"/>
            <w:shd w:val="clear" w:color="auto" w:fill="DED8EC"/>
          </w:tcPr>
          <w:p>
            <w:pPr>
              <w:jc w:val="center"/>
              <w:ind w:left="57"/>
              <w:spacing w:after="0"/>
              <w:rPr>
                <w:sz w:val="20"/>
                <w:szCs w:val="20"/>
                <w:color w:val="auto"/>
              </w:rPr>
            </w:pPr>
            <w:r>
              <w:rPr>
                <w:rFonts w:ascii="Arial" w:cs="Arial" w:eastAsia="Arial" w:hAnsi="Arial"/>
                <w:sz w:val="13"/>
                <w:szCs w:val="13"/>
                <w:color w:val="010035"/>
                <w:w w:val="95"/>
              </w:rPr>
              <w:t>19,457</w:t>
            </w:r>
          </w:p>
        </w:tc>
        <w:tc>
          <w:tcPr>
            <w:tcW w:w="1820" w:type="dxa"/>
            <w:vAlign w:val="bottom"/>
            <w:tcBorders>
              <w:bottom w:val="single" w:sz="8" w:color="DED8EC"/>
            </w:tcBorders>
            <w:shd w:val="clear" w:color="auto" w:fill="DED8EC"/>
          </w:tcPr>
          <w:p>
            <w:pPr>
              <w:jc w:val="center"/>
              <w:ind w:left="55"/>
              <w:spacing w:after="0"/>
              <w:rPr>
                <w:sz w:val="20"/>
                <w:szCs w:val="20"/>
                <w:color w:val="auto"/>
              </w:rPr>
            </w:pPr>
            <w:r>
              <w:rPr>
                <w:rFonts w:ascii="Arial" w:cs="Arial" w:eastAsia="Arial" w:hAnsi="Arial"/>
                <w:sz w:val="13"/>
                <w:szCs w:val="13"/>
                <w:color w:val="010035"/>
                <w:w w:val="97"/>
              </w:rPr>
              <w:t>409,959</w:t>
            </w:r>
          </w:p>
        </w:tc>
        <w:tc>
          <w:tcPr>
            <w:tcW w:w="0" w:type="dxa"/>
            <w:vAlign w:val="bottom"/>
          </w:tcPr>
          <w:p>
            <w:pPr>
              <w:spacing w:after="0"/>
              <w:rPr>
                <w:sz w:val="1"/>
                <w:szCs w:val="1"/>
                <w:color w:val="auto"/>
              </w:rPr>
            </w:pPr>
          </w:p>
        </w:tc>
      </w:tr>
      <w:tr>
        <w:trPr>
          <w:trHeight w:val="20"/>
        </w:trPr>
        <w:tc>
          <w:tcPr>
            <w:tcW w:w="60" w:type="dxa"/>
            <w:vAlign w:val="bottom"/>
            <w:shd w:val="clear" w:color="auto" w:fill="010035"/>
          </w:tcPr>
          <w:p>
            <w:pPr>
              <w:spacing w:after="0" w:line="20" w:lineRule="exact"/>
              <w:rPr>
                <w:sz w:val="1"/>
                <w:szCs w:val="1"/>
                <w:color w:val="auto"/>
              </w:rPr>
            </w:pPr>
          </w:p>
        </w:tc>
        <w:tc>
          <w:tcPr>
            <w:tcW w:w="2600" w:type="dxa"/>
            <w:vAlign w:val="bottom"/>
            <w:shd w:val="clear" w:color="auto" w:fill="010035"/>
          </w:tcPr>
          <w:p>
            <w:pPr>
              <w:spacing w:after="0" w:line="20" w:lineRule="exact"/>
              <w:rPr>
                <w:sz w:val="1"/>
                <w:szCs w:val="1"/>
                <w:color w:val="auto"/>
              </w:rPr>
            </w:pPr>
          </w:p>
        </w:tc>
        <w:tc>
          <w:tcPr>
            <w:tcW w:w="80" w:type="dxa"/>
            <w:vAlign w:val="bottom"/>
            <w:shd w:val="clear" w:color="auto" w:fill="010035"/>
          </w:tcPr>
          <w:p>
            <w:pPr>
              <w:spacing w:after="0" w:line="20" w:lineRule="exact"/>
              <w:rPr>
                <w:sz w:val="1"/>
                <w:szCs w:val="1"/>
                <w:color w:val="auto"/>
              </w:rPr>
            </w:pPr>
          </w:p>
        </w:tc>
        <w:tc>
          <w:tcPr>
            <w:tcW w:w="1600" w:type="dxa"/>
            <w:vAlign w:val="bottom"/>
            <w:shd w:val="clear" w:color="auto" w:fill="010035"/>
          </w:tcPr>
          <w:p>
            <w:pPr>
              <w:spacing w:after="0" w:line="20" w:lineRule="exact"/>
              <w:rPr>
                <w:sz w:val="1"/>
                <w:szCs w:val="1"/>
                <w:color w:val="auto"/>
              </w:rPr>
            </w:pPr>
          </w:p>
        </w:tc>
        <w:tc>
          <w:tcPr>
            <w:tcW w:w="1700" w:type="dxa"/>
            <w:vAlign w:val="bottom"/>
            <w:tcBorders>
              <w:right w:val="single" w:sz="8" w:color="010035"/>
            </w:tcBorders>
            <w:shd w:val="clear" w:color="auto" w:fill="010035"/>
          </w:tcPr>
          <w:p>
            <w:pPr>
              <w:spacing w:after="0" w:line="20" w:lineRule="exact"/>
              <w:rPr>
                <w:sz w:val="1"/>
                <w:szCs w:val="1"/>
                <w:color w:val="auto"/>
              </w:rPr>
            </w:pPr>
          </w:p>
        </w:tc>
        <w:tc>
          <w:tcPr>
            <w:tcW w:w="40" w:type="dxa"/>
            <w:vAlign w:val="bottom"/>
            <w:shd w:val="clear" w:color="auto" w:fill="010035"/>
          </w:tcPr>
          <w:p>
            <w:pPr>
              <w:spacing w:after="0" w:line="20" w:lineRule="exact"/>
              <w:rPr>
                <w:sz w:val="1"/>
                <w:szCs w:val="1"/>
                <w:color w:val="auto"/>
              </w:rPr>
            </w:pPr>
          </w:p>
        </w:tc>
        <w:tc>
          <w:tcPr>
            <w:tcW w:w="1500" w:type="dxa"/>
            <w:vAlign w:val="bottom"/>
            <w:shd w:val="clear" w:color="auto" w:fill="010035"/>
          </w:tcPr>
          <w:p>
            <w:pPr>
              <w:spacing w:after="0" w:line="20" w:lineRule="exact"/>
              <w:rPr>
                <w:sz w:val="1"/>
                <w:szCs w:val="1"/>
                <w:color w:val="auto"/>
              </w:rPr>
            </w:pPr>
          </w:p>
        </w:tc>
        <w:tc>
          <w:tcPr>
            <w:tcW w:w="1820" w:type="dxa"/>
            <w:vAlign w:val="bottom"/>
            <w:shd w:val="clear" w:color="auto" w:fill="0100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010035"/>
        </w:rPr>
        <w:t>(a) Value realized represents fair value, per share, as of the trading day immediately prior to the vesting date.</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2025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40" w:type="dxa"/>
            <w:vAlign w:val="bottom"/>
            <w:tcBorders>
              <w:top w:val="single" w:sz="8" w:color="69439A"/>
            </w:tcBorders>
            <w:shd w:val="clear" w:color="auto" w:fill="010035"/>
          </w:tcPr>
          <w:p>
            <w:pPr>
              <w:spacing w:after="0"/>
              <w:rPr>
                <w:sz w:val="24"/>
                <w:szCs w:val="24"/>
                <w:color w:val="auto"/>
              </w:rPr>
            </w:pPr>
          </w:p>
        </w:tc>
        <w:tc>
          <w:tcPr>
            <w:tcW w:w="1560" w:type="dxa"/>
            <w:vAlign w:val="bottom"/>
            <w:tcBorders>
              <w:top w:val="single" w:sz="8" w:color="69439A"/>
              <w:right w:val="single" w:sz="8" w:color="69439A"/>
            </w:tcBorders>
            <w:shd w:val="clear" w:color="auto" w:fill="010035"/>
          </w:tcPr>
          <w:p>
            <w:pPr>
              <w:spacing w:after="0"/>
              <w:rPr>
                <w:sz w:val="24"/>
                <w:szCs w:val="24"/>
                <w:color w:val="auto"/>
              </w:rPr>
            </w:pPr>
          </w:p>
        </w:tc>
        <w:tc>
          <w:tcPr>
            <w:tcW w:w="140" w:type="dxa"/>
            <w:vAlign w:val="bottom"/>
            <w:tcBorders>
              <w:top w:val="single" w:sz="8" w:color="69439A"/>
            </w:tcBorders>
            <w:shd w:val="clear" w:color="auto" w:fill="010035"/>
          </w:tcPr>
          <w:p>
            <w:pPr>
              <w:spacing w:after="0"/>
              <w:rPr>
                <w:sz w:val="24"/>
                <w:szCs w:val="24"/>
                <w:color w:val="auto"/>
              </w:rPr>
            </w:pPr>
          </w:p>
        </w:tc>
        <w:tc>
          <w:tcPr>
            <w:tcW w:w="1540" w:type="dxa"/>
            <w:vAlign w:val="bottom"/>
            <w:tcBorders>
              <w:top w:val="single" w:sz="8" w:color="69439A"/>
              <w:right w:val="single" w:sz="8" w:color="69439A"/>
            </w:tcBorders>
            <w:vMerge w:val="restart"/>
            <w:shd w:val="clear" w:color="auto" w:fill="010035"/>
          </w:tcPr>
          <w:p>
            <w:pPr>
              <w:jc w:val="center"/>
              <w:ind w:right="128"/>
              <w:spacing w:after="0"/>
              <w:rPr>
                <w:sz w:val="20"/>
                <w:szCs w:val="20"/>
                <w:color w:val="auto"/>
              </w:rPr>
            </w:pPr>
            <w:r>
              <w:rPr>
                <w:rFonts w:ascii="Arial" w:cs="Arial" w:eastAsia="Arial" w:hAnsi="Arial"/>
                <w:sz w:val="14"/>
                <w:szCs w:val="14"/>
                <w:b w:val="1"/>
                <w:bCs w:val="1"/>
                <w:color w:val="FFFFFF"/>
                <w:w w:val="98"/>
              </w:rPr>
              <w:t>EXECUTIVE</w:t>
            </w:r>
          </w:p>
        </w:tc>
        <w:tc>
          <w:tcPr>
            <w:tcW w:w="140" w:type="dxa"/>
            <w:vAlign w:val="bottom"/>
            <w:tcBorders>
              <w:top w:val="single" w:sz="8" w:color="69439A"/>
            </w:tcBorders>
            <w:shd w:val="clear" w:color="auto" w:fill="010035"/>
          </w:tcPr>
          <w:p>
            <w:pPr>
              <w:spacing w:after="0"/>
              <w:rPr>
                <w:sz w:val="24"/>
                <w:szCs w:val="24"/>
                <w:color w:val="auto"/>
              </w:rPr>
            </w:pPr>
          </w:p>
        </w:tc>
        <w:tc>
          <w:tcPr>
            <w:tcW w:w="1520" w:type="dxa"/>
            <w:vAlign w:val="bottom"/>
            <w:tcBorders>
              <w:top w:val="single" w:sz="8" w:color="69439A"/>
            </w:tcBorders>
            <w:vMerge w:val="restart"/>
            <w:shd w:val="clear" w:color="auto" w:fill="010035"/>
          </w:tcPr>
          <w:p>
            <w:pPr>
              <w:jc w:val="center"/>
              <w:ind w:right="108"/>
              <w:spacing w:after="0"/>
              <w:rPr>
                <w:sz w:val="20"/>
                <w:szCs w:val="20"/>
                <w:color w:val="auto"/>
              </w:rPr>
            </w:pPr>
            <w:r>
              <w:rPr>
                <w:rFonts w:ascii="Arial" w:cs="Arial" w:eastAsia="Arial" w:hAnsi="Arial"/>
                <w:sz w:val="14"/>
                <w:szCs w:val="14"/>
                <w:b w:val="1"/>
                <w:bCs w:val="1"/>
                <w:color w:val="FFFFFF"/>
                <w:w w:val="97"/>
              </w:rPr>
              <w:t>COMPANY</w:t>
            </w:r>
          </w:p>
        </w:tc>
        <w:tc>
          <w:tcPr>
            <w:tcW w:w="160" w:type="dxa"/>
            <w:vAlign w:val="bottom"/>
            <w:tcBorders>
              <w:top w:val="single" w:sz="8" w:color="69439A"/>
            </w:tcBorders>
            <w:shd w:val="clear" w:color="auto" w:fill="010035"/>
          </w:tcPr>
          <w:p>
            <w:pPr>
              <w:spacing w:after="0"/>
              <w:rPr>
                <w:sz w:val="24"/>
                <w:szCs w:val="24"/>
                <w:color w:val="auto"/>
              </w:rPr>
            </w:pPr>
          </w:p>
        </w:tc>
        <w:tc>
          <w:tcPr>
            <w:tcW w:w="1480" w:type="dxa"/>
            <w:vAlign w:val="bottom"/>
            <w:tcBorders>
              <w:top w:val="single" w:sz="8" w:color="69439A"/>
              <w:right w:val="single" w:sz="8" w:color="69439A"/>
            </w:tcBorders>
            <w:vMerge w:val="restart"/>
            <w:shd w:val="clear" w:color="auto" w:fill="010035"/>
          </w:tcPr>
          <w:p>
            <w:pPr>
              <w:jc w:val="center"/>
              <w:ind w:right="128"/>
              <w:spacing w:after="0"/>
              <w:rPr>
                <w:sz w:val="20"/>
                <w:szCs w:val="20"/>
                <w:color w:val="auto"/>
              </w:rPr>
            </w:pPr>
            <w:r>
              <w:rPr>
                <w:rFonts w:ascii="Arial" w:cs="Arial" w:eastAsia="Arial" w:hAnsi="Arial"/>
                <w:sz w:val="14"/>
                <w:szCs w:val="14"/>
                <w:b w:val="1"/>
                <w:bCs w:val="1"/>
                <w:color w:val="FFFFFF"/>
                <w:w w:val="97"/>
              </w:rPr>
              <w:t>AGGREGATE</w:t>
            </w:r>
          </w:p>
        </w:tc>
        <w:tc>
          <w:tcPr>
            <w:tcW w:w="160" w:type="dxa"/>
            <w:vAlign w:val="bottom"/>
            <w:tcBorders>
              <w:top w:val="single" w:sz="8" w:color="69439A"/>
            </w:tcBorders>
            <w:shd w:val="clear" w:color="auto" w:fill="010035"/>
          </w:tcPr>
          <w:p>
            <w:pPr>
              <w:spacing w:after="0"/>
              <w:rPr>
                <w:sz w:val="24"/>
                <w:szCs w:val="24"/>
                <w:color w:val="auto"/>
              </w:rPr>
            </w:pPr>
          </w:p>
        </w:tc>
        <w:tc>
          <w:tcPr>
            <w:tcW w:w="1300" w:type="dxa"/>
            <w:vAlign w:val="bottom"/>
            <w:tcBorders>
              <w:top w:val="single" w:sz="8" w:color="69439A"/>
              <w:right w:val="single" w:sz="8" w:color="69439A"/>
            </w:tcBorders>
            <w:vMerge w:val="restart"/>
            <w:shd w:val="clear" w:color="auto" w:fill="010035"/>
          </w:tcPr>
          <w:p>
            <w:pPr>
              <w:jc w:val="center"/>
              <w:ind w:right="128"/>
              <w:spacing w:after="0"/>
              <w:rPr>
                <w:sz w:val="20"/>
                <w:szCs w:val="20"/>
                <w:color w:val="auto"/>
              </w:rPr>
            </w:pPr>
            <w:r>
              <w:rPr>
                <w:rFonts w:ascii="Arial" w:cs="Arial" w:eastAsia="Arial" w:hAnsi="Arial"/>
                <w:sz w:val="14"/>
                <w:szCs w:val="14"/>
                <w:b w:val="1"/>
                <w:bCs w:val="1"/>
                <w:color w:val="FFFFFF"/>
                <w:w w:val="99"/>
              </w:rPr>
              <w:t>AGGREGATE</w:t>
            </w:r>
          </w:p>
        </w:tc>
        <w:tc>
          <w:tcPr>
            <w:tcW w:w="160" w:type="dxa"/>
            <w:vAlign w:val="bottom"/>
            <w:tcBorders>
              <w:top w:val="single" w:sz="8" w:color="69439A"/>
            </w:tcBorders>
            <w:shd w:val="clear" w:color="auto" w:fill="010035"/>
          </w:tcPr>
          <w:p>
            <w:pPr>
              <w:spacing w:after="0"/>
              <w:rPr>
                <w:sz w:val="24"/>
                <w:szCs w:val="24"/>
                <w:color w:val="auto"/>
              </w:rPr>
            </w:pPr>
          </w:p>
        </w:tc>
        <w:tc>
          <w:tcPr>
            <w:tcW w:w="1200" w:type="dxa"/>
            <w:vAlign w:val="bottom"/>
            <w:tcBorders>
              <w:top w:val="single" w:sz="8" w:color="69439A"/>
            </w:tcBorders>
            <w:shd w:val="clear" w:color="auto" w:fill="010035"/>
          </w:tcPr>
          <w:p>
            <w:pPr>
              <w:jc w:val="center"/>
              <w:ind w:right="8"/>
              <w:spacing w:after="0"/>
              <w:rPr>
                <w:sz w:val="20"/>
                <w:szCs w:val="20"/>
                <w:color w:val="auto"/>
              </w:rPr>
            </w:pPr>
            <w:r>
              <w:rPr>
                <w:rFonts w:ascii="Arial" w:cs="Arial" w:eastAsia="Arial" w:hAnsi="Arial"/>
                <w:sz w:val="14"/>
                <w:szCs w:val="14"/>
                <w:b w:val="1"/>
                <w:bCs w:val="1"/>
                <w:color w:val="FFFFFF"/>
                <w:w w:val="97"/>
              </w:rPr>
              <w:t>AGGREGATE</w:t>
            </w: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1560" w:type="dxa"/>
            <w:vAlign w:val="bottom"/>
            <w:tcBorders>
              <w:right w:val="single" w:sz="8" w:color="69439A"/>
            </w:tcBorders>
            <w:shd w:val="clear" w:color="auto" w:fill="010035"/>
          </w:tcPr>
          <w:p>
            <w:pPr>
              <w:spacing w:after="0"/>
              <w:rPr>
                <w:sz w:val="7"/>
                <w:szCs w:val="7"/>
                <w:color w:val="auto"/>
              </w:rPr>
            </w:pPr>
          </w:p>
        </w:tc>
        <w:tc>
          <w:tcPr>
            <w:tcW w:w="140" w:type="dxa"/>
            <w:vAlign w:val="bottom"/>
            <w:shd w:val="clear" w:color="auto" w:fill="010035"/>
          </w:tcPr>
          <w:p>
            <w:pPr>
              <w:spacing w:after="0"/>
              <w:rPr>
                <w:sz w:val="7"/>
                <w:szCs w:val="7"/>
                <w:color w:val="auto"/>
              </w:rPr>
            </w:pPr>
          </w:p>
        </w:tc>
        <w:tc>
          <w:tcPr>
            <w:tcW w:w="1540" w:type="dxa"/>
            <w:vAlign w:val="bottom"/>
            <w:tcBorders>
              <w:right w:val="single" w:sz="8" w:color="69439A"/>
            </w:tcBorders>
            <w:vMerge w:val="continue"/>
            <w:shd w:val="clear" w:color="auto" w:fill="010035"/>
          </w:tcPr>
          <w:p>
            <w:pPr>
              <w:spacing w:after="0"/>
              <w:rPr>
                <w:sz w:val="7"/>
                <w:szCs w:val="7"/>
                <w:color w:val="auto"/>
              </w:rPr>
            </w:pPr>
          </w:p>
        </w:tc>
        <w:tc>
          <w:tcPr>
            <w:tcW w:w="140" w:type="dxa"/>
            <w:vAlign w:val="bottom"/>
            <w:shd w:val="clear" w:color="auto" w:fill="010035"/>
          </w:tcPr>
          <w:p>
            <w:pPr>
              <w:spacing w:after="0"/>
              <w:rPr>
                <w:sz w:val="7"/>
                <w:szCs w:val="7"/>
                <w:color w:val="auto"/>
              </w:rPr>
            </w:pPr>
          </w:p>
        </w:tc>
        <w:tc>
          <w:tcPr>
            <w:tcW w:w="1520" w:type="dxa"/>
            <w:vAlign w:val="bottom"/>
            <w:vMerge w:val="continue"/>
            <w:shd w:val="clear" w:color="auto" w:fill="010035"/>
          </w:tcPr>
          <w:p>
            <w:pPr>
              <w:spacing w:after="0"/>
              <w:rPr>
                <w:sz w:val="7"/>
                <w:szCs w:val="7"/>
                <w:color w:val="auto"/>
              </w:rPr>
            </w:pPr>
          </w:p>
        </w:tc>
        <w:tc>
          <w:tcPr>
            <w:tcW w:w="160" w:type="dxa"/>
            <w:vAlign w:val="bottom"/>
            <w:shd w:val="clear" w:color="auto" w:fill="010035"/>
          </w:tcPr>
          <w:p>
            <w:pPr>
              <w:spacing w:after="0"/>
              <w:rPr>
                <w:sz w:val="7"/>
                <w:szCs w:val="7"/>
                <w:color w:val="auto"/>
              </w:rPr>
            </w:pPr>
          </w:p>
        </w:tc>
        <w:tc>
          <w:tcPr>
            <w:tcW w:w="1480" w:type="dxa"/>
            <w:vAlign w:val="bottom"/>
            <w:tcBorders>
              <w:right w:val="single" w:sz="8" w:color="69439A"/>
            </w:tcBorders>
            <w:vMerge w:val="continue"/>
            <w:shd w:val="clear" w:color="auto" w:fill="010035"/>
          </w:tcPr>
          <w:p>
            <w:pPr>
              <w:spacing w:after="0"/>
              <w:rPr>
                <w:sz w:val="7"/>
                <w:szCs w:val="7"/>
                <w:color w:val="auto"/>
              </w:rPr>
            </w:pPr>
          </w:p>
        </w:tc>
        <w:tc>
          <w:tcPr>
            <w:tcW w:w="160" w:type="dxa"/>
            <w:vAlign w:val="bottom"/>
            <w:shd w:val="clear" w:color="auto" w:fill="010035"/>
          </w:tcPr>
          <w:p>
            <w:pPr>
              <w:spacing w:after="0"/>
              <w:rPr>
                <w:sz w:val="7"/>
                <w:szCs w:val="7"/>
                <w:color w:val="auto"/>
              </w:rPr>
            </w:pPr>
          </w:p>
        </w:tc>
        <w:tc>
          <w:tcPr>
            <w:tcW w:w="1300" w:type="dxa"/>
            <w:vAlign w:val="bottom"/>
            <w:tcBorders>
              <w:right w:val="single" w:sz="8" w:color="69439A"/>
            </w:tcBorders>
            <w:vMerge w:val="continue"/>
            <w:shd w:val="clear" w:color="auto" w:fill="010035"/>
          </w:tcPr>
          <w:p>
            <w:pPr>
              <w:spacing w:after="0"/>
              <w:rPr>
                <w:sz w:val="7"/>
                <w:szCs w:val="7"/>
                <w:color w:val="auto"/>
              </w:rPr>
            </w:pPr>
          </w:p>
        </w:tc>
        <w:tc>
          <w:tcPr>
            <w:tcW w:w="160" w:type="dxa"/>
            <w:vAlign w:val="bottom"/>
            <w:shd w:val="clear" w:color="auto" w:fill="010035"/>
          </w:tcPr>
          <w:p>
            <w:pPr>
              <w:spacing w:after="0"/>
              <w:rPr>
                <w:sz w:val="7"/>
                <w:szCs w:val="7"/>
                <w:color w:val="auto"/>
              </w:rPr>
            </w:pPr>
          </w:p>
        </w:tc>
        <w:tc>
          <w:tcPr>
            <w:tcW w:w="12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BALANCE</w:t>
            </w: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1560" w:type="dxa"/>
            <w:vAlign w:val="bottom"/>
            <w:tcBorders>
              <w:right w:val="single" w:sz="8" w:color="69439A"/>
            </w:tcBorders>
            <w:shd w:val="clear" w:color="auto" w:fill="010035"/>
          </w:tcPr>
          <w:p>
            <w:pPr>
              <w:spacing w:after="0"/>
              <w:rPr>
                <w:sz w:val="7"/>
                <w:szCs w:val="7"/>
                <w:color w:val="auto"/>
              </w:rPr>
            </w:pPr>
          </w:p>
        </w:tc>
        <w:tc>
          <w:tcPr>
            <w:tcW w:w="140" w:type="dxa"/>
            <w:vAlign w:val="bottom"/>
            <w:shd w:val="clear" w:color="auto" w:fill="010035"/>
          </w:tcPr>
          <w:p>
            <w:pPr>
              <w:spacing w:after="0"/>
              <w:rPr>
                <w:sz w:val="7"/>
                <w:szCs w:val="7"/>
                <w:color w:val="auto"/>
              </w:rPr>
            </w:pPr>
          </w:p>
        </w:tc>
        <w:tc>
          <w:tcPr>
            <w:tcW w:w="1540" w:type="dxa"/>
            <w:vAlign w:val="bottom"/>
            <w:tcBorders>
              <w:right w:val="single" w:sz="8" w:color="69439A"/>
            </w:tcBorders>
            <w:vMerge w:val="restart"/>
            <w:shd w:val="clear" w:color="auto" w:fill="010035"/>
          </w:tcPr>
          <w:p>
            <w:pPr>
              <w:jc w:val="center"/>
              <w:ind w:right="128"/>
              <w:spacing w:after="0"/>
              <w:rPr>
                <w:sz w:val="20"/>
                <w:szCs w:val="20"/>
                <w:color w:val="auto"/>
              </w:rPr>
            </w:pPr>
            <w:r>
              <w:rPr>
                <w:rFonts w:ascii="Arial" w:cs="Arial" w:eastAsia="Arial" w:hAnsi="Arial"/>
                <w:sz w:val="14"/>
                <w:szCs w:val="14"/>
                <w:b w:val="1"/>
                <w:bCs w:val="1"/>
                <w:color w:val="FFFFFF"/>
                <w:w w:val="99"/>
              </w:rPr>
              <w:t>CONTRIBUTIONS IN</w:t>
            </w:r>
          </w:p>
        </w:tc>
        <w:tc>
          <w:tcPr>
            <w:tcW w:w="140" w:type="dxa"/>
            <w:vAlign w:val="bottom"/>
            <w:shd w:val="clear" w:color="auto" w:fill="010035"/>
          </w:tcPr>
          <w:p>
            <w:pPr>
              <w:spacing w:after="0"/>
              <w:rPr>
                <w:sz w:val="7"/>
                <w:szCs w:val="7"/>
                <w:color w:val="auto"/>
              </w:rPr>
            </w:pPr>
          </w:p>
        </w:tc>
        <w:tc>
          <w:tcPr>
            <w:tcW w:w="1520" w:type="dxa"/>
            <w:vAlign w:val="bottom"/>
            <w:vMerge w:val="restart"/>
            <w:shd w:val="clear" w:color="auto" w:fill="010035"/>
          </w:tcPr>
          <w:p>
            <w:pPr>
              <w:jc w:val="center"/>
              <w:ind w:right="108"/>
              <w:spacing w:after="0"/>
              <w:rPr>
                <w:sz w:val="20"/>
                <w:szCs w:val="20"/>
                <w:color w:val="auto"/>
              </w:rPr>
            </w:pPr>
            <w:r>
              <w:rPr>
                <w:rFonts w:ascii="Arial" w:cs="Arial" w:eastAsia="Arial" w:hAnsi="Arial"/>
                <w:sz w:val="14"/>
                <w:szCs w:val="14"/>
                <w:b w:val="1"/>
                <w:bCs w:val="1"/>
                <w:color w:val="FFFFFF"/>
                <w:w w:val="99"/>
              </w:rPr>
              <w:t>CONTRIBUTIONS IN</w:t>
            </w:r>
          </w:p>
        </w:tc>
        <w:tc>
          <w:tcPr>
            <w:tcW w:w="160" w:type="dxa"/>
            <w:vAlign w:val="bottom"/>
            <w:shd w:val="clear" w:color="auto" w:fill="010035"/>
          </w:tcPr>
          <w:p>
            <w:pPr>
              <w:spacing w:after="0"/>
              <w:rPr>
                <w:sz w:val="7"/>
                <w:szCs w:val="7"/>
                <w:color w:val="auto"/>
              </w:rPr>
            </w:pPr>
          </w:p>
        </w:tc>
        <w:tc>
          <w:tcPr>
            <w:tcW w:w="1480" w:type="dxa"/>
            <w:vAlign w:val="bottom"/>
            <w:tcBorders>
              <w:right w:val="single" w:sz="8" w:color="69439A"/>
            </w:tcBorders>
            <w:vMerge w:val="restart"/>
            <w:shd w:val="clear" w:color="auto" w:fill="010035"/>
          </w:tcPr>
          <w:p>
            <w:pPr>
              <w:jc w:val="center"/>
              <w:ind w:right="128"/>
              <w:spacing w:after="0"/>
              <w:rPr>
                <w:sz w:val="20"/>
                <w:szCs w:val="20"/>
                <w:color w:val="auto"/>
              </w:rPr>
            </w:pPr>
            <w:r>
              <w:rPr>
                <w:rFonts w:ascii="Arial" w:cs="Arial" w:eastAsia="Arial" w:hAnsi="Arial"/>
                <w:sz w:val="14"/>
                <w:szCs w:val="14"/>
                <w:b w:val="1"/>
                <w:bCs w:val="1"/>
                <w:color w:val="FFFFFF"/>
              </w:rPr>
              <w:t>EARNINGS IN</w:t>
            </w:r>
          </w:p>
        </w:tc>
        <w:tc>
          <w:tcPr>
            <w:tcW w:w="160" w:type="dxa"/>
            <w:vAlign w:val="bottom"/>
            <w:shd w:val="clear" w:color="auto" w:fill="010035"/>
          </w:tcPr>
          <w:p>
            <w:pPr>
              <w:spacing w:after="0"/>
              <w:rPr>
                <w:sz w:val="7"/>
                <w:szCs w:val="7"/>
                <w:color w:val="auto"/>
              </w:rPr>
            </w:pPr>
          </w:p>
        </w:tc>
        <w:tc>
          <w:tcPr>
            <w:tcW w:w="1300" w:type="dxa"/>
            <w:vAlign w:val="bottom"/>
            <w:tcBorders>
              <w:right w:val="single" w:sz="8" w:color="69439A"/>
            </w:tcBorders>
            <w:vMerge w:val="restart"/>
            <w:shd w:val="clear" w:color="auto" w:fill="010035"/>
          </w:tcPr>
          <w:p>
            <w:pPr>
              <w:jc w:val="center"/>
              <w:ind w:right="128"/>
              <w:spacing w:after="0"/>
              <w:rPr>
                <w:sz w:val="20"/>
                <w:szCs w:val="20"/>
                <w:color w:val="auto"/>
              </w:rPr>
            </w:pPr>
            <w:r>
              <w:rPr>
                <w:rFonts w:ascii="Arial" w:cs="Arial" w:eastAsia="Arial" w:hAnsi="Arial"/>
                <w:sz w:val="14"/>
                <w:szCs w:val="14"/>
                <w:b w:val="1"/>
                <w:bCs w:val="1"/>
                <w:color w:val="FFFFFF"/>
                <w:w w:val="98"/>
              </w:rPr>
              <w:t>WITHDRAWALS/</w:t>
            </w:r>
          </w:p>
        </w:tc>
        <w:tc>
          <w:tcPr>
            <w:tcW w:w="160" w:type="dxa"/>
            <w:vAlign w:val="bottom"/>
            <w:shd w:val="clear" w:color="auto" w:fill="010035"/>
          </w:tcPr>
          <w:p>
            <w:pPr>
              <w:spacing w:after="0"/>
              <w:rPr>
                <w:sz w:val="7"/>
                <w:szCs w:val="7"/>
                <w:color w:val="auto"/>
              </w:rPr>
            </w:pPr>
          </w:p>
        </w:tc>
        <w:tc>
          <w:tcPr>
            <w:tcW w:w="1200" w:type="dxa"/>
            <w:vAlign w:val="bottom"/>
            <w:vMerge w:val="continue"/>
            <w:shd w:val="clear" w:color="auto" w:fill="01003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1560" w:type="dxa"/>
            <w:vAlign w:val="bottom"/>
            <w:tcBorders>
              <w:right w:val="single" w:sz="8" w:color="69439A"/>
            </w:tcBorders>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NAME</w:t>
            </w:r>
          </w:p>
        </w:tc>
        <w:tc>
          <w:tcPr>
            <w:tcW w:w="140" w:type="dxa"/>
            <w:vAlign w:val="bottom"/>
            <w:shd w:val="clear" w:color="auto" w:fill="010035"/>
          </w:tcPr>
          <w:p>
            <w:pPr>
              <w:spacing w:after="0"/>
              <w:rPr>
                <w:sz w:val="7"/>
                <w:szCs w:val="7"/>
                <w:color w:val="auto"/>
              </w:rPr>
            </w:pPr>
          </w:p>
        </w:tc>
        <w:tc>
          <w:tcPr>
            <w:tcW w:w="1540" w:type="dxa"/>
            <w:vAlign w:val="bottom"/>
            <w:tcBorders>
              <w:right w:val="single" w:sz="8" w:color="69439A"/>
            </w:tcBorders>
            <w:vMerge w:val="continue"/>
            <w:shd w:val="clear" w:color="auto" w:fill="010035"/>
          </w:tcPr>
          <w:p>
            <w:pPr>
              <w:spacing w:after="0"/>
              <w:rPr>
                <w:sz w:val="7"/>
                <w:szCs w:val="7"/>
                <w:color w:val="auto"/>
              </w:rPr>
            </w:pPr>
          </w:p>
        </w:tc>
        <w:tc>
          <w:tcPr>
            <w:tcW w:w="140" w:type="dxa"/>
            <w:vAlign w:val="bottom"/>
            <w:shd w:val="clear" w:color="auto" w:fill="010035"/>
          </w:tcPr>
          <w:p>
            <w:pPr>
              <w:spacing w:after="0"/>
              <w:rPr>
                <w:sz w:val="7"/>
                <w:szCs w:val="7"/>
                <w:color w:val="auto"/>
              </w:rPr>
            </w:pPr>
          </w:p>
        </w:tc>
        <w:tc>
          <w:tcPr>
            <w:tcW w:w="1520" w:type="dxa"/>
            <w:vAlign w:val="bottom"/>
            <w:vMerge w:val="continue"/>
            <w:shd w:val="clear" w:color="auto" w:fill="010035"/>
          </w:tcPr>
          <w:p>
            <w:pPr>
              <w:spacing w:after="0"/>
              <w:rPr>
                <w:sz w:val="7"/>
                <w:szCs w:val="7"/>
                <w:color w:val="auto"/>
              </w:rPr>
            </w:pPr>
          </w:p>
        </w:tc>
        <w:tc>
          <w:tcPr>
            <w:tcW w:w="160" w:type="dxa"/>
            <w:vAlign w:val="bottom"/>
            <w:shd w:val="clear" w:color="auto" w:fill="010035"/>
          </w:tcPr>
          <w:p>
            <w:pPr>
              <w:spacing w:after="0"/>
              <w:rPr>
                <w:sz w:val="7"/>
                <w:szCs w:val="7"/>
                <w:color w:val="auto"/>
              </w:rPr>
            </w:pPr>
          </w:p>
        </w:tc>
        <w:tc>
          <w:tcPr>
            <w:tcW w:w="1480" w:type="dxa"/>
            <w:vAlign w:val="bottom"/>
            <w:tcBorders>
              <w:right w:val="single" w:sz="8" w:color="69439A"/>
            </w:tcBorders>
            <w:vMerge w:val="continue"/>
            <w:shd w:val="clear" w:color="auto" w:fill="010035"/>
          </w:tcPr>
          <w:p>
            <w:pPr>
              <w:spacing w:after="0"/>
              <w:rPr>
                <w:sz w:val="7"/>
                <w:szCs w:val="7"/>
                <w:color w:val="auto"/>
              </w:rPr>
            </w:pPr>
          </w:p>
        </w:tc>
        <w:tc>
          <w:tcPr>
            <w:tcW w:w="160" w:type="dxa"/>
            <w:vAlign w:val="bottom"/>
            <w:shd w:val="clear" w:color="auto" w:fill="010035"/>
          </w:tcPr>
          <w:p>
            <w:pPr>
              <w:spacing w:after="0"/>
              <w:rPr>
                <w:sz w:val="7"/>
                <w:szCs w:val="7"/>
                <w:color w:val="auto"/>
              </w:rPr>
            </w:pPr>
          </w:p>
        </w:tc>
        <w:tc>
          <w:tcPr>
            <w:tcW w:w="1300" w:type="dxa"/>
            <w:vAlign w:val="bottom"/>
            <w:tcBorders>
              <w:right w:val="single" w:sz="8" w:color="69439A"/>
            </w:tcBorders>
            <w:vMerge w:val="continue"/>
            <w:shd w:val="clear" w:color="auto" w:fill="010035"/>
          </w:tcPr>
          <w:p>
            <w:pPr>
              <w:spacing w:after="0"/>
              <w:rPr>
                <w:sz w:val="7"/>
                <w:szCs w:val="7"/>
                <w:color w:val="auto"/>
              </w:rPr>
            </w:pPr>
          </w:p>
        </w:tc>
        <w:tc>
          <w:tcPr>
            <w:tcW w:w="160" w:type="dxa"/>
            <w:vAlign w:val="bottom"/>
            <w:shd w:val="clear" w:color="auto" w:fill="010035"/>
          </w:tcPr>
          <w:p>
            <w:pPr>
              <w:spacing w:after="0"/>
              <w:rPr>
                <w:sz w:val="7"/>
                <w:szCs w:val="7"/>
                <w:color w:val="auto"/>
              </w:rPr>
            </w:pPr>
          </w:p>
        </w:tc>
        <w:tc>
          <w:tcPr>
            <w:tcW w:w="1200" w:type="dxa"/>
            <w:vAlign w:val="bottom"/>
            <w:vMerge w:val="restart"/>
            <w:shd w:val="clear" w:color="auto" w:fill="010035"/>
          </w:tcPr>
          <w:p>
            <w:pPr>
              <w:jc w:val="center"/>
              <w:ind w:right="8"/>
              <w:spacing w:after="0"/>
              <w:rPr>
                <w:sz w:val="20"/>
                <w:szCs w:val="20"/>
                <w:color w:val="auto"/>
              </w:rPr>
            </w:pPr>
            <w:r>
              <w:rPr>
                <w:rFonts w:ascii="Arial" w:cs="Arial" w:eastAsia="Arial" w:hAnsi="Arial"/>
                <w:sz w:val="14"/>
                <w:szCs w:val="14"/>
                <w:b w:val="1"/>
                <w:bCs w:val="1"/>
                <w:color w:val="FFFFFF"/>
                <w:w w:val="98"/>
              </w:rPr>
              <w:t>AT LAST FISCAL</w:t>
            </w: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1560" w:type="dxa"/>
            <w:vAlign w:val="bottom"/>
            <w:tcBorders>
              <w:right w:val="single" w:sz="8" w:color="69439A"/>
            </w:tcBorders>
            <w:vMerge w:val="continue"/>
            <w:shd w:val="clear" w:color="auto" w:fill="010035"/>
          </w:tcPr>
          <w:p>
            <w:pPr>
              <w:spacing w:after="0"/>
              <w:rPr>
                <w:sz w:val="7"/>
                <w:szCs w:val="7"/>
                <w:color w:val="auto"/>
              </w:rPr>
            </w:pPr>
          </w:p>
        </w:tc>
        <w:tc>
          <w:tcPr>
            <w:tcW w:w="140" w:type="dxa"/>
            <w:vAlign w:val="bottom"/>
            <w:shd w:val="clear" w:color="auto" w:fill="010035"/>
          </w:tcPr>
          <w:p>
            <w:pPr>
              <w:spacing w:after="0"/>
              <w:rPr>
                <w:sz w:val="7"/>
                <w:szCs w:val="7"/>
                <w:color w:val="auto"/>
              </w:rPr>
            </w:pPr>
          </w:p>
        </w:tc>
        <w:tc>
          <w:tcPr>
            <w:tcW w:w="1540" w:type="dxa"/>
            <w:vAlign w:val="bottom"/>
            <w:tcBorders>
              <w:right w:val="single" w:sz="8" w:color="69439A"/>
            </w:tcBorders>
            <w:vMerge w:val="restart"/>
            <w:shd w:val="clear" w:color="auto" w:fill="010035"/>
          </w:tcPr>
          <w:p>
            <w:pPr>
              <w:jc w:val="center"/>
              <w:ind w:right="108"/>
              <w:spacing w:after="0" w:line="159" w:lineRule="exact"/>
              <w:rPr>
                <w:sz w:val="20"/>
                <w:szCs w:val="20"/>
                <w:color w:val="auto"/>
              </w:rPr>
            </w:pPr>
            <w:r>
              <w:rPr>
                <w:rFonts w:ascii="Arial" w:cs="Arial" w:eastAsia="Arial" w:hAnsi="Arial"/>
                <w:sz w:val="14"/>
                <w:szCs w:val="14"/>
                <w:b w:val="1"/>
                <w:bCs w:val="1"/>
                <w:color w:val="FFFFFF"/>
                <w:w w:val="98"/>
              </w:rPr>
              <w:t>LAST FISCAL YEAR</w:t>
            </w:r>
          </w:p>
        </w:tc>
        <w:tc>
          <w:tcPr>
            <w:tcW w:w="140" w:type="dxa"/>
            <w:vAlign w:val="bottom"/>
            <w:shd w:val="clear" w:color="auto" w:fill="010035"/>
          </w:tcPr>
          <w:p>
            <w:pPr>
              <w:spacing w:after="0"/>
              <w:rPr>
                <w:sz w:val="7"/>
                <w:szCs w:val="7"/>
                <w:color w:val="auto"/>
              </w:rPr>
            </w:pPr>
          </w:p>
        </w:tc>
        <w:tc>
          <w:tcPr>
            <w:tcW w:w="1520" w:type="dxa"/>
            <w:vAlign w:val="bottom"/>
            <w:vMerge w:val="restart"/>
            <w:shd w:val="clear" w:color="auto" w:fill="010035"/>
          </w:tcPr>
          <w:p>
            <w:pPr>
              <w:jc w:val="center"/>
              <w:ind w:right="88"/>
              <w:spacing w:after="0" w:line="159" w:lineRule="exact"/>
              <w:rPr>
                <w:sz w:val="20"/>
                <w:szCs w:val="20"/>
                <w:color w:val="auto"/>
              </w:rPr>
            </w:pPr>
            <w:r>
              <w:rPr>
                <w:rFonts w:ascii="Arial" w:cs="Arial" w:eastAsia="Arial" w:hAnsi="Arial"/>
                <w:sz w:val="14"/>
                <w:szCs w:val="14"/>
                <w:b w:val="1"/>
                <w:bCs w:val="1"/>
                <w:color w:val="FFFFFF"/>
                <w:w w:val="98"/>
              </w:rPr>
              <w:t>LAST FISCAL YEAR</w:t>
            </w:r>
          </w:p>
        </w:tc>
        <w:tc>
          <w:tcPr>
            <w:tcW w:w="160" w:type="dxa"/>
            <w:vAlign w:val="bottom"/>
            <w:shd w:val="clear" w:color="auto" w:fill="010035"/>
          </w:tcPr>
          <w:p>
            <w:pPr>
              <w:spacing w:after="0"/>
              <w:rPr>
                <w:sz w:val="7"/>
                <w:szCs w:val="7"/>
                <w:color w:val="auto"/>
              </w:rPr>
            </w:pPr>
          </w:p>
        </w:tc>
        <w:tc>
          <w:tcPr>
            <w:tcW w:w="1480" w:type="dxa"/>
            <w:vAlign w:val="bottom"/>
            <w:tcBorders>
              <w:right w:val="single" w:sz="8" w:color="69439A"/>
            </w:tcBorders>
            <w:vMerge w:val="restart"/>
            <w:shd w:val="clear" w:color="auto" w:fill="010035"/>
          </w:tcPr>
          <w:p>
            <w:pPr>
              <w:jc w:val="center"/>
              <w:ind w:right="88"/>
              <w:spacing w:after="0" w:line="159" w:lineRule="exact"/>
              <w:rPr>
                <w:sz w:val="20"/>
                <w:szCs w:val="20"/>
                <w:color w:val="auto"/>
              </w:rPr>
            </w:pPr>
            <w:r>
              <w:rPr>
                <w:rFonts w:ascii="Arial" w:cs="Arial" w:eastAsia="Arial" w:hAnsi="Arial"/>
                <w:sz w:val="14"/>
                <w:szCs w:val="14"/>
                <w:b w:val="1"/>
                <w:bCs w:val="1"/>
                <w:color w:val="FFFFFF"/>
                <w:w w:val="98"/>
              </w:rPr>
              <w:t>LAST FISCAL YEAR</w:t>
            </w:r>
          </w:p>
        </w:tc>
        <w:tc>
          <w:tcPr>
            <w:tcW w:w="160" w:type="dxa"/>
            <w:vAlign w:val="bottom"/>
            <w:shd w:val="clear" w:color="auto" w:fill="010035"/>
          </w:tcPr>
          <w:p>
            <w:pPr>
              <w:spacing w:after="0"/>
              <w:rPr>
                <w:sz w:val="7"/>
                <w:szCs w:val="7"/>
                <w:color w:val="auto"/>
              </w:rPr>
            </w:pPr>
          </w:p>
        </w:tc>
        <w:tc>
          <w:tcPr>
            <w:tcW w:w="1300" w:type="dxa"/>
            <w:vAlign w:val="bottom"/>
            <w:tcBorders>
              <w:right w:val="single" w:sz="8" w:color="69439A"/>
            </w:tcBorders>
            <w:vMerge w:val="restart"/>
            <w:shd w:val="clear" w:color="auto" w:fill="010035"/>
          </w:tcPr>
          <w:p>
            <w:pPr>
              <w:jc w:val="center"/>
              <w:ind w:right="108"/>
              <w:spacing w:after="0" w:line="159" w:lineRule="exact"/>
              <w:rPr>
                <w:sz w:val="20"/>
                <w:szCs w:val="20"/>
                <w:color w:val="auto"/>
              </w:rPr>
            </w:pPr>
            <w:r>
              <w:rPr>
                <w:rFonts w:ascii="Arial" w:cs="Arial" w:eastAsia="Arial" w:hAnsi="Arial"/>
                <w:sz w:val="14"/>
                <w:szCs w:val="14"/>
                <w:b w:val="1"/>
                <w:bCs w:val="1"/>
                <w:color w:val="FFFFFF"/>
                <w:w w:val="99"/>
              </w:rPr>
              <w:t>DISTRIBUTIONS</w:t>
            </w:r>
          </w:p>
        </w:tc>
        <w:tc>
          <w:tcPr>
            <w:tcW w:w="160" w:type="dxa"/>
            <w:vAlign w:val="bottom"/>
            <w:shd w:val="clear" w:color="auto" w:fill="010035"/>
          </w:tcPr>
          <w:p>
            <w:pPr>
              <w:spacing w:after="0"/>
              <w:rPr>
                <w:sz w:val="7"/>
                <w:szCs w:val="7"/>
                <w:color w:val="auto"/>
              </w:rPr>
            </w:pPr>
          </w:p>
        </w:tc>
        <w:tc>
          <w:tcPr>
            <w:tcW w:w="1200" w:type="dxa"/>
            <w:vAlign w:val="bottom"/>
            <w:vMerge w:val="continue"/>
            <w:shd w:val="clear" w:color="auto" w:fill="010035"/>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010035"/>
          </w:tcPr>
          <w:p>
            <w:pPr>
              <w:spacing w:after="0"/>
              <w:rPr>
                <w:sz w:val="6"/>
                <w:szCs w:val="6"/>
                <w:color w:val="auto"/>
              </w:rPr>
            </w:pPr>
          </w:p>
        </w:tc>
        <w:tc>
          <w:tcPr>
            <w:tcW w:w="1560" w:type="dxa"/>
            <w:vAlign w:val="bottom"/>
            <w:tcBorders>
              <w:right w:val="single" w:sz="8" w:color="69439A"/>
            </w:tcBorders>
            <w:shd w:val="clear" w:color="auto" w:fill="010035"/>
          </w:tcPr>
          <w:p>
            <w:pPr>
              <w:spacing w:after="0"/>
              <w:rPr>
                <w:sz w:val="6"/>
                <w:szCs w:val="6"/>
                <w:color w:val="auto"/>
              </w:rPr>
            </w:pPr>
          </w:p>
        </w:tc>
        <w:tc>
          <w:tcPr>
            <w:tcW w:w="140" w:type="dxa"/>
            <w:vAlign w:val="bottom"/>
            <w:shd w:val="clear" w:color="auto" w:fill="010035"/>
          </w:tcPr>
          <w:p>
            <w:pPr>
              <w:spacing w:after="0"/>
              <w:rPr>
                <w:sz w:val="6"/>
                <w:szCs w:val="6"/>
                <w:color w:val="auto"/>
              </w:rPr>
            </w:pPr>
          </w:p>
        </w:tc>
        <w:tc>
          <w:tcPr>
            <w:tcW w:w="1540" w:type="dxa"/>
            <w:vAlign w:val="bottom"/>
            <w:tcBorders>
              <w:right w:val="single" w:sz="8" w:color="69439A"/>
            </w:tcBorders>
            <w:vMerge w:val="continue"/>
            <w:shd w:val="clear" w:color="auto" w:fill="010035"/>
          </w:tcPr>
          <w:p>
            <w:pPr>
              <w:spacing w:after="0"/>
              <w:rPr>
                <w:sz w:val="6"/>
                <w:szCs w:val="6"/>
                <w:color w:val="auto"/>
              </w:rPr>
            </w:pPr>
          </w:p>
        </w:tc>
        <w:tc>
          <w:tcPr>
            <w:tcW w:w="140" w:type="dxa"/>
            <w:vAlign w:val="bottom"/>
            <w:shd w:val="clear" w:color="auto" w:fill="010035"/>
          </w:tcPr>
          <w:p>
            <w:pPr>
              <w:spacing w:after="0"/>
              <w:rPr>
                <w:sz w:val="6"/>
                <w:szCs w:val="6"/>
                <w:color w:val="auto"/>
              </w:rPr>
            </w:pPr>
          </w:p>
        </w:tc>
        <w:tc>
          <w:tcPr>
            <w:tcW w:w="1520" w:type="dxa"/>
            <w:vAlign w:val="bottom"/>
            <w:vMerge w:val="continue"/>
            <w:shd w:val="clear" w:color="auto" w:fill="010035"/>
          </w:tcPr>
          <w:p>
            <w:pPr>
              <w:spacing w:after="0"/>
              <w:rPr>
                <w:sz w:val="6"/>
                <w:szCs w:val="6"/>
                <w:color w:val="auto"/>
              </w:rPr>
            </w:pPr>
          </w:p>
        </w:tc>
        <w:tc>
          <w:tcPr>
            <w:tcW w:w="160" w:type="dxa"/>
            <w:vAlign w:val="bottom"/>
            <w:shd w:val="clear" w:color="auto" w:fill="010035"/>
          </w:tcPr>
          <w:p>
            <w:pPr>
              <w:spacing w:after="0"/>
              <w:rPr>
                <w:sz w:val="6"/>
                <w:szCs w:val="6"/>
                <w:color w:val="auto"/>
              </w:rPr>
            </w:pPr>
          </w:p>
        </w:tc>
        <w:tc>
          <w:tcPr>
            <w:tcW w:w="1480" w:type="dxa"/>
            <w:vAlign w:val="bottom"/>
            <w:tcBorders>
              <w:right w:val="single" w:sz="8" w:color="69439A"/>
            </w:tcBorders>
            <w:vMerge w:val="continue"/>
            <w:shd w:val="clear" w:color="auto" w:fill="010035"/>
          </w:tcPr>
          <w:p>
            <w:pPr>
              <w:spacing w:after="0"/>
              <w:rPr>
                <w:sz w:val="6"/>
                <w:szCs w:val="6"/>
                <w:color w:val="auto"/>
              </w:rPr>
            </w:pPr>
          </w:p>
        </w:tc>
        <w:tc>
          <w:tcPr>
            <w:tcW w:w="160" w:type="dxa"/>
            <w:vAlign w:val="bottom"/>
            <w:shd w:val="clear" w:color="auto" w:fill="010035"/>
          </w:tcPr>
          <w:p>
            <w:pPr>
              <w:spacing w:after="0"/>
              <w:rPr>
                <w:sz w:val="6"/>
                <w:szCs w:val="6"/>
                <w:color w:val="auto"/>
              </w:rPr>
            </w:pPr>
          </w:p>
        </w:tc>
        <w:tc>
          <w:tcPr>
            <w:tcW w:w="1300" w:type="dxa"/>
            <w:vAlign w:val="bottom"/>
            <w:tcBorders>
              <w:right w:val="single" w:sz="8" w:color="69439A"/>
            </w:tcBorders>
            <w:vMerge w:val="continue"/>
            <w:shd w:val="clear" w:color="auto" w:fill="010035"/>
          </w:tcPr>
          <w:p>
            <w:pPr>
              <w:spacing w:after="0"/>
              <w:rPr>
                <w:sz w:val="6"/>
                <w:szCs w:val="6"/>
                <w:color w:val="auto"/>
              </w:rPr>
            </w:pPr>
          </w:p>
        </w:tc>
        <w:tc>
          <w:tcPr>
            <w:tcW w:w="160" w:type="dxa"/>
            <w:vAlign w:val="bottom"/>
            <w:shd w:val="clear" w:color="auto" w:fill="010035"/>
          </w:tcPr>
          <w:p>
            <w:pPr>
              <w:spacing w:after="0"/>
              <w:rPr>
                <w:sz w:val="6"/>
                <w:szCs w:val="6"/>
                <w:color w:val="auto"/>
              </w:rPr>
            </w:pPr>
          </w:p>
        </w:tc>
        <w:tc>
          <w:tcPr>
            <w:tcW w:w="1200" w:type="dxa"/>
            <w:vAlign w:val="bottom"/>
            <w:vMerge w:val="restart"/>
            <w:shd w:val="clear" w:color="auto" w:fill="010035"/>
          </w:tcPr>
          <w:p>
            <w:pPr>
              <w:jc w:val="center"/>
              <w:spacing w:after="0" w:line="159" w:lineRule="exact"/>
              <w:rPr>
                <w:sz w:val="20"/>
                <w:szCs w:val="20"/>
                <w:color w:val="auto"/>
              </w:rPr>
            </w:pPr>
            <w:r>
              <w:rPr>
                <w:rFonts w:ascii="Arial" w:cs="Arial" w:eastAsia="Arial" w:hAnsi="Arial"/>
                <w:sz w:val="14"/>
                <w:szCs w:val="14"/>
                <w:b w:val="1"/>
                <w:bCs w:val="1"/>
                <w:color w:val="FFFFFF"/>
                <w:w w:val="99"/>
              </w:rPr>
              <w:t>YEAR END</w:t>
            </w: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1560" w:type="dxa"/>
            <w:vAlign w:val="bottom"/>
            <w:tcBorders>
              <w:right w:val="single" w:sz="8" w:color="69439A"/>
            </w:tcBorders>
            <w:shd w:val="clear" w:color="auto" w:fill="010035"/>
          </w:tcPr>
          <w:p>
            <w:pPr>
              <w:spacing w:after="0"/>
              <w:rPr>
                <w:sz w:val="7"/>
                <w:szCs w:val="7"/>
                <w:color w:val="auto"/>
              </w:rPr>
            </w:pPr>
          </w:p>
        </w:tc>
        <w:tc>
          <w:tcPr>
            <w:tcW w:w="140" w:type="dxa"/>
            <w:vAlign w:val="bottom"/>
            <w:shd w:val="clear" w:color="auto" w:fill="010035"/>
          </w:tcPr>
          <w:p>
            <w:pPr>
              <w:spacing w:after="0"/>
              <w:rPr>
                <w:sz w:val="7"/>
                <w:szCs w:val="7"/>
                <w:color w:val="auto"/>
              </w:rPr>
            </w:pPr>
          </w:p>
        </w:tc>
        <w:tc>
          <w:tcPr>
            <w:tcW w:w="1540" w:type="dxa"/>
            <w:vAlign w:val="bottom"/>
            <w:tcBorders>
              <w:right w:val="single" w:sz="8" w:color="69439A"/>
            </w:tcBorders>
            <w:vMerge w:val="restart"/>
            <w:shd w:val="clear" w:color="auto" w:fill="010035"/>
          </w:tcPr>
          <w:p>
            <w:pPr>
              <w:jc w:val="center"/>
              <w:ind w:right="88"/>
              <w:spacing w:after="0"/>
              <w:rPr>
                <w:sz w:val="20"/>
                <w:szCs w:val="20"/>
                <w:color w:val="auto"/>
              </w:rPr>
            </w:pPr>
            <w:r>
              <w:rPr>
                <w:rFonts w:ascii="Arial" w:cs="Arial" w:eastAsia="Arial" w:hAnsi="Arial"/>
                <w:sz w:val="14"/>
                <w:szCs w:val="14"/>
                <w:b w:val="1"/>
                <w:bCs w:val="1"/>
                <w:color w:val="FFFFFF"/>
                <w:w w:val="85"/>
              </w:rPr>
              <w:t xml:space="preserve">($) </w:t>
            </w:r>
            <w:r>
              <w:rPr>
                <w:rFonts w:ascii="Arial" w:cs="Arial" w:eastAsia="Arial" w:hAnsi="Arial"/>
                <w:sz w:val="23"/>
                <w:szCs w:val="23"/>
                <w:b w:val="1"/>
                <w:bCs w:val="1"/>
                <w:color w:val="FFFFFF"/>
                <w:w w:val="85"/>
                <w:vertAlign w:val="superscript"/>
              </w:rPr>
              <w:t>(a)</w:t>
            </w:r>
          </w:p>
        </w:tc>
        <w:tc>
          <w:tcPr>
            <w:tcW w:w="140" w:type="dxa"/>
            <w:vAlign w:val="bottom"/>
            <w:shd w:val="clear" w:color="auto" w:fill="010035"/>
          </w:tcPr>
          <w:p>
            <w:pPr>
              <w:spacing w:after="0"/>
              <w:rPr>
                <w:sz w:val="7"/>
                <w:szCs w:val="7"/>
                <w:color w:val="auto"/>
              </w:rPr>
            </w:pPr>
          </w:p>
        </w:tc>
        <w:tc>
          <w:tcPr>
            <w:tcW w:w="1520" w:type="dxa"/>
            <w:vAlign w:val="bottom"/>
            <w:vMerge w:val="restart"/>
            <w:shd w:val="clear" w:color="auto" w:fill="010035"/>
          </w:tcPr>
          <w:p>
            <w:pPr>
              <w:jc w:val="center"/>
              <w:ind w:right="68"/>
              <w:spacing w:after="0"/>
              <w:rPr>
                <w:sz w:val="20"/>
                <w:szCs w:val="20"/>
                <w:color w:val="auto"/>
              </w:rPr>
            </w:pPr>
            <w:r>
              <w:rPr>
                <w:rFonts w:ascii="Arial" w:cs="Arial" w:eastAsia="Arial" w:hAnsi="Arial"/>
                <w:sz w:val="14"/>
                <w:szCs w:val="14"/>
                <w:b w:val="1"/>
                <w:bCs w:val="1"/>
                <w:color w:val="FFFFFF"/>
                <w:w w:val="83"/>
              </w:rPr>
              <w:t xml:space="preserve">($) </w:t>
            </w:r>
            <w:r>
              <w:rPr>
                <w:rFonts w:ascii="Arial" w:cs="Arial" w:eastAsia="Arial" w:hAnsi="Arial"/>
                <w:sz w:val="23"/>
                <w:szCs w:val="23"/>
                <w:b w:val="1"/>
                <w:bCs w:val="1"/>
                <w:color w:val="FFFFFF"/>
                <w:w w:val="83"/>
                <w:vertAlign w:val="superscript"/>
              </w:rPr>
              <w:t>(b)</w:t>
            </w:r>
          </w:p>
        </w:tc>
        <w:tc>
          <w:tcPr>
            <w:tcW w:w="160" w:type="dxa"/>
            <w:vAlign w:val="bottom"/>
            <w:shd w:val="clear" w:color="auto" w:fill="010035"/>
          </w:tcPr>
          <w:p>
            <w:pPr>
              <w:spacing w:after="0"/>
              <w:rPr>
                <w:sz w:val="7"/>
                <w:szCs w:val="7"/>
                <w:color w:val="auto"/>
              </w:rPr>
            </w:pPr>
          </w:p>
        </w:tc>
        <w:tc>
          <w:tcPr>
            <w:tcW w:w="1480" w:type="dxa"/>
            <w:vAlign w:val="bottom"/>
            <w:tcBorders>
              <w:right w:val="single" w:sz="8" w:color="69439A"/>
            </w:tcBorders>
            <w:vMerge w:val="restart"/>
            <w:shd w:val="clear" w:color="auto" w:fill="010035"/>
          </w:tcPr>
          <w:p>
            <w:pPr>
              <w:jc w:val="center"/>
              <w:ind w:right="88"/>
              <w:spacing w:after="0"/>
              <w:rPr>
                <w:sz w:val="20"/>
                <w:szCs w:val="20"/>
                <w:color w:val="auto"/>
              </w:rPr>
            </w:pPr>
            <w:r>
              <w:rPr>
                <w:rFonts w:ascii="Arial" w:cs="Arial" w:eastAsia="Arial" w:hAnsi="Arial"/>
                <w:sz w:val="14"/>
                <w:szCs w:val="14"/>
                <w:b w:val="1"/>
                <w:bCs w:val="1"/>
                <w:color w:val="FFFFFF"/>
                <w:w w:val="80"/>
              </w:rPr>
              <w:t xml:space="preserve">($) </w:t>
            </w:r>
            <w:r>
              <w:rPr>
                <w:rFonts w:ascii="Arial" w:cs="Arial" w:eastAsia="Arial" w:hAnsi="Arial"/>
                <w:sz w:val="23"/>
                <w:szCs w:val="23"/>
                <w:b w:val="1"/>
                <w:bCs w:val="1"/>
                <w:color w:val="FFFFFF"/>
                <w:w w:val="80"/>
                <w:vertAlign w:val="superscript"/>
              </w:rPr>
              <w:t>(c)</w:t>
            </w:r>
          </w:p>
        </w:tc>
        <w:tc>
          <w:tcPr>
            <w:tcW w:w="160" w:type="dxa"/>
            <w:vAlign w:val="bottom"/>
            <w:shd w:val="clear" w:color="auto" w:fill="010035"/>
          </w:tcPr>
          <w:p>
            <w:pPr>
              <w:spacing w:after="0"/>
              <w:rPr>
                <w:sz w:val="7"/>
                <w:szCs w:val="7"/>
                <w:color w:val="auto"/>
              </w:rPr>
            </w:pPr>
          </w:p>
        </w:tc>
        <w:tc>
          <w:tcPr>
            <w:tcW w:w="1300" w:type="dxa"/>
            <w:vAlign w:val="bottom"/>
            <w:tcBorders>
              <w:right w:val="single" w:sz="8" w:color="69439A"/>
            </w:tcBorders>
            <w:vMerge w:val="restart"/>
            <w:shd w:val="clear" w:color="auto" w:fill="010035"/>
          </w:tcPr>
          <w:p>
            <w:pPr>
              <w:jc w:val="center"/>
              <w:ind w:right="88"/>
              <w:spacing w:after="0"/>
              <w:rPr>
                <w:sz w:val="20"/>
                <w:szCs w:val="20"/>
                <w:color w:val="auto"/>
              </w:rPr>
            </w:pPr>
            <w:r>
              <w:rPr>
                <w:rFonts w:ascii="Arial" w:cs="Arial" w:eastAsia="Arial" w:hAnsi="Arial"/>
                <w:sz w:val="14"/>
                <w:szCs w:val="14"/>
                <w:b w:val="1"/>
                <w:bCs w:val="1"/>
                <w:color w:val="FFFFFF"/>
                <w:w w:val="83"/>
              </w:rPr>
              <w:t xml:space="preserve">($) </w:t>
            </w:r>
            <w:r>
              <w:rPr>
                <w:rFonts w:ascii="Arial" w:cs="Arial" w:eastAsia="Arial" w:hAnsi="Arial"/>
                <w:sz w:val="23"/>
                <w:szCs w:val="23"/>
                <w:b w:val="1"/>
                <w:bCs w:val="1"/>
                <w:color w:val="FFFFFF"/>
                <w:w w:val="83"/>
                <w:vertAlign w:val="superscript"/>
              </w:rPr>
              <w:t>(d)</w:t>
            </w:r>
          </w:p>
        </w:tc>
        <w:tc>
          <w:tcPr>
            <w:tcW w:w="160" w:type="dxa"/>
            <w:vAlign w:val="bottom"/>
            <w:shd w:val="clear" w:color="auto" w:fill="010035"/>
          </w:tcPr>
          <w:p>
            <w:pPr>
              <w:spacing w:after="0"/>
              <w:rPr>
                <w:sz w:val="7"/>
                <w:szCs w:val="7"/>
                <w:color w:val="auto"/>
              </w:rPr>
            </w:pPr>
          </w:p>
        </w:tc>
        <w:tc>
          <w:tcPr>
            <w:tcW w:w="1200" w:type="dxa"/>
            <w:vAlign w:val="bottom"/>
            <w:vMerge w:val="continue"/>
            <w:shd w:val="clear" w:color="auto" w:fill="010035"/>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40" w:type="dxa"/>
            <w:vAlign w:val="bottom"/>
            <w:shd w:val="clear" w:color="auto" w:fill="010035"/>
          </w:tcPr>
          <w:p>
            <w:pPr>
              <w:spacing w:after="0"/>
              <w:rPr>
                <w:sz w:val="23"/>
                <w:szCs w:val="23"/>
                <w:color w:val="auto"/>
              </w:rPr>
            </w:pPr>
          </w:p>
        </w:tc>
        <w:tc>
          <w:tcPr>
            <w:tcW w:w="1560" w:type="dxa"/>
            <w:vAlign w:val="bottom"/>
            <w:tcBorders>
              <w:right w:val="single" w:sz="8" w:color="69439A"/>
            </w:tcBorders>
            <w:shd w:val="clear" w:color="auto" w:fill="010035"/>
          </w:tcPr>
          <w:p>
            <w:pPr>
              <w:spacing w:after="0"/>
              <w:rPr>
                <w:sz w:val="23"/>
                <w:szCs w:val="23"/>
                <w:color w:val="auto"/>
              </w:rPr>
            </w:pPr>
          </w:p>
        </w:tc>
        <w:tc>
          <w:tcPr>
            <w:tcW w:w="140" w:type="dxa"/>
            <w:vAlign w:val="bottom"/>
            <w:shd w:val="clear" w:color="auto" w:fill="010035"/>
          </w:tcPr>
          <w:p>
            <w:pPr>
              <w:spacing w:after="0"/>
              <w:rPr>
                <w:sz w:val="23"/>
                <w:szCs w:val="23"/>
                <w:color w:val="auto"/>
              </w:rPr>
            </w:pPr>
          </w:p>
        </w:tc>
        <w:tc>
          <w:tcPr>
            <w:tcW w:w="1540" w:type="dxa"/>
            <w:vAlign w:val="bottom"/>
            <w:tcBorders>
              <w:right w:val="single" w:sz="8" w:color="69439A"/>
            </w:tcBorders>
            <w:vMerge w:val="continue"/>
            <w:shd w:val="clear" w:color="auto" w:fill="010035"/>
          </w:tcPr>
          <w:p>
            <w:pPr>
              <w:spacing w:after="0"/>
              <w:rPr>
                <w:sz w:val="23"/>
                <w:szCs w:val="23"/>
                <w:color w:val="auto"/>
              </w:rPr>
            </w:pPr>
          </w:p>
        </w:tc>
        <w:tc>
          <w:tcPr>
            <w:tcW w:w="140" w:type="dxa"/>
            <w:vAlign w:val="bottom"/>
            <w:shd w:val="clear" w:color="auto" w:fill="010035"/>
          </w:tcPr>
          <w:p>
            <w:pPr>
              <w:spacing w:after="0"/>
              <w:rPr>
                <w:sz w:val="23"/>
                <w:szCs w:val="23"/>
                <w:color w:val="auto"/>
              </w:rPr>
            </w:pPr>
          </w:p>
        </w:tc>
        <w:tc>
          <w:tcPr>
            <w:tcW w:w="1520" w:type="dxa"/>
            <w:vAlign w:val="bottom"/>
            <w:vMerge w:val="continue"/>
            <w:shd w:val="clear" w:color="auto" w:fill="010035"/>
          </w:tcPr>
          <w:p>
            <w:pPr>
              <w:spacing w:after="0"/>
              <w:rPr>
                <w:sz w:val="23"/>
                <w:szCs w:val="23"/>
                <w:color w:val="auto"/>
              </w:rPr>
            </w:pPr>
          </w:p>
        </w:tc>
        <w:tc>
          <w:tcPr>
            <w:tcW w:w="160" w:type="dxa"/>
            <w:vAlign w:val="bottom"/>
            <w:shd w:val="clear" w:color="auto" w:fill="010035"/>
          </w:tcPr>
          <w:p>
            <w:pPr>
              <w:spacing w:after="0"/>
              <w:rPr>
                <w:sz w:val="23"/>
                <w:szCs w:val="23"/>
                <w:color w:val="auto"/>
              </w:rPr>
            </w:pPr>
          </w:p>
        </w:tc>
        <w:tc>
          <w:tcPr>
            <w:tcW w:w="1480" w:type="dxa"/>
            <w:vAlign w:val="bottom"/>
            <w:tcBorders>
              <w:right w:val="single" w:sz="8" w:color="69439A"/>
            </w:tcBorders>
            <w:vMerge w:val="continue"/>
            <w:shd w:val="clear" w:color="auto" w:fill="010035"/>
          </w:tcPr>
          <w:p>
            <w:pPr>
              <w:spacing w:after="0"/>
              <w:rPr>
                <w:sz w:val="23"/>
                <w:szCs w:val="23"/>
                <w:color w:val="auto"/>
              </w:rPr>
            </w:pPr>
          </w:p>
        </w:tc>
        <w:tc>
          <w:tcPr>
            <w:tcW w:w="160" w:type="dxa"/>
            <w:vAlign w:val="bottom"/>
            <w:shd w:val="clear" w:color="auto" w:fill="010035"/>
          </w:tcPr>
          <w:p>
            <w:pPr>
              <w:spacing w:after="0"/>
              <w:rPr>
                <w:sz w:val="23"/>
                <w:szCs w:val="23"/>
                <w:color w:val="auto"/>
              </w:rPr>
            </w:pPr>
          </w:p>
        </w:tc>
        <w:tc>
          <w:tcPr>
            <w:tcW w:w="1300" w:type="dxa"/>
            <w:vAlign w:val="bottom"/>
            <w:tcBorders>
              <w:right w:val="single" w:sz="8" w:color="69439A"/>
            </w:tcBorders>
            <w:vMerge w:val="continue"/>
            <w:shd w:val="clear" w:color="auto" w:fill="010035"/>
          </w:tcPr>
          <w:p>
            <w:pPr>
              <w:spacing w:after="0"/>
              <w:rPr>
                <w:sz w:val="23"/>
                <w:szCs w:val="23"/>
                <w:color w:val="auto"/>
              </w:rPr>
            </w:pPr>
          </w:p>
        </w:tc>
        <w:tc>
          <w:tcPr>
            <w:tcW w:w="160" w:type="dxa"/>
            <w:vAlign w:val="bottom"/>
            <w:shd w:val="clear" w:color="auto" w:fill="010035"/>
          </w:tcPr>
          <w:p>
            <w:pPr>
              <w:spacing w:after="0"/>
              <w:rPr>
                <w:sz w:val="23"/>
                <w:szCs w:val="23"/>
                <w:color w:val="auto"/>
              </w:rPr>
            </w:pPr>
          </w:p>
        </w:tc>
        <w:tc>
          <w:tcPr>
            <w:tcW w:w="120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85"/>
              </w:rPr>
              <w:t xml:space="preserve">($) </w:t>
            </w:r>
            <w:r>
              <w:rPr>
                <w:rFonts w:ascii="Arial" w:cs="Arial" w:eastAsia="Arial" w:hAnsi="Arial"/>
                <w:sz w:val="23"/>
                <w:szCs w:val="23"/>
                <w:b w:val="1"/>
                <w:bCs w:val="1"/>
                <w:color w:val="FFFFFF"/>
                <w:w w:val="85"/>
                <w:vertAlign w:val="superscript"/>
              </w:rPr>
              <w:t>(e)</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560" w:type="dxa"/>
            <w:vAlign w:val="bottom"/>
          </w:tcPr>
          <w:p>
            <w:pPr>
              <w:ind w:left="40"/>
              <w:spacing w:after="0"/>
              <w:rPr>
                <w:sz w:val="20"/>
                <w:szCs w:val="20"/>
                <w:color w:val="auto"/>
              </w:rPr>
            </w:pPr>
            <w:r>
              <w:rPr>
                <w:rFonts w:ascii="Arial" w:cs="Arial" w:eastAsia="Arial" w:hAnsi="Arial"/>
                <w:sz w:val="13"/>
                <w:szCs w:val="13"/>
                <w:color w:val="010035"/>
              </w:rPr>
              <w:t>Jay Snowden</w:t>
            </w:r>
          </w:p>
        </w:tc>
        <w:tc>
          <w:tcPr>
            <w:tcW w:w="1680" w:type="dxa"/>
            <w:vAlign w:val="bottom"/>
            <w:gridSpan w:val="2"/>
          </w:tcPr>
          <w:p>
            <w:pPr>
              <w:jc w:val="center"/>
              <w:spacing w:after="0"/>
              <w:rPr>
                <w:sz w:val="20"/>
                <w:szCs w:val="20"/>
                <w:color w:val="auto"/>
              </w:rPr>
            </w:pPr>
            <w:r>
              <w:rPr>
                <w:rFonts w:ascii="Arial" w:cs="Arial" w:eastAsia="Arial" w:hAnsi="Arial"/>
                <w:sz w:val="13"/>
                <w:szCs w:val="13"/>
                <w:color w:val="010035"/>
                <w:w w:val="97"/>
              </w:rPr>
              <w:t>463,500</w:t>
            </w:r>
          </w:p>
        </w:tc>
        <w:tc>
          <w:tcPr>
            <w:tcW w:w="1660" w:type="dxa"/>
            <w:vAlign w:val="bottom"/>
            <w:gridSpan w:val="2"/>
          </w:tcPr>
          <w:p>
            <w:pPr>
              <w:jc w:val="center"/>
              <w:spacing w:after="0"/>
              <w:rPr>
                <w:sz w:val="20"/>
                <w:szCs w:val="20"/>
                <w:color w:val="auto"/>
              </w:rPr>
            </w:pPr>
            <w:r>
              <w:rPr>
                <w:rFonts w:ascii="Arial" w:cs="Arial" w:eastAsia="Arial" w:hAnsi="Arial"/>
                <w:sz w:val="13"/>
                <w:szCs w:val="13"/>
                <w:color w:val="010035"/>
                <w:w w:val="97"/>
              </w:rPr>
              <w:t>231,750</w:t>
            </w:r>
          </w:p>
        </w:tc>
        <w:tc>
          <w:tcPr>
            <w:tcW w:w="1640" w:type="dxa"/>
            <w:vAlign w:val="bottom"/>
            <w:gridSpan w:val="2"/>
          </w:tcPr>
          <w:p>
            <w:pPr>
              <w:jc w:val="center"/>
              <w:spacing w:after="0"/>
              <w:rPr>
                <w:sz w:val="20"/>
                <w:szCs w:val="20"/>
                <w:color w:val="auto"/>
              </w:rPr>
            </w:pPr>
            <w:r>
              <w:rPr>
                <w:rFonts w:ascii="Arial" w:cs="Arial" w:eastAsia="Arial" w:hAnsi="Arial"/>
                <w:sz w:val="13"/>
                <w:szCs w:val="13"/>
                <w:color w:val="010035"/>
                <w:w w:val="96"/>
              </w:rPr>
              <w:t>1,170,562</w:t>
            </w:r>
          </w:p>
        </w:tc>
        <w:tc>
          <w:tcPr>
            <w:tcW w:w="1460" w:type="dxa"/>
            <w:vAlign w:val="bottom"/>
            <w:gridSpan w:val="2"/>
          </w:tcPr>
          <w:p>
            <w:pPr>
              <w:jc w:val="center"/>
              <w:spacing w:after="0"/>
              <w:rPr>
                <w:sz w:val="20"/>
                <w:szCs w:val="20"/>
                <w:color w:val="auto"/>
              </w:rPr>
            </w:pPr>
            <w:r>
              <w:rPr>
                <w:rFonts w:ascii="Arial" w:cs="Arial" w:eastAsia="Arial" w:hAnsi="Arial"/>
                <w:sz w:val="13"/>
                <w:szCs w:val="13"/>
                <w:color w:val="010035"/>
                <w:w w:val="98"/>
              </w:rPr>
              <w:t>5,608</w:t>
            </w:r>
          </w:p>
        </w:tc>
        <w:tc>
          <w:tcPr>
            <w:tcW w:w="1360" w:type="dxa"/>
            <w:vAlign w:val="bottom"/>
            <w:gridSpan w:val="2"/>
          </w:tcPr>
          <w:p>
            <w:pPr>
              <w:jc w:val="center"/>
              <w:ind w:left="57"/>
              <w:spacing w:after="0"/>
              <w:rPr>
                <w:sz w:val="20"/>
                <w:szCs w:val="20"/>
                <w:color w:val="auto"/>
              </w:rPr>
            </w:pPr>
            <w:r>
              <w:rPr>
                <w:rFonts w:ascii="Arial" w:cs="Arial" w:eastAsia="Arial" w:hAnsi="Arial"/>
                <w:sz w:val="13"/>
                <w:szCs w:val="13"/>
                <w:color w:val="010035"/>
                <w:w w:val="96"/>
              </w:rPr>
              <w:t>9,647,600</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680" w:type="dxa"/>
            <w:vAlign w:val="bottom"/>
            <w:gridSpan w:val="2"/>
          </w:tcPr>
          <w:p>
            <w:pPr>
              <w:spacing w:after="0"/>
              <w:rPr>
                <w:sz w:val="5"/>
                <w:szCs w:val="5"/>
                <w:color w:val="auto"/>
              </w:rPr>
            </w:pPr>
          </w:p>
        </w:tc>
        <w:tc>
          <w:tcPr>
            <w:tcW w:w="1660" w:type="dxa"/>
            <w:vAlign w:val="bottom"/>
            <w:gridSpan w:val="2"/>
          </w:tcPr>
          <w:p>
            <w:pPr>
              <w:spacing w:after="0"/>
              <w:rPr>
                <w:sz w:val="5"/>
                <w:szCs w:val="5"/>
                <w:color w:val="auto"/>
              </w:rPr>
            </w:pPr>
          </w:p>
        </w:tc>
        <w:tc>
          <w:tcPr>
            <w:tcW w:w="1640" w:type="dxa"/>
            <w:vAlign w:val="bottom"/>
            <w:gridSpan w:val="2"/>
          </w:tcPr>
          <w:p>
            <w:pPr>
              <w:spacing w:after="0"/>
              <w:rPr>
                <w:sz w:val="5"/>
                <w:szCs w:val="5"/>
                <w:color w:val="auto"/>
              </w:rPr>
            </w:pPr>
          </w:p>
        </w:tc>
        <w:tc>
          <w:tcPr>
            <w:tcW w:w="1460" w:type="dxa"/>
            <w:vAlign w:val="bottom"/>
            <w:gridSpan w:val="2"/>
          </w:tcPr>
          <w:p>
            <w:pPr>
              <w:spacing w:after="0"/>
              <w:rPr>
                <w:sz w:val="5"/>
                <w:szCs w:val="5"/>
                <w:color w:val="auto"/>
              </w:rPr>
            </w:pPr>
          </w:p>
        </w:tc>
        <w:tc>
          <w:tcPr>
            <w:tcW w:w="13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DED8EC"/>
          </w:tcPr>
          <w:p>
            <w:pPr>
              <w:spacing w:after="0"/>
              <w:rPr>
                <w:sz w:val="18"/>
                <w:szCs w:val="18"/>
                <w:color w:val="auto"/>
              </w:rPr>
            </w:pPr>
          </w:p>
        </w:tc>
        <w:tc>
          <w:tcPr>
            <w:tcW w:w="1560" w:type="dxa"/>
            <w:vAlign w:val="bottom"/>
            <w:tcBorders>
              <w:right w:val="single" w:sz="8" w:color="DED8EC"/>
            </w:tcBorders>
            <w:shd w:val="clear" w:color="auto" w:fill="DED8EC"/>
          </w:tcPr>
          <w:p>
            <w:pPr>
              <w:ind w:left="40"/>
              <w:spacing w:after="0"/>
              <w:rPr>
                <w:sz w:val="20"/>
                <w:szCs w:val="20"/>
                <w:color w:val="auto"/>
              </w:rPr>
            </w:pPr>
            <w:r>
              <w:rPr>
                <w:rFonts w:ascii="Arial" w:cs="Arial" w:eastAsia="Arial" w:hAnsi="Arial"/>
                <w:sz w:val="13"/>
                <w:szCs w:val="13"/>
                <w:color w:val="010035"/>
              </w:rPr>
              <w:t>Felicia Hendrix</w:t>
            </w:r>
          </w:p>
        </w:tc>
        <w:tc>
          <w:tcPr>
            <w:tcW w:w="1680" w:type="dxa"/>
            <w:vAlign w:val="bottom"/>
            <w:tcBorders>
              <w:right w:val="single" w:sz="8" w:color="DED8EC"/>
            </w:tcBorders>
            <w:gridSpan w:val="2"/>
            <w:shd w:val="clear" w:color="auto" w:fill="DED8EC"/>
          </w:tcPr>
          <w:p>
            <w:pPr>
              <w:jc w:val="center"/>
              <w:spacing w:after="0"/>
              <w:rPr>
                <w:sz w:val="20"/>
                <w:szCs w:val="20"/>
                <w:color w:val="auto"/>
              </w:rPr>
            </w:pPr>
            <w:r>
              <w:rPr>
                <w:rFonts w:ascii="Arial" w:cs="Arial" w:eastAsia="Arial" w:hAnsi="Arial"/>
                <w:sz w:val="13"/>
                <w:szCs w:val="13"/>
                <w:color w:val="010035"/>
                <w:w w:val="97"/>
              </w:rPr>
              <w:t>163,450</w:t>
            </w:r>
          </w:p>
        </w:tc>
        <w:tc>
          <w:tcPr>
            <w:tcW w:w="1660" w:type="dxa"/>
            <w:vAlign w:val="bottom"/>
            <w:gridSpan w:val="2"/>
            <w:shd w:val="clear" w:color="auto" w:fill="DED8EC"/>
          </w:tcPr>
          <w:p>
            <w:pPr>
              <w:jc w:val="center"/>
              <w:spacing w:after="0"/>
              <w:rPr>
                <w:sz w:val="20"/>
                <w:szCs w:val="20"/>
                <w:color w:val="auto"/>
              </w:rPr>
            </w:pPr>
            <w:r>
              <w:rPr>
                <w:rFonts w:ascii="Arial" w:cs="Arial" w:eastAsia="Arial" w:hAnsi="Arial"/>
                <w:sz w:val="13"/>
                <w:szCs w:val="13"/>
                <w:color w:val="010035"/>
                <w:w w:val="95"/>
              </w:rPr>
              <w:t>81,725</w:t>
            </w:r>
          </w:p>
        </w:tc>
        <w:tc>
          <w:tcPr>
            <w:tcW w:w="1640" w:type="dxa"/>
            <w:vAlign w:val="bottom"/>
            <w:tcBorders>
              <w:right w:val="single" w:sz="8" w:color="DED8EC"/>
            </w:tcBorders>
            <w:gridSpan w:val="2"/>
            <w:shd w:val="clear" w:color="auto" w:fill="DED8EC"/>
          </w:tcPr>
          <w:p>
            <w:pPr>
              <w:jc w:val="center"/>
              <w:spacing w:after="0"/>
              <w:rPr>
                <w:sz w:val="20"/>
                <w:szCs w:val="20"/>
                <w:color w:val="auto"/>
              </w:rPr>
            </w:pPr>
            <w:r>
              <w:rPr>
                <w:rFonts w:ascii="Arial" w:cs="Arial" w:eastAsia="Arial" w:hAnsi="Arial"/>
                <w:sz w:val="13"/>
                <w:szCs w:val="13"/>
                <w:color w:val="010035"/>
                <w:w w:val="97"/>
              </w:rPr>
              <w:t>231,717</w:t>
            </w:r>
          </w:p>
        </w:tc>
        <w:tc>
          <w:tcPr>
            <w:tcW w:w="1460" w:type="dxa"/>
            <w:vAlign w:val="bottom"/>
            <w:tcBorders>
              <w:right w:val="single" w:sz="8" w:color="DED8EC"/>
            </w:tcBorders>
            <w:gridSpan w:val="2"/>
            <w:shd w:val="clear" w:color="auto" w:fill="DED8EC"/>
          </w:tcPr>
          <w:p>
            <w:pPr>
              <w:jc w:val="center"/>
              <w:spacing w:after="0"/>
              <w:rPr>
                <w:sz w:val="20"/>
                <w:szCs w:val="20"/>
                <w:color w:val="auto"/>
              </w:rPr>
            </w:pPr>
            <w:r>
              <w:rPr>
                <w:rFonts w:ascii="Arial" w:cs="Arial" w:eastAsia="Arial" w:hAnsi="Arial"/>
                <w:sz w:val="13"/>
                <w:szCs w:val="13"/>
                <w:color w:val="010035"/>
                <w:w w:val="98"/>
              </w:rPr>
              <w:t>3,176</w:t>
            </w:r>
          </w:p>
        </w:tc>
        <w:tc>
          <w:tcPr>
            <w:tcW w:w="1360" w:type="dxa"/>
            <w:vAlign w:val="bottom"/>
            <w:gridSpan w:val="2"/>
            <w:shd w:val="clear" w:color="auto" w:fill="DED8EC"/>
          </w:tcPr>
          <w:p>
            <w:pPr>
              <w:jc w:val="center"/>
              <w:ind w:left="57"/>
              <w:spacing w:after="0"/>
              <w:rPr>
                <w:sz w:val="20"/>
                <w:szCs w:val="20"/>
                <w:color w:val="auto"/>
              </w:rPr>
            </w:pPr>
            <w:r>
              <w:rPr>
                <w:rFonts w:ascii="Arial" w:cs="Arial" w:eastAsia="Arial" w:hAnsi="Arial"/>
                <w:sz w:val="13"/>
                <w:szCs w:val="13"/>
                <w:color w:val="010035"/>
                <w:w w:val="96"/>
              </w:rPr>
              <w:t>1,547,087</w:t>
            </w:r>
          </w:p>
        </w:tc>
        <w:tc>
          <w:tcPr>
            <w:tcW w:w="0" w:type="dxa"/>
            <w:vAlign w:val="bottom"/>
          </w:tcPr>
          <w:p>
            <w:pPr>
              <w:spacing w:after="0"/>
              <w:rPr>
                <w:sz w:val="1"/>
                <w:szCs w:val="1"/>
                <w:color w:val="auto"/>
              </w:rPr>
            </w:pPr>
          </w:p>
        </w:tc>
      </w:tr>
      <w:tr>
        <w:trPr>
          <w:trHeight w:val="68"/>
        </w:trPr>
        <w:tc>
          <w:tcPr>
            <w:tcW w:w="40" w:type="dxa"/>
            <w:vAlign w:val="bottom"/>
            <w:shd w:val="clear" w:color="auto" w:fill="DED8EC"/>
          </w:tcPr>
          <w:p>
            <w:pPr>
              <w:spacing w:after="0"/>
              <w:rPr>
                <w:sz w:val="5"/>
                <w:szCs w:val="5"/>
                <w:color w:val="auto"/>
              </w:rPr>
            </w:pPr>
          </w:p>
        </w:tc>
        <w:tc>
          <w:tcPr>
            <w:tcW w:w="1560" w:type="dxa"/>
            <w:vAlign w:val="bottom"/>
            <w:tcBorders>
              <w:right w:val="single" w:sz="8" w:color="DED8EC"/>
            </w:tcBorders>
            <w:shd w:val="clear" w:color="auto" w:fill="DED8EC"/>
          </w:tcPr>
          <w:p>
            <w:pPr>
              <w:spacing w:after="0"/>
              <w:rPr>
                <w:sz w:val="5"/>
                <w:szCs w:val="5"/>
                <w:color w:val="auto"/>
              </w:rPr>
            </w:pPr>
          </w:p>
        </w:tc>
        <w:tc>
          <w:tcPr>
            <w:tcW w:w="1680" w:type="dxa"/>
            <w:vAlign w:val="bottom"/>
            <w:tcBorders>
              <w:right w:val="single" w:sz="8" w:color="DED8EC"/>
            </w:tcBorders>
            <w:gridSpan w:val="2"/>
            <w:shd w:val="clear" w:color="auto" w:fill="DED8EC"/>
          </w:tcPr>
          <w:p>
            <w:pPr>
              <w:spacing w:after="0"/>
              <w:rPr>
                <w:sz w:val="5"/>
                <w:szCs w:val="5"/>
                <w:color w:val="auto"/>
              </w:rPr>
            </w:pPr>
          </w:p>
        </w:tc>
        <w:tc>
          <w:tcPr>
            <w:tcW w:w="1660" w:type="dxa"/>
            <w:vAlign w:val="bottom"/>
            <w:gridSpan w:val="2"/>
            <w:shd w:val="clear" w:color="auto" w:fill="DED8EC"/>
          </w:tcPr>
          <w:p>
            <w:pPr>
              <w:spacing w:after="0"/>
              <w:rPr>
                <w:sz w:val="5"/>
                <w:szCs w:val="5"/>
                <w:color w:val="auto"/>
              </w:rPr>
            </w:pPr>
          </w:p>
        </w:tc>
        <w:tc>
          <w:tcPr>
            <w:tcW w:w="1640" w:type="dxa"/>
            <w:vAlign w:val="bottom"/>
            <w:tcBorders>
              <w:right w:val="single" w:sz="8" w:color="DED8EC"/>
            </w:tcBorders>
            <w:gridSpan w:val="2"/>
            <w:shd w:val="clear" w:color="auto" w:fill="DED8EC"/>
          </w:tcPr>
          <w:p>
            <w:pPr>
              <w:spacing w:after="0"/>
              <w:rPr>
                <w:sz w:val="5"/>
                <w:szCs w:val="5"/>
                <w:color w:val="auto"/>
              </w:rPr>
            </w:pPr>
          </w:p>
        </w:tc>
        <w:tc>
          <w:tcPr>
            <w:tcW w:w="1460" w:type="dxa"/>
            <w:vAlign w:val="bottom"/>
            <w:tcBorders>
              <w:right w:val="single" w:sz="8" w:color="DED8EC"/>
            </w:tcBorders>
            <w:gridSpan w:val="2"/>
            <w:shd w:val="clear" w:color="auto" w:fill="DED8EC"/>
          </w:tcPr>
          <w:p>
            <w:pPr>
              <w:spacing w:after="0"/>
              <w:rPr>
                <w:sz w:val="5"/>
                <w:szCs w:val="5"/>
                <w:color w:val="auto"/>
              </w:rPr>
            </w:pPr>
          </w:p>
        </w:tc>
        <w:tc>
          <w:tcPr>
            <w:tcW w:w="1360" w:type="dxa"/>
            <w:vAlign w:val="bottom"/>
            <w:gridSpan w:val="2"/>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560" w:type="dxa"/>
            <w:vAlign w:val="bottom"/>
          </w:tcPr>
          <w:p>
            <w:pPr>
              <w:ind w:left="40"/>
              <w:spacing w:after="0"/>
              <w:rPr>
                <w:sz w:val="20"/>
                <w:szCs w:val="20"/>
                <w:color w:val="auto"/>
              </w:rPr>
            </w:pPr>
            <w:r>
              <w:rPr>
                <w:rFonts w:ascii="Arial" w:cs="Arial" w:eastAsia="Arial" w:hAnsi="Arial"/>
                <w:sz w:val="13"/>
                <w:szCs w:val="13"/>
                <w:color w:val="010035"/>
              </w:rPr>
              <w:t>Chris Rogers</w:t>
            </w:r>
          </w:p>
        </w:tc>
        <w:tc>
          <w:tcPr>
            <w:tcW w:w="1680" w:type="dxa"/>
            <w:vAlign w:val="bottom"/>
            <w:gridSpan w:val="2"/>
          </w:tcPr>
          <w:p>
            <w:pPr>
              <w:jc w:val="center"/>
              <w:spacing w:after="0"/>
              <w:rPr>
                <w:sz w:val="20"/>
                <w:szCs w:val="20"/>
                <w:color w:val="auto"/>
              </w:rPr>
            </w:pPr>
            <w:r>
              <w:rPr>
                <w:rFonts w:ascii="Arial" w:cs="Arial" w:eastAsia="Arial" w:hAnsi="Arial"/>
                <w:sz w:val="13"/>
                <w:szCs w:val="13"/>
                <w:color w:val="010035"/>
                <w:w w:val="97"/>
              </w:rPr>
              <w:t>217,934</w:t>
            </w:r>
          </w:p>
        </w:tc>
        <w:tc>
          <w:tcPr>
            <w:tcW w:w="1660" w:type="dxa"/>
            <w:vAlign w:val="bottom"/>
            <w:gridSpan w:val="2"/>
          </w:tcPr>
          <w:p>
            <w:pPr>
              <w:jc w:val="center"/>
              <w:spacing w:after="0"/>
              <w:rPr>
                <w:sz w:val="20"/>
                <w:szCs w:val="20"/>
                <w:color w:val="auto"/>
              </w:rPr>
            </w:pPr>
            <w:r>
              <w:rPr>
                <w:rFonts w:ascii="Arial" w:cs="Arial" w:eastAsia="Arial" w:hAnsi="Arial"/>
                <w:sz w:val="13"/>
                <w:szCs w:val="13"/>
                <w:color w:val="010035"/>
                <w:w w:val="95"/>
              </w:rPr>
              <w:t>72,645</w:t>
            </w:r>
          </w:p>
        </w:tc>
        <w:tc>
          <w:tcPr>
            <w:tcW w:w="1640" w:type="dxa"/>
            <w:vAlign w:val="bottom"/>
            <w:gridSpan w:val="2"/>
          </w:tcPr>
          <w:p>
            <w:pPr>
              <w:jc w:val="center"/>
              <w:spacing w:after="0"/>
              <w:rPr>
                <w:sz w:val="20"/>
                <w:szCs w:val="20"/>
                <w:color w:val="auto"/>
              </w:rPr>
            </w:pPr>
            <w:r>
              <w:rPr>
                <w:rFonts w:ascii="Arial" w:cs="Arial" w:eastAsia="Arial" w:hAnsi="Arial"/>
                <w:sz w:val="13"/>
                <w:szCs w:val="13"/>
                <w:color w:val="010035"/>
                <w:w w:val="97"/>
              </w:rPr>
              <w:t>274,848</w:t>
            </w:r>
          </w:p>
        </w:tc>
        <w:tc>
          <w:tcPr>
            <w:tcW w:w="1460" w:type="dxa"/>
            <w:vAlign w:val="bottom"/>
            <w:gridSpan w:val="2"/>
          </w:tcPr>
          <w:p>
            <w:pPr>
              <w:jc w:val="center"/>
              <w:spacing w:after="0"/>
              <w:rPr>
                <w:sz w:val="20"/>
                <w:szCs w:val="20"/>
                <w:color w:val="auto"/>
              </w:rPr>
            </w:pPr>
            <w:r>
              <w:rPr>
                <w:rFonts w:ascii="Arial" w:cs="Arial" w:eastAsia="Arial" w:hAnsi="Arial"/>
                <w:sz w:val="13"/>
                <w:szCs w:val="13"/>
                <w:color w:val="010035"/>
                <w:w w:val="98"/>
              </w:rPr>
              <w:t>1,754</w:t>
            </w:r>
          </w:p>
        </w:tc>
        <w:tc>
          <w:tcPr>
            <w:tcW w:w="1360" w:type="dxa"/>
            <w:vAlign w:val="bottom"/>
            <w:gridSpan w:val="2"/>
          </w:tcPr>
          <w:p>
            <w:pPr>
              <w:jc w:val="center"/>
              <w:ind w:left="57"/>
              <w:spacing w:after="0"/>
              <w:rPr>
                <w:sz w:val="20"/>
                <w:szCs w:val="20"/>
                <w:color w:val="auto"/>
              </w:rPr>
            </w:pPr>
            <w:r>
              <w:rPr>
                <w:rFonts w:ascii="Arial" w:cs="Arial" w:eastAsia="Arial" w:hAnsi="Arial"/>
                <w:sz w:val="13"/>
                <w:szCs w:val="13"/>
                <w:color w:val="010035"/>
                <w:w w:val="96"/>
              </w:rPr>
              <w:t>2,343,778</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680" w:type="dxa"/>
            <w:vAlign w:val="bottom"/>
            <w:gridSpan w:val="2"/>
          </w:tcPr>
          <w:p>
            <w:pPr>
              <w:spacing w:after="0"/>
              <w:rPr>
                <w:sz w:val="5"/>
                <w:szCs w:val="5"/>
                <w:color w:val="auto"/>
              </w:rPr>
            </w:pPr>
          </w:p>
        </w:tc>
        <w:tc>
          <w:tcPr>
            <w:tcW w:w="1660" w:type="dxa"/>
            <w:vAlign w:val="bottom"/>
            <w:gridSpan w:val="2"/>
          </w:tcPr>
          <w:p>
            <w:pPr>
              <w:spacing w:after="0"/>
              <w:rPr>
                <w:sz w:val="5"/>
                <w:szCs w:val="5"/>
                <w:color w:val="auto"/>
              </w:rPr>
            </w:pPr>
          </w:p>
        </w:tc>
        <w:tc>
          <w:tcPr>
            <w:tcW w:w="1640" w:type="dxa"/>
            <w:vAlign w:val="bottom"/>
            <w:gridSpan w:val="2"/>
          </w:tcPr>
          <w:p>
            <w:pPr>
              <w:spacing w:after="0"/>
              <w:rPr>
                <w:sz w:val="5"/>
                <w:szCs w:val="5"/>
                <w:color w:val="auto"/>
              </w:rPr>
            </w:pPr>
          </w:p>
        </w:tc>
        <w:tc>
          <w:tcPr>
            <w:tcW w:w="1460" w:type="dxa"/>
            <w:vAlign w:val="bottom"/>
            <w:gridSpan w:val="2"/>
          </w:tcPr>
          <w:p>
            <w:pPr>
              <w:spacing w:after="0"/>
              <w:rPr>
                <w:sz w:val="5"/>
                <w:szCs w:val="5"/>
                <w:color w:val="auto"/>
              </w:rPr>
            </w:pPr>
          </w:p>
        </w:tc>
        <w:tc>
          <w:tcPr>
            <w:tcW w:w="13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0" w:type="dxa"/>
            <w:vAlign w:val="bottom"/>
            <w:tcBorders>
              <w:bottom w:val="single" w:sz="8" w:color="DED8EC"/>
            </w:tcBorders>
            <w:shd w:val="clear" w:color="auto" w:fill="DED8EC"/>
          </w:tcPr>
          <w:p>
            <w:pPr>
              <w:spacing w:after="0"/>
              <w:rPr>
                <w:sz w:val="20"/>
                <w:szCs w:val="20"/>
                <w:color w:val="auto"/>
              </w:rPr>
            </w:pPr>
          </w:p>
        </w:tc>
        <w:tc>
          <w:tcPr>
            <w:tcW w:w="1560" w:type="dxa"/>
            <w:vAlign w:val="bottom"/>
            <w:tcBorders>
              <w:bottom w:val="single" w:sz="8" w:color="DED8EC"/>
              <w:right w:val="single" w:sz="8" w:color="DED8EC"/>
            </w:tcBorders>
            <w:shd w:val="clear" w:color="auto" w:fill="DED8EC"/>
          </w:tcPr>
          <w:p>
            <w:pPr>
              <w:ind w:left="40"/>
              <w:spacing w:after="0"/>
              <w:rPr>
                <w:sz w:val="20"/>
                <w:szCs w:val="20"/>
                <w:color w:val="auto"/>
              </w:rPr>
            </w:pPr>
            <w:r>
              <w:rPr>
                <w:rFonts w:ascii="Arial" w:cs="Arial" w:eastAsia="Arial" w:hAnsi="Arial"/>
                <w:sz w:val="13"/>
                <w:szCs w:val="13"/>
                <w:color w:val="010035"/>
              </w:rPr>
              <w:t>Todd George</w:t>
            </w:r>
          </w:p>
        </w:tc>
        <w:tc>
          <w:tcPr>
            <w:tcW w:w="1680" w:type="dxa"/>
            <w:vAlign w:val="bottom"/>
            <w:tcBorders>
              <w:bottom w:val="single" w:sz="8" w:color="DED8EC"/>
              <w:right w:val="single" w:sz="8" w:color="DED8EC"/>
            </w:tcBorders>
            <w:gridSpan w:val="2"/>
            <w:shd w:val="clear" w:color="auto" w:fill="DED8EC"/>
          </w:tcPr>
          <w:p>
            <w:pPr>
              <w:jc w:val="center"/>
              <w:spacing w:after="0"/>
              <w:rPr>
                <w:sz w:val="20"/>
                <w:szCs w:val="20"/>
                <w:color w:val="auto"/>
              </w:rPr>
            </w:pPr>
            <w:r>
              <w:rPr>
                <w:rFonts w:ascii="Arial" w:cs="Arial" w:eastAsia="Arial" w:hAnsi="Arial"/>
                <w:sz w:val="13"/>
                <w:szCs w:val="13"/>
                <w:color w:val="010035"/>
                <w:w w:val="97"/>
              </w:rPr>
              <w:t>363,223</w:t>
            </w:r>
          </w:p>
        </w:tc>
        <w:tc>
          <w:tcPr>
            <w:tcW w:w="1660" w:type="dxa"/>
            <w:vAlign w:val="bottom"/>
            <w:tcBorders>
              <w:bottom w:val="single" w:sz="8" w:color="DED8EC"/>
            </w:tcBorders>
            <w:gridSpan w:val="2"/>
            <w:shd w:val="clear" w:color="auto" w:fill="DED8EC"/>
          </w:tcPr>
          <w:p>
            <w:pPr>
              <w:jc w:val="center"/>
              <w:spacing w:after="0"/>
              <w:rPr>
                <w:sz w:val="20"/>
                <w:szCs w:val="20"/>
                <w:color w:val="auto"/>
              </w:rPr>
            </w:pPr>
            <w:r>
              <w:rPr>
                <w:rFonts w:ascii="Arial" w:cs="Arial" w:eastAsia="Arial" w:hAnsi="Arial"/>
                <w:sz w:val="13"/>
                <w:szCs w:val="13"/>
                <w:color w:val="010035"/>
                <w:w w:val="95"/>
              </w:rPr>
              <w:t>90,806</w:t>
            </w:r>
          </w:p>
        </w:tc>
        <w:tc>
          <w:tcPr>
            <w:tcW w:w="1640" w:type="dxa"/>
            <w:vAlign w:val="bottom"/>
            <w:tcBorders>
              <w:bottom w:val="single" w:sz="8" w:color="DED8EC"/>
              <w:right w:val="single" w:sz="8" w:color="DED8EC"/>
            </w:tcBorders>
            <w:gridSpan w:val="2"/>
            <w:shd w:val="clear" w:color="auto" w:fill="DED8EC"/>
          </w:tcPr>
          <w:p>
            <w:pPr>
              <w:jc w:val="center"/>
              <w:spacing w:after="0"/>
              <w:rPr>
                <w:sz w:val="20"/>
                <w:szCs w:val="20"/>
                <w:color w:val="auto"/>
              </w:rPr>
            </w:pPr>
            <w:r>
              <w:rPr>
                <w:rFonts w:ascii="Arial" w:cs="Arial" w:eastAsia="Arial" w:hAnsi="Arial"/>
                <w:sz w:val="13"/>
                <w:szCs w:val="13"/>
                <w:color w:val="010035"/>
                <w:w w:val="97"/>
              </w:rPr>
              <w:t>941,454</w:t>
            </w:r>
          </w:p>
        </w:tc>
        <w:tc>
          <w:tcPr>
            <w:tcW w:w="1460" w:type="dxa"/>
            <w:vAlign w:val="bottom"/>
            <w:tcBorders>
              <w:bottom w:val="single" w:sz="8" w:color="DED8EC"/>
              <w:right w:val="single" w:sz="8" w:color="DED8EC"/>
            </w:tcBorders>
            <w:gridSpan w:val="2"/>
            <w:shd w:val="clear" w:color="auto" w:fill="DED8EC"/>
          </w:tcPr>
          <w:p>
            <w:pPr>
              <w:jc w:val="center"/>
              <w:spacing w:after="0"/>
              <w:rPr>
                <w:sz w:val="20"/>
                <w:szCs w:val="20"/>
                <w:color w:val="auto"/>
              </w:rPr>
            </w:pPr>
            <w:r>
              <w:rPr>
                <w:rFonts w:ascii="Arial" w:cs="Arial" w:eastAsia="Arial" w:hAnsi="Arial"/>
                <w:sz w:val="13"/>
                <w:szCs w:val="13"/>
                <w:color w:val="010035"/>
                <w:w w:val="98"/>
              </w:rPr>
              <w:t>2,192</w:t>
            </w:r>
          </w:p>
        </w:tc>
        <w:tc>
          <w:tcPr>
            <w:tcW w:w="1360" w:type="dxa"/>
            <w:vAlign w:val="bottom"/>
            <w:tcBorders>
              <w:bottom w:val="single" w:sz="8" w:color="DED8EC"/>
            </w:tcBorders>
            <w:gridSpan w:val="2"/>
            <w:shd w:val="clear" w:color="auto" w:fill="DED8EC"/>
          </w:tcPr>
          <w:p>
            <w:pPr>
              <w:jc w:val="center"/>
              <w:ind w:left="57"/>
              <w:spacing w:after="0"/>
              <w:rPr>
                <w:sz w:val="20"/>
                <w:szCs w:val="20"/>
                <w:color w:val="auto"/>
              </w:rPr>
            </w:pPr>
            <w:r>
              <w:rPr>
                <w:rFonts w:ascii="Arial" w:cs="Arial" w:eastAsia="Arial" w:hAnsi="Arial"/>
                <w:sz w:val="13"/>
                <w:szCs w:val="13"/>
                <w:color w:val="010035"/>
                <w:w w:val="96"/>
              </w:rPr>
              <w:t>7,024,074</w:t>
            </w:r>
          </w:p>
        </w:tc>
        <w:tc>
          <w:tcPr>
            <w:tcW w:w="0" w:type="dxa"/>
            <w:vAlign w:val="bottom"/>
          </w:tcPr>
          <w:p>
            <w:pPr>
              <w:spacing w:after="0"/>
              <w:rPr>
                <w:sz w:val="1"/>
                <w:szCs w:val="1"/>
                <w:color w:val="auto"/>
              </w:rPr>
            </w:pPr>
          </w:p>
        </w:tc>
      </w:tr>
      <w:tr>
        <w:trPr>
          <w:trHeight w:val="20"/>
        </w:trPr>
        <w:tc>
          <w:tcPr>
            <w:tcW w:w="40" w:type="dxa"/>
            <w:vAlign w:val="bottom"/>
            <w:shd w:val="clear" w:color="auto" w:fill="010035"/>
          </w:tcPr>
          <w:p>
            <w:pPr>
              <w:spacing w:after="0" w:line="20" w:lineRule="exact"/>
              <w:rPr>
                <w:sz w:val="1"/>
                <w:szCs w:val="1"/>
                <w:color w:val="auto"/>
              </w:rPr>
            </w:pPr>
          </w:p>
        </w:tc>
        <w:tc>
          <w:tcPr>
            <w:tcW w:w="1560" w:type="dxa"/>
            <w:vAlign w:val="bottom"/>
            <w:tcBorders>
              <w:right w:val="single" w:sz="8" w:color="010035"/>
            </w:tcBorders>
            <w:shd w:val="clear" w:color="auto" w:fill="010035"/>
          </w:tcPr>
          <w:p>
            <w:pPr>
              <w:spacing w:after="0" w:line="20" w:lineRule="exact"/>
              <w:rPr>
                <w:sz w:val="1"/>
                <w:szCs w:val="1"/>
                <w:color w:val="auto"/>
              </w:rPr>
            </w:pPr>
          </w:p>
        </w:tc>
        <w:tc>
          <w:tcPr>
            <w:tcW w:w="140" w:type="dxa"/>
            <w:vAlign w:val="bottom"/>
            <w:shd w:val="clear" w:color="auto" w:fill="010035"/>
          </w:tcPr>
          <w:p>
            <w:pPr>
              <w:spacing w:after="0" w:line="20" w:lineRule="exact"/>
              <w:rPr>
                <w:sz w:val="1"/>
                <w:szCs w:val="1"/>
                <w:color w:val="auto"/>
              </w:rPr>
            </w:pPr>
          </w:p>
        </w:tc>
        <w:tc>
          <w:tcPr>
            <w:tcW w:w="1540" w:type="dxa"/>
            <w:vAlign w:val="bottom"/>
            <w:tcBorders>
              <w:right w:val="single" w:sz="8" w:color="010035"/>
            </w:tcBorders>
            <w:shd w:val="clear" w:color="auto" w:fill="010035"/>
          </w:tcPr>
          <w:p>
            <w:pPr>
              <w:spacing w:after="0" w:line="20" w:lineRule="exact"/>
              <w:rPr>
                <w:sz w:val="1"/>
                <w:szCs w:val="1"/>
                <w:color w:val="auto"/>
              </w:rPr>
            </w:pPr>
          </w:p>
        </w:tc>
        <w:tc>
          <w:tcPr>
            <w:tcW w:w="140" w:type="dxa"/>
            <w:vAlign w:val="bottom"/>
            <w:shd w:val="clear" w:color="auto" w:fill="010035"/>
          </w:tcPr>
          <w:p>
            <w:pPr>
              <w:spacing w:after="0" w:line="20" w:lineRule="exact"/>
              <w:rPr>
                <w:sz w:val="1"/>
                <w:szCs w:val="1"/>
                <w:color w:val="auto"/>
              </w:rPr>
            </w:pPr>
          </w:p>
        </w:tc>
        <w:tc>
          <w:tcPr>
            <w:tcW w:w="1520" w:type="dxa"/>
            <w:vAlign w:val="bottom"/>
            <w:shd w:val="clear" w:color="auto" w:fill="010035"/>
          </w:tcPr>
          <w:p>
            <w:pPr>
              <w:spacing w:after="0" w:line="20" w:lineRule="exact"/>
              <w:rPr>
                <w:sz w:val="1"/>
                <w:szCs w:val="1"/>
                <w:color w:val="auto"/>
              </w:rPr>
            </w:pPr>
          </w:p>
        </w:tc>
        <w:tc>
          <w:tcPr>
            <w:tcW w:w="160" w:type="dxa"/>
            <w:vAlign w:val="bottom"/>
            <w:shd w:val="clear" w:color="auto" w:fill="010035"/>
          </w:tcPr>
          <w:p>
            <w:pPr>
              <w:spacing w:after="0" w:line="20" w:lineRule="exact"/>
              <w:rPr>
                <w:sz w:val="1"/>
                <w:szCs w:val="1"/>
                <w:color w:val="auto"/>
              </w:rPr>
            </w:pPr>
          </w:p>
        </w:tc>
        <w:tc>
          <w:tcPr>
            <w:tcW w:w="1480" w:type="dxa"/>
            <w:vAlign w:val="bottom"/>
            <w:tcBorders>
              <w:right w:val="single" w:sz="8" w:color="010035"/>
            </w:tcBorders>
            <w:shd w:val="clear" w:color="auto" w:fill="010035"/>
          </w:tcPr>
          <w:p>
            <w:pPr>
              <w:spacing w:after="0" w:line="20" w:lineRule="exact"/>
              <w:rPr>
                <w:sz w:val="1"/>
                <w:szCs w:val="1"/>
                <w:color w:val="auto"/>
              </w:rPr>
            </w:pPr>
          </w:p>
        </w:tc>
        <w:tc>
          <w:tcPr>
            <w:tcW w:w="160" w:type="dxa"/>
            <w:vAlign w:val="bottom"/>
            <w:shd w:val="clear" w:color="auto" w:fill="010035"/>
          </w:tcPr>
          <w:p>
            <w:pPr>
              <w:spacing w:after="0" w:line="20" w:lineRule="exact"/>
              <w:rPr>
                <w:sz w:val="1"/>
                <w:szCs w:val="1"/>
                <w:color w:val="auto"/>
              </w:rPr>
            </w:pPr>
          </w:p>
        </w:tc>
        <w:tc>
          <w:tcPr>
            <w:tcW w:w="1300" w:type="dxa"/>
            <w:vAlign w:val="bottom"/>
            <w:tcBorders>
              <w:right w:val="single" w:sz="8" w:color="010035"/>
            </w:tcBorders>
            <w:shd w:val="clear" w:color="auto" w:fill="010035"/>
          </w:tcPr>
          <w:p>
            <w:pPr>
              <w:spacing w:after="0" w:line="20" w:lineRule="exact"/>
              <w:rPr>
                <w:sz w:val="1"/>
                <w:szCs w:val="1"/>
                <w:color w:val="auto"/>
              </w:rPr>
            </w:pPr>
          </w:p>
        </w:tc>
        <w:tc>
          <w:tcPr>
            <w:tcW w:w="160" w:type="dxa"/>
            <w:vAlign w:val="bottom"/>
            <w:shd w:val="clear" w:color="auto" w:fill="010035"/>
          </w:tcPr>
          <w:p>
            <w:pPr>
              <w:spacing w:after="0" w:line="20" w:lineRule="exact"/>
              <w:rPr>
                <w:sz w:val="1"/>
                <w:szCs w:val="1"/>
                <w:color w:val="auto"/>
              </w:rPr>
            </w:pPr>
          </w:p>
        </w:tc>
        <w:tc>
          <w:tcPr>
            <w:tcW w:w="1200" w:type="dxa"/>
            <w:vAlign w:val="bottom"/>
            <w:shd w:val="clear" w:color="auto" w:fill="0100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hanging="174"/>
        <w:spacing w:after="0"/>
        <w:tabs>
          <w:tab w:leader="none" w:pos="180" w:val="left"/>
        </w:tabs>
        <w:numPr>
          <w:ilvl w:val="0"/>
          <w:numId w:val="6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Each executive’s contribution is included in the executive’s Salary column for 2025, as reported in the Summary Compensation Table.</w:t>
      </w:r>
    </w:p>
    <w:p>
      <w:pPr>
        <w:spacing w:after="0" w:line="13"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6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For each executive, the Company’s contribution is included in the executive’s All Other Compensation column for 2025 as reported in the Summary Compensation Table.</w:t>
      </w:r>
    </w:p>
    <w:p>
      <w:pPr>
        <w:spacing w:after="0" w:line="8"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6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Amounts reflect the change in account value during fiscal year 2025. No amounts are reported in the Summary Compensation Table because the earnings were not above market or preferential.</w:t>
      </w:r>
    </w:p>
    <w:p>
      <w:pPr>
        <w:spacing w:after="0" w:line="16"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6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Reduction in account balance due to FICA tax owed on 2025 vested company match.</w:t>
      </w:r>
    </w:p>
    <w:p>
      <w:pPr>
        <w:spacing w:after="0" w:line="13"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6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amount of each executive’s aggregate balance at fiscal year-end that was reported as compensation in the Summary Compensation Table for previous years is as follows: (i) Jay Snowden: $2,072,676; (ii)</w:t>
      </w:r>
    </w:p>
    <w:p>
      <w:pPr>
        <w:spacing w:after="0" w:line="1" w:lineRule="exact"/>
        <w:rPr>
          <w:rFonts w:ascii="Times New Roman" w:cs="Times New Roman" w:eastAsia="Times New Roman" w:hAnsi="Times New Roman"/>
          <w:sz w:val="11"/>
          <w:szCs w:val="11"/>
          <w:color w:val="010035"/>
        </w:rPr>
      </w:pPr>
    </w:p>
    <w:p>
      <w:pPr>
        <w:ind w:left="180"/>
        <w:spacing w:after="0"/>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Felicia Hendrix: $356,579; (iii) Chris Rogers: $295,727; and Todd George: $414,020.</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Pursuant to the Company’s Deferred Compensation Plan, as amended, most management and certain other highly compensated employees selected by the committee administering the plan (the “Retirement Committee”) may elect to defer, on a pre-tax basis, a percentage of salary, bonus or combination thereof. The minimum annual deferrable amount is $3,000 and the maximum is 90% of his or her annual base salary and/or bonus. Deferral elections must be made before the beginning of the year in which compensation will be earned. The Company’s contributions under the Deferred Compensation Plan in 2025 were equal to 50% of the participant’s deferral for the first 10% of the salary and/or bonus deferred, subject to a maximum annual Company contribution equal to 5% of the participant’s salary and/or bonus. With the Board’s approval, the Company is also permitted to make discretionary contributions. Participants are always 100% vested in their own contributions, but Company contributions vest 20% per year of service with the Company. Therefore, employees with five or more years of service are fully vested in Company contributions under the Deferred Compensation Plan. However, for employees with less than five years of service, all Company contributions become immediately and fully vested upon death or disability, each as defined in the Deferred Compensation Plan. The Retirement Committee may accelerate vesting of the Company’s contributions if a participant terminates his or her employment because of disability or his or her involuntary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100965</wp:posOffset>
            </wp:positionV>
            <wp:extent cx="699516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Deferred Compensation Plan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Subject to the exceptions discussed below, participants in the Deferred Compensation Plan, or their beneficiaries, receive distributions upon retirement, death or termination of employment. Participants can elect to receive distributions following retirement or death in the form of a lump sum payment or payment in five or ten annual installments. Distributions following retirement can be deferred for at least five years. For purposes of the Deferred Compensation Plan, termination of employment as a result of a disability will be considered retirement.</w:t>
      </w:r>
    </w:p>
    <w:p>
      <w:pPr>
        <w:spacing w:after="0" w:line="69"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Distributions following termination of employment other than as a result of retirement or death will be in the form of a lump sum payment. Participants can also elect to receive a scheduled distribution with respect to an annual deferral amount, which is payable in a lump sum at the beginning of a designated subsequent calendar year, subject to certain limitations. In the event of an unforeseeable financial emergency and with the approval of the Retirement Committee, a participant can suspend deferrals or receive a partial or full payout under the plan. Certain specified employees have a six-month delay imposed upon distributions pursuant to a separation from service, as required by the final Code Section 409A regulations. In the event of a change in control, the Company will accelerate installment payments that are in pay status by paying the account balance in lump sum and will distribute the account balances of all active participants in a lump sum; provided, however, that no distributions (or accelerations of installments) will occur unless the transaction qualifies as a “change in control event” under Code Section 409A.</w:t>
      </w:r>
    </w:p>
    <w:p>
      <w:pPr>
        <w:spacing w:after="0" w:line="78"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Participants in the Deferred Compensation Plan may notionally invest deferred amounts, including Company contributions, in mutual funds selected by the Retirement Committee. Participants may change their investment elections at any time.</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The following tables describe and quantify the compensation that would become payable in the event of a termination of a named executive officer’s employment under several different circumstances or a change in control. The amounts shown are estimates of amounts that would be paid to the named executive officers assuming that such termination or change in control was effective as of December 31, 2025, and include amounts earned through such time and are based (where applicable) on the closing price of the Company’s common stock on such date, which was $14.75 per share. Therefore, the tables below are merely illustrative examples of the impact of a hypothetical termination of employment or change in control. The actual amounts to be paid can only be determined at the time of such named executive officer’s separation from the Company and/or change in control. For a description of the severance and change in control provisions giving rise to the payments set forth below in the Company’s plans and individual agreements, see the summary of executive employment agreement provisions following the post-employment payments tables. In establishing the appropriate payment and benefit levels, the Company evaluates the practices and levels set by companies in its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203200</wp:posOffset>
            </wp:positionV>
            <wp:extent cx="699516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22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Post-Employment Payments — Jay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560" w:type="dxa"/>
            <w:vAlign w:val="bottom"/>
            <w:tcBorders>
              <w:top w:val="single" w:sz="8" w:color="69439A"/>
            </w:tcBorders>
            <w:shd w:val="clear" w:color="auto" w:fill="010035"/>
          </w:tcPr>
          <w:p>
            <w:pPr>
              <w:spacing w:after="0"/>
              <w:rPr>
                <w:sz w:val="24"/>
                <w:szCs w:val="24"/>
                <w:color w:val="auto"/>
              </w:rPr>
            </w:pPr>
          </w:p>
        </w:tc>
        <w:tc>
          <w:tcPr>
            <w:tcW w:w="122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VOLUNTARY</w:t>
            </w:r>
          </w:p>
        </w:tc>
        <w:tc>
          <w:tcPr>
            <w:tcW w:w="114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TERMINATION</w:t>
            </w:r>
          </w:p>
        </w:tc>
        <w:tc>
          <w:tcPr>
            <w:tcW w:w="1080" w:type="dxa"/>
            <w:vAlign w:val="bottom"/>
            <w:tcBorders>
              <w:top w:val="single" w:sz="8" w:color="69439A"/>
            </w:tcBorders>
            <w:shd w:val="clear" w:color="auto" w:fill="010035"/>
          </w:tcPr>
          <w:p>
            <w:pPr>
              <w:spacing w:after="0"/>
              <w:rPr>
                <w:sz w:val="24"/>
                <w:szCs w:val="24"/>
                <w:color w:val="auto"/>
              </w:rPr>
            </w:pPr>
          </w:p>
        </w:tc>
        <w:tc>
          <w:tcPr>
            <w:tcW w:w="960" w:type="dxa"/>
            <w:vAlign w:val="bottom"/>
            <w:tcBorders>
              <w:top w:val="single" w:sz="8" w:color="69439A"/>
            </w:tcBorders>
            <w:shd w:val="clear" w:color="auto" w:fill="010035"/>
          </w:tcPr>
          <w:p>
            <w:pPr>
              <w:spacing w:after="0"/>
              <w:rPr>
                <w:sz w:val="24"/>
                <w:szCs w:val="24"/>
                <w:color w:val="auto"/>
              </w:rPr>
            </w:pPr>
          </w:p>
        </w:tc>
        <w:tc>
          <w:tcPr>
            <w:tcW w:w="1100" w:type="dxa"/>
            <w:vAlign w:val="bottom"/>
            <w:tcBorders>
              <w:top w:val="single" w:sz="8" w:color="69439A"/>
            </w:tcBorders>
            <w:shd w:val="clear" w:color="auto" w:fill="010035"/>
          </w:tcPr>
          <w:p>
            <w:pPr>
              <w:spacing w:after="0"/>
              <w:rPr>
                <w:sz w:val="24"/>
                <w:szCs w:val="24"/>
                <w:color w:val="auto"/>
              </w:rPr>
            </w:pPr>
          </w:p>
        </w:tc>
        <w:tc>
          <w:tcPr>
            <w:tcW w:w="920" w:type="dxa"/>
            <w:vAlign w:val="bottom"/>
            <w:tcBorders>
              <w:top w:val="single" w:sz="8" w:color="69439A"/>
            </w:tcBorders>
            <w:shd w:val="clear" w:color="auto" w:fill="010035"/>
          </w:tcPr>
          <w:p>
            <w:pPr>
              <w:spacing w:after="0"/>
              <w:rPr>
                <w:sz w:val="24"/>
                <w:szCs w:val="24"/>
                <w:color w:val="auto"/>
              </w:rPr>
            </w:pPr>
          </w:p>
        </w:tc>
        <w:tc>
          <w:tcPr>
            <w:tcW w:w="162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CHANGE IN CONTROL</w:t>
            </w:r>
          </w:p>
        </w:tc>
        <w:tc>
          <w:tcPr>
            <w:tcW w:w="0" w:type="dxa"/>
            <w:vAlign w:val="bottom"/>
          </w:tcPr>
          <w:p>
            <w:pPr>
              <w:spacing w:after="0"/>
              <w:rPr>
                <w:sz w:val="1"/>
                <w:szCs w:val="1"/>
                <w:color w:val="auto"/>
              </w:rPr>
            </w:pPr>
          </w:p>
        </w:tc>
      </w:tr>
      <w:tr>
        <w:trPr>
          <w:trHeight w:val="68"/>
        </w:trPr>
        <w:tc>
          <w:tcPr>
            <w:tcW w:w="1560" w:type="dxa"/>
            <w:vAlign w:val="bottom"/>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EXECUTIVE</w:t>
            </w: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TERMINATION BY</w:t>
            </w:r>
          </w:p>
        </w:tc>
        <w:tc>
          <w:tcPr>
            <w:tcW w:w="1140" w:type="dxa"/>
            <w:vAlign w:val="bottom"/>
            <w:vMerge w:val="continue"/>
            <w:shd w:val="clear" w:color="auto" w:fill="010035"/>
          </w:tcPr>
          <w:p>
            <w:pPr>
              <w:spacing w:after="0"/>
              <w:rPr>
                <w:sz w:val="5"/>
                <w:szCs w:val="5"/>
                <w:color w:val="auto"/>
              </w:rPr>
            </w:pPr>
          </w:p>
        </w:tc>
        <w:tc>
          <w:tcPr>
            <w:tcW w:w="10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TERMINATION</w:t>
            </w:r>
          </w:p>
        </w:tc>
        <w:tc>
          <w:tcPr>
            <w:tcW w:w="2060" w:type="dxa"/>
            <w:vAlign w:val="bottom"/>
            <w:gridSpan w:val="2"/>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TERMINATION TERMINATION</w:t>
            </w:r>
          </w:p>
        </w:tc>
        <w:tc>
          <w:tcPr>
            <w:tcW w:w="9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CHANGE IN</w:t>
            </w:r>
          </w:p>
        </w:tc>
        <w:tc>
          <w:tcPr>
            <w:tcW w:w="16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TERMINATION</w:t>
            </w:r>
          </w:p>
        </w:tc>
        <w:tc>
          <w:tcPr>
            <w:tcW w:w="0" w:type="dxa"/>
            <w:vAlign w:val="bottom"/>
          </w:tcPr>
          <w:p>
            <w:pPr>
              <w:spacing w:after="0"/>
              <w:rPr>
                <w:sz w:val="1"/>
                <w:szCs w:val="1"/>
                <w:color w:val="auto"/>
              </w:rPr>
            </w:pPr>
          </w:p>
        </w:tc>
      </w:tr>
      <w:tr>
        <w:trPr>
          <w:trHeight w:val="109"/>
        </w:trPr>
        <w:tc>
          <w:tcPr>
            <w:tcW w:w="1560" w:type="dxa"/>
            <w:vAlign w:val="bottom"/>
            <w:vMerge w:val="continue"/>
            <w:shd w:val="clear" w:color="auto" w:fill="010035"/>
          </w:tcPr>
          <w:p>
            <w:pPr>
              <w:spacing w:after="0"/>
              <w:rPr>
                <w:sz w:val="9"/>
                <w:szCs w:val="9"/>
                <w:color w:val="auto"/>
              </w:rPr>
            </w:pPr>
          </w:p>
        </w:tc>
        <w:tc>
          <w:tcPr>
            <w:tcW w:w="1220" w:type="dxa"/>
            <w:vAlign w:val="bottom"/>
            <w:vMerge w:val="continue"/>
            <w:shd w:val="clear" w:color="auto" w:fill="010035"/>
          </w:tcPr>
          <w:p>
            <w:pPr>
              <w:spacing w:after="0"/>
              <w:rPr>
                <w:sz w:val="9"/>
                <w:szCs w:val="9"/>
                <w:color w:val="auto"/>
              </w:rPr>
            </w:pPr>
          </w:p>
        </w:tc>
        <w:tc>
          <w:tcPr>
            <w:tcW w:w="1140" w:type="dxa"/>
            <w:vAlign w:val="bottom"/>
            <w:shd w:val="clear" w:color="auto" w:fill="010035"/>
          </w:tcPr>
          <w:p>
            <w:pPr>
              <w:jc w:val="center"/>
              <w:spacing w:after="0" w:line="109" w:lineRule="exact"/>
              <w:rPr>
                <w:sz w:val="20"/>
                <w:szCs w:val="20"/>
                <w:color w:val="auto"/>
              </w:rPr>
            </w:pPr>
            <w:r>
              <w:rPr>
                <w:rFonts w:ascii="Arial" w:cs="Arial" w:eastAsia="Arial" w:hAnsi="Arial"/>
                <w:sz w:val="12"/>
                <w:szCs w:val="12"/>
                <w:b w:val="1"/>
                <w:bCs w:val="1"/>
                <w:color w:val="FFFFFF"/>
              </w:rPr>
              <w:t>WITHOUT</w:t>
            </w:r>
          </w:p>
        </w:tc>
        <w:tc>
          <w:tcPr>
            <w:tcW w:w="1080" w:type="dxa"/>
            <w:vAlign w:val="bottom"/>
            <w:vMerge w:val="continue"/>
            <w:shd w:val="clear" w:color="auto" w:fill="010035"/>
          </w:tcPr>
          <w:p>
            <w:pPr>
              <w:spacing w:after="0"/>
              <w:rPr>
                <w:sz w:val="9"/>
                <w:szCs w:val="9"/>
                <w:color w:val="auto"/>
              </w:rPr>
            </w:pPr>
          </w:p>
        </w:tc>
        <w:tc>
          <w:tcPr>
            <w:tcW w:w="2060" w:type="dxa"/>
            <w:vAlign w:val="bottom"/>
            <w:gridSpan w:val="2"/>
            <w:vMerge w:val="continue"/>
            <w:shd w:val="clear" w:color="auto" w:fill="010035"/>
          </w:tcPr>
          <w:p>
            <w:pPr>
              <w:spacing w:after="0"/>
              <w:rPr>
                <w:sz w:val="9"/>
                <w:szCs w:val="9"/>
                <w:color w:val="auto"/>
              </w:rPr>
            </w:pPr>
          </w:p>
        </w:tc>
        <w:tc>
          <w:tcPr>
            <w:tcW w:w="920" w:type="dxa"/>
            <w:vAlign w:val="bottom"/>
            <w:vMerge w:val="continue"/>
            <w:shd w:val="clear" w:color="auto" w:fill="010035"/>
          </w:tcPr>
          <w:p>
            <w:pPr>
              <w:spacing w:after="0"/>
              <w:rPr>
                <w:sz w:val="9"/>
                <w:szCs w:val="9"/>
                <w:color w:val="auto"/>
              </w:rPr>
            </w:pPr>
          </w:p>
        </w:tc>
        <w:tc>
          <w:tcPr>
            <w:tcW w:w="1620" w:type="dxa"/>
            <w:vAlign w:val="bottom"/>
            <w:vMerge w:val="continue"/>
            <w:shd w:val="clear" w:color="auto" w:fill="010035"/>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560" w:type="dxa"/>
            <w:vAlign w:val="bottom"/>
            <w:shd w:val="clear" w:color="auto" w:fill="010035"/>
          </w:tcPr>
          <w:p>
            <w:pPr>
              <w:ind w:left="40"/>
              <w:spacing w:after="0"/>
              <w:rPr>
                <w:sz w:val="20"/>
                <w:szCs w:val="20"/>
                <w:color w:val="auto"/>
              </w:rPr>
            </w:pPr>
            <w:r>
              <w:rPr>
                <w:rFonts w:ascii="Arial" w:cs="Arial" w:eastAsia="Arial" w:hAnsi="Arial"/>
                <w:sz w:val="14"/>
                <w:szCs w:val="14"/>
                <w:b w:val="1"/>
                <w:bCs w:val="1"/>
                <w:color w:val="FFFFFF"/>
              </w:rPr>
              <w:t>PAYMENTS</w:t>
            </w: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EXECUTIVE</w:t>
            </w:r>
          </w:p>
        </w:tc>
        <w:tc>
          <w:tcPr>
            <w:tcW w:w="114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CAUSE BY</w:t>
            </w:r>
          </w:p>
        </w:tc>
        <w:tc>
          <w:tcPr>
            <w:tcW w:w="108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FOR CAUSE BY</w:t>
            </w:r>
          </w:p>
        </w:tc>
        <w:tc>
          <w:tcPr>
            <w:tcW w:w="960" w:type="dxa"/>
            <w:vAlign w:val="bottom"/>
            <w:shd w:val="clear" w:color="auto" w:fill="010035"/>
          </w:tcPr>
          <w:p>
            <w:pPr>
              <w:jc w:val="center"/>
              <w:ind w:left="14"/>
              <w:spacing w:after="0"/>
              <w:rPr>
                <w:sz w:val="20"/>
                <w:szCs w:val="20"/>
                <w:color w:val="auto"/>
              </w:rPr>
            </w:pPr>
            <w:r>
              <w:rPr>
                <w:rFonts w:ascii="Arial" w:cs="Arial" w:eastAsia="Arial" w:hAnsi="Arial"/>
                <w:sz w:val="14"/>
                <w:szCs w:val="14"/>
                <w:b w:val="1"/>
                <w:bCs w:val="1"/>
                <w:color w:val="FFFFFF"/>
                <w:w w:val="98"/>
              </w:rPr>
              <w:t>UPON</w:t>
            </w:r>
          </w:p>
        </w:tc>
        <w:tc>
          <w:tcPr>
            <w:tcW w:w="110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UPON</w:t>
            </w:r>
          </w:p>
        </w:tc>
        <w:tc>
          <w:tcPr>
            <w:tcW w:w="9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CONTROL ($)</w:t>
            </w:r>
          </w:p>
        </w:tc>
        <w:tc>
          <w:tcPr>
            <w:tcW w:w="16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WITHOUT CAUSE OR</w:t>
            </w:r>
          </w:p>
        </w:tc>
        <w:tc>
          <w:tcPr>
            <w:tcW w:w="0" w:type="dxa"/>
            <w:vAlign w:val="bottom"/>
          </w:tcPr>
          <w:p>
            <w:pPr>
              <w:spacing w:after="0"/>
              <w:rPr>
                <w:sz w:val="1"/>
                <w:szCs w:val="1"/>
                <w:color w:val="auto"/>
              </w:rPr>
            </w:pPr>
          </w:p>
        </w:tc>
      </w:tr>
      <w:tr>
        <w:trPr>
          <w:trHeight w:val="176"/>
        </w:trPr>
        <w:tc>
          <w:tcPr>
            <w:tcW w:w="1560" w:type="dxa"/>
            <w:vAlign w:val="bottom"/>
            <w:shd w:val="clear" w:color="auto" w:fill="010035"/>
          </w:tcPr>
          <w:p>
            <w:pPr>
              <w:spacing w:after="0"/>
              <w:rPr>
                <w:sz w:val="15"/>
                <w:szCs w:val="15"/>
                <w:color w:val="auto"/>
              </w:rPr>
            </w:pP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(INCLUDING</w:t>
            </w:r>
          </w:p>
        </w:tc>
        <w:tc>
          <w:tcPr>
            <w:tcW w:w="1140" w:type="dxa"/>
            <w:vAlign w:val="bottom"/>
            <w:shd w:val="clear" w:color="auto" w:fill="010035"/>
          </w:tcPr>
          <w:p>
            <w:pPr>
              <w:jc w:val="center"/>
              <w:spacing w:after="0" w:line="176" w:lineRule="exact"/>
              <w:rPr>
                <w:sz w:val="20"/>
                <w:szCs w:val="20"/>
                <w:color w:val="auto"/>
              </w:rPr>
            </w:pPr>
            <w:r>
              <w:rPr>
                <w:rFonts w:ascii="Arial" w:cs="Arial" w:eastAsia="Arial" w:hAnsi="Arial"/>
                <w:sz w:val="13"/>
                <w:szCs w:val="13"/>
                <w:b w:val="1"/>
                <w:bCs w:val="1"/>
                <w:color w:val="FFFFFF"/>
              </w:rPr>
              <w:t xml:space="preserve">COMPANY ($) </w:t>
            </w:r>
            <w:r>
              <w:rPr>
                <w:rFonts w:ascii="Arial" w:cs="Arial" w:eastAsia="Arial" w:hAnsi="Arial"/>
                <w:sz w:val="20"/>
                <w:szCs w:val="20"/>
                <w:b w:val="1"/>
                <w:bCs w:val="1"/>
                <w:color w:val="FFFFFF"/>
                <w:vertAlign w:val="superscript"/>
              </w:rPr>
              <w:t>(g)</w:t>
            </w:r>
          </w:p>
        </w:tc>
        <w:tc>
          <w:tcPr>
            <w:tcW w:w="108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COMPANY ($)</w:t>
            </w:r>
          </w:p>
        </w:tc>
        <w:tc>
          <w:tcPr>
            <w:tcW w:w="960" w:type="dxa"/>
            <w:vAlign w:val="bottom"/>
            <w:shd w:val="clear" w:color="auto" w:fill="010035"/>
          </w:tcPr>
          <w:p>
            <w:pPr>
              <w:jc w:val="center"/>
              <w:ind w:left="54"/>
              <w:spacing w:after="0"/>
              <w:rPr>
                <w:sz w:val="20"/>
                <w:szCs w:val="20"/>
                <w:color w:val="auto"/>
              </w:rPr>
            </w:pPr>
            <w:r>
              <w:rPr>
                <w:rFonts w:ascii="Arial" w:cs="Arial" w:eastAsia="Arial" w:hAnsi="Arial"/>
                <w:sz w:val="14"/>
                <w:szCs w:val="14"/>
                <w:b w:val="1"/>
                <w:bCs w:val="1"/>
                <w:color w:val="FFFFFF"/>
                <w:w w:val="98"/>
              </w:rPr>
              <w:t>DEATH ($)</w:t>
            </w:r>
          </w:p>
        </w:tc>
        <w:tc>
          <w:tcPr>
            <w:tcW w:w="1100" w:type="dxa"/>
            <w:vAlign w:val="bottom"/>
            <w:shd w:val="clear" w:color="auto" w:fill="010035"/>
          </w:tcPr>
          <w:p>
            <w:pPr>
              <w:jc w:val="center"/>
              <w:ind w:left="15"/>
              <w:spacing w:after="0"/>
              <w:rPr>
                <w:sz w:val="20"/>
                <w:szCs w:val="20"/>
                <w:color w:val="auto"/>
              </w:rPr>
            </w:pPr>
            <w:r>
              <w:rPr>
                <w:rFonts w:ascii="Arial" w:cs="Arial" w:eastAsia="Arial" w:hAnsi="Arial"/>
                <w:sz w:val="14"/>
                <w:szCs w:val="14"/>
                <w:b w:val="1"/>
                <w:bCs w:val="1"/>
                <w:color w:val="FFFFFF"/>
                <w:w w:val="99"/>
              </w:rPr>
              <w:t>DISABILITY ($)</w:t>
            </w:r>
          </w:p>
        </w:tc>
        <w:tc>
          <w:tcPr>
            <w:tcW w:w="920" w:type="dxa"/>
            <w:vAlign w:val="bottom"/>
            <w:shd w:val="clear" w:color="auto" w:fill="010035"/>
          </w:tcPr>
          <w:p>
            <w:pPr>
              <w:spacing w:after="0"/>
              <w:rPr>
                <w:sz w:val="15"/>
                <w:szCs w:val="15"/>
                <w:color w:val="auto"/>
              </w:rPr>
            </w:pPr>
          </w:p>
        </w:tc>
        <w:tc>
          <w:tcPr>
            <w:tcW w:w="16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RESIGNATION</w:t>
            </w:r>
          </w:p>
        </w:tc>
        <w:tc>
          <w:tcPr>
            <w:tcW w:w="0" w:type="dxa"/>
            <w:vAlign w:val="bottom"/>
          </w:tcPr>
          <w:p>
            <w:pPr>
              <w:spacing w:after="0"/>
              <w:rPr>
                <w:sz w:val="1"/>
                <w:szCs w:val="1"/>
                <w:color w:val="auto"/>
              </w:rPr>
            </w:pPr>
          </w:p>
        </w:tc>
      </w:tr>
      <w:tr>
        <w:trPr>
          <w:trHeight w:val="162"/>
        </w:trPr>
        <w:tc>
          <w:tcPr>
            <w:tcW w:w="1560" w:type="dxa"/>
            <w:vAlign w:val="bottom"/>
            <w:shd w:val="clear" w:color="auto" w:fill="010035"/>
          </w:tcPr>
          <w:p>
            <w:pPr>
              <w:spacing w:after="0"/>
              <w:rPr>
                <w:sz w:val="14"/>
                <w:szCs w:val="14"/>
                <w:color w:val="auto"/>
              </w:rPr>
            </w:pP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RETIREMENT) ($)</w:t>
            </w:r>
          </w:p>
        </w:tc>
        <w:tc>
          <w:tcPr>
            <w:tcW w:w="1140" w:type="dxa"/>
            <w:vAlign w:val="bottom"/>
            <w:shd w:val="clear" w:color="auto" w:fill="010035"/>
          </w:tcPr>
          <w:p>
            <w:pPr>
              <w:spacing w:after="0"/>
              <w:rPr>
                <w:sz w:val="14"/>
                <w:szCs w:val="14"/>
                <w:color w:val="auto"/>
              </w:rPr>
            </w:pPr>
          </w:p>
        </w:tc>
        <w:tc>
          <w:tcPr>
            <w:tcW w:w="1080" w:type="dxa"/>
            <w:vAlign w:val="bottom"/>
            <w:shd w:val="clear" w:color="auto" w:fill="010035"/>
          </w:tcPr>
          <w:p>
            <w:pPr>
              <w:spacing w:after="0"/>
              <w:rPr>
                <w:sz w:val="14"/>
                <w:szCs w:val="14"/>
                <w:color w:val="auto"/>
              </w:rPr>
            </w:pPr>
          </w:p>
        </w:tc>
        <w:tc>
          <w:tcPr>
            <w:tcW w:w="960" w:type="dxa"/>
            <w:vAlign w:val="bottom"/>
            <w:shd w:val="clear" w:color="auto" w:fill="010035"/>
          </w:tcPr>
          <w:p>
            <w:pPr>
              <w:spacing w:after="0"/>
              <w:rPr>
                <w:sz w:val="14"/>
                <w:szCs w:val="14"/>
                <w:color w:val="auto"/>
              </w:rPr>
            </w:pPr>
          </w:p>
        </w:tc>
        <w:tc>
          <w:tcPr>
            <w:tcW w:w="1100" w:type="dxa"/>
            <w:vAlign w:val="bottom"/>
            <w:shd w:val="clear" w:color="auto" w:fill="010035"/>
          </w:tcPr>
          <w:p>
            <w:pPr>
              <w:spacing w:after="0"/>
              <w:rPr>
                <w:sz w:val="14"/>
                <w:szCs w:val="14"/>
                <w:color w:val="auto"/>
              </w:rPr>
            </w:pPr>
          </w:p>
        </w:tc>
        <w:tc>
          <w:tcPr>
            <w:tcW w:w="920" w:type="dxa"/>
            <w:vAlign w:val="bottom"/>
            <w:shd w:val="clear" w:color="auto" w:fill="010035"/>
          </w:tcPr>
          <w:p>
            <w:pPr>
              <w:spacing w:after="0"/>
              <w:rPr>
                <w:sz w:val="14"/>
                <w:szCs w:val="14"/>
                <w:color w:val="auto"/>
              </w:rPr>
            </w:pPr>
          </w:p>
        </w:tc>
        <w:tc>
          <w:tcPr>
            <w:tcW w:w="16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FOR GOOD REASON ($)</w:t>
            </w:r>
          </w:p>
        </w:tc>
        <w:tc>
          <w:tcPr>
            <w:tcW w:w="0" w:type="dxa"/>
            <w:vAlign w:val="bottom"/>
          </w:tcPr>
          <w:p>
            <w:pPr>
              <w:spacing w:after="0"/>
              <w:rPr>
                <w:sz w:val="1"/>
                <w:szCs w:val="1"/>
                <w:color w:val="auto"/>
              </w:rPr>
            </w:pPr>
          </w:p>
        </w:tc>
      </w:tr>
      <w:tr>
        <w:trPr>
          <w:trHeight w:val="324"/>
        </w:trPr>
        <w:tc>
          <w:tcPr>
            <w:tcW w:w="1560" w:type="dxa"/>
            <w:vAlign w:val="bottom"/>
          </w:tcPr>
          <w:p>
            <w:pPr>
              <w:ind w:left="40"/>
              <w:spacing w:after="0"/>
              <w:rPr>
                <w:sz w:val="20"/>
                <w:szCs w:val="20"/>
                <w:color w:val="auto"/>
              </w:rPr>
            </w:pPr>
            <w:r>
              <w:rPr>
                <w:rFonts w:ascii="Arial" w:cs="Arial" w:eastAsia="Arial" w:hAnsi="Arial"/>
                <w:sz w:val="13"/>
                <w:szCs w:val="13"/>
                <w:color w:val="010035"/>
                <w:w w:val="95"/>
              </w:rPr>
              <w:t>Cash Severance Benefit</w:t>
            </w:r>
            <w:r>
              <w:rPr>
                <w:rFonts w:ascii="Arial" w:cs="Arial" w:eastAsia="Arial" w:hAnsi="Arial"/>
                <w:sz w:val="20"/>
                <w:szCs w:val="20"/>
                <w:color w:val="010035"/>
                <w:w w:val="95"/>
                <w:vertAlign w:val="superscript"/>
              </w:rPr>
              <w:t>(a)</w:t>
            </w:r>
          </w:p>
        </w:tc>
        <w:tc>
          <w:tcPr>
            <w:tcW w:w="12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Pr>
          <w:p>
            <w:pPr>
              <w:jc w:val="center"/>
              <w:spacing w:after="0"/>
              <w:rPr>
                <w:sz w:val="20"/>
                <w:szCs w:val="20"/>
                <w:color w:val="auto"/>
              </w:rPr>
            </w:pPr>
            <w:r>
              <w:rPr>
                <w:rFonts w:ascii="Arial" w:cs="Arial" w:eastAsia="Arial" w:hAnsi="Arial"/>
                <w:sz w:val="13"/>
                <w:szCs w:val="13"/>
                <w:color w:val="010035"/>
                <w:w w:val="95"/>
              </w:rPr>
              <w:t>12,600,000</w:t>
            </w:r>
          </w:p>
        </w:tc>
        <w:tc>
          <w:tcPr>
            <w:tcW w:w="1080" w:type="dxa"/>
            <w:vAlign w:val="bottom"/>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620" w:type="dxa"/>
            <w:vAlign w:val="bottom"/>
          </w:tcPr>
          <w:p>
            <w:pPr>
              <w:jc w:val="center"/>
              <w:spacing w:after="0"/>
              <w:rPr>
                <w:sz w:val="20"/>
                <w:szCs w:val="20"/>
                <w:color w:val="auto"/>
              </w:rPr>
            </w:pPr>
            <w:r>
              <w:rPr>
                <w:rFonts w:ascii="Arial" w:cs="Arial" w:eastAsia="Arial" w:hAnsi="Arial"/>
                <w:sz w:val="13"/>
                <w:szCs w:val="13"/>
                <w:color w:val="010035"/>
                <w:w w:val="98"/>
              </w:rPr>
              <w:t>15,750,000</w:t>
            </w:r>
          </w:p>
        </w:tc>
        <w:tc>
          <w:tcPr>
            <w:tcW w:w="0" w:type="dxa"/>
            <w:vAlign w:val="bottom"/>
          </w:tcPr>
          <w:p>
            <w:pPr>
              <w:spacing w:after="0"/>
              <w:rPr>
                <w:sz w:val="1"/>
                <w:szCs w:val="1"/>
                <w:color w:val="auto"/>
              </w:rPr>
            </w:pPr>
          </w:p>
        </w:tc>
      </w:tr>
      <w:tr>
        <w:trPr>
          <w:trHeight w:val="324"/>
        </w:trPr>
        <w:tc>
          <w:tcPr>
            <w:tcW w:w="156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Benefit Continuation</w:t>
            </w:r>
            <w:r>
              <w:rPr>
                <w:rFonts w:ascii="Arial" w:cs="Arial" w:eastAsia="Arial" w:hAnsi="Arial"/>
                <w:sz w:val="20"/>
                <w:szCs w:val="20"/>
                <w:color w:val="010035"/>
                <w:vertAlign w:val="superscript"/>
              </w:rPr>
              <w:t>(b)</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51,689</w:t>
            </w:r>
          </w:p>
        </w:tc>
        <w:tc>
          <w:tcPr>
            <w:tcW w:w="108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960" w:type="dxa"/>
            <w:vAlign w:val="bottom"/>
            <w:shd w:val="clear" w:color="auto" w:fill="DED8EC"/>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6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51,689</w:t>
            </w:r>
          </w:p>
        </w:tc>
        <w:tc>
          <w:tcPr>
            <w:tcW w:w="0" w:type="dxa"/>
            <w:vAlign w:val="bottom"/>
          </w:tcPr>
          <w:p>
            <w:pPr>
              <w:spacing w:after="0"/>
              <w:rPr>
                <w:sz w:val="1"/>
                <w:szCs w:val="1"/>
                <w:color w:val="auto"/>
              </w:rPr>
            </w:pPr>
          </w:p>
        </w:tc>
      </w:tr>
      <w:tr>
        <w:trPr>
          <w:trHeight w:val="324"/>
        </w:trPr>
        <w:tc>
          <w:tcPr>
            <w:tcW w:w="1560" w:type="dxa"/>
            <w:vAlign w:val="bottom"/>
          </w:tcPr>
          <w:p>
            <w:pPr>
              <w:ind w:left="40"/>
              <w:spacing w:after="0"/>
              <w:rPr>
                <w:sz w:val="20"/>
                <w:szCs w:val="20"/>
                <w:color w:val="auto"/>
              </w:rPr>
            </w:pPr>
            <w:r>
              <w:rPr>
                <w:rFonts w:ascii="Arial" w:cs="Arial" w:eastAsia="Arial" w:hAnsi="Arial"/>
                <w:sz w:val="13"/>
                <w:szCs w:val="13"/>
                <w:color w:val="010035"/>
              </w:rPr>
              <w:t>Restricted Shares</w:t>
            </w:r>
            <w:r>
              <w:rPr>
                <w:rFonts w:ascii="Arial" w:cs="Arial" w:eastAsia="Arial" w:hAnsi="Arial"/>
                <w:sz w:val="20"/>
                <w:szCs w:val="20"/>
                <w:color w:val="010035"/>
                <w:vertAlign w:val="superscript"/>
              </w:rPr>
              <w:t>(c)(d)</w:t>
            </w:r>
          </w:p>
        </w:tc>
        <w:tc>
          <w:tcPr>
            <w:tcW w:w="12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Pr>
          <w:p>
            <w:pPr>
              <w:jc w:val="center"/>
              <w:spacing w:after="0"/>
              <w:rPr>
                <w:sz w:val="20"/>
                <w:szCs w:val="20"/>
                <w:color w:val="auto"/>
              </w:rPr>
            </w:pPr>
            <w:r>
              <w:rPr>
                <w:rFonts w:ascii="Arial" w:cs="Arial" w:eastAsia="Arial" w:hAnsi="Arial"/>
                <w:sz w:val="13"/>
                <w:szCs w:val="13"/>
                <w:color w:val="010035"/>
                <w:w w:val="96"/>
              </w:rPr>
              <w:t>2,362,345</w:t>
            </w:r>
          </w:p>
        </w:tc>
        <w:tc>
          <w:tcPr>
            <w:tcW w:w="1080" w:type="dxa"/>
            <w:vAlign w:val="bottom"/>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Pr>
          <w:p>
            <w:pPr>
              <w:jc w:val="center"/>
              <w:ind w:left="34"/>
              <w:spacing w:after="0"/>
              <w:rPr>
                <w:sz w:val="20"/>
                <w:szCs w:val="20"/>
                <w:color w:val="auto"/>
              </w:rPr>
            </w:pPr>
            <w:r>
              <w:rPr>
                <w:rFonts w:ascii="Arial" w:cs="Arial" w:eastAsia="Arial" w:hAnsi="Arial"/>
                <w:sz w:val="13"/>
                <w:szCs w:val="13"/>
                <w:color w:val="010035"/>
                <w:w w:val="95"/>
              </w:rPr>
              <w:t>29,217,523</w:t>
            </w:r>
          </w:p>
        </w:tc>
        <w:tc>
          <w:tcPr>
            <w:tcW w:w="1100" w:type="dxa"/>
            <w:vAlign w:val="bottom"/>
          </w:tcPr>
          <w:p>
            <w:pPr>
              <w:jc w:val="center"/>
              <w:ind w:left="15"/>
              <w:spacing w:after="0"/>
              <w:rPr>
                <w:sz w:val="20"/>
                <w:szCs w:val="20"/>
                <w:color w:val="auto"/>
              </w:rPr>
            </w:pPr>
            <w:r>
              <w:rPr>
                <w:rFonts w:ascii="Arial" w:cs="Arial" w:eastAsia="Arial" w:hAnsi="Arial"/>
                <w:sz w:val="13"/>
                <w:szCs w:val="13"/>
                <w:color w:val="010035"/>
                <w:w w:val="95"/>
              </w:rPr>
              <w:t>29,217,523</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620" w:type="dxa"/>
            <w:vAlign w:val="bottom"/>
          </w:tcPr>
          <w:p>
            <w:pPr>
              <w:jc w:val="center"/>
              <w:spacing w:after="0"/>
              <w:rPr>
                <w:sz w:val="20"/>
                <w:szCs w:val="20"/>
                <w:color w:val="auto"/>
              </w:rPr>
            </w:pPr>
            <w:r>
              <w:rPr>
                <w:rFonts w:ascii="Arial" w:cs="Arial" w:eastAsia="Arial" w:hAnsi="Arial"/>
                <w:sz w:val="13"/>
                <w:szCs w:val="13"/>
                <w:color w:val="010035"/>
                <w:w w:val="98"/>
              </w:rPr>
              <w:t>29,217,523</w:t>
            </w:r>
          </w:p>
        </w:tc>
        <w:tc>
          <w:tcPr>
            <w:tcW w:w="0" w:type="dxa"/>
            <w:vAlign w:val="bottom"/>
          </w:tcPr>
          <w:p>
            <w:pPr>
              <w:spacing w:after="0"/>
              <w:rPr>
                <w:sz w:val="1"/>
                <w:szCs w:val="1"/>
                <w:color w:val="auto"/>
              </w:rPr>
            </w:pPr>
          </w:p>
        </w:tc>
      </w:tr>
      <w:tr>
        <w:trPr>
          <w:trHeight w:val="324"/>
        </w:trPr>
        <w:tc>
          <w:tcPr>
            <w:tcW w:w="156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Vested Stock Options</w:t>
            </w:r>
            <w:r>
              <w:rPr>
                <w:rFonts w:ascii="Arial" w:cs="Arial" w:eastAsia="Arial" w:hAnsi="Arial"/>
                <w:sz w:val="20"/>
                <w:szCs w:val="20"/>
                <w:color w:val="010035"/>
                <w:vertAlign w:val="superscript"/>
              </w:rPr>
              <w:t>(e)</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08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960" w:type="dxa"/>
            <w:vAlign w:val="bottom"/>
            <w:shd w:val="clear" w:color="auto" w:fill="DED8EC"/>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6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192"/>
        </w:trPr>
        <w:tc>
          <w:tcPr>
            <w:tcW w:w="1560" w:type="dxa"/>
            <w:vAlign w:val="bottom"/>
          </w:tcPr>
          <w:p>
            <w:pPr>
              <w:ind w:left="40"/>
              <w:spacing w:after="0"/>
              <w:rPr>
                <w:sz w:val="20"/>
                <w:szCs w:val="20"/>
                <w:color w:val="auto"/>
              </w:rPr>
            </w:pPr>
            <w:r>
              <w:rPr>
                <w:rFonts w:ascii="Arial" w:cs="Arial" w:eastAsia="Arial" w:hAnsi="Arial"/>
                <w:sz w:val="13"/>
                <w:szCs w:val="13"/>
                <w:color w:val="010035"/>
              </w:rPr>
              <w:t>Vested Deferred</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10035"/>
              </w:rPr>
              <w:t>—</w:t>
            </w:r>
          </w:p>
        </w:tc>
        <w:tc>
          <w:tcPr>
            <w:tcW w:w="960" w:type="dxa"/>
            <w:vAlign w:val="bottom"/>
            <w:vMerge w:val="restart"/>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10035"/>
              </w:rPr>
              <w:t>—</w:t>
            </w:r>
          </w:p>
        </w:tc>
        <w:tc>
          <w:tcPr>
            <w:tcW w:w="162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104"/>
        </w:trPr>
        <w:tc>
          <w:tcPr>
            <w:tcW w:w="1560" w:type="dxa"/>
            <w:vAlign w:val="bottom"/>
            <w:vMerge w:val="restart"/>
          </w:tcPr>
          <w:p>
            <w:pPr>
              <w:ind w:left="40"/>
              <w:spacing w:after="0"/>
              <w:rPr>
                <w:sz w:val="20"/>
                <w:szCs w:val="20"/>
                <w:color w:val="auto"/>
              </w:rPr>
            </w:pPr>
            <w:r>
              <w:rPr>
                <w:rFonts w:ascii="Arial" w:cs="Arial" w:eastAsia="Arial" w:hAnsi="Arial"/>
                <w:sz w:val="13"/>
                <w:szCs w:val="13"/>
                <w:color w:val="010035"/>
              </w:rPr>
              <w:t>Compensation Balance</w:t>
            </w:r>
            <w:r>
              <w:rPr>
                <w:rFonts w:ascii="Arial" w:cs="Arial" w:eastAsia="Arial" w:hAnsi="Arial"/>
                <w:sz w:val="20"/>
                <w:szCs w:val="20"/>
                <w:color w:val="010035"/>
                <w:vertAlign w:val="superscript"/>
              </w:rPr>
              <w:t>(f)</w:t>
            </w: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5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60" w:type="dxa"/>
            <w:vAlign w:val="bottom"/>
            <w:tcBorders>
              <w:bottom w:val="single" w:sz="8" w:color="DED8EC"/>
            </w:tcBorders>
            <w:shd w:val="clear" w:color="auto" w:fill="DED8EC"/>
          </w:tcPr>
          <w:p>
            <w:pPr>
              <w:ind w:left="40"/>
              <w:spacing w:after="0"/>
              <w:rPr>
                <w:sz w:val="20"/>
                <w:szCs w:val="20"/>
                <w:color w:val="auto"/>
              </w:rPr>
            </w:pPr>
            <w:r>
              <w:rPr>
                <w:rFonts w:ascii="Arial" w:cs="Arial" w:eastAsia="Arial" w:hAnsi="Arial"/>
                <w:sz w:val="13"/>
                <w:szCs w:val="13"/>
                <w:color w:val="010035"/>
              </w:rPr>
              <w:t>Total</w:t>
            </w:r>
          </w:p>
        </w:tc>
        <w:tc>
          <w:tcPr>
            <w:tcW w:w="12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5"/>
              </w:rPr>
              <w:t>15,014,034</w:t>
            </w:r>
          </w:p>
        </w:tc>
        <w:tc>
          <w:tcPr>
            <w:tcW w:w="108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Borders>
              <w:bottom w:val="single" w:sz="8" w:color="DED8EC"/>
            </w:tcBorders>
            <w:shd w:val="clear" w:color="auto" w:fill="DED8EC"/>
          </w:tcPr>
          <w:p>
            <w:pPr>
              <w:jc w:val="center"/>
              <w:ind w:left="34"/>
              <w:spacing w:after="0"/>
              <w:rPr>
                <w:sz w:val="20"/>
                <w:szCs w:val="20"/>
                <w:color w:val="auto"/>
              </w:rPr>
            </w:pPr>
            <w:r>
              <w:rPr>
                <w:rFonts w:ascii="Arial" w:cs="Arial" w:eastAsia="Arial" w:hAnsi="Arial"/>
                <w:sz w:val="13"/>
                <w:szCs w:val="13"/>
                <w:color w:val="010035"/>
                <w:w w:val="95"/>
              </w:rPr>
              <w:t>29,217,523​</w:t>
            </w:r>
          </w:p>
        </w:tc>
        <w:tc>
          <w:tcPr>
            <w:tcW w:w="1100" w:type="dxa"/>
            <w:vAlign w:val="bottom"/>
            <w:tcBorders>
              <w:bottom w:val="single" w:sz="8" w:color="DED8EC"/>
            </w:tcBorders>
            <w:shd w:val="clear" w:color="auto" w:fill="DED8EC"/>
          </w:tcPr>
          <w:p>
            <w:pPr>
              <w:jc w:val="center"/>
              <w:ind w:left="15"/>
              <w:spacing w:after="0"/>
              <w:rPr>
                <w:sz w:val="20"/>
                <w:szCs w:val="20"/>
                <w:color w:val="auto"/>
              </w:rPr>
            </w:pPr>
            <w:r>
              <w:rPr>
                <w:rFonts w:ascii="Arial" w:cs="Arial" w:eastAsia="Arial" w:hAnsi="Arial"/>
                <w:sz w:val="13"/>
                <w:szCs w:val="13"/>
                <w:color w:val="010035"/>
                <w:w w:val="95"/>
              </w:rPr>
              <w:t>29,217,523​</w:t>
            </w:r>
          </w:p>
        </w:tc>
        <w:tc>
          <w:tcPr>
            <w:tcW w:w="9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6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8"/>
              </w:rPr>
              <w:t>45,019,212​</w:t>
            </w:r>
          </w:p>
        </w:tc>
        <w:tc>
          <w:tcPr>
            <w:tcW w:w="0" w:type="dxa"/>
            <w:vAlign w:val="bottom"/>
          </w:tcPr>
          <w:p>
            <w:pPr>
              <w:spacing w:after="0"/>
              <w:rPr>
                <w:sz w:val="1"/>
                <w:szCs w:val="1"/>
                <w:color w:val="auto"/>
              </w:rPr>
            </w:pPr>
          </w:p>
        </w:tc>
      </w:tr>
      <w:tr>
        <w:trPr>
          <w:trHeight w:val="20"/>
        </w:trPr>
        <w:tc>
          <w:tcPr>
            <w:tcW w:w="1560" w:type="dxa"/>
            <w:vAlign w:val="bottom"/>
            <w:shd w:val="clear" w:color="auto" w:fill="010035"/>
          </w:tcPr>
          <w:p>
            <w:pPr>
              <w:spacing w:after="0" w:line="20" w:lineRule="exact"/>
              <w:rPr>
                <w:sz w:val="1"/>
                <w:szCs w:val="1"/>
                <w:color w:val="auto"/>
              </w:rPr>
            </w:pPr>
          </w:p>
        </w:tc>
        <w:tc>
          <w:tcPr>
            <w:tcW w:w="1220" w:type="dxa"/>
            <w:vAlign w:val="bottom"/>
            <w:shd w:val="clear" w:color="auto" w:fill="010035"/>
          </w:tcPr>
          <w:p>
            <w:pPr>
              <w:spacing w:after="0" w:line="20" w:lineRule="exact"/>
              <w:rPr>
                <w:sz w:val="1"/>
                <w:szCs w:val="1"/>
                <w:color w:val="auto"/>
              </w:rPr>
            </w:pPr>
          </w:p>
        </w:tc>
        <w:tc>
          <w:tcPr>
            <w:tcW w:w="1140" w:type="dxa"/>
            <w:vAlign w:val="bottom"/>
            <w:shd w:val="clear" w:color="auto" w:fill="010035"/>
          </w:tcPr>
          <w:p>
            <w:pPr>
              <w:spacing w:after="0" w:line="20" w:lineRule="exact"/>
              <w:rPr>
                <w:sz w:val="1"/>
                <w:szCs w:val="1"/>
                <w:color w:val="auto"/>
              </w:rPr>
            </w:pPr>
          </w:p>
        </w:tc>
        <w:tc>
          <w:tcPr>
            <w:tcW w:w="1080" w:type="dxa"/>
            <w:vAlign w:val="bottom"/>
            <w:shd w:val="clear" w:color="auto" w:fill="010035"/>
          </w:tcPr>
          <w:p>
            <w:pPr>
              <w:spacing w:after="0" w:line="20" w:lineRule="exact"/>
              <w:rPr>
                <w:sz w:val="1"/>
                <w:szCs w:val="1"/>
                <w:color w:val="auto"/>
              </w:rPr>
            </w:pPr>
          </w:p>
        </w:tc>
        <w:tc>
          <w:tcPr>
            <w:tcW w:w="960" w:type="dxa"/>
            <w:vAlign w:val="bottom"/>
            <w:shd w:val="clear" w:color="auto" w:fill="010035"/>
          </w:tcPr>
          <w:p>
            <w:pPr>
              <w:spacing w:after="0" w:line="20" w:lineRule="exact"/>
              <w:rPr>
                <w:sz w:val="1"/>
                <w:szCs w:val="1"/>
                <w:color w:val="auto"/>
              </w:rPr>
            </w:pPr>
          </w:p>
        </w:tc>
        <w:tc>
          <w:tcPr>
            <w:tcW w:w="1100" w:type="dxa"/>
            <w:vAlign w:val="bottom"/>
            <w:shd w:val="clear" w:color="auto" w:fill="010035"/>
          </w:tcPr>
          <w:p>
            <w:pPr>
              <w:spacing w:after="0" w:line="20" w:lineRule="exact"/>
              <w:rPr>
                <w:sz w:val="1"/>
                <w:szCs w:val="1"/>
                <w:color w:val="auto"/>
              </w:rPr>
            </w:pPr>
          </w:p>
        </w:tc>
        <w:tc>
          <w:tcPr>
            <w:tcW w:w="920" w:type="dxa"/>
            <w:vAlign w:val="bottom"/>
            <w:shd w:val="clear" w:color="auto" w:fill="010035"/>
          </w:tcPr>
          <w:p>
            <w:pPr>
              <w:spacing w:after="0" w:line="20" w:lineRule="exact"/>
              <w:rPr>
                <w:sz w:val="1"/>
                <w:szCs w:val="1"/>
                <w:color w:val="auto"/>
              </w:rPr>
            </w:pPr>
          </w:p>
        </w:tc>
        <w:tc>
          <w:tcPr>
            <w:tcW w:w="1620" w:type="dxa"/>
            <w:vAlign w:val="bottom"/>
            <w:shd w:val="clear" w:color="auto" w:fill="0100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180" w:right="280" w:hanging="174"/>
        <w:spacing w:after="0" w:line="266" w:lineRule="auto"/>
        <w:tabs>
          <w:tab w:leader="none" w:pos="180" w:val="left"/>
        </w:tabs>
        <w:numPr>
          <w:ilvl w:val="0"/>
          <w:numId w:val="65"/>
        </w:numPr>
        <w:rPr>
          <w:rFonts w:ascii="Times New Roman" w:cs="Times New Roman" w:eastAsia="Times New Roman" w:hAnsi="Times New Roman"/>
          <w:sz w:val="10"/>
          <w:szCs w:val="10"/>
          <w:color w:val="010035"/>
        </w:rPr>
      </w:pPr>
      <w:r>
        <w:rPr>
          <w:rFonts w:ascii="Times New Roman" w:cs="Times New Roman" w:eastAsia="Times New Roman" w:hAnsi="Times New Roman"/>
          <w:sz w:val="10"/>
          <w:szCs w:val="10"/>
          <w:color w:val="010035"/>
        </w:rPr>
        <w:t>In the case of termination without cause by Company, or resignation by the executive for good reason, the amount represents a payment equal to two times the sum of (a) annual base salary for 2025 and (b) target cash bonus for 2025. For change in control termination without cause, or resignation for good reason, the amount represents a payment equal to two and a half times the sum of (a) annual base salary for 2025 and</w:t>
      </w:r>
    </w:p>
    <w:p>
      <w:pPr>
        <w:ind w:left="180"/>
        <w:spacing w:after="0"/>
        <w:rPr>
          <w:rFonts w:ascii="Times New Roman" w:cs="Times New Roman" w:eastAsia="Times New Roman" w:hAnsi="Times New Roman"/>
          <w:sz w:val="10"/>
          <w:szCs w:val="10"/>
          <w:color w:val="010035"/>
        </w:rPr>
      </w:pPr>
      <w:r>
        <w:rPr>
          <w:rFonts w:ascii="Times New Roman" w:cs="Times New Roman" w:eastAsia="Times New Roman" w:hAnsi="Times New Roman"/>
          <w:sz w:val="11"/>
          <w:szCs w:val="11"/>
          <w:color w:val="010035"/>
        </w:rPr>
        <w:t>(b) target cash bonus for 2025.</w:t>
      </w:r>
    </w:p>
    <w:p>
      <w:pPr>
        <w:spacing w:after="0" w:line="1" w:lineRule="exact"/>
        <w:rPr>
          <w:rFonts w:ascii="Times New Roman" w:cs="Times New Roman" w:eastAsia="Times New Roman" w:hAnsi="Times New Roman"/>
          <w:sz w:val="10"/>
          <w:szCs w:val="10"/>
          <w:color w:val="010035"/>
        </w:rPr>
      </w:pPr>
    </w:p>
    <w:p>
      <w:pPr>
        <w:ind w:left="180" w:right="520" w:hanging="174"/>
        <w:spacing w:after="0" w:line="243" w:lineRule="auto"/>
        <w:tabs>
          <w:tab w:leader="none" w:pos="180" w:val="left"/>
        </w:tabs>
        <w:numPr>
          <w:ilvl w:val="0"/>
          <w:numId w:val="6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Represents employer cost of medical, dental, and vision coverage for a period of twenty-four months should Mr. Snowden elect COBRA coverage for these benefits based on his benefit elections in place on December 31, 2025.</w:t>
      </w:r>
    </w:p>
    <w:p>
      <w:pPr>
        <w:ind w:left="180" w:hanging="174"/>
        <w:spacing w:after="0"/>
        <w:tabs>
          <w:tab w:leader="none" w:pos="180" w:val="left"/>
        </w:tabs>
        <w:numPr>
          <w:ilvl w:val="0"/>
          <w:numId w:val="6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Restricted stock award values were computed based on the closing price of the Company’s common stock on December 31, 2025 ($14.75 per share), which was the last trading day of 2025.</w:t>
      </w:r>
    </w:p>
    <w:p>
      <w:pPr>
        <w:spacing w:after="0" w:line="16" w:lineRule="exact"/>
        <w:rPr>
          <w:rFonts w:ascii="Times New Roman" w:cs="Times New Roman" w:eastAsia="Times New Roman" w:hAnsi="Times New Roman"/>
          <w:sz w:val="11"/>
          <w:szCs w:val="11"/>
          <w:color w:val="010035"/>
        </w:rPr>
      </w:pPr>
    </w:p>
    <w:p>
      <w:pPr>
        <w:ind w:left="180" w:right="340" w:hanging="174"/>
        <w:spacing w:after="0" w:line="248" w:lineRule="auto"/>
        <w:tabs>
          <w:tab w:leader="none" w:pos="180" w:val="left"/>
        </w:tabs>
        <w:numPr>
          <w:ilvl w:val="0"/>
          <w:numId w:val="6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Restrictions on unvested performance awards and unvested restricted stock units lapse upon death, disability or a termination without cause or resignation for good reason within the protected period following a change in control.</w:t>
      </w:r>
    </w:p>
    <w:p>
      <w:pPr>
        <w:ind w:left="180" w:right="280" w:hanging="174"/>
        <w:spacing w:after="0" w:line="239" w:lineRule="auto"/>
        <w:tabs>
          <w:tab w:leader="none" w:pos="180" w:val="left"/>
        </w:tabs>
        <w:numPr>
          <w:ilvl w:val="0"/>
          <w:numId w:val="6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Stock options lapse upon death, disability, or a termination without cause or resignation for good reason within the protected period of a change in control, and specific to a qualified retirement within the 2022 Plan. Vested stock options issued under our 2018 Long-Term Incentive Compensation Plan (the “2018 Plan”) and 2022 Plan are cancelled when an executive is terminated for cause by the Company. All unvested stock options were underwater as of December 31, 2025.</w:t>
      </w:r>
    </w:p>
    <w:p>
      <w:pPr>
        <w:ind w:left="180" w:right="260" w:hanging="174"/>
        <w:spacing w:after="0" w:line="276" w:lineRule="auto"/>
        <w:tabs>
          <w:tab w:leader="none" w:pos="180" w:val="left"/>
        </w:tabs>
        <w:numPr>
          <w:ilvl w:val="0"/>
          <w:numId w:val="65"/>
        </w:numPr>
        <w:rPr>
          <w:rFonts w:ascii="Times New Roman" w:cs="Times New Roman" w:eastAsia="Times New Roman" w:hAnsi="Times New Roman"/>
          <w:sz w:val="10"/>
          <w:szCs w:val="10"/>
          <w:color w:val="010035"/>
        </w:rPr>
      </w:pPr>
      <w:r>
        <w:rPr>
          <w:rFonts w:ascii="Times New Roman" w:cs="Times New Roman" w:eastAsia="Times New Roman" w:hAnsi="Times New Roman"/>
          <w:sz w:val="10"/>
          <w:szCs w:val="10"/>
          <w:color w:val="010035"/>
        </w:rPr>
        <w:t>Company contributions to the Deferred Compensation Plan vest 20% per year during the first five years of service. However, vesting is accelerated upon death, retirement, change in control or, at the option of the committee administering the Deferred Compensation Plan, involuntary termination or disability. All amounts under Mr. Snowden’s deferred compensation account were vested as of December 31, 2025.</w:t>
      </w:r>
    </w:p>
    <w:p>
      <w:pPr>
        <w:ind w:left="180" w:hanging="174"/>
        <w:spacing w:after="0"/>
        <w:tabs>
          <w:tab w:leader="none" w:pos="180" w:val="left"/>
        </w:tabs>
        <w:numPr>
          <w:ilvl w:val="0"/>
          <w:numId w:val="6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In addition to a termination without cause by the Company, the executive is eligible to receive the Cash Severance Benefit and Benefit Continuation upon executive’s resignation for good reason.</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Post-Employment Payments — Felicia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560" w:type="dxa"/>
            <w:vAlign w:val="bottom"/>
            <w:tcBorders>
              <w:top w:val="single" w:sz="8" w:color="69439A"/>
            </w:tcBorders>
            <w:shd w:val="clear" w:color="auto" w:fill="010035"/>
          </w:tcPr>
          <w:p>
            <w:pPr>
              <w:spacing w:after="0"/>
              <w:rPr>
                <w:sz w:val="24"/>
                <w:szCs w:val="24"/>
                <w:color w:val="auto"/>
              </w:rPr>
            </w:pPr>
          </w:p>
        </w:tc>
        <w:tc>
          <w:tcPr>
            <w:tcW w:w="122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VOLUNTARY</w:t>
            </w:r>
          </w:p>
        </w:tc>
        <w:tc>
          <w:tcPr>
            <w:tcW w:w="114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TERMINATION</w:t>
            </w:r>
          </w:p>
        </w:tc>
        <w:tc>
          <w:tcPr>
            <w:tcW w:w="1080" w:type="dxa"/>
            <w:vAlign w:val="bottom"/>
            <w:tcBorders>
              <w:top w:val="single" w:sz="8" w:color="69439A"/>
            </w:tcBorders>
            <w:shd w:val="clear" w:color="auto" w:fill="010035"/>
          </w:tcPr>
          <w:p>
            <w:pPr>
              <w:spacing w:after="0"/>
              <w:rPr>
                <w:sz w:val="24"/>
                <w:szCs w:val="24"/>
                <w:color w:val="auto"/>
              </w:rPr>
            </w:pPr>
          </w:p>
        </w:tc>
        <w:tc>
          <w:tcPr>
            <w:tcW w:w="960" w:type="dxa"/>
            <w:vAlign w:val="bottom"/>
            <w:tcBorders>
              <w:top w:val="single" w:sz="8" w:color="69439A"/>
            </w:tcBorders>
            <w:shd w:val="clear" w:color="auto" w:fill="010035"/>
          </w:tcPr>
          <w:p>
            <w:pPr>
              <w:spacing w:after="0"/>
              <w:rPr>
                <w:sz w:val="24"/>
                <w:szCs w:val="24"/>
                <w:color w:val="auto"/>
              </w:rPr>
            </w:pPr>
          </w:p>
        </w:tc>
        <w:tc>
          <w:tcPr>
            <w:tcW w:w="1100" w:type="dxa"/>
            <w:vAlign w:val="bottom"/>
            <w:tcBorders>
              <w:top w:val="single" w:sz="8" w:color="69439A"/>
            </w:tcBorders>
            <w:shd w:val="clear" w:color="auto" w:fill="010035"/>
          </w:tcPr>
          <w:p>
            <w:pPr>
              <w:spacing w:after="0"/>
              <w:rPr>
                <w:sz w:val="24"/>
                <w:szCs w:val="24"/>
                <w:color w:val="auto"/>
              </w:rPr>
            </w:pPr>
          </w:p>
        </w:tc>
        <w:tc>
          <w:tcPr>
            <w:tcW w:w="920" w:type="dxa"/>
            <w:vAlign w:val="bottom"/>
            <w:tcBorders>
              <w:top w:val="single" w:sz="8" w:color="69439A"/>
            </w:tcBorders>
            <w:shd w:val="clear" w:color="auto" w:fill="010035"/>
          </w:tcPr>
          <w:p>
            <w:pPr>
              <w:spacing w:after="0"/>
              <w:rPr>
                <w:sz w:val="24"/>
                <w:szCs w:val="24"/>
                <w:color w:val="auto"/>
              </w:rPr>
            </w:pPr>
          </w:p>
        </w:tc>
        <w:tc>
          <w:tcPr>
            <w:tcW w:w="156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CHANGE IN CONTROL</w:t>
            </w:r>
          </w:p>
        </w:tc>
        <w:tc>
          <w:tcPr>
            <w:tcW w:w="0" w:type="dxa"/>
            <w:vAlign w:val="bottom"/>
          </w:tcPr>
          <w:p>
            <w:pPr>
              <w:spacing w:after="0"/>
              <w:rPr>
                <w:sz w:val="1"/>
                <w:szCs w:val="1"/>
                <w:color w:val="auto"/>
              </w:rPr>
            </w:pPr>
          </w:p>
        </w:tc>
      </w:tr>
      <w:tr>
        <w:trPr>
          <w:trHeight w:val="68"/>
        </w:trPr>
        <w:tc>
          <w:tcPr>
            <w:tcW w:w="1560" w:type="dxa"/>
            <w:vAlign w:val="bottom"/>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EXECUTIVE</w:t>
            </w: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TERMINATION BY</w:t>
            </w:r>
          </w:p>
        </w:tc>
        <w:tc>
          <w:tcPr>
            <w:tcW w:w="1140" w:type="dxa"/>
            <w:vAlign w:val="bottom"/>
            <w:vMerge w:val="continue"/>
            <w:shd w:val="clear" w:color="auto" w:fill="010035"/>
          </w:tcPr>
          <w:p>
            <w:pPr>
              <w:spacing w:after="0"/>
              <w:rPr>
                <w:sz w:val="5"/>
                <w:szCs w:val="5"/>
                <w:color w:val="auto"/>
              </w:rPr>
            </w:pPr>
          </w:p>
        </w:tc>
        <w:tc>
          <w:tcPr>
            <w:tcW w:w="10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TERMINATION</w:t>
            </w:r>
          </w:p>
        </w:tc>
        <w:tc>
          <w:tcPr>
            <w:tcW w:w="2060" w:type="dxa"/>
            <w:vAlign w:val="bottom"/>
            <w:gridSpan w:val="2"/>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TERMINATION TERMINATION</w:t>
            </w:r>
          </w:p>
        </w:tc>
        <w:tc>
          <w:tcPr>
            <w:tcW w:w="9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CHANGE IN</w:t>
            </w:r>
          </w:p>
        </w:tc>
        <w:tc>
          <w:tcPr>
            <w:tcW w:w="156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TERMINATION</w:t>
            </w:r>
          </w:p>
        </w:tc>
        <w:tc>
          <w:tcPr>
            <w:tcW w:w="0" w:type="dxa"/>
            <w:vAlign w:val="bottom"/>
          </w:tcPr>
          <w:p>
            <w:pPr>
              <w:spacing w:after="0"/>
              <w:rPr>
                <w:sz w:val="1"/>
                <w:szCs w:val="1"/>
                <w:color w:val="auto"/>
              </w:rPr>
            </w:pPr>
          </w:p>
        </w:tc>
      </w:tr>
      <w:tr>
        <w:trPr>
          <w:trHeight w:val="109"/>
        </w:trPr>
        <w:tc>
          <w:tcPr>
            <w:tcW w:w="1560" w:type="dxa"/>
            <w:vAlign w:val="bottom"/>
            <w:vMerge w:val="continue"/>
            <w:shd w:val="clear" w:color="auto" w:fill="010035"/>
          </w:tcPr>
          <w:p>
            <w:pPr>
              <w:spacing w:after="0"/>
              <w:rPr>
                <w:sz w:val="9"/>
                <w:szCs w:val="9"/>
                <w:color w:val="auto"/>
              </w:rPr>
            </w:pPr>
          </w:p>
        </w:tc>
        <w:tc>
          <w:tcPr>
            <w:tcW w:w="1220" w:type="dxa"/>
            <w:vAlign w:val="bottom"/>
            <w:vMerge w:val="continue"/>
            <w:shd w:val="clear" w:color="auto" w:fill="010035"/>
          </w:tcPr>
          <w:p>
            <w:pPr>
              <w:spacing w:after="0"/>
              <w:rPr>
                <w:sz w:val="9"/>
                <w:szCs w:val="9"/>
                <w:color w:val="auto"/>
              </w:rPr>
            </w:pPr>
          </w:p>
        </w:tc>
        <w:tc>
          <w:tcPr>
            <w:tcW w:w="1140" w:type="dxa"/>
            <w:vAlign w:val="bottom"/>
            <w:shd w:val="clear" w:color="auto" w:fill="010035"/>
          </w:tcPr>
          <w:p>
            <w:pPr>
              <w:jc w:val="center"/>
              <w:spacing w:after="0" w:line="109" w:lineRule="exact"/>
              <w:rPr>
                <w:sz w:val="20"/>
                <w:szCs w:val="20"/>
                <w:color w:val="auto"/>
              </w:rPr>
            </w:pPr>
            <w:r>
              <w:rPr>
                <w:rFonts w:ascii="Arial" w:cs="Arial" w:eastAsia="Arial" w:hAnsi="Arial"/>
                <w:sz w:val="12"/>
                <w:szCs w:val="12"/>
                <w:b w:val="1"/>
                <w:bCs w:val="1"/>
                <w:color w:val="FFFFFF"/>
              </w:rPr>
              <w:t>WITHOUT</w:t>
            </w:r>
          </w:p>
        </w:tc>
        <w:tc>
          <w:tcPr>
            <w:tcW w:w="1080" w:type="dxa"/>
            <w:vAlign w:val="bottom"/>
            <w:vMerge w:val="continue"/>
            <w:shd w:val="clear" w:color="auto" w:fill="010035"/>
          </w:tcPr>
          <w:p>
            <w:pPr>
              <w:spacing w:after="0"/>
              <w:rPr>
                <w:sz w:val="9"/>
                <w:szCs w:val="9"/>
                <w:color w:val="auto"/>
              </w:rPr>
            </w:pPr>
          </w:p>
        </w:tc>
        <w:tc>
          <w:tcPr>
            <w:tcW w:w="2060" w:type="dxa"/>
            <w:vAlign w:val="bottom"/>
            <w:gridSpan w:val="2"/>
            <w:vMerge w:val="continue"/>
            <w:shd w:val="clear" w:color="auto" w:fill="010035"/>
          </w:tcPr>
          <w:p>
            <w:pPr>
              <w:spacing w:after="0"/>
              <w:rPr>
                <w:sz w:val="9"/>
                <w:szCs w:val="9"/>
                <w:color w:val="auto"/>
              </w:rPr>
            </w:pPr>
          </w:p>
        </w:tc>
        <w:tc>
          <w:tcPr>
            <w:tcW w:w="920" w:type="dxa"/>
            <w:vAlign w:val="bottom"/>
            <w:vMerge w:val="continue"/>
            <w:shd w:val="clear" w:color="auto" w:fill="010035"/>
          </w:tcPr>
          <w:p>
            <w:pPr>
              <w:spacing w:after="0"/>
              <w:rPr>
                <w:sz w:val="9"/>
                <w:szCs w:val="9"/>
                <w:color w:val="auto"/>
              </w:rPr>
            </w:pPr>
          </w:p>
        </w:tc>
        <w:tc>
          <w:tcPr>
            <w:tcW w:w="1560" w:type="dxa"/>
            <w:vAlign w:val="bottom"/>
            <w:vMerge w:val="continue"/>
            <w:shd w:val="clear" w:color="auto" w:fill="010035"/>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560" w:type="dxa"/>
            <w:vAlign w:val="bottom"/>
            <w:shd w:val="clear" w:color="auto" w:fill="010035"/>
          </w:tcPr>
          <w:p>
            <w:pPr>
              <w:ind w:left="40"/>
              <w:spacing w:after="0"/>
              <w:rPr>
                <w:sz w:val="20"/>
                <w:szCs w:val="20"/>
                <w:color w:val="auto"/>
              </w:rPr>
            </w:pPr>
            <w:r>
              <w:rPr>
                <w:rFonts w:ascii="Arial" w:cs="Arial" w:eastAsia="Arial" w:hAnsi="Arial"/>
                <w:sz w:val="14"/>
                <w:szCs w:val="14"/>
                <w:b w:val="1"/>
                <w:bCs w:val="1"/>
                <w:color w:val="FFFFFF"/>
              </w:rPr>
              <w:t>PAYMENTS</w:t>
            </w: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EXECUTIVE</w:t>
            </w:r>
          </w:p>
        </w:tc>
        <w:tc>
          <w:tcPr>
            <w:tcW w:w="114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CAUSE BY</w:t>
            </w:r>
          </w:p>
        </w:tc>
        <w:tc>
          <w:tcPr>
            <w:tcW w:w="108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FOR CAUSE BY</w:t>
            </w:r>
          </w:p>
        </w:tc>
        <w:tc>
          <w:tcPr>
            <w:tcW w:w="960" w:type="dxa"/>
            <w:vAlign w:val="bottom"/>
            <w:shd w:val="clear" w:color="auto" w:fill="010035"/>
          </w:tcPr>
          <w:p>
            <w:pPr>
              <w:jc w:val="center"/>
              <w:ind w:left="14"/>
              <w:spacing w:after="0"/>
              <w:rPr>
                <w:sz w:val="20"/>
                <w:szCs w:val="20"/>
                <w:color w:val="auto"/>
              </w:rPr>
            </w:pPr>
            <w:r>
              <w:rPr>
                <w:rFonts w:ascii="Arial" w:cs="Arial" w:eastAsia="Arial" w:hAnsi="Arial"/>
                <w:sz w:val="14"/>
                <w:szCs w:val="14"/>
                <w:b w:val="1"/>
                <w:bCs w:val="1"/>
                <w:color w:val="FFFFFF"/>
                <w:w w:val="98"/>
              </w:rPr>
              <w:t>UPON</w:t>
            </w:r>
          </w:p>
        </w:tc>
        <w:tc>
          <w:tcPr>
            <w:tcW w:w="110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UPON</w:t>
            </w:r>
          </w:p>
        </w:tc>
        <w:tc>
          <w:tcPr>
            <w:tcW w:w="9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CONTROL ($)</w:t>
            </w:r>
          </w:p>
        </w:tc>
        <w:tc>
          <w:tcPr>
            <w:tcW w:w="156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WITHOUT CAUSE OR</w:t>
            </w:r>
          </w:p>
        </w:tc>
        <w:tc>
          <w:tcPr>
            <w:tcW w:w="0" w:type="dxa"/>
            <w:vAlign w:val="bottom"/>
          </w:tcPr>
          <w:p>
            <w:pPr>
              <w:spacing w:after="0"/>
              <w:rPr>
                <w:sz w:val="1"/>
                <w:szCs w:val="1"/>
                <w:color w:val="auto"/>
              </w:rPr>
            </w:pPr>
          </w:p>
        </w:tc>
      </w:tr>
      <w:tr>
        <w:trPr>
          <w:trHeight w:val="175"/>
        </w:trPr>
        <w:tc>
          <w:tcPr>
            <w:tcW w:w="1560" w:type="dxa"/>
            <w:vAlign w:val="bottom"/>
            <w:shd w:val="clear" w:color="auto" w:fill="010035"/>
          </w:tcPr>
          <w:p>
            <w:pPr>
              <w:spacing w:after="0"/>
              <w:rPr>
                <w:sz w:val="15"/>
                <w:szCs w:val="15"/>
                <w:color w:val="auto"/>
              </w:rPr>
            </w:pP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(INCLUDING</w:t>
            </w:r>
          </w:p>
        </w:tc>
        <w:tc>
          <w:tcPr>
            <w:tcW w:w="1140" w:type="dxa"/>
            <w:vAlign w:val="bottom"/>
            <w:shd w:val="clear" w:color="auto" w:fill="010035"/>
          </w:tcPr>
          <w:p>
            <w:pPr>
              <w:jc w:val="center"/>
              <w:spacing w:after="0" w:line="176" w:lineRule="exact"/>
              <w:rPr>
                <w:sz w:val="20"/>
                <w:szCs w:val="20"/>
                <w:color w:val="auto"/>
              </w:rPr>
            </w:pPr>
            <w:r>
              <w:rPr>
                <w:rFonts w:ascii="Arial" w:cs="Arial" w:eastAsia="Arial" w:hAnsi="Arial"/>
                <w:sz w:val="13"/>
                <w:szCs w:val="13"/>
                <w:b w:val="1"/>
                <w:bCs w:val="1"/>
                <w:color w:val="FFFFFF"/>
              </w:rPr>
              <w:t xml:space="preserve">COMPANY ($) </w:t>
            </w:r>
            <w:r>
              <w:rPr>
                <w:rFonts w:ascii="Arial" w:cs="Arial" w:eastAsia="Arial" w:hAnsi="Arial"/>
                <w:sz w:val="20"/>
                <w:szCs w:val="20"/>
                <w:b w:val="1"/>
                <w:bCs w:val="1"/>
                <w:color w:val="FFFFFF"/>
                <w:vertAlign w:val="superscript"/>
              </w:rPr>
              <w:t>(g)</w:t>
            </w:r>
          </w:p>
        </w:tc>
        <w:tc>
          <w:tcPr>
            <w:tcW w:w="108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COMPANY ($)</w:t>
            </w:r>
          </w:p>
        </w:tc>
        <w:tc>
          <w:tcPr>
            <w:tcW w:w="960" w:type="dxa"/>
            <w:vAlign w:val="bottom"/>
            <w:shd w:val="clear" w:color="auto" w:fill="010035"/>
          </w:tcPr>
          <w:p>
            <w:pPr>
              <w:jc w:val="center"/>
              <w:ind w:left="54"/>
              <w:spacing w:after="0"/>
              <w:rPr>
                <w:sz w:val="20"/>
                <w:szCs w:val="20"/>
                <w:color w:val="auto"/>
              </w:rPr>
            </w:pPr>
            <w:r>
              <w:rPr>
                <w:rFonts w:ascii="Arial" w:cs="Arial" w:eastAsia="Arial" w:hAnsi="Arial"/>
                <w:sz w:val="14"/>
                <w:szCs w:val="14"/>
                <w:b w:val="1"/>
                <w:bCs w:val="1"/>
                <w:color w:val="FFFFFF"/>
                <w:w w:val="98"/>
              </w:rPr>
              <w:t>DEATH ($)</w:t>
            </w:r>
          </w:p>
        </w:tc>
        <w:tc>
          <w:tcPr>
            <w:tcW w:w="1100" w:type="dxa"/>
            <w:vAlign w:val="bottom"/>
            <w:shd w:val="clear" w:color="auto" w:fill="010035"/>
          </w:tcPr>
          <w:p>
            <w:pPr>
              <w:jc w:val="center"/>
              <w:ind w:left="15"/>
              <w:spacing w:after="0"/>
              <w:rPr>
                <w:sz w:val="20"/>
                <w:szCs w:val="20"/>
                <w:color w:val="auto"/>
              </w:rPr>
            </w:pPr>
            <w:r>
              <w:rPr>
                <w:rFonts w:ascii="Arial" w:cs="Arial" w:eastAsia="Arial" w:hAnsi="Arial"/>
                <w:sz w:val="14"/>
                <w:szCs w:val="14"/>
                <w:b w:val="1"/>
                <w:bCs w:val="1"/>
                <w:color w:val="FFFFFF"/>
                <w:w w:val="99"/>
              </w:rPr>
              <w:t>DISABILITY ($)</w:t>
            </w:r>
          </w:p>
        </w:tc>
        <w:tc>
          <w:tcPr>
            <w:tcW w:w="920" w:type="dxa"/>
            <w:vAlign w:val="bottom"/>
            <w:shd w:val="clear" w:color="auto" w:fill="010035"/>
          </w:tcPr>
          <w:p>
            <w:pPr>
              <w:spacing w:after="0"/>
              <w:rPr>
                <w:sz w:val="15"/>
                <w:szCs w:val="15"/>
                <w:color w:val="auto"/>
              </w:rPr>
            </w:pPr>
          </w:p>
        </w:tc>
        <w:tc>
          <w:tcPr>
            <w:tcW w:w="156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RESIGNATION FOR</w:t>
            </w:r>
          </w:p>
        </w:tc>
        <w:tc>
          <w:tcPr>
            <w:tcW w:w="0" w:type="dxa"/>
            <w:vAlign w:val="bottom"/>
          </w:tcPr>
          <w:p>
            <w:pPr>
              <w:spacing w:after="0"/>
              <w:rPr>
                <w:sz w:val="1"/>
                <w:szCs w:val="1"/>
                <w:color w:val="auto"/>
              </w:rPr>
            </w:pPr>
          </w:p>
        </w:tc>
      </w:tr>
      <w:tr>
        <w:trPr>
          <w:trHeight w:val="162"/>
        </w:trPr>
        <w:tc>
          <w:tcPr>
            <w:tcW w:w="1560" w:type="dxa"/>
            <w:vAlign w:val="bottom"/>
            <w:shd w:val="clear" w:color="auto" w:fill="010035"/>
          </w:tcPr>
          <w:p>
            <w:pPr>
              <w:spacing w:after="0"/>
              <w:rPr>
                <w:sz w:val="14"/>
                <w:szCs w:val="14"/>
                <w:color w:val="auto"/>
              </w:rPr>
            </w:pP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RETIREMENT) ($)</w:t>
            </w:r>
          </w:p>
        </w:tc>
        <w:tc>
          <w:tcPr>
            <w:tcW w:w="1140" w:type="dxa"/>
            <w:vAlign w:val="bottom"/>
            <w:shd w:val="clear" w:color="auto" w:fill="010035"/>
          </w:tcPr>
          <w:p>
            <w:pPr>
              <w:spacing w:after="0"/>
              <w:rPr>
                <w:sz w:val="14"/>
                <w:szCs w:val="14"/>
                <w:color w:val="auto"/>
              </w:rPr>
            </w:pPr>
          </w:p>
        </w:tc>
        <w:tc>
          <w:tcPr>
            <w:tcW w:w="1080" w:type="dxa"/>
            <w:vAlign w:val="bottom"/>
            <w:shd w:val="clear" w:color="auto" w:fill="010035"/>
          </w:tcPr>
          <w:p>
            <w:pPr>
              <w:spacing w:after="0"/>
              <w:rPr>
                <w:sz w:val="14"/>
                <w:szCs w:val="14"/>
                <w:color w:val="auto"/>
              </w:rPr>
            </w:pPr>
          </w:p>
        </w:tc>
        <w:tc>
          <w:tcPr>
            <w:tcW w:w="960" w:type="dxa"/>
            <w:vAlign w:val="bottom"/>
            <w:shd w:val="clear" w:color="auto" w:fill="010035"/>
          </w:tcPr>
          <w:p>
            <w:pPr>
              <w:spacing w:after="0"/>
              <w:rPr>
                <w:sz w:val="14"/>
                <w:szCs w:val="14"/>
                <w:color w:val="auto"/>
              </w:rPr>
            </w:pPr>
          </w:p>
        </w:tc>
        <w:tc>
          <w:tcPr>
            <w:tcW w:w="1100" w:type="dxa"/>
            <w:vAlign w:val="bottom"/>
            <w:shd w:val="clear" w:color="auto" w:fill="010035"/>
          </w:tcPr>
          <w:p>
            <w:pPr>
              <w:spacing w:after="0"/>
              <w:rPr>
                <w:sz w:val="14"/>
                <w:szCs w:val="14"/>
                <w:color w:val="auto"/>
              </w:rPr>
            </w:pPr>
          </w:p>
        </w:tc>
        <w:tc>
          <w:tcPr>
            <w:tcW w:w="920" w:type="dxa"/>
            <w:vAlign w:val="bottom"/>
            <w:shd w:val="clear" w:color="auto" w:fill="010035"/>
          </w:tcPr>
          <w:p>
            <w:pPr>
              <w:spacing w:after="0"/>
              <w:rPr>
                <w:sz w:val="14"/>
                <w:szCs w:val="14"/>
                <w:color w:val="auto"/>
              </w:rPr>
            </w:pPr>
          </w:p>
        </w:tc>
        <w:tc>
          <w:tcPr>
            <w:tcW w:w="156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GOOD REASON ($)</w:t>
            </w:r>
          </w:p>
        </w:tc>
        <w:tc>
          <w:tcPr>
            <w:tcW w:w="0" w:type="dxa"/>
            <w:vAlign w:val="bottom"/>
          </w:tcPr>
          <w:p>
            <w:pPr>
              <w:spacing w:after="0"/>
              <w:rPr>
                <w:sz w:val="1"/>
                <w:szCs w:val="1"/>
                <w:color w:val="auto"/>
              </w:rPr>
            </w:pPr>
          </w:p>
        </w:tc>
      </w:tr>
      <w:tr>
        <w:trPr>
          <w:trHeight w:val="324"/>
        </w:trPr>
        <w:tc>
          <w:tcPr>
            <w:tcW w:w="1560" w:type="dxa"/>
            <w:vAlign w:val="bottom"/>
          </w:tcPr>
          <w:p>
            <w:pPr>
              <w:ind w:left="40"/>
              <w:spacing w:after="0"/>
              <w:rPr>
                <w:sz w:val="20"/>
                <w:szCs w:val="20"/>
                <w:color w:val="auto"/>
              </w:rPr>
            </w:pPr>
            <w:r>
              <w:rPr>
                <w:rFonts w:ascii="Arial" w:cs="Arial" w:eastAsia="Arial" w:hAnsi="Arial"/>
                <w:sz w:val="13"/>
                <w:szCs w:val="13"/>
                <w:color w:val="010035"/>
                <w:w w:val="95"/>
              </w:rPr>
              <w:t>Cash Severance Benefit</w:t>
            </w:r>
            <w:r>
              <w:rPr>
                <w:rFonts w:ascii="Arial" w:cs="Arial" w:eastAsia="Arial" w:hAnsi="Arial"/>
                <w:sz w:val="20"/>
                <w:szCs w:val="20"/>
                <w:color w:val="010035"/>
                <w:w w:val="95"/>
                <w:vertAlign w:val="superscript"/>
              </w:rPr>
              <w:t>(a)</w:t>
            </w:r>
          </w:p>
        </w:tc>
        <w:tc>
          <w:tcPr>
            <w:tcW w:w="12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Pr>
          <w:p>
            <w:pPr>
              <w:jc w:val="center"/>
              <w:spacing w:after="0"/>
              <w:rPr>
                <w:sz w:val="20"/>
                <w:szCs w:val="20"/>
                <w:color w:val="auto"/>
              </w:rPr>
            </w:pPr>
            <w:r>
              <w:rPr>
                <w:rFonts w:ascii="Arial" w:cs="Arial" w:eastAsia="Arial" w:hAnsi="Arial"/>
                <w:sz w:val="13"/>
                <w:szCs w:val="13"/>
                <w:color w:val="010035"/>
                <w:w w:val="96"/>
              </w:rPr>
              <w:t>3,592,125</w:t>
            </w:r>
          </w:p>
        </w:tc>
        <w:tc>
          <w:tcPr>
            <w:tcW w:w="1080" w:type="dxa"/>
            <w:vAlign w:val="bottom"/>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560" w:type="dxa"/>
            <w:vAlign w:val="bottom"/>
          </w:tcPr>
          <w:p>
            <w:pPr>
              <w:jc w:val="center"/>
              <w:spacing w:after="0"/>
              <w:rPr>
                <w:sz w:val="20"/>
                <w:szCs w:val="20"/>
                <w:color w:val="auto"/>
              </w:rPr>
            </w:pPr>
            <w:r>
              <w:rPr>
                <w:rFonts w:ascii="Arial" w:cs="Arial" w:eastAsia="Arial" w:hAnsi="Arial"/>
                <w:sz w:val="13"/>
                <w:szCs w:val="13"/>
                <w:color w:val="010035"/>
                <w:w w:val="96"/>
              </w:rPr>
              <w:t>4,171,500</w:t>
            </w:r>
          </w:p>
        </w:tc>
        <w:tc>
          <w:tcPr>
            <w:tcW w:w="0" w:type="dxa"/>
            <w:vAlign w:val="bottom"/>
          </w:tcPr>
          <w:p>
            <w:pPr>
              <w:spacing w:after="0"/>
              <w:rPr>
                <w:sz w:val="1"/>
                <w:szCs w:val="1"/>
                <w:color w:val="auto"/>
              </w:rPr>
            </w:pPr>
          </w:p>
        </w:tc>
      </w:tr>
      <w:tr>
        <w:trPr>
          <w:trHeight w:val="324"/>
        </w:trPr>
        <w:tc>
          <w:tcPr>
            <w:tcW w:w="156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Benefit Continuation</w:t>
            </w:r>
            <w:r>
              <w:rPr>
                <w:rFonts w:ascii="Arial" w:cs="Arial" w:eastAsia="Arial" w:hAnsi="Arial"/>
                <w:sz w:val="20"/>
                <w:szCs w:val="20"/>
                <w:color w:val="010035"/>
                <w:vertAlign w:val="superscript"/>
              </w:rPr>
              <w:t>(b)</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57,685</w:t>
            </w:r>
          </w:p>
        </w:tc>
        <w:tc>
          <w:tcPr>
            <w:tcW w:w="108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960" w:type="dxa"/>
            <w:vAlign w:val="bottom"/>
            <w:shd w:val="clear" w:color="auto" w:fill="DED8EC"/>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5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57,685</w:t>
            </w:r>
          </w:p>
        </w:tc>
        <w:tc>
          <w:tcPr>
            <w:tcW w:w="0" w:type="dxa"/>
            <w:vAlign w:val="bottom"/>
          </w:tcPr>
          <w:p>
            <w:pPr>
              <w:spacing w:after="0"/>
              <w:rPr>
                <w:sz w:val="1"/>
                <w:szCs w:val="1"/>
                <w:color w:val="auto"/>
              </w:rPr>
            </w:pPr>
          </w:p>
        </w:tc>
      </w:tr>
      <w:tr>
        <w:trPr>
          <w:trHeight w:val="324"/>
        </w:trPr>
        <w:tc>
          <w:tcPr>
            <w:tcW w:w="1560" w:type="dxa"/>
            <w:vAlign w:val="bottom"/>
          </w:tcPr>
          <w:p>
            <w:pPr>
              <w:ind w:left="40"/>
              <w:spacing w:after="0"/>
              <w:rPr>
                <w:sz w:val="20"/>
                <w:szCs w:val="20"/>
                <w:color w:val="auto"/>
              </w:rPr>
            </w:pPr>
            <w:r>
              <w:rPr>
                <w:rFonts w:ascii="Arial" w:cs="Arial" w:eastAsia="Arial" w:hAnsi="Arial"/>
                <w:sz w:val="13"/>
                <w:szCs w:val="13"/>
                <w:color w:val="010035"/>
              </w:rPr>
              <w:t>Restricted Shares</w:t>
            </w:r>
            <w:r>
              <w:rPr>
                <w:rFonts w:ascii="Arial" w:cs="Arial" w:eastAsia="Arial" w:hAnsi="Arial"/>
                <w:sz w:val="20"/>
                <w:szCs w:val="20"/>
                <w:color w:val="010035"/>
                <w:vertAlign w:val="superscript"/>
              </w:rPr>
              <w:t>(c)(d)</w:t>
            </w:r>
          </w:p>
        </w:tc>
        <w:tc>
          <w:tcPr>
            <w:tcW w:w="12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Pr>
          <w:p>
            <w:pPr>
              <w:jc w:val="center"/>
              <w:spacing w:after="0"/>
              <w:rPr>
                <w:sz w:val="20"/>
                <w:szCs w:val="20"/>
                <w:color w:val="auto"/>
              </w:rPr>
            </w:pPr>
            <w:r>
              <w:rPr>
                <w:rFonts w:ascii="Arial" w:cs="Arial" w:eastAsia="Arial" w:hAnsi="Arial"/>
                <w:sz w:val="13"/>
                <w:szCs w:val="13"/>
                <w:color w:val="010035"/>
                <w:w w:val="97"/>
              </w:rPr>
              <w:t>625,783</w:t>
            </w:r>
          </w:p>
        </w:tc>
        <w:tc>
          <w:tcPr>
            <w:tcW w:w="1080" w:type="dxa"/>
            <w:vAlign w:val="bottom"/>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Pr>
          <w:p>
            <w:pPr>
              <w:jc w:val="center"/>
              <w:ind w:left="54"/>
              <w:spacing w:after="0"/>
              <w:rPr>
                <w:sz w:val="20"/>
                <w:szCs w:val="20"/>
                <w:color w:val="auto"/>
              </w:rPr>
            </w:pPr>
            <w:r>
              <w:rPr>
                <w:rFonts w:ascii="Arial" w:cs="Arial" w:eastAsia="Arial" w:hAnsi="Arial"/>
                <w:sz w:val="13"/>
                <w:szCs w:val="13"/>
                <w:color w:val="010035"/>
                <w:w w:val="96"/>
              </w:rPr>
              <w:t>4,839,947</w:t>
            </w:r>
          </w:p>
        </w:tc>
        <w:tc>
          <w:tcPr>
            <w:tcW w:w="1100" w:type="dxa"/>
            <w:vAlign w:val="bottom"/>
          </w:tcPr>
          <w:p>
            <w:pPr>
              <w:jc w:val="center"/>
              <w:spacing w:after="0"/>
              <w:rPr>
                <w:sz w:val="20"/>
                <w:szCs w:val="20"/>
                <w:color w:val="auto"/>
              </w:rPr>
            </w:pPr>
            <w:r>
              <w:rPr>
                <w:rFonts w:ascii="Arial" w:cs="Arial" w:eastAsia="Arial" w:hAnsi="Arial"/>
                <w:sz w:val="13"/>
                <w:szCs w:val="13"/>
                <w:color w:val="010035"/>
                <w:w w:val="96"/>
              </w:rPr>
              <w:t>4,839,947</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560" w:type="dxa"/>
            <w:vAlign w:val="bottom"/>
          </w:tcPr>
          <w:p>
            <w:pPr>
              <w:jc w:val="center"/>
              <w:spacing w:after="0"/>
              <w:rPr>
                <w:sz w:val="20"/>
                <w:szCs w:val="20"/>
                <w:color w:val="auto"/>
              </w:rPr>
            </w:pPr>
            <w:r>
              <w:rPr>
                <w:rFonts w:ascii="Arial" w:cs="Arial" w:eastAsia="Arial" w:hAnsi="Arial"/>
                <w:sz w:val="13"/>
                <w:szCs w:val="13"/>
                <w:color w:val="010035"/>
                <w:w w:val="96"/>
              </w:rPr>
              <w:t>4,839,947</w:t>
            </w:r>
          </w:p>
        </w:tc>
        <w:tc>
          <w:tcPr>
            <w:tcW w:w="0" w:type="dxa"/>
            <w:vAlign w:val="bottom"/>
          </w:tcPr>
          <w:p>
            <w:pPr>
              <w:spacing w:after="0"/>
              <w:rPr>
                <w:sz w:val="1"/>
                <w:szCs w:val="1"/>
                <w:color w:val="auto"/>
              </w:rPr>
            </w:pPr>
          </w:p>
        </w:tc>
      </w:tr>
      <w:tr>
        <w:trPr>
          <w:trHeight w:val="324"/>
        </w:trPr>
        <w:tc>
          <w:tcPr>
            <w:tcW w:w="156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Vested Stock Options</w:t>
            </w:r>
            <w:r>
              <w:rPr>
                <w:rFonts w:ascii="Arial" w:cs="Arial" w:eastAsia="Arial" w:hAnsi="Arial"/>
                <w:sz w:val="20"/>
                <w:szCs w:val="20"/>
                <w:color w:val="010035"/>
                <w:vertAlign w:val="superscript"/>
              </w:rPr>
              <w:t>(e)</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08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960" w:type="dxa"/>
            <w:vAlign w:val="bottom"/>
            <w:shd w:val="clear" w:color="auto" w:fill="DED8EC"/>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5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192"/>
        </w:trPr>
        <w:tc>
          <w:tcPr>
            <w:tcW w:w="1560" w:type="dxa"/>
            <w:vAlign w:val="bottom"/>
          </w:tcPr>
          <w:p>
            <w:pPr>
              <w:ind w:left="40"/>
              <w:spacing w:after="0"/>
              <w:rPr>
                <w:sz w:val="20"/>
                <w:szCs w:val="20"/>
                <w:color w:val="auto"/>
              </w:rPr>
            </w:pPr>
            <w:r>
              <w:rPr>
                <w:rFonts w:ascii="Arial" w:cs="Arial" w:eastAsia="Arial" w:hAnsi="Arial"/>
                <w:sz w:val="13"/>
                <w:szCs w:val="13"/>
                <w:color w:val="010035"/>
              </w:rPr>
              <w:t>Vested Deferred</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10035"/>
              </w:rPr>
              <w:t>—</w:t>
            </w:r>
          </w:p>
        </w:tc>
        <w:tc>
          <w:tcPr>
            <w:tcW w:w="960" w:type="dxa"/>
            <w:vAlign w:val="bottom"/>
            <w:vMerge w:val="restart"/>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10035"/>
              </w:rPr>
              <w:t>—</w:t>
            </w:r>
          </w:p>
        </w:tc>
        <w:tc>
          <w:tcPr>
            <w:tcW w:w="1560" w:type="dxa"/>
            <w:vAlign w:val="bottom"/>
            <w:vMerge w:val="restart"/>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104"/>
        </w:trPr>
        <w:tc>
          <w:tcPr>
            <w:tcW w:w="1560" w:type="dxa"/>
            <w:vAlign w:val="bottom"/>
            <w:vMerge w:val="restart"/>
          </w:tcPr>
          <w:p>
            <w:pPr>
              <w:ind w:left="40"/>
              <w:spacing w:after="0"/>
              <w:rPr>
                <w:sz w:val="20"/>
                <w:szCs w:val="20"/>
                <w:color w:val="auto"/>
              </w:rPr>
            </w:pPr>
            <w:r>
              <w:rPr>
                <w:rFonts w:ascii="Arial" w:cs="Arial" w:eastAsia="Arial" w:hAnsi="Arial"/>
                <w:sz w:val="13"/>
                <w:szCs w:val="13"/>
                <w:color w:val="010035"/>
              </w:rPr>
              <w:t>Compensation Balance</w:t>
            </w:r>
            <w:r>
              <w:rPr>
                <w:rFonts w:ascii="Arial" w:cs="Arial" w:eastAsia="Arial" w:hAnsi="Arial"/>
                <w:sz w:val="20"/>
                <w:szCs w:val="20"/>
                <w:color w:val="010035"/>
                <w:vertAlign w:val="superscript"/>
              </w:rPr>
              <w:t>(f)</w:t>
            </w: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5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60" w:type="dxa"/>
            <w:vAlign w:val="bottom"/>
            <w:tcBorders>
              <w:bottom w:val="single" w:sz="8" w:color="DED8EC"/>
            </w:tcBorders>
            <w:shd w:val="clear" w:color="auto" w:fill="DED8EC"/>
          </w:tcPr>
          <w:p>
            <w:pPr>
              <w:ind w:left="40"/>
              <w:spacing w:after="0"/>
              <w:rPr>
                <w:sz w:val="20"/>
                <w:szCs w:val="20"/>
                <w:color w:val="auto"/>
              </w:rPr>
            </w:pPr>
            <w:r>
              <w:rPr>
                <w:rFonts w:ascii="Arial" w:cs="Arial" w:eastAsia="Arial" w:hAnsi="Arial"/>
                <w:sz w:val="13"/>
                <w:szCs w:val="13"/>
                <w:color w:val="010035"/>
              </w:rPr>
              <w:t>Total</w:t>
            </w:r>
          </w:p>
        </w:tc>
        <w:tc>
          <w:tcPr>
            <w:tcW w:w="12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6"/>
              </w:rPr>
              <w:t>4,275,593</w:t>
            </w:r>
          </w:p>
        </w:tc>
        <w:tc>
          <w:tcPr>
            <w:tcW w:w="108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Borders>
              <w:bottom w:val="single" w:sz="8" w:color="DED8EC"/>
            </w:tcBorders>
            <w:shd w:val="clear" w:color="auto" w:fill="DED8EC"/>
          </w:tcPr>
          <w:p>
            <w:pPr>
              <w:jc w:val="center"/>
              <w:ind w:left="54"/>
              <w:spacing w:after="0"/>
              <w:rPr>
                <w:sz w:val="20"/>
                <w:szCs w:val="20"/>
                <w:color w:val="auto"/>
              </w:rPr>
            </w:pPr>
            <w:r>
              <w:rPr>
                <w:rFonts w:ascii="Arial" w:cs="Arial" w:eastAsia="Arial" w:hAnsi="Arial"/>
                <w:sz w:val="13"/>
                <w:szCs w:val="13"/>
                <w:color w:val="010035"/>
                <w:w w:val="96"/>
              </w:rPr>
              <w:t>4,839,947​</w:t>
            </w:r>
          </w:p>
        </w:tc>
        <w:tc>
          <w:tcPr>
            <w:tcW w:w="110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6"/>
              </w:rPr>
              <w:t>4,839,947​</w:t>
            </w:r>
          </w:p>
        </w:tc>
        <w:tc>
          <w:tcPr>
            <w:tcW w:w="9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56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6"/>
              </w:rPr>
              <w:t>9,069,132​</w:t>
            </w:r>
          </w:p>
        </w:tc>
        <w:tc>
          <w:tcPr>
            <w:tcW w:w="0" w:type="dxa"/>
            <w:vAlign w:val="bottom"/>
          </w:tcPr>
          <w:p>
            <w:pPr>
              <w:spacing w:after="0"/>
              <w:rPr>
                <w:sz w:val="1"/>
                <w:szCs w:val="1"/>
                <w:color w:val="auto"/>
              </w:rPr>
            </w:pPr>
          </w:p>
        </w:tc>
      </w:tr>
      <w:tr>
        <w:trPr>
          <w:trHeight w:val="20"/>
        </w:trPr>
        <w:tc>
          <w:tcPr>
            <w:tcW w:w="1560" w:type="dxa"/>
            <w:vAlign w:val="bottom"/>
            <w:shd w:val="clear" w:color="auto" w:fill="010035"/>
          </w:tcPr>
          <w:p>
            <w:pPr>
              <w:spacing w:after="0" w:line="20" w:lineRule="exact"/>
              <w:rPr>
                <w:sz w:val="1"/>
                <w:szCs w:val="1"/>
                <w:color w:val="auto"/>
              </w:rPr>
            </w:pPr>
          </w:p>
        </w:tc>
        <w:tc>
          <w:tcPr>
            <w:tcW w:w="1220" w:type="dxa"/>
            <w:vAlign w:val="bottom"/>
            <w:shd w:val="clear" w:color="auto" w:fill="010035"/>
          </w:tcPr>
          <w:p>
            <w:pPr>
              <w:spacing w:after="0" w:line="20" w:lineRule="exact"/>
              <w:rPr>
                <w:sz w:val="1"/>
                <w:szCs w:val="1"/>
                <w:color w:val="auto"/>
              </w:rPr>
            </w:pPr>
          </w:p>
        </w:tc>
        <w:tc>
          <w:tcPr>
            <w:tcW w:w="1140" w:type="dxa"/>
            <w:vAlign w:val="bottom"/>
            <w:shd w:val="clear" w:color="auto" w:fill="010035"/>
          </w:tcPr>
          <w:p>
            <w:pPr>
              <w:spacing w:after="0" w:line="20" w:lineRule="exact"/>
              <w:rPr>
                <w:sz w:val="1"/>
                <w:szCs w:val="1"/>
                <w:color w:val="auto"/>
              </w:rPr>
            </w:pPr>
          </w:p>
        </w:tc>
        <w:tc>
          <w:tcPr>
            <w:tcW w:w="1080" w:type="dxa"/>
            <w:vAlign w:val="bottom"/>
            <w:shd w:val="clear" w:color="auto" w:fill="010035"/>
          </w:tcPr>
          <w:p>
            <w:pPr>
              <w:spacing w:after="0" w:line="20" w:lineRule="exact"/>
              <w:rPr>
                <w:sz w:val="1"/>
                <w:szCs w:val="1"/>
                <w:color w:val="auto"/>
              </w:rPr>
            </w:pPr>
          </w:p>
        </w:tc>
        <w:tc>
          <w:tcPr>
            <w:tcW w:w="960" w:type="dxa"/>
            <w:vAlign w:val="bottom"/>
            <w:shd w:val="clear" w:color="auto" w:fill="010035"/>
          </w:tcPr>
          <w:p>
            <w:pPr>
              <w:spacing w:after="0" w:line="20" w:lineRule="exact"/>
              <w:rPr>
                <w:sz w:val="1"/>
                <w:szCs w:val="1"/>
                <w:color w:val="auto"/>
              </w:rPr>
            </w:pPr>
          </w:p>
        </w:tc>
        <w:tc>
          <w:tcPr>
            <w:tcW w:w="1100" w:type="dxa"/>
            <w:vAlign w:val="bottom"/>
            <w:shd w:val="clear" w:color="auto" w:fill="010035"/>
          </w:tcPr>
          <w:p>
            <w:pPr>
              <w:spacing w:after="0" w:line="20" w:lineRule="exact"/>
              <w:rPr>
                <w:sz w:val="1"/>
                <w:szCs w:val="1"/>
                <w:color w:val="auto"/>
              </w:rPr>
            </w:pPr>
          </w:p>
        </w:tc>
        <w:tc>
          <w:tcPr>
            <w:tcW w:w="920" w:type="dxa"/>
            <w:vAlign w:val="bottom"/>
            <w:shd w:val="clear" w:color="auto" w:fill="010035"/>
          </w:tcPr>
          <w:p>
            <w:pPr>
              <w:spacing w:after="0" w:line="20" w:lineRule="exact"/>
              <w:rPr>
                <w:sz w:val="1"/>
                <w:szCs w:val="1"/>
                <w:color w:val="auto"/>
              </w:rPr>
            </w:pPr>
          </w:p>
        </w:tc>
        <w:tc>
          <w:tcPr>
            <w:tcW w:w="1560" w:type="dxa"/>
            <w:vAlign w:val="bottom"/>
            <w:shd w:val="clear" w:color="auto" w:fill="0100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180" w:right="220" w:hanging="174"/>
        <w:spacing w:after="0" w:line="242" w:lineRule="auto"/>
        <w:tabs>
          <w:tab w:leader="none" w:pos="180" w:val="left"/>
        </w:tabs>
        <w:numPr>
          <w:ilvl w:val="0"/>
          <w:numId w:val="6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In the case of termination without cause by the Company, or resignation by the executive for good reason, the amount represents a payment equal to the sum of (a) twenty-four months of annual base salary for 2025 and (b) one and a half times the target cash bonus for 2025. For change in control termination without cause, or resignation for good reason, the amount represents a payment equal to two times the sum of (a) annual base salary for 2025 and (b) target cash bonus for 2025.</w:t>
      </w:r>
    </w:p>
    <w:p>
      <w:pPr>
        <w:ind w:left="180" w:right="260" w:hanging="174"/>
        <w:spacing w:after="0" w:line="246" w:lineRule="auto"/>
        <w:tabs>
          <w:tab w:leader="none" w:pos="180" w:val="left"/>
        </w:tabs>
        <w:numPr>
          <w:ilvl w:val="0"/>
          <w:numId w:val="6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Represents employer cost of medical and dental coverage for a period of twenty-four months should Ms. Hendrix elect COBRA coverage for these benefits based on her benefit elections in place on December 31, 2025.</w:t>
      </w:r>
    </w:p>
    <w:p>
      <w:pPr>
        <w:spacing w:after="0" w:line="5"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6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Restricted stock award values were computed based on the closing price of the Company’s common stock on December 31, 2025 ($14.75 per share), which was the last trading day of 2025.</w:t>
      </w:r>
    </w:p>
    <w:p>
      <w:pPr>
        <w:spacing w:after="0" w:line="13" w:lineRule="exact"/>
        <w:rPr>
          <w:rFonts w:ascii="Times New Roman" w:cs="Times New Roman" w:eastAsia="Times New Roman" w:hAnsi="Times New Roman"/>
          <w:sz w:val="11"/>
          <w:szCs w:val="11"/>
          <w:color w:val="010035"/>
        </w:rPr>
      </w:pPr>
    </w:p>
    <w:p>
      <w:pPr>
        <w:ind w:left="180" w:right="340" w:hanging="174"/>
        <w:spacing w:after="0" w:line="243" w:lineRule="auto"/>
        <w:tabs>
          <w:tab w:leader="none" w:pos="180" w:val="left"/>
        </w:tabs>
        <w:numPr>
          <w:ilvl w:val="0"/>
          <w:numId w:val="6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Restrictions on unvested performance awards and unvested restricted stock units lapse upon death, disability or a termination without cause or resignation for good reason within the protected period following a change in control.</w:t>
      </w:r>
    </w:p>
    <w:p>
      <w:pPr>
        <w:ind w:left="180" w:right="420" w:hanging="174"/>
        <w:spacing w:after="0" w:line="239" w:lineRule="auto"/>
        <w:tabs>
          <w:tab w:leader="none" w:pos="180" w:val="left"/>
        </w:tabs>
        <w:numPr>
          <w:ilvl w:val="0"/>
          <w:numId w:val="6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Stock options lapse upon death, disability, or a termination without cause or resignation for good reason within the protected period of a change in control, and specific to a qualified retirement within the 2022 Plan. Vested stock options issued under the 2018 Plan and 2022 Plan are cancelled when an executive is terminated for cause by the Company. All unvested stock options were underwater as of December 31, 2025.</w:t>
      </w:r>
    </w:p>
    <w:p>
      <w:pPr>
        <w:spacing w:after="0" w:line="8" w:lineRule="exact"/>
        <w:rPr>
          <w:rFonts w:ascii="Times New Roman" w:cs="Times New Roman" w:eastAsia="Times New Roman" w:hAnsi="Times New Roman"/>
          <w:sz w:val="11"/>
          <w:szCs w:val="11"/>
          <w:color w:val="010035"/>
        </w:rPr>
      </w:pPr>
    </w:p>
    <w:p>
      <w:pPr>
        <w:ind w:left="180" w:right="260" w:hanging="174"/>
        <w:spacing w:after="0" w:line="242" w:lineRule="auto"/>
        <w:tabs>
          <w:tab w:leader="none" w:pos="180" w:val="left"/>
        </w:tabs>
        <w:numPr>
          <w:ilvl w:val="0"/>
          <w:numId w:val="6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Company contributions to the Deferred Compensation Plan vest 20% per year during the first five years of service. However, vesting is accelerated upon death, retirement, change in control or, at the option of the committee administering the Deferred Compensation Plan, involuntary termination or disability. All amounts under Ms. Hendrix’s deferred compensation account were vested as of December 31, 2025. All amounts under Ms. Hendrix’s deferred compensation account were vested as of December 31, 2025.</w:t>
      </w:r>
    </w:p>
    <w:p>
      <w:pPr>
        <w:ind w:left="180" w:hanging="174"/>
        <w:spacing w:after="0"/>
        <w:tabs>
          <w:tab w:leader="none" w:pos="180" w:val="left"/>
        </w:tabs>
        <w:numPr>
          <w:ilvl w:val="0"/>
          <w:numId w:val="6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In addition to a termination without cause by the Company, the executive is eligible to receive the Cash Severance Benefit and Benefit Continuation upon executive’s resignation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00"/>
          </w:cols>
          <w:pgMar w:left="1240" w:top="114" w:right="10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Post-Employment Payments — Chris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560" w:type="dxa"/>
            <w:vAlign w:val="bottom"/>
            <w:tcBorders>
              <w:top w:val="single" w:sz="8" w:color="69439A"/>
            </w:tcBorders>
            <w:shd w:val="clear" w:color="auto" w:fill="010035"/>
          </w:tcPr>
          <w:p>
            <w:pPr>
              <w:spacing w:after="0"/>
              <w:rPr>
                <w:sz w:val="24"/>
                <w:szCs w:val="24"/>
                <w:color w:val="auto"/>
              </w:rPr>
            </w:pPr>
          </w:p>
        </w:tc>
        <w:tc>
          <w:tcPr>
            <w:tcW w:w="122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VOLUNTARY</w:t>
            </w:r>
          </w:p>
        </w:tc>
        <w:tc>
          <w:tcPr>
            <w:tcW w:w="114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TERMINATION</w:t>
            </w:r>
          </w:p>
        </w:tc>
        <w:tc>
          <w:tcPr>
            <w:tcW w:w="1080" w:type="dxa"/>
            <w:vAlign w:val="bottom"/>
            <w:tcBorders>
              <w:top w:val="single" w:sz="8" w:color="69439A"/>
            </w:tcBorders>
            <w:shd w:val="clear" w:color="auto" w:fill="010035"/>
          </w:tcPr>
          <w:p>
            <w:pPr>
              <w:spacing w:after="0"/>
              <w:rPr>
                <w:sz w:val="24"/>
                <w:szCs w:val="24"/>
                <w:color w:val="auto"/>
              </w:rPr>
            </w:pPr>
          </w:p>
        </w:tc>
        <w:tc>
          <w:tcPr>
            <w:tcW w:w="960" w:type="dxa"/>
            <w:vAlign w:val="bottom"/>
            <w:tcBorders>
              <w:top w:val="single" w:sz="8" w:color="69439A"/>
            </w:tcBorders>
            <w:shd w:val="clear" w:color="auto" w:fill="010035"/>
          </w:tcPr>
          <w:p>
            <w:pPr>
              <w:spacing w:after="0"/>
              <w:rPr>
                <w:sz w:val="24"/>
                <w:szCs w:val="24"/>
                <w:color w:val="auto"/>
              </w:rPr>
            </w:pPr>
          </w:p>
        </w:tc>
        <w:tc>
          <w:tcPr>
            <w:tcW w:w="1100" w:type="dxa"/>
            <w:vAlign w:val="bottom"/>
            <w:tcBorders>
              <w:top w:val="single" w:sz="8" w:color="69439A"/>
            </w:tcBorders>
            <w:shd w:val="clear" w:color="auto" w:fill="010035"/>
          </w:tcPr>
          <w:p>
            <w:pPr>
              <w:spacing w:after="0"/>
              <w:rPr>
                <w:sz w:val="24"/>
                <w:szCs w:val="24"/>
                <w:color w:val="auto"/>
              </w:rPr>
            </w:pPr>
          </w:p>
        </w:tc>
        <w:tc>
          <w:tcPr>
            <w:tcW w:w="920" w:type="dxa"/>
            <w:vAlign w:val="bottom"/>
            <w:tcBorders>
              <w:top w:val="single" w:sz="8" w:color="69439A"/>
            </w:tcBorders>
            <w:shd w:val="clear" w:color="auto" w:fill="010035"/>
          </w:tcPr>
          <w:p>
            <w:pPr>
              <w:spacing w:after="0"/>
              <w:rPr>
                <w:sz w:val="24"/>
                <w:szCs w:val="24"/>
                <w:color w:val="auto"/>
              </w:rPr>
            </w:pPr>
          </w:p>
        </w:tc>
        <w:tc>
          <w:tcPr>
            <w:tcW w:w="156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CHANGE IN CONTROL</w:t>
            </w:r>
          </w:p>
        </w:tc>
        <w:tc>
          <w:tcPr>
            <w:tcW w:w="0" w:type="dxa"/>
            <w:vAlign w:val="bottom"/>
          </w:tcPr>
          <w:p>
            <w:pPr>
              <w:spacing w:after="0"/>
              <w:rPr>
                <w:sz w:val="1"/>
                <w:szCs w:val="1"/>
                <w:color w:val="auto"/>
              </w:rPr>
            </w:pPr>
          </w:p>
        </w:tc>
      </w:tr>
      <w:tr>
        <w:trPr>
          <w:trHeight w:val="68"/>
        </w:trPr>
        <w:tc>
          <w:tcPr>
            <w:tcW w:w="1560" w:type="dxa"/>
            <w:vAlign w:val="bottom"/>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EXECUTIVE</w:t>
            </w: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TERMINATION BY</w:t>
            </w:r>
          </w:p>
        </w:tc>
        <w:tc>
          <w:tcPr>
            <w:tcW w:w="1140" w:type="dxa"/>
            <w:vAlign w:val="bottom"/>
            <w:vMerge w:val="continue"/>
            <w:shd w:val="clear" w:color="auto" w:fill="010035"/>
          </w:tcPr>
          <w:p>
            <w:pPr>
              <w:spacing w:after="0"/>
              <w:rPr>
                <w:sz w:val="5"/>
                <w:szCs w:val="5"/>
                <w:color w:val="auto"/>
              </w:rPr>
            </w:pPr>
          </w:p>
        </w:tc>
        <w:tc>
          <w:tcPr>
            <w:tcW w:w="10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TERMINATION</w:t>
            </w:r>
          </w:p>
        </w:tc>
        <w:tc>
          <w:tcPr>
            <w:tcW w:w="2060" w:type="dxa"/>
            <w:vAlign w:val="bottom"/>
            <w:gridSpan w:val="2"/>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TERMINATION TERMINATION</w:t>
            </w:r>
          </w:p>
        </w:tc>
        <w:tc>
          <w:tcPr>
            <w:tcW w:w="9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CHANGE IN</w:t>
            </w:r>
          </w:p>
        </w:tc>
        <w:tc>
          <w:tcPr>
            <w:tcW w:w="156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TERMINATION</w:t>
            </w:r>
          </w:p>
        </w:tc>
        <w:tc>
          <w:tcPr>
            <w:tcW w:w="0" w:type="dxa"/>
            <w:vAlign w:val="bottom"/>
          </w:tcPr>
          <w:p>
            <w:pPr>
              <w:spacing w:after="0"/>
              <w:rPr>
                <w:sz w:val="1"/>
                <w:szCs w:val="1"/>
                <w:color w:val="auto"/>
              </w:rPr>
            </w:pPr>
          </w:p>
        </w:tc>
      </w:tr>
      <w:tr>
        <w:trPr>
          <w:trHeight w:val="108"/>
        </w:trPr>
        <w:tc>
          <w:tcPr>
            <w:tcW w:w="1560" w:type="dxa"/>
            <w:vAlign w:val="bottom"/>
            <w:vMerge w:val="continue"/>
            <w:shd w:val="clear" w:color="auto" w:fill="010035"/>
          </w:tcPr>
          <w:p>
            <w:pPr>
              <w:spacing w:after="0"/>
              <w:rPr>
                <w:sz w:val="9"/>
                <w:szCs w:val="9"/>
                <w:color w:val="auto"/>
              </w:rPr>
            </w:pPr>
          </w:p>
        </w:tc>
        <w:tc>
          <w:tcPr>
            <w:tcW w:w="1220" w:type="dxa"/>
            <w:vAlign w:val="bottom"/>
            <w:vMerge w:val="continue"/>
            <w:shd w:val="clear" w:color="auto" w:fill="010035"/>
          </w:tcPr>
          <w:p>
            <w:pPr>
              <w:spacing w:after="0"/>
              <w:rPr>
                <w:sz w:val="9"/>
                <w:szCs w:val="9"/>
                <w:color w:val="auto"/>
              </w:rPr>
            </w:pPr>
          </w:p>
        </w:tc>
        <w:tc>
          <w:tcPr>
            <w:tcW w:w="1140" w:type="dxa"/>
            <w:vAlign w:val="bottom"/>
            <w:shd w:val="clear" w:color="auto" w:fill="010035"/>
          </w:tcPr>
          <w:p>
            <w:pPr>
              <w:jc w:val="center"/>
              <w:spacing w:after="0" w:line="109" w:lineRule="exact"/>
              <w:rPr>
                <w:sz w:val="20"/>
                <w:szCs w:val="20"/>
                <w:color w:val="auto"/>
              </w:rPr>
            </w:pPr>
            <w:r>
              <w:rPr>
                <w:rFonts w:ascii="Arial" w:cs="Arial" w:eastAsia="Arial" w:hAnsi="Arial"/>
                <w:sz w:val="12"/>
                <w:szCs w:val="12"/>
                <w:b w:val="1"/>
                <w:bCs w:val="1"/>
                <w:color w:val="FFFFFF"/>
              </w:rPr>
              <w:t>WITHOUT</w:t>
            </w:r>
          </w:p>
        </w:tc>
        <w:tc>
          <w:tcPr>
            <w:tcW w:w="1080" w:type="dxa"/>
            <w:vAlign w:val="bottom"/>
            <w:vMerge w:val="continue"/>
            <w:shd w:val="clear" w:color="auto" w:fill="010035"/>
          </w:tcPr>
          <w:p>
            <w:pPr>
              <w:spacing w:after="0"/>
              <w:rPr>
                <w:sz w:val="9"/>
                <w:szCs w:val="9"/>
                <w:color w:val="auto"/>
              </w:rPr>
            </w:pPr>
          </w:p>
        </w:tc>
        <w:tc>
          <w:tcPr>
            <w:tcW w:w="2060" w:type="dxa"/>
            <w:vAlign w:val="bottom"/>
            <w:gridSpan w:val="2"/>
            <w:vMerge w:val="continue"/>
            <w:shd w:val="clear" w:color="auto" w:fill="010035"/>
          </w:tcPr>
          <w:p>
            <w:pPr>
              <w:spacing w:after="0"/>
              <w:rPr>
                <w:sz w:val="9"/>
                <w:szCs w:val="9"/>
                <w:color w:val="auto"/>
              </w:rPr>
            </w:pPr>
          </w:p>
        </w:tc>
        <w:tc>
          <w:tcPr>
            <w:tcW w:w="920" w:type="dxa"/>
            <w:vAlign w:val="bottom"/>
            <w:vMerge w:val="continue"/>
            <w:shd w:val="clear" w:color="auto" w:fill="010035"/>
          </w:tcPr>
          <w:p>
            <w:pPr>
              <w:spacing w:after="0"/>
              <w:rPr>
                <w:sz w:val="9"/>
                <w:szCs w:val="9"/>
                <w:color w:val="auto"/>
              </w:rPr>
            </w:pPr>
          </w:p>
        </w:tc>
        <w:tc>
          <w:tcPr>
            <w:tcW w:w="1560" w:type="dxa"/>
            <w:vAlign w:val="bottom"/>
            <w:vMerge w:val="continue"/>
            <w:shd w:val="clear" w:color="auto" w:fill="010035"/>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560" w:type="dxa"/>
            <w:vAlign w:val="bottom"/>
            <w:shd w:val="clear" w:color="auto" w:fill="010035"/>
          </w:tcPr>
          <w:p>
            <w:pPr>
              <w:ind w:left="40"/>
              <w:spacing w:after="0"/>
              <w:rPr>
                <w:sz w:val="20"/>
                <w:szCs w:val="20"/>
                <w:color w:val="auto"/>
              </w:rPr>
            </w:pPr>
            <w:r>
              <w:rPr>
                <w:rFonts w:ascii="Arial" w:cs="Arial" w:eastAsia="Arial" w:hAnsi="Arial"/>
                <w:sz w:val="14"/>
                <w:szCs w:val="14"/>
                <w:b w:val="1"/>
                <w:bCs w:val="1"/>
                <w:color w:val="FFFFFF"/>
              </w:rPr>
              <w:t>PAYMENTS</w:t>
            </w: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EXECUTIVE</w:t>
            </w:r>
          </w:p>
        </w:tc>
        <w:tc>
          <w:tcPr>
            <w:tcW w:w="114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CAUSE BY</w:t>
            </w:r>
          </w:p>
        </w:tc>
        <w:tc>
          <w:tcPr>
            <w:tcW w:w="108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FOR CAUSE BY</w:t>
            </w:r>
          </w:p>
        </w:tc>
        <w:tc>
          <w:tcPr>
            <w:tcW w:w="960" w:type="dxa"/>
            <w:vAlign w:val="bottom"/>
            <w:shd w:val="clear" w:color="auto" w:fill="010035"/>
          </w:tcPr>
          <w:p>
            <w:pPr>
              <w:jc w:val="center"/>
              <w:ind w:left="14"/>
              <w:spacing w:after="0"/>
              <w:rPr>
                <w:sz w:val="20"/>
                <w:szCs w:val="20"/>
                <w:color w:val="auto"/>
              </w:rPr>
            </w:pPr>
            <w:r>
              <w:rPr>
                <w:rFonts w:ascii="Arial" w:cs="Arial" w:eastAsia="Arial" w:hAnsi="Arial"/>
                <w:sz w:val="14"/>
                <w:szCs w:val="14"/>
                <w:b w:val="1"/>
                <w:bCs w:val="1"/>
                <w:color w:val="FFFFFF"/>
                <w:w w:val="98"/>
              </w:rPr>
              <w:t>UPON</w:t>
            </w:r>
          </w:p>
        </w:tc>
        <w:tc>
          <w:tcPr>
            <w:tcW w:w="110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rPr>
              <w:t>UPON</w:t>
            </w:r>
          </w:p>
        </w:tc>
        <w:tc>
          <w:tcPr>
            <w:tcW w:w="9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CONTROL ($)</w:t>
            </w:r>
          </w:p>
        </w:tc>
        <w:tc>
          <w:tcPr>
            <w:tcW w:w="156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WITHOUT CAUSE OR</w:t>
            </w:r>
          </w:p>
        </w:tc>
        <w:tc>
          <w:tcPr>
            <w:tcW w:w="0" w:type="dxa"/>
            <w:vAlign w:val="bottom"/>
          </w:tcPr>
          <w:p>
            <w:pPr>
              <w:spacing w:after="0"/>
              <w:rPr>
                <w:sz w:val="1"/>
                <w:szCs w:val="1"/>
                <w:color w:val="auto"/>
              </w:rPr>
            </w:pPr>
          </w:p>
        </w:tc>
      </w:tr>
      <w:tr>
        <w:trPr>
          <w:trHeight w:val="176"/>
        </w:trPr>
        <w:tc>
          <w:tcPr>
            <w:tcW w:w="1560" w:type="dxa"/>
            <w:vAlign w:val="bottom"/>
            <w:shd w:val="clear" w:color="auto" w:fill="010035"/>
          </w:tcPr>
          <w:p>
            <w:pPr>
              <w:spacing w:after="0"/>
              <w:rPr>
                <w:sz w:val="15"/>
                <w:szCs w:val="15"/>
                <w:color w:val="auto"/>
              </w:rPr>
            </w:pP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(INCLUDING</w:t>
            </w:r>
          </w:p>
        </w:tc>
        <w:tc>
          <w:tcPr>
            <w:tcW w:w="1140" w:type="dxa"/>
            <w:vAlign w:val="bottom"/>
            <w:shd w:val="clear" w:color="auto" w:fill="010035"/>
          </w:tcPr>
          <w:p>
            <w:pPr>
              <w:jc w:val="center"/>
              <w:spacing w:after="0" w:line="176" w:lineRule="exact"/>
              <w:rPr>
                <w:sz w:val="20"/>
                <w:szCs w:val="20"/>
                <w:color w:val="auto"/>
              </w:rPr>
            </w:pPr>
            <w:r>
              <w:rPr>
                <w:rFonts w:ascii="Arial" w:cs="Arial" w:eastAsia="Arial" w:hAnsi="Arial"/>
                <w:sz w:val="13"/>
                <w:szCs w:val="13"/>
                <w:b w:val="1"/>
                <w:bCs w:val="1"/>
                <w:color w:val="FFFFFF"/>
              </w:rPr>
              <w:t xml:space="preserve">COMPANY ($) </w:t>
            </w:r>
            <w:r>
              <w:rPr>
                <w:rFonts w:ascii="Arial" w:cs="Arial" w:eastAsia="Arial" w:hAnsi="Arial"/>
                <w:sz w:val="20"/>
                <w:szCs w:val="20"/>
                <w:b w:val="1"/>
                <w:bCs w:val="1"/>
                <w:color w:val="FFFFFF"/>
                <w:vertAlign w:val="superscript"/>
              </w:rPr>
              <w:t>(g)</w:t>
            </w:r>
          </w:p>
        </w:tc>
        <w:tc>
          <w:tcPr>
            <w:tcW w:w="108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COMPANY ($)</w:t>
            </w:r>
          </w:p>
        </w:tc>
        <w:tc>
          <w:tcPr>
            <w:tcW w:w="960" w:type="dxa"/>
            <w:vAlign w:val="bottom"/>
            <w:shd w:val="clear" w:color="auto" w:fill="010035"/>
          </w:tcPr>
          <w:p>
            <w:pPr>
              <w:jc w:val="center"/>
              <w:ind w:left="54"/>
              <w:spacing w:after="0"/>
              <w:rPr>
                <w:sz w:val="20"/>
                <w:szCs w:val="20"/>
                <w:color w:val="auto"/>
              </w:rPr>
            </w:pPr>
            <w:r>
              <w:rPr>
                <w:rFonts w:ascii="Arial" w:cs="Arial" w:eastAsia="Arial" w:hAnsi="Arial"/>
                <w:sz w:val="14"/>
                <w:szCs w:val="14"/>
                <w:b w:val="1"/>
                <w:bCs w:val="1"/>
                <w:color w:val="FFFFFF"/>
                <w:w w:val="98"/>
              </w:rPr>
              <w:t>DEATH ($)</w:t>
            </w:r>
          </w:p>
        </w:tc>
        <w:tc>
          <w:tcPr>
            <w:tcW w:w="1100" w:type="dxa"/>
            <w:vAlign w:val="bottom"/>
            <w:shd w:val="clear" w:color="auto" w:fill="010035"/>
          </w:tcPr>
          <w:p>
            <w:pPr>
              <w:jc w:val="center"/>
              <w:ind w:left="15"/>
              <w:spacing w:after="0"/>
              <w:rPr>
                <w:sz w:val="20"/>
                <w:szCs w:val="20"/>
                <w:color w:val="auto"/>
              </w:rPr>
            </w:pPr>
            <w:r>
              <w:rPr>
                <w:rFonts w:ascii="Arial" w:cs="Arial" w:eastAsia="Arial" w:hAnsi="Arial"/>
                <w:sz w:val="14"/>
                <w:szCs w:val="14"/>
                <w:b w:val="1"/>
                <w:bCs w:val="1"/>
                <w:color w:val="FFFFFF"/>
                <w:w w:val="99"/>
              </w:rPr>
              <w:t>DISABILITY ($)</w:t>
            </w:r>
          </w:p>
        </w:tc>
        <w:tc>
          <w:tcPr>
            <w:tcW w:w="920" w:type="dxa"/>
            <w:vAlign w:val="bottom"/>
            <w:shd w:val="clear" w:color="auto" w:fill="010035"/>
          </w:tcPr>
          <w:p>
            <w:pPr>
              <w:spacing w:after="0"/>
              <w:rPr>
                <w:sz w:val="15"/>
                <w:szCs w:val="15"/>
                <w:color w:val="auto"/>
              </w:rPr>
            </w:pPr>
          </w:p>
        </w:tc>
        <w:tc>
          <w:tcPr>
            <w:tcW w:w="156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RESIGNATION FOR</w:t>
            </w:r>
          </w:p>
        </w:tc>
        <w:tc>
          <w:tcPr>
            <w:tcW w:w="0" w:type="dxa"/>
            <w:vAlign w:val="bottom"/>
          </w:tcPr>
          <w:p>
            <w:pPr>
              <w:spacing w:after="0"/>
              <w:rPr>
                <w:sz w:val="1"/>
                <w:szCs w:val="1"/>
                <w:color w:val="auto"/>
              </w:rPr>
            </w:pPr>
          </w:p>
        </w:tc>
      </w:tr>
      <w:tr>
        <w:trPr>
          <w:trHeight w:val="162"/>
        </w:trPr>
        <w:tc>
          <w:tcPr>
            <w:tcW w:w="1560" w:type="dxa"/>
            <w:vAlign w:val="bottom"/>
            <w:shd w:val="clear" w:color="auto" w:fill="010035"/>
          </w:tcPr>
          <w:p>
            <w:pPr>
              <w:spacing w:after="0"/>
              <w:rPr>
                <w:sz w:val="14"/>
                <w:szCs w:val="14"/>
                <w:color w:val="auto"/>
              </w:rPr>
            </w:pP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RETIREMENT) ($)</w:t>
            </w:r>
          </w:p>
        </w:tc>
        <w:tc>
          <w:tcPr>
            <w:tcW w:w="1140" w:type="dxa"/>
            <w:vAlign w:val="bottom"/>
            <w:shd w:val="clear" w:color="auto" w:fill="010035"/>
          </w:tcPr>
          <w:p>
            <w:pPr>
              <w:spacing w:after="0"/>
              <w:rPr>
                <w:sz w:val="14"/>
                <w:szCs w:val="14"/>
                <w:color w:val="auto"/>
              </w:rPr>
            </w:pPr>
          </w:p>
        </w:tc>
        <w:tc>
          <w:tcPr>
            <w:tcW w:w="1080" w:type="dxa"/>
            <w:vAlign w:val="bottom"/>
            <w:shd w:val="clear" w:color="auto" w:fill="010035"/>
          </w:tcPr>
          <w:p>
            <w:pPr>
              <w:spacing w:after="0"/>
              <w:rPr>
                <w:sz w:val="14"/>
                <w:szCs w:val="14"/>
                <w:color w:val="auto"/>
              </w:rPr>
            </w:pPr>
          </w:p>
        </w:tc>
        <w:tc>
          <w:tcPr>
            <w:tcW w:w="960" w:type="dxa"/>
            <w:vAlign w:val="bottom"/>
            <w:shd w:val="clear" w:color="auto" w:fill="010035"/>
          </w:tcPr>
          <w:p>
            <w:pPr>
              <w:spacing w:after="0"/>
              <w:rPr>
                <w:sz w:val="14"/>
                <w:szCs w:val="14"/>
                <w:color w:val="auto"/>
              </w:rPr>
            </w:pPr>
          </w:p>
        </w:tc>
        <w:tc>
          <w:tcPr>
            <w:tcW w:w="1100" w:type="dxa"/>
            <w:vAlign w:val="bottom"/>
            <w:shd w:val="clear" w:color="auto" w:fill="010035"/>
          </w:tcPr>
          <w:p>
            <w:pPr>
              <w:spacing w:after="0"/>
              <w:rPr>
                <w:sz w:val="14"/>
                <w:szCs w:val="14"/>
                <w:color w:val="auto"/>
              </w:rPr>
            </w:pPr>
          </w:p>
        </w:tc>
        <w:tc>
          <w:tcPr>
            <w:tcW w:w="920" w:type="dxa"/>
            <w:vAlign w:val="bottom"/>
            <w:shd w:val="clear" w:color="auto" w:fill="010035"/>
          </w:tcPr>
          <w:p>
            <w:pPr>
              <w:spacing w:after="0"/>
              <w:rPr>
                <w:sz w:val="14"/>
                <w:szCs w:val="14"/>
                <w:color w:val="auto"/>
              </w:rPr>
            </w:pPr>
          </w:p>
        </w:tc>
        <w:tc>
          <w:tcPr>
            <w:tcW w:w="156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GOOD REASON ($)</w:t>
            </w:r>
          </w:p>
        </w:tc>
        <w:tc>
          <w:tcPr>
            <w:tcW w:w="0" w:type="dxa"/>
            <w:vAlign w:val="bottom"/>
          </w:tcPr>
          <w:p>
            <w:pPr>
              <w:spacing w:after="0"/>
              <w:rPr>
                <w:sz w:val="1"/>
                <w:szCs w:val="1"/>
                <w:color w:val="auto"/>
              </w:rPr>
            </w:pPr>
          </w:p>
        </w:tc>
      </w:tr>
      <w:tr>
        <w:trPr>
          <w:trHeight w:val="324"/>
        </w:trPr>
        <w:tc>
          <w:tcPr>
            <w:tcW w:w="1560" w:type="dxa"/>
            <w:vAlign w:val="bottom"/>
          </w:tcPr>
          <w:p>
            <w:pPr>
              <w:ind w:left="40"/>
              <w:spacing w:after="0"/>
              <w:rPr>
                <w:sz w:val="20"/>
                <w:szCs w:val="20"/>
                <w:color w:val="auto"/>
              </w:rPr>
            </w:pPr>
            <w:r>
              <w:rPr>
                <w:rFonts w:ascii="Arial" w:cs="Arial" w:eastAsia="Arial" w:hAnsi="Arial"/>
                <w:sz w:val="13"/>
                <w:szCs w:val="13"/>
                <w:color w:val="010035"/>
                <w:w w:val="95"/>
              </w:rPr>
              <w:t>Cash Severance Benefit</w:t>
            </w:r>
            <w:r>
              <w:rPr>
                <w:rFonts w:ascii="Arial" w:cs="Arial" w:eastAsia="Arial" w:hAnsi="Arial"/>
                <w:sz w:val="20"/>
                <w:szCs w:val="20"/>
                <w:color w:val="010035"/>
                <w:w w:val="95"/>
                <w:vertAlign w:val="superscript"/>
              </w:rPr>
              <w:t>(a)</w:t>
            </w:r>
          </w:p>
        </w:tc>
        <w:tc>
          <w:tcPr>
            <w:tcW w:w="12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Pr>
          <w:p>
            <w:pPr>
              <w:jc w:val="center"/>
              <w:spacing w:after="0"/>
              <w:rPr>
                <w:sz w:val="20"/>
                <w:szCs w:val="20"/>
                <w:color w:val="auto"/>
              </w:rPr>
            </w:pPr>
            <w:r>
              <w:rPr>
                <w:rFonts w:ascii="Arial" w:cs="Arial" w:eastAsia="Arial" w:hAnsi="Arial"/>
                <w:sz w:val="13"/>
                <w:szCs w:val="13"/>
                <w:color w:val="010035"/>
                <w:w w:val="96"/>
              </w:rPr>
              <w:t>3,193,000</w:t>
            </w:r>
          </w:p>
        </w:tc>
        <w:tc>
          <w:tcPr>
            <w:tcW w:w="1080" w:type="dxa"/>
            <w:vAlign w:val="bottom"/>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560" w:type="dxa"/>
            <w:vAlign w:val="bottom"/>
          </w:tcPr>
          <w:p>
            <w:pPr>
              <w:jc w:val="center"/>
              <w:spacing w:after="0"/>
              <w:rPr>
                <w:sz w:val="20"/>
                <w:szCs w:val="20"/>
                <w:color w:val="auto"/>
              </w:rPr>
            </w:pPr>
            <w:r>
              <w:rPr>
                <w:rFonts w:ascii="Arial" w:cs="Arial" w:eastAsia="Arial" w:hAnsi="Arial"/>
                <w:sz w:val="13"/>
                <w:szCs w:val="13"/>
                <w:color w:val="010035"/>
                <w:w w:val="96"/>
              </w:rPr>
              <w:t>3,708,000</w:t>
            </w:r>
          </w:p>
        </w:tc>
        <w:tc>
          <w:tcPr>
            <w:tcW w:w="0" w:type="dxa"/>
            <w:vAlign w:val="bottom"/>
          </w:tcPr>
          <w:p>
            <w:pPr>
              <w:spacing w:after="0"/>
              <w:rPr>
                <w:sz w:val="1"/>
                <w:szCs w:val="1"/>
                <w:color w:val="auto"/>
              </w:rPr>
            </w:pPr>
          </w:p>
        </w:tc>
      </w:tr>
      <w:tr>
        <w:trPr>
          <w:trHeight w:val="324"/>
        </w:trPr>
        <w:tc>
          <w:tcPr>
            <w:tcW w:w="156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Benefit Continuation</w:t>
            </w:r>
            <w:r>
              <w:rPr>
                <w:rFonts w:ascii="Arial" w:cs="Arial" w:eastAsia="Arial" w:hAnsi="Arial"/>
                <w:sz w:val="20"/>
                <w:szCs w:val="20"/>
                <w:color w:val="010035"/>
                <w:vertAlign w:val="superscript"/>
              </w:rPr>
              <w:t>(b)</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51,745</w:t>
            </w:r>
          </w:p>
        </w:tc>
        <w:tc>
          <w:tcPr>
            <w:tcW w:w="108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960" w:type="dxa"/>
            <w:vAlign w:val="bottom"/>
            <w:shd w:val="clear" w:color="auto" w:fill="DED8EC"/>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5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51,745</w:t>
            </w:r>
          </w:p>
        </w:tc>
        <w:tc>
          <w:tcPr>
            <w:tcW w:w="0" w:type="dxa"/>
            <w:vAlign w:val="bottom"/>
          </w:tcPr>
          <w:p>
            <w:pPr>
              <w:spacing w:after="0"/>
              <w:rPr>
                <w:sz w:val="1"/>
                <w:szCs w:val="1"/>
                <w:color w:val="auto"/>
              </w:rPr>
            </w:pPr>
          </w:p>
        </w:tc>
      </w:tr>
      <w:tr>
        <w:trPr>
          <w:trHeight w:val="324"/>
        </w:trPr>
        <w:tc>
          <w:tcPr>
            <w:tcW w:w="1560" w:type="dxa"/>
            <w:vAlign w:val="bottom"/>
          </w:tcPr>
          <w:p>
            <w:pPr>
              <w:ind w:left="40"/>
              <w:spacing w:after="0"/>
              <w:rPr>
                <w:sz w:val="20"/>
                <w:szCs w:val="20"/>
                <w:color w:val="auto"/>
              </w:rPr>
            </w:pPr>
            <w:r>
              <w:rPr>
                <w:rFonts w:ascii="Arial" w:cs="Arial" w:eastAsia="Arial" w:hAnsi="Arial"/>
                <w:sz w:val="13"/>
                <w:szCs w:val="13"/>
                <w:color w:val="010035"/>
              </w:rPr>
              <w:t>Restricted Shares</w:t>
            </w:r>
            <w:r>
              <w:rPr>
                <w:rFonts w:ascii="Arial" w:cs="Arial" w:eastAsia="Arial" w:hAnsi="Arial"/>
                <w:sz w:val="20"/>
                <w:szCs w:val="20"/>
                <w:color w:val="010035"/>
                <w:vertAlign w:val="superscript"/>
              </w:rPr>
              <w:t>(c)(d)</w:t>
            </w:r>
          </w:p>
        </w:tc>
        <w:tc>
          <w:tcPr>
            <w:tcW w:w="12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Pr>
          <w:p>
            <w:pPr>
              <w:jc w:val="center"/>
              <w:spacing w:after="0"/>
              <w:rPr>
                <w:sz w:val="20"/>
                <w:szCs w:val="20"/>
                <w:color w:val="auto"/>
              </w:rPr>
            </w:pPr>
            <w:r>
              <w:rPr>
                <w:rFonts w:ascii="Arial" w:cs="Arial" w:eastAsia="Arial" w:hAnsi="Arial"/>
                <w:sz w:val="13"/>
                <w:szCs w:val="13"/>
                <w:color w:val="010035"/>
                <w:w w:val="97"/>
              </w:rPr>
              <w:t>366,007</w:t>
            </w:r>
          </w:p>
        </w:tc>
        <w:tc>
          <w:tcPr>
            <w:tcW w:w="1080" w:type="dxa"/>
            <w:vAlign w:val="bottom"/>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Pr>
          <w:p>
            <w:pPr>
              <w:jc w:val="center"/>
              <w:ind w:left="34"/>
              <w:spacing w:after="0"/>
              <w:rPr>
                <w:sz w:val="20"/>
                <w:szCs w:val="20"/>
                <w:color w:val="auto"/>
              </w:rPr>
            </w:pPr>
            <w:r>
              <w:rPr>
                <w:rFonts w:ascii="Arial" w:cs="Arial" w:eastAsia="Arial" w:hAnsi="Arial"/>
                <w:sz w:val="13"/>
                <w:szCs w:val="13"/>
                <w:color w:val="010035"/>
                <w:w w:val="93"/>
              </w:rPr>
              <w:t>4,111,917</w:t>
            </w:r>
          </w:p>
        </w:tc>
        <w:tc>
          <w:tcPr>
            <w:tcW w:w="1100" w:type="dxa"/>
            <w:vAlign w:val="bottom"/>
          </w:tcPr>
          <w:p>
            <w:pPr>
              <w:jc w:val="center"/>
              <w:ind w:left="15"/>
              <w:spacing w:after="0"/>
              <w:rPr>
                <w:sz w:val="20"/>
                <w:szCs w:val="20"/>
                <w:color w:val="auto"/>
              </w:rPr>
            </w:pPr>
            <w:r>
              <w:rPr>
                <w:rFonts w:ascii="Arial" w:cs="Arial" w:eastAsia="Arial" w:hAnsi="Arial"/>
                <w:sz w:val="13"/>
                <w:szCs w:val="13"/>
                <w:color w:val="010035"/>
                <w:w w:val="93"/>
              </w:rPr>
              <w:t>4,111,917</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560" w:type="dxa"/>
            <w:vAlign w:val="bottom"/>
          </w:tcPr>
          <w:p>
            <w:pPr>
              <w:jc w:val="center"/>
              <w:spacing w:after="0"/>
              <w:rPr>
                <w:sz w:val="20"/>
                <w:szCs w:val="20"/>
                <w:color w:val="auto"/>
              </w:rPr>
            </w:pPr>
            <w:r>
              <w:rPr>
                <w:rFonts w:ascii="Arial" w:cs="Arial" w:eastAsia="Arial" w:hAnsi="Arial"/>
                <w:sz w:val="13"/>
                <w:szCs w:val="13"/>
                <w:color w:val="010035"/>
                <w:w w:val="93"/>
              </w:rPr>
              <w:t>4,111,917</w:t>
            </w:r>
          </w:p>
        </w:tc>
        <w:tc>
          <w:tcPr>
            <w:tcW w:w="0" w:type="dxa"/>
            <w:vAlign w:val="bottom"/>
          </w:tcPr>
          <w:p>
            <w:pPr>
              <w:spacing w:after="0"/>
              <w:rPr>
                <w:sz w:val="1"/>
                <w:szCs w:val="1"/>
                <w:color w:val="auto"/>
              </w:rPr>
            </w:pPr>
          </w:p>
        </w:tc>
      </w:tr>
      <w:tr>
        <w:trPr>
          <w:trHeight w:val="324"/>
        </w:trPr>
        <w:tc>
          <w:tcPr>
            <w:tcW w:w="156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Vested Stock Options</w:t>
            </w:r>
            <w:r>
              <w:rPr>
                <w:rFonts w:ascii="Arial" w:cs="Arial" w:eastAsia="Arial" w:hAnsi="Arial"/>
                <w:sz w:val="20"/>
                <w:szCs w:val="20"/>
                <w:color w:val="010035"/>
                <w:vertAlign w:val="superscript"/>
              </w:rPr>
              <w:t>(e)</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08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960" w:type="dxa"/>
            <w:vAlign w:val="bottom"/>
            <w:shd w:val="clear" w:color="auto" w:fill="DED8EC"/>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5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192"/>
        </w:trPr>
        <w:tc>
          <w:tcPr>
            <w:tcW w:w="1560" w:type="dxa"/>
            <w:vAlign w:val="bottom"/>
          </w:tcPr>
          <w:p>
            <w:pPr>
              <w:ind w:left="40"/>
              <w:spacing w:after="0"/>
              <w:rPr>
                <w:sz w:val="20"/>
                <w:szCs w:val="20"/>
                <w:color w:val="auto"/>
              </w:rPr>
            </w:pPr>
            <w:r>
              <w:rPr>
                <w:rFonts w:ascii="Arial" w:cs="Arial" w:eastAsia="Arial" w:hAnsi="Arial"/>
                <w:sz w:val="13"/>
                <w:szCs w:val="13"/>
                <w:color w:val="010035"/>
              </w:rPr>
              <w:t>Vested Deferred</w:t>
            </w: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560" w:type="dxa"/>
            <w:vAlign w:val="bottom"/>
          </w:tcPr>
          <w:p>
            <w:pPr>
              <w:ind w:left="40"/>
              <w:spacing w:after="0"/>
              <w:rPr>
                <w:sz w:val="20"/>
                <w:szCs w:val="20"/>
                <w:color w:val="auto"/>
              </w:rPr>
            </w:pPr>
            <w:r>
              <w:rPr>
                <w:rFonts w:ascii="Arial" w:cs="Arial" w:eastAsia="Arial" w:hAnsi="Arial"/>
                <w:sz w:val="13"/>
                <w:szCs w:val="13"/>
                <w:color w:val="010035"/>
              </w:rPr>
              <w:t>Compensation Balance</w:t>
            </w:r>
            <w:r>
              <w:rPr>
                <w:rFonts w:ascii="Arial" w:cs="Arial" w:eastAsia="Arial" w:hAnsi="Arial"/>
                <w:sz w:val="20"/>
                <w:szCs w:val="20"/>
                <w:color w:val="010035"/>
                <w:vertAlign w:val="superscript"/>
              </w:rPr>
              <w:t>(f)</w:t>
            </w:r>
          </w:p>
        </w:tc>
        <w:tc>
          <w:tcPr>
            <w:tcW w:w="122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1080" w:type="dxa"/>
            <w:vAlign w:val="bottom"/>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Pr>
          <w:p>
            <w:pPr>
              <w:jc w:val="center"/>
              <w:ind w:left="54"/>
              <w:spacing w:after="0"/>
              <w:rPr>
                <w:sz w:val="20"/>
                <w:szCs w:val="20"/>
                <w:color w:val="auto"/>
              </w:rPr>
            </w:pPr>
            <w:r>
              <w:rPr>
                <w:rFonts w:ascii="Arial" w:cs="Arial" w:eastAsia="Arial" w:hAnsi="Arial"/>
                <w:sz w:val="13"/>
                <w:szCs w:val="13"/>
                <w:color w:val="010035"/>
                <w:w w:val="91"/>
              </w:rPr>
              <w:t>—</w:t>
            </w:r>
          </w:p>
        </w:tc>
        <w:tc>
          <w:tcPr>
            <w:tcW w:w="110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010035"/>
              </w:rPr>
              <w:t>—</w:t>
            </w:r>
          </w:p>
        </w:tc>
        <w:tc>
          <w:tcPr>
            <w:tcW w:w="1560" w:type="dxa"/>
            <w:vAlign w:val="bottom"/>
          </w:tcPr>
          <w:p>
            <w:pPr>
              <w:jc w:val="center"/>
              <w:spacing w:after="0"/>
              <w:rPr>
                <w:sz w:val="20"/>
                <w:szCs w:val="20"/>
                <w:color w:val="auto"/>
              </w:rPr>
            </w:pPr>
            <w:r>
              <w:rPr>
                <w:rFonts w:ascii="Arial" w:cs="Arial" w:eastAsia="Arial" w:hAnsi="Arial"/>
                <w:sz w:val="13"/>
                <w:szCs w:val="13"/>
                <w:color w:val="010035"/>
                <w:w w:val="91"/>
              </w:rPr>
              <w:t>—</w:t>
            </w:r>
          </w:p>
        </w:tc>
        <w:tc>
          <w:tcPr>
            <w:tcW w:w="0" w:type="dxa"/>
            <w:vAlign w:val="bottom"/>
          </w:tcPr>
          <w:p>
            <w:pPr>
              <w:spacing w:after="0"/>
              <w:rPr>
                <w:sz w:val="1"/>
                <w:szCs w:val="1"/>
                <w:color w:val="auto"/>
              </w:rPr>
            </w:pPr>
          </w:p>
        </w:tc>
      </w:tr>
      <w:tr>
        <w:trPr>
          <w:trHeight w:val="237"/>
        </w:trPr>
        <w:tc>
          <w:tcPr>
            <w:tcW w:w="1560" w:type="dxa"/>
            <w:vAlign w:val="bottom"/>
            <w:tcBorders>
              <w:bottom w:val="single" w:sz="8" w:color="DED8EC"/>
            </w:tcBorders>
            <w:shd w:val="clear" w:color="auto" w:fill="DED8EC"/>
          </w:tcPr>
          <w:p>
            <w:pPr>
              <w:ind w:left="40"/>
              <w:spacing w:after="0"/>
              <w:rPr>
                <w:sz w:val="20"/>
                <w:szCs w:val="20"/>
                <w:color w:val="auto"/>
              </w:rPr>
            </w:pPr>
            <w:r>
              <w:rPr>
                <w:rFonts w:ascii="Arial" w:cs="Arial" w:eastAsia="Arial" w:hAnsi="Arial"/>
                <w:sz w:val="13"/>
                <w:szCs w:val="13"/>
                <w:color w:val="010035"/>
              </w:rPr>
              <w:t>Total</w:t>
            </w:r>
          </w:p>
        </w:tc>
        <w:tc>
          <w:tcPr>
            <w:tcW w:w="12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1"/>
              </w:rPr>
              <w:t>—</w:t>
            </w:r>
          </w:p>
        </w:tc>
        <w:tc>
          <w:tcPr>
            <w:tcW w:w="114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6"/>
              </w:rPr>
              <w:t>3,610,752</w:t>
            </w:r>
          </w:p>
        </w:tc>
        <w:tc>
          <w:tcPr>
            <w:tcW w:w="108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960" w:type="dxa"/>
            <w:vAlign w:val="bottom"/>
            <w:tcBorders>
              <w:bottom w:val="single" w:sz="8" w:color="DED8EC"/>
            </w:tcBorders>
            <w:shd w:val="clear" w:color="auto" w:fill="DED8EC"/>
          </w:tcPr>
          <w:p>
            <w:pPr>
              <w:jc w:val="center"/>
              <w:ind w:left="34"/>
              <w:spacing w:after="0"/>
              <w:rPr>
                <w:sz w:val="20"/>
                <w:szCs w:val="20"/>
                <w:color w:val="auto"/>
              </w:rPr>
            </w:pPr>
            <w:r>
              <w:rPr>
                <w:rFonts w:ascii="Arial" w:cs="Arial" w:eastAsia="Arial" w:hAnsi="Arial"/>
                <w:sz w:val="13"/>
                <w:szCs w:val="13"/>
                <w:color w:val="010035"/>
                <w:w w:val="93"/>
              </w:rPr>
              <w:t>4,111,917​</w:t>
            </w:r>
          </w:p>
        </w:tc>
        <w:tc>
          <w:tcPr>
            <w:tcW w:w="1100" w:type="dxa"/>
            <w:vAlign w:val="bottom"/>
            <w:tcBorders>
              <w:bottom w:val="single" w:sz="8" w:color="DED8EC"/>
            </w:tcBorders>
            <w:shd w:val="clear" w:color="auto" w:fill="DED8EC"/>
          </w:tcPr>
          <w:p>
            <w:pPr>
              <w:jc w:val="center"/>
              <w:ind w:left="15"/>
              <w:spacing w:after="0"/>
              <w:rPr>
                <w:sz w:val="20"/>
                <w:szCs w:val="20"/>
                <w:color w:val="auto"/>
              </w:rPr>
            </w:pPr>
            <w:r>
              <w:rPr>
                <w:rFonts w:ascii="Arial" w:cs="Arial" w:eastAsia="Arial" w:hAnsi="Arial"/>
                <w:sz w:val="13"/>
                <w:szCs w:val="13"/>
                <w:color w:val="010035"/>
                <w:w w:val="93"/>
              </w:rPr>
              <w:t>4,111,917​</w:t>
            </w:r>
          </w:p>
        </w:tc>
        <w:tc>
          <w:tcPr>
            <w:tcW w:w="92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rPr>
              <w:t>—</w:t>
            </w:r>
          </w:p>
        </w:tc>
        <w:tc>
          <w:tcPr>
            <w:tcW w:w="1560" w:type="dxa"/>
            <w:vAlign w:val="bottom"/>
            <w:tcBorders>
              <w:bottom w:val="single" w:sz="8" w:color="DED8EC"/>
            </w:tcBorders>
            <w:shd w:val="clear" w:color="auto" w:fill="DED8EC"/>
          </w:tcPr>
          <w:p>
            <w:pPr>
              <w:jc w:val="center"/>
              <w:spacing w:after="0"/>
              <w:rPr>
                <w:sz w:val="20"/>
                <w:szCs w:val="20"/>
                <w:color w:val="auto"/>
              </w:rPr>
            </w:pPr>
            <w:r>
              <w:rPr>
                <w:rFonts w:ascii="Arial" w:cs="Arial" w:eastAsia="Arial" w:hAnsi="Arial"/>
                <w:sz w:val="13"/>
                <w:szCs w:val="13"/>
                <w:color w:val="010035"/>
                <w:w w:val="96"/>
              </w:rPr>
              <w:t>7,871,662​</w:t>
            </w:r>
          </w:p>
        </w:tc>
        <w:tc>
          <w:tcPr>
            <w:tcW w:w="0" w:type="dxa"/>
            <w:vAlign w:val="bottom"/>
          </w:tcPr>
          <w:p>
            <w:pPr>
              <w:spacing w:after="0"/>
              <w:rPr>
                <w:sz w:val="1"/>
                <w:szCs w:val="1"/>
                <w:color w:val="auto"/>
              </w:rPr>
            </w:pPr>
          </w:p>
        </w:tc>
      </w:tr>
      <w:tr>
        <w:trPr>
          <w:trHeight w:val="20"/>
        </w:trPr>
        <w:tc>
          <w:tcPr>
            <w:tcW w:w="1560" w:type="dxa"/>
            <w:vAlign w:val="bottom"/>
            <w:shd w:val="clear" w:color="auto" w:fill="010035"/>
          </w:tcPr>
          <w:p>
            <w:pPr>
              <w:spacing w:after="0" w:line="20" w:lineRule="exact"/>
              <w:rPr>
                <w:sz w:val="1"/>
                <w:szCs w:val="1"/>
                <w:color w:val="auto"/>
              </w:rPr>
            </w:pPr>
          </w:p>
        </w:tc>
        <w:tc>
          <w:tcPr>
            <w:tcW w:w="1220" w:type="dxa"/>
            <w:vAlign w:val="bottom"/>
            <w:shd w:val="clear" w:color="auto" w:fill="010035"/>
          </w:tcPr>
          <w:p>
            <w:pPr>
              <w:spacing w:after="0" w:line="20" w:lineRule="exact"/>
              <w:rPr>
                <w:sz w:val="1"/>
                <w:szCs w:val="1"/>
                <w:color w:val="auto"/>
              </w:rPr>
            </w:pPr>
          </w:p>
        </w:tc>
        <w:tc>
          <w:tcPr>
            <w:tcW w:w="1140" w:type="dxa"/>
            <w:vAlign w:val="bottom"/>
            <w:shd w:val="clear" w:color="auto" w:fill="010035"/>
          </w:tcPr>
          <w:p>
            <w:pPr>
              <w:spacing w:after="0" w:line="20" w:lineRule="exact"/>
              <w:rPr>
                <w:sz w:val="1"/>
                <w:szCs w:val="1"/>
                <w:color w:val="auto"/>
              </w:rPr>
            </w:pPr>
          </w:p>
        </w:tc>
        <w:tc>
          <w:tcPr>
            <w:tcW w:w="1080" w:type="dxa"/>
            <w:vAlign w:val="bottom"/>
            <w:shd w:val="clear" w:color="auto" w:fill="010035"/>
          </w:tcPr>
          <w:p>
            <w:pPr>
              <w:spacing w:after="0" w:line="20" w:lineRule="exact"/>
              <w:rPr>
                <w:sz w:val="1"/>
                <w:szCs w:val="1"/>
                <w:color w:val="auto"/>
              </w:rPr>
            </w:pPr>
          </w:p>
        </w:tc>
        <w:tc>
          <w:tcPr>
            <w:tcW w:w="960" w:type="dxa"/>
            <w:vAlign w:val="bottom"/>
            <w:shd w:val="clear" w:color="auto" w:fill="010035"/>
          </w:tcPr>
          <w:p>
            <w:pPr>
              <w:spacing w:after="0" w:line="20" w:lineRule="exact"/>
              <w:rPr>
                <w:sz w:val="1"/>
                <w:szCs w:val="1"/>
                <w:color w:val="auto"/>
              </w:rPr>
            </w:pPr>
          </w:p>
        </w:tc>
        <w:tc>
          <w:tcPr>
            <w:tcW w:w="1100" w:type="dxa"/>
            <w:vAlign w:val="bottom"/>
            <w:shd w:val="clear" w:color="auto" w:fill="010035"/>
          </w:tcPr>
          <w:p>
            <w:pPr>
              <w:spacing w:after="0" w:line="20" w:lineRule="exact"/>
              <w:rPr>
                <w:sz w:val="1"/>
                <w:szCs w:val="1"/>
                <w:color w:val="auto"/>
              </w:rPr>
            </w:pPr>
          </w:p>
        </w:tc>
        <w:tc>
          <w:tcPr>
            <w:tcW w:w="920" w:type="dxa"/>
            <w:vAlign w:val="bottom"/>
            <w:shd w:val="clear" w:color="auto" w:fill="010035"/>
          </w:tcPr>
          <w:p>
            <w:pPr>
              <w:spacing w:after="0" w:line="20" w:lineRule="exact"/>
              <w:rPr>
                <w:sz w:val="1"/>
                <w:szCs w:val="1"/>
                <w:color w:val="auto"/>
              </w:rPr>
            </w:pPr>
          </w:p>
        </w:tc>
        <w:tc>
          <w:tcPr>
            <w:tcW w:w="1560" w:type="dxa"/>
            <w:vAlign w:val="bottom"/>
            <w:shd w:val="clear" w:color="auto" w:fill="0100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180" w:right="140" w:hanging="174"/>
        <w:spacing w:after="0" w:line="243" w:lineRule="auto"/>
        <w:tabs>
          <w:tab w:leader="none" w:pos="180" w:val="left"/>
        </w:tabs>
        <w:numPr>
          <w:ilvl w:val="0"/>
          <w:numId w:val="6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In the case of termination without cause by the Company, or resignation by the executive for good reason, the amount represents a payment equal to the sum of (a) two times annual base salary for 2025 and (b) one and one half times the target cash bonus for 2025. For change in control termination without cause, or resignation for good reason, the amount represents a payment equal to two times the sum of (a) annual base salary for 2025 and (b) target cash bonus for 2025.</w:t>
      </w:r>
    </w:p>
    <w:p>
      <w:pPr>
        <w:spacing w:after="0" w:line="7" w:lineRule="exact"/>
        <w:rPr>
          <w:rFonts w:ascii="Times New Roman" w:cs="Times New Roman" w:eastAsia="Times New Roman" w:hAnsi="Times New Roman"/>
          <w:sz w:val="11"/>
          <w:szCs w:val="11"/>
          <w:color w:val="010035"/>
        </w:rPr>
      </w:pPr>
    </w:p>
    <w:p>
      <w:pPr>
        <w:ind w:left="180" w:right="580" w:hanging="174"/>
        <w:spacing w:after="0" w:line="248" w:lineRule="auto"/>
        <w:tabs>
          <w:tab w:leader="none" w:pos="180" w:val="left"/>
        </w:tabs>
        <w:numPr>
          <w:ilvl w:val="0"/>
          <w:numId w:val="6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Represents employer cost of medical, dental and vision coverage for a period of twenty-four months should Mr. Rogers elect COBRA coverage for these benefits based on his benefit elections in place on December 31, 2025.</w:t>
      </w:r>
    </w:p>
    <w:p>
      <w:pPr>
        <w:ind w:left="180" w:hanging="174"/>
        <w:spacing w:after="0"/>
        <w:tabs>
          <w:tab w:leader="none" w:pos="180" w:val="left"/>
        </w:tabs>
        <w:numPr>
          <w:ilvl w:val="0"/>
          <w:numId w:val="6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Restricted stock award values were computed based on the closing price of the Company’s common stock on December 31, 2025 ($14.75 per share), which was the last trading day of 2025.</w:t>
      </w:r>
    </w:p>
    <w:p>
      <w:pPr>
        <w:spacing w:after="0" w:line="8" w:lineRule="exact"/>
        <w:rPr>
          <w:rFonts w:ascii="Times New Roman" w:cs="Times New Roman" w:eastAsia="Times New Roman" w:hAnsi="Times New Roman"/>
          <w:sz w:val="11"/>
          <w:szCs w:val="11"/>
          <w:color w:val="010035"/>
        </w:rPr>
      </w:pPr>
    </w:p>
    <w:p>
      <w:pPr>
        <w:ind w:left="180" w:right="280" w:hanging="174"/>
        <w:spacing w:after="0" w:line="246" w:lineRule="auto"/>
        <w:tabs>
          <w:tab w:leader="none" w:pos="180" w:val="left"/>
        </w:tabs>
        <w:numPr>
          <w:ilvl w:val="0"/>
          <w:numId w:val="6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Restrictions on unvested performance awards and unvested restricted stock units lapse upon death, disability or a termination without cause or resignation for good reason within the protected period following a change in control.</w:t>
      </w:r>
    </w:p>
    <w:p>
      <w:pPr>
        <w:spacing w:after="0" w:line="5" w:lineRule="exact"/>
        <w:rPr>
          <w:rFonts w:ascii="Times New Roman" w:cs="Times New Roman" w:eastAsia="Times New Roman" w:hAnsi="Times New Roman"/>
          <w:sz w:val="11"/>
          <w:szCs w:val="11"/>
          <w:color w:val="010035"/>
        </w:rPr>
      </w:pPr>
    </w:p>
    <w:p>
      <w:pPr>
        <w:ind w:left="180" w:right="140" w:hanging="174"/>
        <w:spacing w:after="0" w:line="273" w:lineRule="auto"/>
        <w:tabs>
          <w:tab w:leader="none" w:pos="180" w:val="left"/>
        </w:tabs>
        <w:numPr>
          <w:ilvl w:val="0"/>
          <w:numId w:val="67"/>
        </w:numPr>
        <w:rPr>
          <w:rFonts w:ascii="Times New Roman" w:cs="Times New Roman" w:eastAsia="Times New Roman" w:hAnsi="Times New Roman"/>
          <w:sz w:val="10"/>
          <w:szCs w:val="10"/>
          <w:color w:val="010035"/>
        </w:rPr>
      </w:pPr>
      <w:r>
        <w:rPr>
          <w:rFonts w:ascii="Times New Roman" w:cs="Times New Roman" w:eastAsia="Times New Roman" w:hAnsi="Times New Roman"/>
          <w:sz w:val="10"/>
          <w:szCs w:val="10"/>
          <w:color w:val="010035"/>
        </w:rPr>
        <w:t>Stock options lapse upon death, disability, or a termination without cause or resignation for good reason within the protected period of a change in control, and specific to a qualified retirement within the 2022 Plan, vested stock options issued under the 2018 Plan and 2022 Plan are cancelled when an executive is terminated for cause by the Company. All unvested stock options were underwater as of December 31, 2025.</w:t>
      </w:r>
    </w:p>
    <w:p>
      <w:pPr>
        <w:ind w:left="180" w:right="200" w:hanging="174"/>
        <w:spacing w:after="0" w:line="243" w:lineRule="auto"/>
        <w:tabs>
          <w:tab w:leader="none" w:pos="180" w:val="left"/>
        </w:tabs>
        <w:numPr>
          <w:ilvl w:val="0"/>
          <w:numId w:val="6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Company contributions to the Deferred Compensation Plan vest 20% per year during the first five years of service. However, vesting is accelerated upon death, retirement, change in control or, at the option of the committee administering the Deferred Compensation Plan, involuntary termination or disability. All amounts under Mr. Rogers’ deferred compensation account were vested as of December 31, 2025.</w:t>
      </w:r>
    </w:p>
    <w:p>
      <w:pPr>
        <w:ind w:left="180" w:hanging="174"/>
        <w:spacing w:after="0"/>
        <w:tabs>
          <w:tab w:leader="none" w:pos="180" w:val="left"/>
        </w:tabs>
        <w:numPr>
          <w:ilvl w:val="0"/>
          <w:numId w:val="6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In addition to a termination without cause by the Company, the executive is eligible to receive the Cash Severance Benefit and Benefit Continuation upon executive's resignation for good reason.</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Employment, Retirement and Separation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The Company has entered into employment agreements with its current executive officers, including Messrs. Snowden and Rogers and Ms. Hendrix, and its former executive officer (in the case of Mr. George), which agreements contain retirement and separation provisions, amongst other things. The Company determined to enter into these agreements in recognition of the continuing need to attract and retain experienced, proven executives (particularly in light of the increased competition for talent in its industry) and to protect the Company from certain competitive risk. The Committee plans to continue to evaluate whether and in what form to utilize severance or employment agreements in the future. For key employees with whom the Company does not seek to have severance or employment agreements, the Company has designed other policies and programs for attracting and retaining talented individuals. None of the employment agreements contain single trigger change in control payments and benefits.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Summary of 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The summary below reflects the Executive Agreements entered into between the Company and Mr. Snowden as of August 5, 2025, Ms. Hendrix as of February 19, 2024, Mr. Rogers as of June 30, 2025, and Mr. George as of November 5, 2025 (the “Executive Agreements”). Mr. George’s Executive Agreement was terminated in connection with Mr. George’s departure, effective January 5, 2026.</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Term. </w:t>
      </w:r>
      <w:r>
        <w:rPr>
          <w:rFonts w:ascii="Arial" w:cs="Arial" w:eastAsia="Arial" w:hAnsi="Arial"/>
          <w:sz w:val="14"/>
          <w:szCs w:val="14"/>
          <w:color w:val="auto"/>
        </w:rPr>
        <w:t>The term of the Executive Agreements ranges between 2 years and 10 months (for Ms. Hendrix) and 3 years and 5 months (for</w:t>
      </w:r>
    </w:p>
    <w:p>
      <w:pPr>
        <w:spacing w:after="0" w:line="15" w:lineRule="exact"/>
        <w:rPr>
          <w:sz w:val="20"/>
          <w:szCs w:val="20"/>
          <w:color w:val="auto"/>
        </w:rPr>
      </w:pPr>
    </w:p>
    <w:p>
      <w:pPr>
        <w:ind w:left="200" w:right="280"/>
        <w:spacing w:after="0" w:line="247" w:lineRule="auto"/>
        <w:rPr>
          <w:sz w:val="20"/>
          <w:szCs w:val="20"/>
          <w:color w:val="auto"/>
        </w:rPr>
      </w:pPr>
      <w:r>
        <w:rPr>
          <w:rFonts w:ascii="Arial" w:cs="Arial" w:eastAsia="Arial" w:hAnsi="Arial"/>
          <w:sz w:val="14"/>
          <w:szCs w:val="14"/>
          <w:color w:val="auto"/>
        </w:rPr>
        <w:t>Mr. Snowden); Mr. Snowden’s Executive Agreement expires on January 1, 2029, Ms. Hendrix’s Executive Agreement expires on January 1, 2027, and Mr. Rogers’s Executive Agreement expires on June 30, 2028. The Company believes that the length of each employment term represents a reasonable period for which the Company and the executive will mutually commit to maintaining the employment relationship. For the executive, this provides a reasonable but limited assurance of job security designed to foster an environment of entrepreneurial risk taking where the executive can focus on building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96520</wp:posOffset>
            </wp:positionV>
            <wp:extent cx="699516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240" w:top="114" w:right="11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22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Summary of Key Terms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left="200" w:right="60"/>
        <w:spacing w:after="0" w:line="252" w:lineRule="auto"/>
        <w:rPr>
          <w:sz w:val="20"/>
          <w:szCs w:val="20"/>
          <w:color w:val="auto"/>
        </w:rPr>
      </w:pPr>
      <w:r>
        <w:rPr>
          <w:rFonts w:ascii="Arial" w:cs="Arial" w:eastAsia="Arial" w:hAnsi="Arial"/>
          <w:sz w:val="14"/>
          <w:szCs w:val="14"/>
          <w:b w:val="1"/>
          <w:bCs w:val="1"/>
          <w:color w:val="auto"/>
        </w:rPr>
        <w:t xml:space="preserve">Termination and Restrictive Covenants. </w:t>
      </w:r>
      <w:r>
        <w:rPr>
          <w:rFonts w:ascii="Arial" w:cs="Arial" w:eastAsia="Arial" w:hAnsi="Arial"/>
          <w:sz w:val="14"/>
          <w:szCs w:val="14"/>
          <w:color w:val="auto"/>
        </w:rPr>
        <w:t>The Company offers certain additional payments to its executive officers if the Company elects to</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terminate the executive’s employment without “cause.” Such termination payments are not available to the executive if the executive resigns (unless such executive has good reason) or if the executive is terminated for “cause.” All termination payments are expressly conditioned on the executive providing a written release of all liabilities to the Company and the executive’s agreement to comply with the restrictive covenants described below for the time period for which such payments are made.</w:t>
      </w:r>
    </w:p>
    <w:p>
      <w:pPr>
        <w:spacing w:after="0" w:line="73" w:lineRule="exact"/>
        <w:rPr>
          <w:sz w:val="20"/>
          <w:szCs w:val="20"/>
          <w:color w:val="auto"/>
        </w:rPr>
      </w:pPr>
    </w:p>
    <w:p>
      <w:pPr>
        <w:ind w:left="200"/>
        <w:spacing w:after="0" w:line="246" w:lineRule="auto"/>
        <w:rPr>
          <w:sz w:val="20"/>
          <w:szCs w:val="20"/>
          <w:color w:val="auto"/>
        </w:rPr>
      </w:pPr>
      <w:r>
        <w:rPr>
          <w:rFonts w:ascii="Arial" w:cs="Arial" w:eastAsia="Arial" w:hAnsi="Arial"/>
          <w:sz w:val="14"/>
          <w:szCs w:val="14"/>
          <w:color w:val="auto"/>
        </w:rPr>
        <w:t>Each Executive Agreement contains a comprehensive set of restrictive covenants designed to provide the Company with a reasonable degree of protection with regards to its strategic plans, intellectual property and human capital. Generally, each Executive Agreement contains prohibitions on (i) competition with the Company within 150 miles of any facility in which the Company or its affiliates owns or operates or is actively seeking to own or operate a facility for a period of twelve months following termination if terminated for “cause” or for the duration of the applicable Severance Period, as defined below, if terminated without “cause” or by the executive for “good reason,” (ii) solicitation of any person who is, or was within a six month period prior to such solicitation, an executive or management (or higher) level employee of the Company or any of its affiliates for a period of 18 months following termination, and (iii) disclosure and use of any of the Company’s confidential information. The Board selected the time periods for which each executive is bound by these restrictive covenants based on its determination about the extent to which such individual’s tenure and knowledge of the Company could be used to adversely impact the Company’s strategic plans, intellectual property or human capital.</w:t>
      </w:r>
    </w:p>
    <w:p>
      <w:pPr>
        <w:spacing w:after="0" w:line="243" w:lineRule="exact"/>
        <w:rPr>
          <w:sz w:val="20"/>
          <w:szCs w:val="20"/>
          <w:color w:val="auto"/>
        </w:rPr>
      </w:pPr>
    </w:p>
    <w:p>
      <w:pPr>
        <w:ind w:left="200" w:right="320"/>
        <w:spacing w:after="0" w:line="251" w:lineRule="auto"/>
        <w:rPr>
          <w:sz w:val="20"/>
          <w:szCs w:val="20"/>
          <w:color w:val="auto"/>
        </w:rPr>
      </w:pPr>
      <w:r>
        <w:rPr>
          <w:rFonts w:ascii="Arial" w:cs="Arial" w:eastAsia="Arial" w:hAnsi="Arial"/>
          <w:sz w:val="14"/>
          <w:szCs w:val="14"/>
          <w:color w:val="auto"/>
        </w:rPr>
        <w:t>For all NEOs, the additional payments following termination without “cause” or by the executive for “good reason” consist of a cash payment equal to (i) 2 multiplied by the sum of base salary plus 1.5 multiplied by the target bonus on the date of termination, and, in the case of</w:t>
      </w:r>
    </w:p>
    <w:p>
      <w:pPr>
        <w:spacing w:after="0" w:line="1" w:lineRule="exact"/>
        <w:rPr>
          <w:sz w:val="20"/>
          <w:szCs w:val="20"/>
          <w:color w:val="auto"/>
        </w:rPr>
      </w:pPr>
    </w:p>
    <w:p>
      <w:pPr>
        <w:ind w:left="200" w:right="40"/>
        <w:spacing w:after="0" w:line="252" w:lineRule="auto"/>
        <w:rPr>
          <w:sz w:val="20"/>
          <w:szCs w:val="20"/>
          <w:color w:val="auto"/>
        </w:rPr>
      </w:pPr>
      <w:r>
        <w:rPr>
          <w:rFonts w:ascii="Arial" w:cs="Arial" w:eastAsia="Arial" w:hAnsi="Arial"/>
          <w:sz w:val="14"/>
          <w:szCs w:val="14"/>
          <w:color w:val="auto"/>
        </w:rPr>
        <w:t>Mr. Snowden, 2 multiplied by the sum of base salary plus the target bonus on the date of termination, plus (ii) an annual bonus based on actual performance for the fiscal year in which the termination occurs, pro-rated to cover the portion of the fiscal year through the termination date, plus (iii) any accrued but unpaid annual bonus for the fiscal year preceding the year in which the termination date occurs.</w:t>
      </w:r>
    </w:p>
    <w:p>
      <w:pPr>
        <w:spacing w:after="0" w:line="73" w:lineRule="exact"/>
        <w:rPr>
          <w:sz w:val="20"/>
          <w:szCs w:val="20"/>
          <w:color w:val="auto"/>
        </w:rPr>
      </w:pPr>
    </w:p>
    <w:p>
      <w:pPr>
        <w:ind w:left="200" w:right="200"/>
        <w:spacing w:after="0" w:line="256" w:lineRule="auto"/>
        <w:rPr>
          <w:sz w:val="20"/>
          <w:szCs w:val="20"/>
          <w:color w:val="auto"/>
        </w:rPr>
      </w:pPr>
      <w:r>
        <w:rPr>
          <w:rFonts w:ascii="Arial" w:cs="Arial" w:eastAsia="Arial" w:hAnsi="Arial"/>
          <w:sz w:val="14"/>
          <w:szCs w:val="14"/>
          <w:color w:val="auto"/>
        </w:rPr>
        <w:t>The amounts were selected based on the rationale that the Company was willing to continue to pay each executive an amount reflecting the foregone compensation over the period that the Company desired the executive to remain subject to the restrictive covenants. In addition, the Company will reimburse the executive for the full cost of purchasing COBRA health insurance coverage during the Severance Period, if applicable.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Change in Control. </w:t>
      </w:r>
      <w:r>
        <w:rPr>
          <w:rFonts w:ascii="Arial" w:cs="Arial" w:eastAsia="Arial" w:hAnsi="Arial"/>
          <w:sz w:val="14"/>
          <w:szCs w:val="14"/>
          <w:color w:val="auto"/>
        </w:rPr>
        <w:t>The Company has a “double trigger” change in control provision in its Executive Agreements.</w:t>
      </w:r>
    </w:p>
    <w:p>
      <w:pPr>
        <w:spacing w:after="0" w:line="109" w:lineRule="exact"/>
        <w:rPr>
          <w:sz w:val="20"/>
          <w:szCs w:val="20"/>
          <w:color w:val="auto"/>
        </w:rPr>
      </w:pPr>
    </w:p>
    <w:p>
      <w:pPr>
        <w:ind w:left="200" w:right="40"/>
        <w:spacing w:after="0" w:line="249" w:lineRule="auto"/>
        <w:rPr>
          <w:sz w:val="20"/>
          <w:szCs w:val="20"/>
          <w:color w:val="auto"/>
        </w:rPr>
      </w:pPr>
      <w:r>
        <w:rPr>
          <w:rFonts w:ascii="Arial" w:cs="Arial" w:eastAsia="Arial" w:hAnsi="Arial"/>
          <w:sz w:val="14"/>
          <w:szCs w:val="14"/>
          <w:color w:val="auto"/>
        </w:rPr>
        <w:t>For each of the NEOs, in the event of a termination by the Company without cause or the NEO resigns for good reason within 24 months following a change in control, each executive is entitled to receive a cash payment equal to (i) 2, and, in the case of Mr. Snowden, 2.5, multiplied by the sum of (a) his or her base salary and (b) the amount of his or her targeted bonus compensation, each at a rate in effect at the time of the change in control or the termination date, whichever is greater, plus (ii) an annual bonus for the fiscal year in which the termination occurs, pro-rated to cover the portion of the fiscal year through the termination date based on the greater of the target bonus in effect at the time of the change in control or the termination date, plus (iii) any accrued but unpaid annual bonus for the fiscal year preceding the year in which the termination date occurs.</w:t>
      </w:r>
    </w:p>
    <w:p>
      <w:pPr>
        <w:spacing w:after="0" w:line="240" w:lineRule="exact"/>
        <w:rPr>
          <w:sz w:val="20"/>
          <w:szCs w:val="20"/>
          <w:color w:val="auto"/>
        </w:rPr>
      </w:pPr>
    </w:p>
    <w:p>
      <w:pPr>
        <w:ind w:left="200" w:right="60"/>
        <w:spacing w:after="0" w:line="252" w:lineRule="auto"/>
        <w:rPr>
          <w:sz w:val="20"/>
          <w:szCs w:val="20"/>
          <w:color w:val="auto"/>
        </w:rPr>
      </w:pPr>
      <w:r>
        <w:rPr>
          <w:rFonts w:ascii="Arial" w:cs="Arial" w:eastAsia="Arial" w:hAnsi="Arial"/>
          <w:sz w:val="14"/>
          <w:szCs w:val="14"/>
          <w:color w:val="auto"/>
        </w:rPr>
        <w:t>To the extent that a NEO receives a change in control payment, such NEO will not be eligible to receive any additional cash severance in the event of a termination of employment during the employment term. The Executive Agreements do not provide for tax indemnification if a change in control or termination payment results in a parachute excise tax. The Executive Agreements do provide for a “best net” cutback for purposes of Code Section 280G (which provides that the executive receives the maximum after-tax benefit from any change in control payments, taking into account any excise taxes imposed under Code Section 280G).</w:t>
      </w:r>
    </w:p>
    <w:p>
      <w:pPr>
        <w:spacing w:after="0" w:line="73" w:lineRule="exact"/>
        <w:rPr>
          <w:sz w:val="20"/>
          <w:szCs w:val="20"/>
          <w:color w:val="auto"/>
        </w:rPr>
      </w:pPr>
    </w:p>
    <w:p>
      <w:pPr>
        <w:jc w:val="both"/>
        <w:ind w:left="200" w:right="100"/>
        <w:spacing w:after="0" w:line="263" w:lineRule="auto"/>
        <w:rPr>
          <w:sz w:val="20"/>
          <w:szCs w:val="20"/>
          <w:color w:val="auto"/>
        </w:rPr>
      </w:pPr>
      <w:r>
        <w:rPr>
          <w:rFonts w:ascii="Arial" w:cs="Arial" w:eastAsia="Arial" w:hAnsi="Arial"/>
          <w:sz w:val="14"/>
          <w:szCs w:val="14"/>
          <w:color w:val="auto"/>
        </w:rPr>
        <w:t>Each of the NEOs’ annual compensation is reviewed annually and established by the Committee as described in the Compensation Discussion and Analysis above. For purposes of the potential termination and change in control payments described in this proxy statement, the terms set forth below have the meanings ascribed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2997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829300" cy="2997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Summary of Key Terms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left="200"/>
        <w:spacing w:after="0" w:line="246" w:lineRule="auto"/>
        <w:rPr>
          <w:sz w:val="20"/>
          <w:szCs w:val="20"/>
          <w:color w:val="auto"/>
        </w:rPr>
      </w:pPr>
      <w:r>
        <w:rPr>
          <w:rFonts w:ascii="Arial" w:cs="Arial" w:eastAsia="Arial" w:hAnsi="Arial"/>
          <w:sz w:val="14"/>
          <w:szCs w:val="14"/>
          <w:b w:val="1"/>
          <w:bCs w:val="1"/>
          <w:color w:val="auto"/>
        </w:rPr>
        <w:t xml:space="preserve">“Change in Control” </w:t>
      </w:r>
      <w:r>
        <w:rPr>
          <w:rFonts w:ascii="Arial" w:cs="Arial" w:eastAsia="Arial" w:hAnsi="Arial"/>
          <w:sz w:val="14"/>
          <w:szCs w:val="14"/>
          <w:color w:val="auto"/>
        </w:rPr>
        <w:t>– a “change in control” is defined as the occurrence of one or more of the following events: (i) an individual, entity or group</w:t>
      </w:r>
      <w:r>
        <w:rPr>
          <w:rFonts w:ascii="Arial" w:cs="Arial" w:eastAsia="Arial" w:hAnsi="Arial"/>
          <w:sz w:val="14"/>
          <w:szCs w:val="14"/>
          <w:b w:val="1"/>
          <w:bCs w:val="1"/>
          <w:color w:val="auto"/>
        </w:rPr>
        <w:t xml:space="preserve"> </w:t>
      </w:r>
      <w:r>
        <w:rPr>
          <w:rFonts w:ascii="Arial" w:cs="Arial" w:eastAsia="Arial" w:hAnsi="Arial"/>
          <w:sz w:val="14"/>
          <w:szCs w:val="14"/>
          <w:color w:val="auto"/>
        </w:rPr>
        <w:t>becomes the beneficial owner of shares representing 50% or more of (a) the Company’s outstanding shares or (b) the combined voting power of the then outstanding voting securities of the Company entitled to vote in the election of directors, except when such beneficial ownership is due to an acquisition directly from or by the Company or a Company employee benefit plan or pursuant to a consolidation, merger or share exchange reorganization between the Company and another entity described below; (ii) the Company consummates a reorganization, merger or consolidation or sale or other disposition of all or substantially all of the assets of the Company or the acquisition of assets of another entity, unless, following such transaction, (a) all or substantially all of the beneficial owners immediately prior to such transaction still beneficially own more than 50% of the Company’s outstanding shares, (b) no person beneficially owns 20% or more of the Company’s outstanding shares who did not own such amount prior to the transaction and (c) at least a majority of the directors are continuing directors; or (iii) any time continuing directors do not constitute a majority of the Board.</w:t>
      </w:r>
    </w:p>
    <w:p>
      <w:pPr>
        <w:spacing w:after="0" w:line="78" w:lineRule="exact"/>
        <w:rPr>
          <w:sz w:val="20"/>
          <w:szCs w:val="20"/>
          <w:color w:val="auto"/>
        </w:rPr>
      </w:pPr>
    </w:p>
    <w:p>
      <w:pPr>
        <w:ind w:left="200"/>
        <w:spacing w:after="0" w:line="256" w:lineRule="auto"/>
        <w:rPr>
          <w:sz w:val="20"/>
          <w:szCs w:val="20"/>
          <w:color w:val="auto"/>
        </w:rPr>
      </w:pPr>
      <w:r>
        <w:rPr>
          <w:rFonts w:ascii="Arial" w:cs="Arial" w:eastAsia="Arial" w:hAnsi="Arial"/>
          <w:sz w:val="14"/>
          <w:szCs w:val="14"/>
          <w:b w:val="1"/>
          <w:bCs w:val="1"/>
          <w:color w:val="auto"/>
        </w:rPr>
        <w:t xml:space="preserve">“Good Reason” </w:t>
      </w:r>
      <w:r>
        <w:rPr>
          <w:rFonts w:ascii="Arial" w:cs="Arial" w:eastAsia="Arial" w:hAnsi="Arial"/>
          <w:sz w:val="14"/>
          <w:szCs w:val="14"/>
          <w:color w:val="auto"/>
        </w:rPr>
        <w:t>– is defined in each NEO’s Executive Agreement and in general, may include: (a) such officer is assigned to duties inconsistent</w:t>
      </w:r>
      <w:r>
        <w:rPr>
          <w:rFonts w:ascii="Arial" w:cs="Arial" w:eastAsia="Arial" w:hAnsi="Arial"/>
          <w:sz w:val="14"/>
          <w:szCs w:val="14"/>
          <w:b w:val="1"/>
          <w:bCs w:val="1"/>
          <w:color w:val="auto"/>
        </w:rPr>
        <w:t xml:space="preserve"> </w:t>
      </w:r>
      <w:r>
        <w:rPr>
          <w:rFonts w:ascii="Arial" w:cs="Arial" w:eastAsia="Arial" w:hAnsi="Arial"/>
          <w:sz w:val="14"/>
          <w:szCs w:val="14"/>
          <w:color w:val="auto"/>
        </w:rPr>
        <w:t>with his position or authority, (b) such officer’s compensation is reduced or there is a substantial reduction in benefits taken as a whole, (c) such officer’s travel requirements are materially increased, (d) such officer is required to relocate or (e) such officer’s employment agreement is materially breached by the Company.</w:t>
      </w:r>
    </w:p>
    <w:p>
      <w:pPr>
        <w:spacing w:after="0" w:line="69" w:lineRule="exact"/>
        <w:rPr>
          <w:sz w:val="20"/>
          <w:szCs w:val="20"/>
          <w:color w:val="auto"/>
        </w:rPr>
      </w:pPr>
    </w:p>
    <w:p>
      <w:pPr>
        <w:ind w:left="200" w:right="900"/>
        <w:spacing w:after="0" w:line="251" w:lineRule="auto"/>
        <w:rPr>
          <w:sz w:val="20"/>
          <w:szCs w:val="20"/>
          <w:color w:val="auto"/>
        </w:rPr>
      </w:pPr>
      <w:r>
        <w:rPr>
          <w:rFonts w:ascii="Arial" w:cs="Arial" w:eastAsia="Arial" w:hAnsi="Arial"/>
          <w:sz w:val="14"/>
          <w:szCs w:val="14"/>
          <w:b w:val="1"/>
          <w:bCs w:val="1"/>
          <w:color w:val="auto"/>
        </w:rPr>
        <w:t xml:space="preserve">“Cause” </w:t>
      </w:r>
      <w:r>
        <w:rPr>
          <w:rFonts w:ascii="Arial" w:cs="Arial" w:eastAsia="Arial" w:hAnsi="Arial"/>
          <w:sz w:val="14"/>
          <w:szCs w:val="14"/>
          <w:color w:val="auto"/>
        </w:rPr>
        <w:t>– is defined in each NEO’s Executive Agreement and generally, may include: (a) executive is convicted of a felony or any</w:t>
      </w:r>
      <w:r>
        <w:rPr>
          <w:rFonts w:ascii="Arial" w:cs="Arial" w:eastAsia="Arial" w:hAnsi="Arial"/>
          <w:sz w:val="14"/>
          <w:szCs w:val="14"/>
          <w:b w:val="1"/>
          <w:bCs w:val="1"/>
          <w:color w:val="auto"/>
        </w:rPr>
        <w:t xml:space="preserve"> </w:t>
      </w:r>
      <w:r>
        <w:rPr>
          <w:rFonts w:ascii="Arial" w:cs="Arial" w:eastAsia="Arial" w:hAnsi="Arial"/>
          <w:sz w:val="14"/>
          <w:szCs w:val="14"/>
          <w:color w:val="auto"/>
        </w:rPr>
        <w:t>misdemeanor involving allegations of fraud, dishonesty or physical harm, (b) executive is found disqualified or</w:t>
      </w:r>
    </w:p>
    <w:p>
      <w:pPr>
        <w:spacing w:after="0" w:line="1" w:lineRule="exact"/>
        <w:rPr>
          <w:sz w:val="20"/>
          <w:szCs w:val="20"/>
          <w:color w:val="auto"/>
        </w:rPr>
      </w:pPr>
    </w:p>
    <w:p>
      <w:pPr>
        <w:ind w:left="200" w:right="60"/>
        <w:spacing w:after="0" w:line="246" w:lineRule="auto"/>
        <w:rPr>
          <w:sz w:val="20"/>
          <w:szCs w:val="20"/>
          <w:color w:val="auto"/>
        </w:rPr>
      </w:pPr>
      <w:r>
        <w:rPr>
          <w:rFonts w:ascii="Arial" w:cs="Arial" w:eastAsia="Arial" w:hAnsi="Arial"/>
          <w:sz w:val="14"/>
          <w:szCs w:val="14"/>
          <w:color w:val="auto"/>
        </w:rPr>
        <w:t>not suitable to hold a casino or other gaming license by a governmental gaming authority in any jurisdiction where such executive is required to be found qualified, suitable or licensed, (c) executive materially breaches the employment or severance agreement or any material Company policy, (d) executive misappropriates corporate funds as determined in good faith by the Audit Committee of the Board, (e) executive is determined by the Company to have failed to perform his or her duties with the Company or repeated insubordination or (f) executive is determined by the Company to have willfully engaged in illegal conduct or gross misconduct which is materially injurious to the Company or one of its affiliates.</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“Severance Period” </w:t>
      </w:r>
      <w:r>
        <w:rPr>
          <w:rFonts w:ascii="Arial" w:cs="Arial" w:eastAsia="Arial" w:hAnsi="Arial"/>
          <w:sz w:val="14"/>
          <w:szCs w:val="14"/>
          <w:color w:val="auto"/>
        </w:rPr>
        <w:t>– means twenty-four (24) months following the date of separation from service.</w:t>
      </w:r>
    </w:p>
    <w:p>
      <w:pPr>
        <w:spacing w:after="0" w:line="109" w:lineRule="exact"/>
        <w:rPr>
          <w:sz w:val="20"/>
          <w:szCs w:val="20"/>
          <w:color w:val="auto"/>
        </w:rPr>
      </w:pPr>
    </w:p>
    <w:p>
      <w:pPr>
        <w:ind w:left="200" w:right="60"/>
        <w:spacing w:after="0" w:line="250" w:lineRule="auto"/>
        <w:rPr>
          <w:sz w:val="20"/>
          <w:szCs w:val="20"/>
          <w:color w:val="auto"/>
        </w:rPr>
      </w:pPr>
      <w:r>
        <w:rPr>
          <w:rFonts w:ascii="Arial" w:cs="Arial" w:eastAsia="Arial" w:hAnsi="Arial"/>
          <w:sz w:val="14"/>
          <w:szCs w:val="14"/>
          <w:color w:val="auto"/>
        </w:rPr>
        <w:t>As disclosed in our Current Report on Form 8-K, filed on January 9, 2026, Mr. George entered into a Separation Agreement and General Release with the Company in connection with his departure, effective January 5, 2026 (the “Separation Agreement”). In connection with the Separation Agreement, Mr. George is entitled to the post-employment benefits and subject to the post-employment responsibilities set forth in his Executive Agreement, as described above. Subject to Mr. George’s compliance with the Separation Agreement, Mr. George’s annual bonus for 2025 was paid in March 2026 and his 2023 performance-based restricted stock unit award remained outstanding and eligible to vest through February 28, 2026.</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Equity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40"/>
        <w:spacing w:after="0" w:line="248" w:lineRule="auto"/>
        <w:rPr>
          <w:sz w:val="20"/>
          <w:szCs w:val="20"/>
          <w:color w:val="auto"/>
        </w:rPr>
      </w:pPr>
      <w:r>
        <w:rPr>
          <w:rFonts w:ascii="Arial" w:cs="Arial" w:eastAsia="Arial" w:hAnsi="Arial"/>
          <w:sz w:val="14"/>
          <w:szCs w:val="14"/>
          <w:color w:val="auto"/>
        </w:rPr>
        <w:t>Generally, the 2022 Plan and applicable award agreements provide that in the event of a change of control (as defined in the 2022 Plan) and grantee’s termination of employment by the Company without cause (as defined in the 2022 Plan) or by the grantee for good reason (as defined in the 2022 Plan), within two (2) years following the change of control, then (i) options and stock appreciation rights (“SARs”) will vest and become fully exercisable, (ii) restrictions on restricted stock awards and restricted stock unit awards will lapse and such awards will become fully vested, (iii) any performance awards with vesting or other provisions tied to achievement of performance goals will be considered to be vested at target level of performance, (iv) any awards payable in cash will be paid within thirty (30) days after such termination of employment and (v) such other additional benefits, changes or adjustments as the Committee deems appropriate and fair.</w:t>
      </w:r>
    </w:p>
    <w:p>
      <w:pPr>
        <w:spacing w:after="0" w:line="77"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Upon a grantee’s death or disability, all unvested SARs, restricted stock, restricted stock units, performance awards (at target level of performance) and stock options will vest.</w:t>
      </w:r>
    </w:p>
    <w:p>
      <w:pPr>
        <w:spacing w:after="0" w:line="50" w:lineRule="exact"/>
        <w:rPr>
          <w:sz w:val="20"/>
          <w:szCs w:val="20"/>
          <w:color w:val="auto"/>
        </w:rPr>
      </w:pPr>
    </w:p>
    <w:p>
      <w:pPr>
        <w:jc w:val="both"/>
        <w:ind w:right="100"/>
        <w:spacing w:after="0" w:line="263" w:lineRule="auto"/>
        <w:rPr>
          <w:sz w:val="20"/>
          <w:szCs w:val="20"/>
          <w:color w:val="auto"/>
        </w:rPr>
      </w:pPr>
      <w:r>
        <w:rPr>
          <w:rFonts w:ascii="Arial" w:cs="Arial" w:eastAsia="Arial" w:hAnsi="Arial"/>
          <w:sz w:val="14"/>
          <w:szCs w:val="14"/>
          <w:color w:val="auto"/>
        </w:rPr>
        <w:t>Certain performance-based awards are subject to earlier vesting on a pro-rata basis upon retirement (grantee’s separation from service on or after the attainment of age 55 with at least ten (10) years of service with the Company, or on or after the attainment of age 65) and will become payable at the end of the performance period based on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22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COMPENSATION TABLES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Summary of Key Terms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If grantee’s employment or service with the Company or a subsidiary terminates for any reason other than as provided above, unvested awards will be forfeited.</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Pursuant to SEC rules, we are required to disclose in this Proxy Statement the ratio of the annual total compensation of Mr. Snowden, our Chief</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 and President, to the median of the annual total compensation of all of our employees (excluding Mr. Snowden). For purposes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calculating the CEO pay ratio, we used the annual total compensation for our CEO as reported for 2025 in the Summary Compensation Table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($24,126,651), and the median of the 2025 annual total compensation of all of our employees, excluding Mr. Snowden ($43,833), with the ratio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these amounts being 550:1. The Company believes that the foregoing ratio is a reasonable estimate determined in accordance with SEC rules.</w:t>
      </w:r>
    </w:p>
    <w:p>
      <w:pPr>
        <w:spacing w:after="0" w:line="95"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Under the SEC rules, companies may identify the median annual total compensation using a wide variety of methods including reasonable assumptions and estimations. It is therefore difficult to compare our ratio to the ratio of other companies. We identified our median employee using payroll compensation consistent with what is reported on each employee’s W-2, Box 1 or equivalent taxable wages as of October 31, 2025 for all individuals, excluding our Chief Executive Officer and President, who were employed by us on such date. We measured total annual compensation based on all pay periods between November 1, 2024 and October 31, 2025. We did not make any assumptions or estimates with respect to total annual compensation. As of October 31, 2025, we had a total of 23,066 employees, excluding our Chief Executive Officer. We did not exclude any of our non-U.S. employees from this determination. We selected the median employee from that group for purposes of preparing the ratio of Chief Executive Officer pay to median employee pay. We then calculated the compensation for our median employee based upon the same components of compensation used to determine Mr. Snowden’s pay for purposes of Summary Compensation Table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100330</wp:posOffset>
            </wp:positionV>
            <wp:extent cx="699516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220"/>
        <w:spacing w:after="0" w:line="256" w:lineRule="auto"/>
        <w:rPr>
          <w:sz w:val="20"/>
          <w:szCs w:val="20"/>
          <w:color w:val="auto"/>
        </w:rPr>
      </w:pPr>
      <w:r>
        <w:rPr>
          <w:rFonts w:ascii="Arial" w:cs="Arial" w:eastAsia="Arial" w:hAnsi="Arial"/>
          <w:sz w:val="14"/>
          <w:szCs w:val="14"/>
          <w:color w:val="auto"/>
        </w:rPr>
        <w:t xml:space="preserve">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“Executive Compensation—Compensation Discussion and Analysis” on page </w:t>
      </w:r>
      <w:r>
        <w:rPr>
          <w:rFonts w:ascii="Arial" w:cs="Arial" w:eastAsia="Arial" w:hAnsi="Arial"/>
          <w:sz w:val="14"/>
          <w:szCs w:val="14"/>
          <w:u w:val="single" w:color="auto"/>
          <w:color w:val="0000EE"/>
        </w:rPr>
        <w:t>53</w:t>
      </w:r>
      <w:r>
        <w:rPr>
          <w:rFonts w:ascii="Arial" w:cs="Arial" w:eastAsia="Arial" w:hAnsi="Arial"/>
          <w:sz w:val="14"/>
          <w:szCs w:val="14"/>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540" w:type="dxa"/>
            <w:vAlign w:val="bottom"/>
            <w:tcBorders>
              <w:top w:val="single" w:sz="8" w:color="69439A"/>
            </w:tcBorders>
            <w:shd w:val="clear" w:color="auto" w:fill="010035"/>
          </w:tcPr>
          <w:p>
            <w:pPr>
              <w:spacing w:after="0"/>
              <w:rPr>
                <w:sz w:val="24"/>
                <w:szCs w:val="24"/>
                <w:color w:val="auto"/>
              </w:rPr>
            </w:pPr>
          </w:p>
        </w:tc>
        <w:tc>
          <w:tcPr>
            <w:tcW w:w="1220" w:type="dxa"/>
            <w:vAlign w:val="bottom"/>
            <w:tcBorders>
              <w:top w:val="single" w:sz="8" w:color="69439A"/>
            </w:tcBorders>
            <w:shd w:val="clear" w:color="auto" w:fill="010035"/>
          </w:tcPr>
          <w:p>
            <w:pPr>
              <w:spacing w:after="0"/>
              <w:rPr>
                <w:sz w:val="24"/>
                <w:szCs w:val="24"/>
                <w:color w:val="auto"/>
              </w:rPr>
            </w:pPr>
          </w:p>
        </w:tc>
        <w:tc>
          <w:tcPr>
            <w:tcW w:w="1200" w:type="dxa"/>
            <w:vAlign w:val="bottom"/>
            <w:tcBorders>
              <w:top w:val="single" w:sz="8" w:color="69439A"/>
            </w:tcBorders>
            <w:shd w:val="clear" w:color="auto" w:fill="010035"/>
          </w:tcPr>
          <w:p>
            <w:pPr>
              <w:spacing w:after="0"/>
              <w:rPr>
                <w:sz w:val="24"/>
                <w:szCs w:val="24"/>
                <w:color w:val="auto"/>
              </w:rPr>
            </w:pPr>
          </w:p>
        </w:tc>
        <w:tc>
          <w:tcPr>
            <w:tcW w:w="1220" w:type="dxa"/>
            <w:vAlign w:val="bottom"/>
            <w:tcBorders>
              <w:top w:val="single" w:sz="8" w:color="69439A"/>
            </w:tcBorders>
            <w:shd w:val="clear" w:color="auto" w:fill="010035"/>
          </w:tcPr>
          <w:p>
            <w:pPr>
              <w:spacing w:after="0"/>
              <w:rPr>
                <w:sz w:val="24"/>
                <w:szCs w:val="24"/>
                <w:color w:val="auto"/>
              </w:rPr>
            </w:pPr>
          </w:p>
        </w:tc>
        <w:tc>
          <w:tcPr>
            <w:tcW w:w="1220" w:type="dxa"/>
            <w:vAlign w:val="bottom"/>
            <w:tcBorders>
              <w:top w:val="single" w:sz="8" w:color="69439A"/>
            </w:tcBorders>
            <w:shd w:val="clear" w:color="auto" w:fill="010035"/>
          </w:tcPr>
          <w:p>
            <w:pPr>
              <w:spacing w:after="0"/>
              <w:rPr>
                <w:sz w:val="24"/>
                <w:szCs w:val="24"/>
                <w:color w:val="auto"/>
              </w:rPr>
            </w:pPr>
          </w:p>
        </w:tc>
        <w:tc>
          <w:tcPr>
            <w:tcW w:w="2320" w:type="dxa"/>
            <w:vAlign w:val="bottom"/>
            <w:tcBorders>
              <w:top w:val="single" w:sz="8" w:color="69439A"/>
            </w:tcBorders>
            <w:gridSpan w:val="2"/>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VALUE OF INITIAL $100</w:t>
            </w:r>
          </w:p>
        </w:tc>
        <w:tc>
          <w:tcPr>
            <w:tcW w:w="40" w:type="dxa"/>
            <w:vAlign w:val="bottom"/>
            <w:tcBorders>
              <w:top w:val="single" w:sz="8" w:color="69439A"/>
            </w:tcBorders>
            <w:shd w:val="clear" w:color="auto" w:fill="010035"/>
          </w:tcPr>
          <w:p>
            <w:pPr>
              <w:spacing w:after="0"/>
              <w:rPr>
                <w:sz w:val="24"/>
                <w:szCs w:val="24"/>
                <w:color w:val="auto"/>
              </w:rPr>
            </w:pPr>
          </w:p>
        </w:tc>
        <w:tc>
          <w:tcPr>
            <w:tcW w:w="680" w:type="dxa"/>
            <w:vAlign w:val="bottom"/>
            <w:tcBorders>
              <w:top w:val="single" w:sz="8" w:color="69439A"/>
            </w:tcBorders>
            <w:shd w:val="clear" w:color="auto" w:fill="010035"/>
          </w:tcPr>
          <w:p>
            <w:pPr>
              <w:spacing w:after="0"/>
              <w:rPr>
                <w:sz w:val="24"/>
                <w:szCs w:val="24"/>
                <w:color w:val="auto"/>
              </w:rPr>
            </w:pPr>
          </w:p>
        </w:tc>
        <w:tc>
          <w:tcPr>
            <w:tcW w:w="960" w:type="dxa"/>
            <w:vAlign w:val="bottom"/>
            <w:tcBorders>
              <w:top w:val="single" w:sz="8" w:color="69439A"/>
            </w:tcBorders>
            <w:shd w:val="clear" w:color="auto" w:fill="01003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010035"/>
          </w:tcPr>
          <w:p>
            <w:pPr>
              <w:spacing w:after="0"/>
              <w:rPr>
                <w:sz w:val="17"/>
                <w:szCs w:val="17"/>
                <w:color w:val="auto"/>
              </w:rPr>
            </w:pPr>
          </w:p>
        </w:tc>
        <w:tc>
          <w:tcPr>
            <w:tcW w:w="1220" w:type="dxa"/>
            <w:vAlign w:val="bottom"/>
            <w:shd w:val="clear" w:color="auto" w:fill="010035"/>
          </w:tcPr>
          <w:p>
            <w:pPr>
              <w:spacing w:after="0"/>
              <w:rPr>
                <w:sz w:val="17"/>
                <w:szCs w:val="17"/>
                <w:color w:val="auto"/>
              </w:rPr>
            </w:pPr>
          </w:p>
        </w:tc>
        <w:tc>
          <w:tcPr>
            <w:tcW w:w="1200" w:type="dxa"/>
            <w:vAlign w:val="bottom"/>
            <w:shd w:val="clear" w:color="auto" w:fill="010035"/>
          </w:tcPr>
          <w:p>
            <w:pPr>
              <w:spacing w:after="0"/>
              <w:rPr>
                <w:sz w:val="17"/>
                <w:szCs w:val="17"/>
                <w:color w:val="auto"/>
              </w:rPr>
            </w:pPr>
          </w:p>
        </w:tc>
        <w:tc>
          <w:tcPr>
            <w:tcW w:w="1220" w:type="dxa"/>
            <w:vAlign w:val="bottom"/>
            <w:shd w:val="clear" w:color="auto" w:fill="010035"/>
          </w:tcPr>
          <w:p>
            <w:pPr>
              <w:spacing w:after="0"/>
              <w:rPr>
                <w:sz w:val="17"/>
                <w:szCs w:val="17"/>
                <w:color w:val="auto"/>
              </w:rPr>
            </w:pPr>
          </w:p>
        </w:tc>
        <w:tc>
          <w:tcPr>
            <w:tcW w:w="1220" w:type="dxa"/>
            <w:vAlign w:val="bottom"/>
            <w:shd w:val="clear" w:color="auto" w:fill="010035"/>
          </w:tcPr>
          <w:p>
            <w:pPr>
              <w:spacing w:after="0"/>
              <w:rPr>
                <w:sz w:val="17"/>
                <w:szCs w:val="17"/>
                <w:color w:val="auto"/>
              </w:rPr>
            </w:pPr>
          </w:p>
        </w:tc>
        <w:tc>
          <w:tcPr>
            <w:tcW w:w="2320" w:type="dxa"/>
            <w:vAlign w:val="bottom"/>
            <w:gridSpan w:val="2"/>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INVESTMENT BASED ON:</w:t>
            </w:r>
          </w:p>
        </w:tc>
        <w:tc>
          <w:tcPr>
            <w:tcW w:w="40" w:type="dxa"/>
            <w:vAlign w:val="bottom"/>
            <w:shd w:val="clear" w:color="auto" w:fill="010035"/>
          </w:tcPr>
          <w:p>
            <w:pPr>
              <w:spacing w:after="0"/>
              <w:rPr>
                <w:sz w:val="17"/>
                <w:szCs w:val="17"/>
                <w:color w:val="auto"/>
              </w:rPr>
            </w:pPr>
          </w:p>
        </w:tc>
        <w:tc>
          <w:tcPr>
            <w:tcW w:w="680" w:type="dxa"/>
            <w:vAlign w:val="bottom"/>
            <w:shd w:val="clear" w:color="auto" w:fill="010035"/>
          </w:tcPr>
          <w:p>
            <w:pPr>
              <w:spacing w:after="0"/>
              <w:rPr>
                <w:sz w:val="17"/>
                <w:szCs w:val="17"/>
                <w:color w:val="auto"/>
              </w:rPr>
            </w:pPr>
          </w:p>
        </w:tc>
        <w:tc>
          <w:tcPr>
            <w:tcW w:w="960" w:type="dxa"/>
            <w:vAlign w:val="bottom"/>
            <w:shd w:val="clear" w:color="auto" w:fill="010035"/>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540" w:type="dxa"/>
            <w:vAlign w:val="bottom"/>
            <w:shd w:val="clear" w:color="auto" w:fill="010035"/>
          </w:tcPr>
          <w:p>
            <w:pPr>
              <w:spacing w:after="0"/>
              <w:rPr>
                <w:sz w:val="4"/>
                <w:szCs w:val="4"/>
                <w:color w:val="auto"/>
              </w:rPr>
            </w:pPr>
          </w:p>
        </w:tc>
        <w:tc>
          <w:tcPr>
            <w:tcW w:w="1220" w:type="dxa"/>
            <w:vAlign w:val="bottom"/>
            <w:shd w:val="clear" w:color="auto" w:fill="010035"/>
          </w:tcPr>
          <w:p>
            <w:pPr>
              <w:spacing w:after="0"/>
              <w:rPr>
                <w:sz w:val="4"/>
                <w:szCs w:val="4"/>
                <w:color w:val="auto"/>
              </w:rPr>
            </w:pPr>
          </w:p>
        </w:tc>
        <w:tc>
          <w:tcPr>
            <w:tcW w:w="1200" w:type="dxa"/>
            <w:vAlign w:val="bottom"/>
            <w:shd w:val="clear" w:color="auto" w:fill="010035"/>
          </w:tcPr>
          <w:p>
            <w:pPr>
              <w:spacing w:after="0"/>
              <w:rPr>
                <w:sz w:val="4"/>
                <w:szCs w:val="4"/>
                <w:color w:val="auto"/>
              </w:rPr>
            </w:pPr>
          </w:p>
        </w:tc>
        <w:tc>
          <w:tcPr>
            <w:tcW w:w="1220" w:type="dxa"/>
            <w:vAlign w:val="bottom"/>
            <w:vMerge w:val="restart"/>
            <w:shd w:val="clear" w:color="auto" w:fill="010035"/>
          </w:tcPr>
          <w:p>
            <w:pPr>
              <w:ind w:left="260"/>
              <w:spacing w:after="0"/>
              <w:rPr>
                <w:sz w:val="20"/>
                <w:szCs w:val="20"/>
                <w:color w:val="auto"/>
              </w:rPr>
            </w:pPr>
            <w:r>
              <w:rPr>
                <w:rFonts w:ascii="Arial" w:cs="Arial" w:eastAsia="Arial" w:hAnsi="Arial"/>
                <w:sz w:val="14"/>
                <w:szCs w:val="14"/>
                <w:b w:val="1"/>
                <w:bCs w:val="1"/>
                <w:color w:val="FFFFFF"/>
              </w:rPr>
              <w:t>AVERAGE</w:t>
            </w:r>
          </w:p>
        </w:tc>
        <w:tc>
          <w:tcPr>
            <w:tcW w:w="1220" w:type="dxa"/>
            <w:vAlign w:val="bottom"/>
            <w:vMerge w:val="restart"/>
            <w:shd w:val="clear" w:color="auto" w:fill="010035"/>
          </w:tcPr>
          <w:p>
            <w:pPr>
              <w:ind w:left="260"/>
              <w:spacing w:after="0"/>
              <w:rPr>
                <w:sz w:val="20"/>
                <w:szCs w:val="20"/>
                <w:color w:val="auto"/>
              </w:rPr>
            </w:pPr>
            <w:r>
              <w:rPr>
                <w:rFonts w:ascii="Arial" w:cs="Arial" w:eastAsia="Arial" w:hAnsi="Arial"/>
                <w:sz w:val="14"/>
                <w:szCs w:val="14"/>
                <w:b w:val="1"/>
                <w:bCs w:val="1"/>
                <w:color w:val="FFFFFF"/>
              </w:rPr>
              <w:t>AVERAGE</w:t>
            </w:r>
          </w:p>
        </w:tc>
        <w:tc>
          <w:tcPr>
            <w:tcW w:w="1160" w:type="dxa"/>
            <w:vAlign w:val="bottom"/>
            <w:shd w:val="clear" w:color="auto" w:fill="010035"/>
          </w:tcPr>
          <w:p>
            <w:pPr>
              <w:spacing w:after="0"/>
              <w:rPr>
                <w:sz w:val="4"/>
                <w:szCs w:val="4"/>
                <w:color w:val="auto"/>
              </w:rPr>
            </w:pPr>
          </w:p>
        </w:tc>
        <w:tc>
          <w:tcPr>
            <w:tcW w:w="1160" w:type="dxa"/>
            <w:vAlign w:val="bottom"/>
            <w:shd w:val="clear" w:color="auto" w:fill="010035"/>
          </w:tcPr>
          <w:p>
            <w:pPr>
              <w:spacing w:after="0"/>
              <w:rPr>
                <w:sz w:val="4"/>
                <w:szCs w:val="4"/>
                <w:color w:val="auto"/>
              </w:rPr>
            </w:pPr>
          </w:p>
        </w:tc>
        <w:tc>
          <w:tcPr>
            <w:tcW w:w="40" w:type="dxa"/>
            <w:vAlign w:val="bottom"/>
            <w:shd w:val="clear" w:color="auto" w:fill="010035"/>
          </w:tcPr>
          <w:p>
            <w:pPr>
              <w:spacing w:after="0"/>
              <w:rPr>
                <w:sz w:val="4"/>
                <w:szCs w:val="4"/>
                <w:color w:val="auto"/>
              </w:rPr>
            </w:pPr>
          </w:p>
        </w:tc>
        <w:tc>
          <w:tcPr>
            <w:tcW w:w="680" w:type="dxa"/>
            <w:vAlign w:val="bottom"/>
            <w:shd w:val="clear" w:color="auto" w:fill="010035"/>
          </w:tcPr>
          <w:p>
            <w:pPr>
              <w:spacing w:after="0"/>
              <w:rPr>
                <w:sz w:val="4"/>
                <w:szCs w:val="4"/>
                <w:color w:val="auto"/>
              </w:rPr>
            </w:pPr>
          </w:p>
        </w:tc>
        <w:tc>
          <w:tcPr>
            <w:tcW w:w="960" w:type="dxa"/>
            <w:vAlign w:val="bottom"/>
            <w:shd w:val="clear" w:color="auto" w:fill="010035"/>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40" w:type="dxa"/>
            <w:vAlign w:val="bottom"/>
            <w:shd w:val="clear" w:color="auto" w:fill="010035"/>
          </w:tcPr>
          <w:p>
            <w:pPr>
              <w:spacing w:after="0"/>
              <w:rPr>
                <w:sz w:val="19"/>
                <w:szCs w:val="19"/>
                <w:color w:val="auto"/>
              </w:rPr>
            </w:pPr>
          </w:p>
        </w:tc>
        <w:tc>
          <w:tcPr>
            <w:tcW w:w="1220" w:type="dxa"/>
            <w:vAlign w:val="bottom"/>
            <w:shd w:val="clear" w:color="auto" w:fill="010035"/>
          </w:tcPr>
          <w:p>
            <w:pPr>
              <w:spacing w:after="0"/>
              <w:rPr>
                <w:sz w:val="19"/>
                <w:szCs w:val="19"/>
                <w:color w:val="auto"/>
              </w:rPr>
            </w:pPr>
          </w:p>
        </w:tc>
        <w:tc>
          <w:tcPr>
            <w:tcW w:w="1200" w:type="dxa"/>
            <w:vAlign w:val="bottom"/>
            <w:shd w:val="clear" w:color="auto" w:fill="010035"/>
          </w:tcPr>
          <w:p>
            <w:pPr>
              <w:spacing w:after="0"/>
              <w:rPr>
                <w:sz w:val="19"/>
                <w:szCs w:val="19"/>
                <w:color w:val="auto"/>
              </w:rPr>
            </w:pPr>
          </w:p>
        </w:tc>
        <w:tc>
          <w:tcPr>
            <w:tcW w:w="1220" w:type="dxa"/>
            <w:vAlign w:val="bottom"/>
            <w:vMerge w:val="continue"/>
            <w:shd w:val="clear" w:color="auto" w:fill="010035"/>
          </w:tcPr>
          <w:p>
            <w:pPr>
              <w:spacing w:after="0"/>
              <w:rPr>
                <w:sz w:val="19"/>
                <w:szCs w:val="19"/>
                <w:color w:val="auto"/>
              </w:rPr>
            </w:pPr>
          </w:p>
        </w:tc>
        <w:tc>
          <w:tcPr>
            <w:tcW w:w="1220" w:type="dxa"/>
            <w:vAlign w:val="bottom"/>
            <w:vMerge w:val="continue"/>
            <w:shd w:val="clear" w:color="auto" w:fill="010035"/>
          </w:tcPr>
          <w:p>
            <w:pPr>
              <w:spacing w:after="0"/>
              <w:rPr>
                <w:sz w:val="19"/>
                <w:szCs w:val="19"/>
                <w:color w:val="auto"/>
              </w:rPr>
            </w:pPr>
          </w:p>
        </w:tc>
        <w:tc>
          <w:tcPr>
            <w:tcW w:w="1160" w:type="dxa"/>
            <w:vAlign w:val="bottom"/>
            <w:shd w:val="clear" w:color="auto" w:fill="010035"/>
          </w:tcPr>
          <w:p>
            <w:pPr>
              <w:spacing w:after="0"/>
              <w:rPr>
                <w:sz w:val="19"/>
                <w:szCs w:val="19"/>
                <w:color w:val="auto"/>
              </w:rPr>
            </w:pPr>
          </w:p>
        </w:tc>
        <w:tc>
          <w:tcPr>
            <w:tcW w:w="1160" w:type="dxa"/>
            <w:vAlign w:val="bottom"/>
            <w:shd w:val="clear" w:color="auto" w:fill="010035"/>
          </w:tcPr>
          <w:p>
            <w:pPr>
              <w:spacing w:after="0"/>
              <w:rPr>
                <w:sz w:val="19"/>
                <w:szCs w:val="19"/>
                <w:color w:val="auto"/>
              </w:rPr>
            </w:pPr>
          </w:p>
        </w:tc>
        <w:tc>
          <w:tcPr>
            <w:tcW w:w="40" w:type="dxa"/>
            <w:vAlign w:val="bottom"/>
            <w:shd w:val="clear" w:color="auto" w:fill="010035"/>
          </w:tcPr>
          <w:p>
            <w:pPr>
              <w:spacing w:after="0"/>
              <w:rPr>
                <w:sz w:val="19"/>
                <w:szCs w:val="19"/>
                <w:color w:val="auto"/>
              </w:rPr>
            </w:pPr>
          </w:p>
        </w:tc>
        <w:tc>
          <w:tcPr>
            <w:tcW w:w="680" w:type="dxa"/>
            <w:vAlign w:val="bottom"/>
            <w:shd w:val="clear" w:color="auto" w:fill="010035"/>
          </w:tcPr>
          <w:p>
            <w:pPr>
              <w:spacing w:after="0"/>
              <w:rPr>
                <w:sz w:val="19"/>
                <w:szCs w:val="19"/>
                <w:color w:val="auto"/>
              </w:rPr>
            </w:pPr>
          </w:p>
        </w:tc>
        <w:tc>
          <w:tcPr>
            <w:tcW w:w="960" w:type="dxa"/>
            <w:vAlign w:val="bottom"/>
            <w:shd w:val="clear" w:color="auto" w:fill="010035"/>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540" w:type="dxa"/>
            <w:vAlign w:val="bottom"/>
            <w:shd w:val="clear" w:color="auto" w:fill="010035"/>
          </w:tcPr>
          <w:p>
            <w:pPr>
              <w:spacing w:after="0"/>
              <w:rPr>
                <w:sz w:val="7"/>
                <w:szCs w:val="7"/>
                <w:color w:val="auto"/>
              </w:rPr>
            </w:pP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6"/>
              </w:rPr>
              <w:t>SUMMARY</w:t>
            </w:r>
          </w:p>
        </w:tc>
        <w:tc>
          <w:tcPr>
            <w:tcW w:w="1200" w:type="dxa"/>
            <w:vAlign w:val="bottom"/>
            <w:shd w:val="clear" w:color="auto" w:fill="010035"/>
          </w:tcPr>
          <w:p>
            <w:pPr>
              <w:spacing w:after="0"/>
              <w:rPr>
                <w:sz w:val="7"/>
                <w:szCs w:val="7"/>
                <w:color w:val="auto"/>
              </w:rPr>
            </w:pP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SUMMARY</w:t>
            </w:r>
          </w:p>
        </w:tc>
        <w:tc>
          <w:tcPr>
            <w:tcW w:w="1220" w:type="dxa"/>
            <w:vAlign w:val="bottom"/>
            <w:vMerge w:val="continue"/>
            <w:shd w:val="clear" w:color="auto" w:fill="010035"/>
          </w:tcPr>
          <w:p>
            <w:pPr>
              <w:spacing w:after="0"/>
              <w:rPr>
                <w:sz w:val="7"/>
                <w:szCs w:val="7"/>
                <w:color w:val="auto"/>
              </w:rPr>
            </w:pPr>
          </w:p>
        </w:tc>
        <w:tc>
          <w:tcPr>
            <w:tcW w:w="1160" w:type="dxa"/>
            <w:vAlign w:val="bottom"/>
            <w:shd w:val="clear" w:color="auto" w:fill="010035"/>
          </w:tcPr>
          <w:p>
            <w:pPr>
              <w:spacing w:after="0"/>
              <w:rPr>
                <w:sz w:val="7"/>
                <w:szCs w:val="7"/>
                <w:color w:val="auto"/>
              </w:rPr>
            </w:pPr>
          </w:p>
        </w:tc>
        <w:tc>
          <w:tcPr>
            <w:tcW w:w="116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PEER GROUP</w:t>
            </w:r>
          </w:p>
        </w:tc>
        <w:tc>
          <w:tcPr>
            <w:tcW w:w="40" w:type="dxa"/>
            <w:vAlign w:val="bottom"/>
            <w:shd w:val="clear" w:color="auto" w:fill="010035"/>
          </w:tcPr>
          <w:p>
            <w:pPr>
              <w:spacing w:after="0"/>
              <w:rPr>
                <w:sz w:val="7"/>
                <w:szCs w:val="7"/>
                <w:color w:val="auto"/>
              </w:rPr>
            </w:pPr>
          </w:p>
        </w:tc>
        <w:tc>
          <w:tcPr>
            <w:tcW w:w="680" w:type="dxa"/>
            <w:vAlign w:val="bottom"/>
            <w:shd w:val="clear" w:color="auto" w:fill="010035"/>
          </w:tcPr>
          <w:p>
            <w:pPr>
              <w:spacing w:after="0"/>
              <w:rPr>
                <w:sz w:val="7"/>
                <w:szCs w:val="7"/>
                <w:color w:val="auto"/>
              </w:rPr>
            </w:pPr>
          </w:p>
        </w:tc>
        <w:tc>
          <w:tcPr>
            <w:tcW w:w="96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rPr>
              <w:t>ADJUSTED</w:t>
            </w:r>
          </w:p>
        </w:tc>
        <w:tc>
          <w:tcPr>
            <w:tcW w:w="0" w:type="dxa"/>
            <w:vAlign w:val="bottom"/>
          </w:tcPr>
          <w:p>
            <w:pPr>
              <w:spacing w:after="0"/>
              <w:rPr>
                <w:sz w:val="1"/>
                <w:szCs w:val="1"/>
                <w:color w:val="auto"/>
              </w:rPr>
            </w:pPr>
          </w:p>
        </w:tc>
      </w:tr>
      <w:tr>
        <w:trPr>
          <w:trHeight w:val="81"/>
        </w:trPr>
        <w:tc>
          <w:tcPr>
            <w:tcW w:w="540" w:type="dxa"/>
            <w:vAlign w:val="bottom"/>
            <w:shd w:val="clear" w:color="auto" w:fill="010035"/>
          </w:tcPr>
          <w:p>
            <w:pPr>
              <w:spacing w:after="0"/>
              <w:rPr>
                <w:sz w:val="7"/>
                <w:szCs w:val="7"/>
                <w:color w:val="auto"/>
              </w:rPr>
            </w:pPr>
          </w:p>
        </w:tc>
        <w:tc>
          <w:tcPr>
            <w:tcW w:w="1220" w:type="dxa"/>
            <w:vAlign w:val="bottom"/>
            <w:vMerge w:val="continue"/>
            <w:shd w:val="clear" w:color="auto" w:fill="010035"/>
          </w:tcPr>
          <w:p>
            <w:pPr>
              <w:spacing w:after="0"/>
              <w:rPr>
                <w:sz w:val="7"/>
                <w:szCs w:val="7"/>
                <w:color w:val="auto"/>
              </w:rPr>
            </w:pPr>
          </w:p>
        </w:tc>
        <w:tc>
          <w:tcPr>
            <w:tcW w:w="12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COMPENSATION</w:t>
            </w:r>
          </w:p>
        </w:tc>
        <w:tc>
          <w:tcPr>
            <w:tcW w:w="1220" w:type="dxa"/>
            <w:vAlign w:val="bottom"/>
            <w:vMerge w:val="continue"/>
            <w:shd w:val="clear" w:color="auto" w:fill="010035"/>
          </w:tcPr>
          <w:p>
            <w:pPr>
              <w:spacing w:after="0"/>
              <w:rPr>
                <w:sz w:val="7"/>
                <w:szCs w:val="7"/>
                <w:color w:val="auto"/>
              </w:rPr>
            </w:pP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COMPENSATION</w:t>
            </w:r>
          </w:p>
        </w:tc>
        <w:tc>
          <w:tcPr>
            <w:tcW w:w="116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PENN TOTAL</w:t>
            </w:r>
          </w:p>
        </w:tc>
        <w:tc>
          <w:tcPr>
            <w:tcW w:w="1160" w:type="dxa"/>
            <w:vAlign w:val="bottom"/>
            <w:vMerge w:val="continue"/>
            <w:shd w:val="clear" w:color="auto" w:fill="010035"/>
          </w:tcPr>
          <w:p>
            <w:pPr>
              <w:spacing w:after="0"/>
              <w:rPr>
                <w:sz w:val="7"/>
                <w:szCs w:val="7"/>
                <w:color w:val="auto"/>
              </w:rPr>
            </w:pPr>
          </w:p>
        </w:tc>
        <w:tc>
          <w:tcPr>
            <w:tcW w:w="40" w:type="dxa"/>
            <w:vAlign w:val="bottom"/>
            <w:shd w:val="clear" w:color="auto" w:fill="010035"/>
          </w:tcPr>
          <w:p>
            <w:pPr>
              <w:spacing w:after="0"/>
              <w:rPr>
                <w:sz w:val="7"/>
                <w:szCs w:val="7"/>
                <w:color w:val="auto"/>
              </w:rPr>
            </w:pPr>
          </w:p>
        </w:tc>
        <w:tc>
          <w:tcPr>
            <w:tcW w:w="6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NET</w:t>
            </w:r>
          </w:p>
        </w:tc>
        <w:tc>
          <w:tcPr>
            <w:tcW w:w="960" w:type="dxa"/>
            <w:vAlign w:val="bottom"/>
            <w:vMerge w:val="continue"/>
            <w:shd w:val="clear" w:color="auto" w:fill="01003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0" w:type="dxa"/>
            <w:vAlign w:val="bottom"/>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w w:val="94"/>
              </w:rPr>
              <w:t>FISCAL</w:t>
            </w: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COMPENSATION</w:t>
            </w:r>
          </w:p>
        </w:tc>
        <w:tc>
          <w:tcPr>
            <w:tcW w:w="1200" w:type="dxa"/>
            <w:vAlign w:val="bottom"/>
            <w:vMerge w:val="continue"/>
            <w:shd w:val="clear" w:color="auto" w:fill="010035"/>
          </w:tcPr>
          <w:p>
            <w:pPr>
              <w:spacing w:after="0"/>
              <w:rPr>
                <w:sz w:val="7"/>
                <w:szCs w:val="7"/>
                <w:color w:val="auto"/>
              </w:rPr>
            </w:pP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COMPENSATION</w:t>
            </w:r>
          </w:p>
        </w:tc>
        <w:tc>
          <w:tcPr>
            <w:tcW w:w="1220" w:type="dxa"/>
            <w:vAlign w:val="bottom"/>
            <w:vMerge w:val="continue"/>
            <w:shd w:val="clear" w:color="auto" w:fill="010035"/>
          </w:tcPr>
          <w:p>
            <w:pPr>
              <w:spacing w:after="0"/>
              <w:rPr>
                <w:sz w:val="7"/>
                <w:szCs w:val="7"/>
                <w:color w:val="auto"/>
              </w:rPr>
            </w:pPr>
          </w:p>
        </w:tc>
        <w:tc>
          <w:tcPr>
            <w:tcW w:w="1160" w:type="dxa"/>
            <w:vAlign w:val="bottom"/>
            <w:vMerge w:val="continue"/>
            <w:shd w:val="clear" w:color="auto" w:fill="010035"/>
          </w:tcPr>
          <w:p>
            <w:pPr>
              <w:spacing w:after="0"/>
              <w:rPr>
                <w:sz w:val="7"/>
                <w:szCs w:val="7"/>
                <w:color w:val="auto"/>
              </w:rPr>
            </w:pPr>
          </w:p>
        </w:tc>
        <w:tc>
          <w:tcPr>
            <w:tcW w:w="116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4"/>
              </w:rPr>
              <w:t>TOTAL</w:t>
            </w:r>
          </w:p>
        </w:tc>
        <w:tc>
          <w:tcPr>
            <w:tcW w:w="40" w:type="dxa"/>
            <w:vAlign w:val="bottom"/>
            <w:shd w:val="clear" w:color="auto" w:fill="010035"/>
          </w:tcPr>
          <w:p>
            <w:pPr>
              <w:spacing w:after="0"/>
              <w:rPr>
                <w:sz w:val="7"/>
                <w:szCs w:val="7"/>
                <w:color w:val="auto"/>
              </w:rPr>
            </w:pPr>
          </w:p>
        </w:tc>
        <w:tc>
          <w:tcPr>
            <w:tcW w:w="680" w:type="dxa"/>
            <w:vAlign w:val="bottom"/>
            <w:vMerge w:val="continue"/>
            <w:shd w:val="clear" w:color="auto" w:fill="010035"/>
          </w:tcPr>
          <w:p>
            <w:pPr>
              <w:spacing w:after="0"/>
              <w:rPr>
                <w:sz w:val="7"/>
                <w:szCs w:val="7"/>
                <w:color w:val="auto"/>
              </w:rPr>
            </w:pPr>
          </w:p>
        </w:tc>
        <w:tc>
          <w:tcPr>
            <w:tcW w:w="96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EBITDAR</w:t>
            </w:r>
          </w:p>
        </w:tc>
        <w:tc>
          <w:tcPr>
            <w:tcW w:w="0" w:type="dxa"/>
            <w:vAlign w:val="bottom"/>
          </w:tcPr>
          <w:p>
            <w:pPr>
              <w:spacing w:after="0"/>
              <w:rPr>
                <w:sz w:val="1"/>
                <w:szCs w:val="1"/>
                <w:color w:val="auto"/>
              </w:rPr>
            </w:pPr>
          </w:p>
        </w:tc>
      </w:tr>
      <w:tr>
        <w:trPr>
          <w:trHeight w:val="144"/>
        </w:trPr>
        <w:tc>
          <w:tcPr>
            <w:tcW w:w="540" w:type="dxa"/>
            <w:vAlign w:val="bottom"/>
            <w:vMerge w:val="continue"/>
            <w:shd w:val="clear" w:color="auto" w:fill="010035"/>
          </w:tcPr>
          <w:p>
            <w:pPr>
              <w:spacing w:after="0"/>
              <w:rPr>
                <w:sz w:val="12"/>
                <w:szCs w:val="12"/>
                <w:color w:val="auto"/>
              </w:rPr>
            </w:pPr>
          </w:p>
        </w:tc>
        <w:tc>
          <w:tcPr>
            <w:tcW w:w="1220" w:type="dxa"/>
            <w:vAlign w:val="bottom"/>
            <w:vMerge w:val="continue"/>
            <w:shd w:val="clear" w:color="auto" w:fill="010035"/>
          </w:tcPr>
          <w:p>
            <w:pPr>
              <w:spacing w:after="0"/>
              <w:rPr>
                <w:sz w:val="12"/>
                <w:szCs w:val="12"/>
                <w:color w:val="auto"/>
              </w:rPr>
            </w:pPr>
          </w:p>
        </w:tc>
        <w:tc>
          <w:tcPr>
            <w:tcW w:w="120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5"/>
              </w:rPr>
              <w:t>ACTUALLY PAID</w:t>
            </w:r>
          </w:p>
        </w:tc>
        <w:tc>
          <w:tcPr>
            <w:tcW w:w="1220" w:type="dxa"/>
            <w:vAlign w:val="bottom"/>
            <w:vMerge w:val="continue"/>
            <w:shd w:val="clear" w:color="auto" w:fill="010035"/>
          </w:tcPr>
          <w:p>
            <w:pPr>
              <w:spacing w:after="0"/>
              <w:rPr>
                <w:sz w:val="12"/>
                <w:szCs w:val="12"/>
                <w:color w:val="auto"/>
              </w:rPr>
            </w:pPr>
          </w:p>
        </w:tc>
        <w:tc>
          <w:tcPr>
            <w:tcW w:w="122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7"/>
              </w:rPr>
              <w:t>ACTUALLY PAID</w:t>
            </w:r>
          </w:p>
        </w:tc>
        <w:tc>
          <w:tcPr>
            <w:tcW w:w="116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9"/>
              </w:rPr>
              <w:t>SHAREHOLDER</w:t>
            </w:r>
          </w:p>
        </w:tc>
        <w:tc>
          <w:tcPr>
            <w:tcW w:w="1160" w:type="dxa"/>
            <w:vAlign w:val="bottom"/>
            <w:vMerge w:val="continue"/>
            <w:shd w:val="clear" w:color="auto" w:fill="010035"/>
          </w:tcPr>
          <w:p>
            <w:pPr>
              <w:spacing w:after="0"/>
              <w:rPr>
                <w:sz w:val="12"/>
                <w:szCs w:val="12"/>
                <w:color w:val="auto"/>
              </w:rPr>
            </w:pPr>
          </w:p>
        </w:tc>
        <w:tc>
          <w:tcPr>
            <w:tcW w:w="40" w:type="dxa"/>
            <w:vAlign w:val="bottom"/>
            <w:shd w:val="clear" w:color="auto" w:fill="010035"/>
          </w:tcPr>
          <w:p>
            <w:pPr>
              <w:spacing w:after="0"/>
              <w:rPr>
                <w:sz w:val="12"/>
                <w:szCs w:val="12"/>
                <w:color w:val="auto"/>
              </w:rPr>
            </w:pPr>
          </w:p>
        </w:tc>
        <w:tc>
          <w:tcPr>
            <w:tcW w:w="680" w:type="dxa"/>
            <w:vAlign w:val="bottom"/>
            <w:shd w:val="clear" w:color="auto" w:fill="010035"/>
          </w:tcPr>
          <w:p>
            <w:pPr>
              <w:jc w:val="center"/>
              <w:spacing w:after="0" w:line="145" w:lineRule="exact"/>
              <w:rPr>
                <w:sz w:val="20"/>
                <w:szCs w:val="20"/>
                <w:color w:val="auto"/>
              </w:rPr>
            </w:pPr>
            <w:r>
              <w:rPr>
                <w:rFonts w:ascii="Arial" w:cs="Arial" w:eastAsia="Arial" w:hAnsi="Arial"/>
                <w:sz w:val="14"/>
                <w:szCs w:val="14"/>
                <w:b w:val="1"/>
                <w:bCs w:val="1"/>
                <w:color w:val="FFFFFF"/>
                <w:w w:val="99"/>
              </w:rPr>
              <w:t>INCOME</w:t>
            </w:r>
          </w:p>
        </w:tc>
        <w:tc>
          <w:tcPr>
            <w:tcW w:w="960" w:type="dxa"/>
            <w:vAlign w:val="bottom"/>
            <w:vMerge w:val="continue"/>
            <w:shd w:val="clear" w:color="auto" w:fill="010035"/>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540" w:type="dxa"/>
            <w:vAlign w:val="bottom"/>
            <w:shd w:val="clear" w:color="auto" w:fill="010035"/>
          </w:tcPr>
          <w:p>
            <w:pPr>
              <w:ind w:left="40"/>
              <w:spacing w:after="0" w:line="96" w:lineRule="exact"/>
              <w:rPr>
                <w:sz w:val="20"/>
                <w:szCs w:val="20"/>
                <w:color w:val="auto"/>
              </w:rPr>
            </w:pPr>
            <w:r>
              <w:rPr>
                <w:rFonts w:ascii="Arial" w:cs="Arial" w:eastAsia="Arial" w:hAnsi="Arial"/>
                <w:sz w:val="11"/>
                <w:szCs w:val="11"/>
                <w:b w:val="1"/>
                <w:bCs w:val="1"/>
                <w:color w:val="FFFFFF"/>
              </w:rPr>
              <w:t>YEAR</w:t>
            </w:r>
          </w:p>
        </w:tc>
        <w:tc>
          <w:tcPr>
            <w:tcW w:w="1220" w:type="dxa"/>
            <w:vAlign w:val="bottom"/>
            <w:shd w:val="clear" w:color="auto" w:fill="010035"/>
          </w:tcPr>
          <w:p>
            <w:pPr>
              <w:jc w:val="center"/>
              <w:spacing w:after="0" w:line="96" w:lineRule="exact"/>
              <w:rPr>
                <w:sz w:val="20"/>
                <w:szCs w:val="20"/>
                <w:color w:val="auto"/>
              </w:rPr>
            </w:pPr>
            <w:r>
              <w:rPr>
                <w:rFonts w:ascii="Arial" w:cs="Arial" w:eastAsia="Arial" w:hAnsi="Arial"/>
                <w:sz w:val="11"/>
                <w:szCs w:val="11"/>
                <w:b w:val="1"/>
                <w:bCs w:val="1"/>
                <w:color w:val="FFFFFF"/>
              </w:rPr>
              <w:t>TABLE TOTAL</w:t>
            </w:r>
          </w:p>
        </w:tc>
        <w:tc>
          <w:tcPr>
            <w:tcW w:w="1200" w:type="dxa"/>
            <w:vAlign w:val="bottom"/>
            <w:vMerge w:val="restart"/>
            <w:shd w:val="clear" w:color="auto" w:fill="010035"/>
          </w:tcPr>
          <w:p>
            <w:pPr>
              <w:jc w:val="center"/>
              <w:spacing w:after="0" w:line="243" w:lineRule="exact"/>
              <w:rPr>
                <w:sz w:val="20"/>
                <w:szCs w:val="20"/>
                <w:color w:val="auto"/>
              </w:rPr>
            </w:pPr>
            <w:r>
              <w:rPr>
                <w:rFonts w:ascii="Arial" w:cs="Arial" w:eastAsia="Arial" w:hAnsi="Arial"/>
                <w:sz w:val="14"/>
                <w:szCs w:val="14"/>
                <w:b w:val="1"/>
                <w:bCs w:val="1"/>
                <w:color w:val="FFFFFF"/>
                <w:w w:val="94"/>
              </w:rPr>
              <w:t>TO PEO</w:t>
            </w:r>
            <w:r>
              <w:rPr>
                <w:rFonts w:ascii="Arial" w:cs="Arial" w:eastAsia="Arial" w:hAnsi="Arial"/>
                <w:sz w:val="23"/>
                <w:szCs w:val="23"/>
                <w:b w:val="1"/>
                <w:bCs w:val="1"/>
                <w:color w:val="FFFFFF"/>
                <w:w w:val="94"/>
                <w:vertAlign w:val="superscript"/>
              </w:rPr>
              <w:t>2</w:t>
            </w:r>
          </w:p>
        </w:tc>
        <w:tc>
          <w:tcPr>
            <w:tcW w:w="1220" w:type="dxa"/>
            <w:vAlign w:val="bottom"/>
            <w:shd w:val="clear" w:color="auto" w:fill="010035"/>
          </w:tcPr>
          <w:p>
            <w:pPr>
              <w:jc w:val="center"/>
              <w:spacing w:after="0" w:line="96" w:lineRule="exact"/>
              <w:rPr>
                <w:sz w:val="20"/>
                <w:szCs w:val="20"/>
                <w:color w:val="auto"/>
              </w:rPr>
            </w:pPr>
            <w:r>
              <w:rPr>
                <w:rFonts w:ascii="Arial" w:cs="Arial" w:eastAsia="Arial" w:hAnsi="Arial"/>
                <w:sz w:val="11"/>
                <w:szCs w:val="11"/>
                <w:b w:val="1"/>
                <w:bCs w:val="1"/>
                <w:color w:val="FFFFFF"/>
              </w:rPr>
              <w:t>TABLE TOTAL</w:t>
            </w:r>
          </w:p>
        </w:tc>
        <w:tc>
          <w:tcPr>
            <w:tcW w:w="122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TO NON-PEO</w:t>
            </w:r>
          </w:p>
        </w:tc>
        <w:tc>
          <w:tcPr>
            <w:tcW w:w="1160" w:type="dxa"/>
            <w:vAlign w:val="bottom"/>
            <w:vMerge w:val="restart"/>
            <w:shd w:val="clear" w:color="auto" w:fill="010035"/>
          </w:tcPr>
          <w:p>
            <w:pPr>
              <w:jc w:val="center"/>
              <w:spacing w:after="0" w:line="243" w:lineRule="exact"/>
              <w:rPr>
                <w:sz w:val="20"/>
                <w:szCs w:val="20"/>
                <w:color w:val="auto"/>
              </w:rPr>
            </w:pPr>
            <w:r>
              <w:rPr>
                <w:rFonts w:ascii="Arial" w:cs="Arial" w:eastAsia="Arial" w:hAnsi="Arial"/>
                <w:sz w:val="14"/>
                <w:szCs w:val="14"/>
                <w:b w:val="1"/>
                <w:bCs w:val="1"/>
                <w:color w:val="FFFFFF"/>
                <w:w w:val="95"/>
              </w:rPr>
              <w:t>RETURN</w:t>
            </w:r>
            <w:r>
              <w:rPr>
                <w:rFonts w:ascii="Arial" w:cs="Arial" w:eastAsia="Arial" w:hAnsi="Arial"/>
                <w:sz w:val="23"/>
                <w:szCs w:val="23"/>
                <w:b w:val="1"/>
                <w:bCs w:val="1"/>
                <w:color w:val="FFFFFF"/>
                <w:w w:val="95"/>
                <w:vertAlign w:val="superscript"/>
              </w:rPr>
              <w:t>5</w:t>
            </w:r>
          </w:p>
        </w:tc>
        <w:tc>
          <w:tcPr>
            <w:tcW w:w="1160" w:type="dxa"/>
            <w:vAlign w:val="bottom"/>
            <w:shd w:val="clear" w:color="auto" w:fill="010035"/>
          </w:tcPr>
          <w:p>
            <w:pPr>
              <w:jc w:val="center"/>
              <w:spacing w:after="0" w:line="96" w:lineRule="exact"/>
              <w:rPr>
                <w:sz w:val="20"/>
                <w:szCs w:val="20"/>
                <w:color w:val="auto"/>
              </w:rPr>
            </w:pPr>
            <w:r>
              <w:rPr>
                <w:rFonts w:ascii="Arial" w:cs="Arial" w:eastAsia="Arial" w:hAnsi="Arial"/>
                <w:sz w:val="11"/>
                <w:szCs w:val="11"/>
                <w:b w:val="1"/>
                <w:bCs w:val="1"/>
                <w:color w:val="FFFFFF"/>
              </w:rPr>
              <w:t>SHAREHOLDER</w:t>
            </w:r>
          </w:p>
        </w:tc>
        <w:tc>
          <w:tcPr>
            <w:tcW w:w="40" w:type="dxa"/>
            <w:vAlign w:val="bottom"/>
            <w:shd w:val="clear" w:color="auto" w:fill="010035"/>
          </w:tcPr>
          <w:p>
            <w:pPr>
              <w:spacing w:after="0"/>
              <w:rPr>
                <w:sz w:val="8"/>
                <w:szCs w:val="8"/>
                <w:color w:val="auto"/>
              </w:rPr>
            </w:pPr>
          </w:p>
        </w:tc>
        <w:tc>
          <w:tcPr>
            <w:tcW w:w="680" w:type="dxa"/>
            <w:vAlign w:val="bottom"/>
            <w:vMerge w:val="restart"/>
            <w:shd w:val="clear" w:color="auto" w:fill="010035"/>
          </w:tcPr>
          <w:p>
            <w:pPr>
              <w:jc w:val="center"/>
              <w:spacing w:after="0" w:line="243" w:lineRule="exact"/>
              <w:rPr>
                <w:sz w:val="20"/>
                <w:szCs w:val="20"/>
                <w:color w:val="auto"/>
              </w:rPr>
            </w:pPr>
            <w:r>
              <w:rPr>
                <w:rFonts w:ascii="Arial" w:cs="Arial" w:eastAsia="Arial" w:hAnsi="Arial"/>
                <w:sz w:val="14"/>
                <w:szCs w:val="14"/>
                <w:b w:val="1"/>
                <w:bCs w:val="1"/>
                <w:color w:val="FFFFFF"/>
                <w:w w:val="96"/>
              </w:rPr>
              <w:t>($M)</w:t>
            </w:r>
            <w:r>
              <w:rPr>
                <w:rFonts w:ascii="Arial" w:cs="Arial" w:eastAsia="Arial" w:hAnsi="Arial"/>
                <w:sz w:val="23"/>
                <w:szCs w:val="23"/>
                <w:b w:val="1"/>
                <w:bCs w:val="1"/>
                <w:color w:val="FFFFFF"/>
                <w:w w:val="96"/>
                <w:vertAlign w:val="superscript"/>
              </w:rPr>
              <w:t>7</w:t>
            </w:r>
          </w:p>
        </w:tc>
        <w:tc>
          <w:tcPr>
            <w:tcW w:w="960" w:type="dxa"/>
            <w:vAlign w:val="bottom"/>
            <w:shd w:val="clear" w:color="auto" w:fill="010035"/>
          </w:tcPr>
          <w:p>
            <w:pPr>
              <w:jc w:val="center"/>
              <w:spacing w:after="0" w:line="96" w:lineRule="exact"/>
              <w:rPr>
                <w:sz w:val="20"/>
                <w:szCs w:val="20"/>
                <w:color w:val="auto"/>
              </w:rPr>
            </w:pPr>
            <w:r>
              <w:rPr>
                <w:rFonts w:ascii="Arial" w:cs="Arial" w:eastAsia="Arial" w:hAnsi="Arial"/>
                <w:sz w:val="11"/>
                <w:szCs w:val="11"/>
                <w:b w:val="1"/>
                <w:bCs w:val="1"/>
                <w:color w:val="FFFFFF"/>
              </w:rPr>
              <w:t>($ IN</w:t>
            </w:r>
          </w:p>
        </w:tc>
        <w:tc>
          <w:tcPr>
            <w:tcW w:w="0" w:type="dxa"/>
            <w:vAlign w:val="bottom"/>
          </w:tcPr>
          <w:p>
            <w:pPr>
              <w:spacing w:after="0"/>
              <w:rPr>
                <w:sz w:val="1"/>
                <w:szCs w:val="1"/>
                <w:color w:val="auto"/>
              </w:rPr>
            </w:pPr>
          </w:p>
        </w:tc>
      </w:tr>
      <w:tr>
        <w:trPr>
          <w:trHeight w:val="147"/>
        </w:trPr>
        <w:tc>
          <w:tcPr>
            <w:tcW w:w="540" w:type="dxa"/>
            <w:vAlign w:val="bottom"/>
            <w:shd w:val="clear" w:color="auto" w:fill="010035"/>
          </w:tcPr>
          <w:p>
            <w:pPr>
              <w:spacing w:after="0"/>
              <w:rPr>
                <w:sz w:val="12"/>
                <w:szCs w:val="12"/>
                <w:color w:val="auto"/>
              </w:rPr>
            </w:pPr>
          </w:p>
        </w:tc>
        <w:tc>
          <w:tcPr>
            <w:tcW w:w="1220" w:type="dxa"/>
            <w:vAlign w:val="bottom"/>
            <w:shd w:val="clear" w:color="auto" w:fill="010035"/>
          </w:tcPr>
          <w:p>
            <w:pPr>
              <w:jc w:val="right"/>
              <w:ind w:right="175"/>
              <w:spacing w:after="0"/>
              <w:rPr>
                <w:sz w:val="20"/>
                <w:szCs w:val="20"/>
                <w:color w:val="auto"/>
              </w:rPr>
            </w:pPr>
            <w:r>
              <w:rPr>
                <w:rFonts w:ascii="Arial" w:cs="Arial" w:eastAsia="Arial" w:hAnsi="Arial"/>
                <w:sz w:val="12"/>
                <w:szCs w:val="12"/>
                <w:b w:val="1"/>
                <w:bCs w:val="1"/>
                <w:color w:val="FFFFFF"/>
              </w:rPr>
              <w:t>1</w:t>
            </w:r>
          </w:p>
        </w:tc>
        <w:tc>
          <w:tcPr>
            <w:tcW w:w="1200" w:type="dxa"/>
            <w:vAlign w:val="bottom"/>
            <w:vMerge w:val="continue"/>
            <w:shd w:val="clear" w:color="auto" w:fill="010035"/>
          </w:tcPr>
          <w:p>
            <w:pPr>
              <w:spacing w:after="0"/>
              <w:rPr>
                <w:sz w:val="12"/>
                <w:szCs w:val="12"/>
                <w:color w:val="auto"/>
              </w:rPr>
            </w:pPr>
          </w:p>
        </w:tc>
        <w:tc>
          <w:tcPr>
            <w:tcW w:w="1220" w:type="dxa"/>
            <w:vAlign w:val="bottom"/>
            <w:shd w:val="clear" w:color="auto" w:fill="010035"/>
          </w:tcPr>
          <w:p>
            <w:pPr>
              <w:jc w:val="center"/>
              <w:spacing w:after="0" w:line="147" w:lineRule="exact"/>
              <w:rPr>
                <w:sz w:val="20"/>
                <w:szCs w:val="20"/>
                <w:color w:val="auto"/>
              </w:rPr>
            </w:pPr>
            <w:r>
              <w:rPr>
                <w:rFonts w:ascii="Arial" w:cs="Arial" w:eastAsia="Arial" w:hAnsi="Arial"/>
                <w:sz w:val="14"/>
                <w:szCs w:val="14"/>
                <w:b w:val="1"/>
                <w:bCs w:val="1"/>
                <w:color w:val="FFFFFF"/>
                <w:w w:val="99"/>
              </w:rPr>
              <w:t>FOR NON-PEO</w:t>
            </w:r>
          </w:p>
        </w:tc>
        <w:tc>
          <w:tcPr>
            <w:tcW w:w="1220" w:type="dxa"/>
            <w:vAlign w:val="bottom"/>
            <w:vMerge w:val="continue"/>
            <w:shd w:val="clear" w:color="auto" w:fill="010035"/>
          </w:tcPr>
          <w:p>
            <w:pPr>
              <w:spacing w:after="0"/>
              <w:rPr>
                <w:sz w:val="12"/>
                <w:szCs w:val="12"/>
                <w:color w:val="auto"/>
              </w:rPr>
            </w:pPr>
          </w:p>
        </w:tc>
        <w:tc>
          <w:tcPr>
            <w:tcW w:w="1160" w:type="dxa"/>
            <w:vAlign w:val="bottom"/>
            <w:vMerge w:val="continue"/>
            <w:shd w:val="clear" w:color="auto" w:fill="010035"/>
          </w:tcPr>
          <w:p>
            <w:pPr>
              <w:spacing w:after="0"/>
              <w:rPr>
                <w:sz w:val="12"/>
                <w:szCs w:val="12"/>
                <w:color w:val="auto"/>
              </w:rPr>
            </w:pPr>
          </w:p>
        </w:tc>
        <w:tc>
          <w:tcPr>
            <w:tcW w:w="1160" w:type="dxa"/>
            <w:vAlign w:val="bottom"/>
            <w:shd w:val="clear" w:color="auto" w:fill="010035"/>
          </w:tcPr>
          <w:p>
            <w:pPr>
              <w:jc w:val="right"/>
              <w:ind w:right="195"/>
              <w:spacing w:after="0"/>
              <w:rPr>
                <w:sz w:val="20"/>
                <w:szCs w:val="20"/>
                <w:color w:val="auto"/>
              </w:rPr>
            </w:pPr>
            <w:r>
              <w:rPr>
                <w:rFonts w:ascii="Arial" w:cs="Arial" w:eastAsia="Arial" w:hAnsi="Arial"/>
                <w:sz w:val="12"/>
                <w:szCs w:val="12"/>
                <w:b w:val="1"/>
                <w:bCs w:val="1"/>
                <w:color w:val="FFFFFF"/>
              </w:rPr>
              <w:t>6</w:t>
            </w:r>
          </w:p>
        </w:tc>
        <w:tc>
          <w:tcPr>
            <w:tcW w:w="40" w:type="dxa"/>
            <w:vAlign w:val="bottom"/>
            <w:shd w:val="clear" w:color="auto" w:fill="010035"/>
          </w:tcPr>
          <w:p>
            <w:pPr>
              <w:spacing w:after="0"/>
              <w:rPr>
                <w:sz w:val="12"/>
                <w:szCs w:val="12"/>
                <w:color w:val="auto"/>
              </w:rPr>
            </w:pPr>
          </w:p>
        </w:tc>
        <w:tc>
          <w:tcPr>
            <w:tcW w:w="680" w:type="dxa"/>
            <w:vAlign w:val="bottom"/>
            <w:vMerge w:val="continue"/>
            <w:shd w:val="clear" w:color="auto" w:fill="010035"/>
          </w:tcPr>
          <w:p>
            <w:pPr>
              <w:spacing w:after="0"/>
              <w:rPr>
                <w:sz w:val="12"/>
                <w:szCs w:val="12"/>
                <w:color w:val="auto"/>
              </w:rPr>
            </w:pPr>
          </w:p>
        </w:tc>
        <w:tc>
          <w:tcPr>
            <w:tcW w:w="960" w:type="dxa"/>
            <w:vAlign w:val="bottom"/>
            <w:shd w:val="clear" w:color="auto" w:fill="010035"/>
          </w:tcPr>
          <w:p>
            <w:pPr>
              <w:jc w:val="right"/>
              <w:ind w:right="35"/>
              <w:spacing w:after="0"/>
              <w:rPr>
                <w:sz w:val="20"/>
                <w:szCs w:val="20"/>
                <w:color w:val="auto"/>
              </w:rPr>
            </w:pPr>
            <w:r>
              <w:rPr>
                <w:rFonts w:ascii="Arial" w:cs="Arial" w:eastAsia="Arial" w:hAnsi="Arial"/>
                <w:sz w:val="12"/>
                <w:szCs w:val="12"/>
                <w:b w:val="1"/>
                <w:bCs w:val="1"/>
                <w:color w:val="FFFFFF"/>
              </w:rPr>
              <w:t>8</w:t>
            </w:r>
          </w:p>
        </w:tc>
        <w:tc>
          <w:tcPr>
            <w:tcW w:w="0" w:type="dxa"/>
            <w:vAlign w:val="bottom"/>
          </w:tcPr>
          <w:p>
            <w:pPr>
              <w:spacing w:after="0"/>
              <w:rPr>
                <w:sz w:val="1"/>
                <w:szCs w:val="1"/>
                <w:color w:val="auto"/>
              </w:rPr>
            </w:pPr>
          </w:p>
        </w:tc>
      </w:tr>
      <w:tr>
        <w:trPr>
          <w:trHeight w:val="283"/>
        </w:trPr>
        <w:tc>
          <w:tcPr>
            <w:tcW w:w="540" w:type="dxa"/>
            <w:vAlign w:val="bottom"/>
            <w:shd w:val="clear" w:color="auto" w:fill="010035"/>
          </w:tcPr>
          <w:p>
            <w:pPr>
              <w:spacing w:after="0"/>
              <w:rPr>
                <w:sz w:val="24"/>
                <w:szCs w:val="24"/>
                <w:color w:val="auto"/>
              </w:rPr>
            </w:pPr>
          </w:p>
        </w:tc>
        <w:tc>
          <w:tcPr>
            <w:tcW w:w="1220" w:type="dxa"/>
            <w:vAlign w:val="bottom"/>
            <w:shd w:val="clear" w:color="auto" w:fill="010035"/>
          </w:tcPr>
          <w:p>
            <w:pPr>
              <w:jc w:val="right"/>
              <w:ind w:right="235"/>
              <w:spacing w:after="0"/>
              <w:rPr>
                <w:sz w:val="20"/>
                <w:szCs w:val="20"/>
                <w:color w:val="auto"/>
              </w:rPr>
            </w:pPr>
            <w:r>
              <w:rPr>
                <w:rFonts w:ascii="Arial" w:cs="Arial" w:eastAsia="Arial" w:hAnsi="Arial"/>
                <w:sz w:val="14"/>
                <w:szCs w:val="14"/>
                <w:b w:val="1"/>
                <w:bCs w:val="1"/>
                <w:color w:val="FFFFFF"/>
              </w:rPr>
              <w:t>FOR PEO</w:t>
            </w:r>
          </w:p>
        </w:tc>
        <w:tc>
          <w:tcPr>
            <w:tcW w:w="1200" w:type="dxa"/>
            <w:vAlign w:val="bottom"/>
            <w:shd w:val="clear" w:color="auto" w:fill="010035"/>
          </w:tcPr>
          <w:p>
            <w:pPr>
              <w:spacing w:after="0"/>
              <w:rPr>
                <w:sz w:val="24"/>
                <w:szCs w:val="24"/>
                <w:color w:val="auto"/>
              </w:rPr>
            </w:pP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5"/>
              </w:rPr>
              <w:t>NEOS</w:t>
            </w:r>
            <w:r>
              <w:rPr>
                <w:rFonts w:ascii="Arial" w:cs="Arial" w:eastAsia="Arial" w:hAnsi="Arial"/>
                <w:sz w:val="23"/>
                <w:szCs w:val="23"/>
                <w:b w:val="1"/>
                <w:bCs w:val="1"/>
                <w:color w:val="FFFFFF"/>
                <w:w w:val="95"/>
                <w:vertAlign w:val="superscript"/>
              </w:rPr>
              <w:t>3</w:t>
            </w:r>
          </w:p>
        </w:tc>
        <w:tc>
          <w:tcPr>
            <w:tcW w:w="1220" w:type="dxa"/>
            <w:vAlign w:val="bottom"/>
            <w:shd w:val="clear" w:color="auto" w:fill="010035"/>
          </w:tcPr>
          <w:p>
            <w:pPr>
              <w:jc w:val="center"/>
              <w:spacing w:after="0"/>
              <w:rPr>
                <w:sz w:val="20"/>
                <w:szCs w:val="20"/>
                <w:color w:val="auto"/>
              </w:rPr>
            </w:pPr>
            <w:r>
              <w:rPr>
                <w:rFonts w:ascii="Arial" w:cs="Arial" w:eastAsia="Arial" w:hAnsi="Arial"/>
                <w:sz w:val="14"/>
                <w:szCs w:val="14"/>
                <w:b w:val="1"/>
                <w:bCs w:val="1"/>
                <w:color w:val="FFFFFF"/>
                <w:w w:val="95"/>
              </w:rPr>
              <w:t>NEOS</w:t>
            </w:r>
            <w:r>
              <w:rPr>
                <w:rFonts w:ascii="Arial" w:cs="Arial" w:eastAsia="Arial" w:hAnsi="Arial"/>
                <w:sz w:val="23"/>
                <w:szCs w:val="23"/>
                <w:b w:val="1"/>
                <w:bCs w:val="1"/>
                <w:color w:val="FFFFFF"/>
                <w:w w:val="95"/>
                <w:vertAlign w:val="superscript"/>
              </w:rPr>
              <w:t>4</w:t>
            </w:r>
          </w:p>
        </w:tc>
        <w:tc>
          <w:tcPr>
            <w:tcW w:w="1160" w:type="dxa"/>
            <w:vAlign w:val="bottom"/>
            <w:shd w:val="clear" w:color="auto" w:fill="010035"/>
          </w:tcPr>
          <w:p>
            <w:pPr>
              <w:spacing w:after="0"/>
              <w:rPr>
                <w:sz w:val="24"/>
                <w:szCs w:val="24"/>
                <w:color w:val="auto"/>
              </w:rPr>
            </w:pPr>
          </w:p>
        </w:tc>
        <w:tc>
          <w:tcPr>
            <w:tcW w:w="1160" w:type="dxa"/>
            <w:vAlign w:val="bottom"/>
            <w:shd w:val="clear" w:color="auto" w:fill="010035"/>
          </w:tcPr>
          <w:p>
            <w:pPr>
              <w:jc w:val="right"/>
              <w:ind w:right="255"/>
              <w:spacing w:after="0"/>
              <w:rPr>
                <w:sz w:val="20"/>
                <w:szCs w:val="20"/>
                <w:color w:val="auto"/>
              </w:rPr>
            </w:pPr>
            <w:r>
              <w:rPr>
                <w:rFonts w:ascii="Arial" w:cs="Arial" w:eastAsia="Arial" w:hAnsi="Arial"/>
                <w:sz w:val="14"/>
                <w:szCs w:val="14"/>
                <w:b w:val="1"/>
                <w:bCs w:val="1"/>
                <w:color w:val="FFFFFF"/>
              </w:rPr>
              <w:t>RETURN</w:t>
            </w:r>
          </w:p>
        </w:tc>
        <w:tc>
          <w:tcPr>
            <w:tcW w:w="40" w:type="dxa"/>
            <w:vAlign w:val="bottom"/>
            <w:shd w:val="clear" w:color="auto" w:fill="010035"/>
          </w:tcPr>
          <w:p>
            <w:pPr>
              <w:spacing w:after="0"/>
              <w:rPr>
                <w:sz w:val="24"/>
                <w:szCs w:val="24"/>
                <w:color w:val="auto"/>
              </w:rPr>
            </w:pPr>
          </w:p>
        </w:tc>
        <w:tc>
          <w:tcPr>
            <w:tcW w:w="680" w:type="dxa"/>
            <w:vAlign w:val="bottom"/>
            <w:shd w:val="clear" w:color="auto" w:fill="010035"/>
          </w:tcPr>
          <w:p>
            <w:pPr>
              <w:spacing w:after="0"/>
              <w:rPr>
                <w:sz w:val="24"/>
                <w:szCs w:val="24"/>
                <w:color w:val="auto"/>
              </w:rPr>
            </w:pPr>
          </w:p>
        </w:tc>
        <w:tc>
          <w:tcPr>
            <w:tcW w:w="960" w:type="dxa"/>
            <w:vAlign w:val="bottom"/>
            <w:shd w:val="clear" w:color="auto" w:fill="010035"/>
          </w:tcPr>
          <w:p>
            <w:pPr>
              <w:jc w:val="right"/>
              <w:ind w:right="95"/>
              <w:spacing w:after="0"/>
              <w:rPr>
                <w:sz w:val="20"/>
                <w:szCs w:val="20"/>
                <w:color w:val="auto"/>
              </w:rPr>
            </w:pPr>
            <w:r>
              <w:rPr>
                <w:rFonts w:ascii="Arial" w:cs="Arial" w:eastAsia="Arial" w:hAnsi="Arial"/>
                <w:sz w:val="14"/>
                <w:szCs w:val="14"/>
                <w:b w:val="1"/>
                <w:bCs w:val="1"/>
                <w:color w:val="FFFFFF"/>
              </w:rPr>
              <w:t>MILLIONS)</w:t>
            </w:r>
          </w:p>
        </w:tc>
        <w:tc>
          <w:tcPr>
            <w:tcW w:w="0" w:type="dxa"/>
            <w:vAlign w:val="bottom"/>
          </w:tcPr>
          <w:p>
            <w:pPr>
              <w:spacing w:after="0"/>
              <w:rPr>
                <w:sz w:val="1"/>
                <w:szCs w:val="1"/>
                <w:color w:val="auto"/>
              </w:rPr>
            </w:pPr>
          </w:p>
        </w:tc>
      </w:tr>
      <w:tr>
        <w:trPr>
          <w:trHeight w:val="215"/>
        </w:trPr>
        <w:tc>
          <w:tcPr>
            <w:tcW w:w="540" w:type="dxa"/>
            <w:vAlign w:val="bottom"/>
          </w:tcPr>
          <w:p>
            <w:pPr>
              <w:ind w:left="40"/>
              <w:spacing w:after="0"/>
              <w:rPr>
                <w:sz w:val="20"/>
                <w:szCs w:val="20"/>
                <w:color w:val="auto"/>
              </w:rPr>
            </w:pPr>
            <w:r>
              <w:rPr>
                <w:rFonts w:ascii="Arial" w:cs="Arial" w:eastAsia="Arial" w:hAnsi="Arial"/>
                <w:sz w:val="13"/>
                <w:szCs w:val="13"/>
                <w:color w:val="010035"/>
              </w:rPr>
              <w:t>2025</w:t>
            </w:r>
          </w:p>
        </w:tc>
        <w:tc>
          <w:tcPr>
            <w:tcW w:w="1220" w:type="dxa"/>
            <w:vAlign w:val="bottom"/>
          </w:tcPr>
          <w:p>
            <w:pPr>
              <w:jc w:val="right"/>
              <w:ind w:right="175"/>
              <w:spacing w:after="0"/>
              <w:rPr>
                <w:sz w:val="20"/>
                <w:szCs w:val="20"/>
                <w:color w:val="auto"/>
              </w:rPr>
            </w:pPr>
            <w:r>
              <w:rPr>
                <w:rFonts w:ascii="Arial" w:cs="Arial" w:eastAsia="Arial" w:hAnsi="Arial"/>
                <w:sz w:val="13"/>
                <w:szCs w:val="13"/>
                <w:color w:val="010035"/>
              </w:rPr>
              <w:t>$24,126,651</w:t>
            </w:r>
          </w:p>
        </w:tc>
        <w:tc>
          <w:tcPr>
            <w:tcW w:w="1200" w:type="dxa"/>
            <w:vAlign w:val="bottom"/>
          </w:tcPr>
          <w:p>
            <w:pPr>
              <w:jc w:val="center"/>
              <w:spacing w:after="0"/>
              <w:rPr>
                <w:sz w:val="20"/>
                <w:szCs w:val="20"/>
                <w:color w:val="auto"/>
              </w:rPr>
            </w:pPr>
            <w:r>
              <w:rPr>
                <w:rFonts w:ascii="Arial" w:cs="Arial" w:eastAsia="Arial" w:hAnsi="Arial"/>
                <w:sz w:val="13"/>
                <w:szCs w:val="13"/>
                <w:color w:val="010035"/>
                <w:w w:val="96"/>
              </w:rPr>
              <w:t>$10,375,989</w:t>
            </w:r>
          </w:p>
        </w:tc>
        <w:tc>
          <w:tcPr>
            <w:tcW w:w="1220" w:type="dxa"/>
            <w:vAlign w:val="bottom"/>
          </w:tcPr>
          <w:p>
            <w:pPr>
              <w:jc w:val="center"/>
              <w:spacing w:after="0"/>
              <w:rPr>
                <w:sz w:val="20"/>
                <w:szCs w:val="20"/>
                <w:color w:val="auto"/>
              </w:rPr>
            </w:pPr>
            <w:r>
              <w:rPr>
                <w:rFonts w:ascii="Arial" w:cs="Arial" w:eastAsia="Arial" w:hAnsi="Arial"/>
                <w:sz w:val="13"/>
                <w:szCs w:val="13"/>
                <w:color w:val="010035"/>
                <w:w w:val="98"/>
              </w:rPr>
              <w:t>$5,845,528</w:t>
            </w:r>
          </w:p>
        </w:tc>
        <w:tc>
          <w:tcPr>
            <w:tcW w:w="1220" w:type="dxa"/>
            <w:vAlign w:val="bottom"/>
          </w:tcPr>
          <w:p>
            <w:pPr>
              <w:jc w:val="center"/>
              <w:spacing w:after="0"/>
              <w:rPr>
                <w:sz w:val="20"/>
                <w:szCs w:val="20"/>
                <w:color w:val="auto"/>
              </w:rPr>
            </w:pPr>
            <w:r>
              <w:rPr>
                <w:rFonts w:ascii="Arial" w:cs="Arial" w:eastAsia="Arial" w:hAnsi="Arial"/>
                <w:sz w:val="13"/>
                <w:szCs w:val="13"/>
                <w:color w:val="010035"/>
                <w:w w:val="98"/>
              </w:rPr>
              <w:t>$3,063,710</w:t>
            </w:r>
          </w:p>
        </w:tc>
        <w:tc>
          <w:tcPr>
            <w:tcW w:w="1160" w:type="dxa"/>
            <w:vAlign w:val="bottom"/>
          </w:tcPr>
          <w:p>
            <w:pPr>
              <w:jc w:val="center"/>
              <w:spacing w:after="0"/>
              <w:rPr>
                <w:sz w:val="20"/>
                <w:szCs w:val="20"/>
                <w:color w:val="auto"/>
              </w:rPr>
            </w:pPr>
            <w:r>
              <w:rPr>
                <w:rFonts w:ascii="Arial" w:cs="Arial" w:eastAsia="Arial" w:hAnsi="Arial"/>
                <w:sz w:val="13"/>
                <w:szCs w:val="13"/>
                <w:color w:val="010035"/>
                <w:w w:val="95"/>
              </w:rPr>
              <w:t>$17.08</w:t>
            </w:r>
          </w:p>
        </w:tc>
        <w:tc>
          <w:tcPr>
            <w:tcW w:w="1160" w:type="dxa"/>
            <w:vAlign w:val="bottom"/>
          </w:tcPr>
          <w:p>
            <w:pPr>
              <w:jc w:val="center"/>
              <w:spacing w:after="0"/>
              <w:rPr>
                <w:sz w:val="20"/>
                <w:szCs w:val="20"/>
                <w:color w:val="auto"/>
              </w:rPr>
            </w:pPr>
            <w:r>
              <w:rPr>
                <w:rFonts w:ascii="Arial" w:cs="Arial" w:eastAsia="Arial" w:hAnsi="Arial"/>
                <w:sz w:val="13"/>
                <w:szCs w:val="13"/>
                <w:color w:val="010035"/>
                <w:w w:val="95"/>
              </w:rPr>
              <w:t>$85.84</w:t>
            </w:r>
          </w:p>
        </w:tc>
        <w:tc>
          <w:tcPr>
            <w:tcW w:w="720" w:type="dxa"/>
            <w:vAlign w:val="bottom"/>
            <w:gridSpan w:val="2"/>
          </w:tcPr>
          <w:p>
            <w:pPr>
              <w:jc w:val="right"/>
              <w:ind w:right="28"/>
              <w:spacing w:after="0"/>
              <w:rPr>
                <w:sz w:val="20"/>
                <w:szCs w:val="20"/>
                <w:color w:val="auto"/>
              </w:rPr>
            </w:pPr>
            <w:r>
              <w:rPr>
                <w:rFonts w:ascii="Arial" w:cs="Arial" w:eastAsia="Arial" w:hAnsi="Arial"/>
                <w:sz w:val="13"/>
                <w:szCs w:val="13"/>
                <w:color w:val="010035"/>
              </w:rPr>
              <w:t>($845.30)</w:t>
            </w:r>
          </w:p>
        </w:tc>
        <w:tc>
          <w:tcPr>
            <w:tcW w:w="960" w:type="dxa"/>
            <w:vAlign w:val="bottom"/>
          </w:tcPr>
          <w:p>
            <w:pPr>
              <w:jc w:val="center"/>
              <w:spacing w:after="0"/>
              <w:rPr>
                <w:sz w:val="20"/>
                <w:szCs w:val="20"/>
                <w:color w:val="auto"/>
              </w:rPr>
            </w:pPr>
            <w:r>
              <w:rPr>
                <w:rFonts w:ascii="Arial" w:cs="Arial" w:eastAsia="Arial" w:hAnsi="Arial"/>
                <w:sz w:val="13"/>
                <w:szCs w:val="13"/>
                <w:color w:val="010035"/>
                <w:w w:val="94"/>
              </w:rPr>
              <w:t>$1,461.8</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2024</w:t>
            </w:r>
          </w:p>
        </w:tc>
        <w:tc>
          <w:tcPr>
            <w:tcW w:w="1220" w:type="dxa"/>
            <w:vAlign w:val="bottom"/>
            <w:shd w:val="clear" w:color="auto" w:fill="DED8EC"/>
          </w:tcPr>
          <w:p>
            <w:pPr>
              <w:jc w:val="right"/>
              <w:ind w:right="175"/>
              <w:spacing w:after="0"/>
              <w:rPr>
                <w:sz w:val="20"/>
                <w:szCs w:val="20"/>
                <w:color w:val="auto"/>
              </w:rPr>
            </w:pPr>
            <w:r>
              <w:rPr>
                <w:rFonts w:ascii="Arial" w:cs="Arial" w:eastAsia="Arial" w:hAnsi="Arial"/>
                <w:sz w:val="13"/>
                <w:szCs w:val="13"/>
                <w:color w:val="010035"/>
              </w:rPr>
              <w:t>$26,676,300</w:t>
            </w: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6"/>
              </w:rPr>
              <w:t>$13,213,672</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$5,906,163</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$3,034,477</w:t>
            </w:r>
          </w:p>
        </w:tc>
        <w:tc>
          <w:tcPr>
            <w:tcW w:w="11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$22.95</w:t>
            </w:r>
          </w:p>
        </w:tc>
        <w:tc>
          <w:tcPr>
            <w:tcW w:w="11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$89.32</w:t>
            </w:r>
          </w:p>
        </w:tc>
        <w:tc>
          <w:tcPr>
            <w:tcW w:w="720" w:type="dxa"/>
            <w:vAlign w:val="bottom"/>
            <w:gridSpan w:val="2"/>
            <w:shd w:val="clear" w:color="auto" w:fill="DED8EC"/>
          </w:tcPr>
          <w:p>
            <w:pPr>
              <w:jc w:val="right"/>
              <w:ind w:right="28"/>
              <w:spacing w:after="0"/>
              <w:rPr>
                <w:sz w:val="20"/>
                <w:szCs w:val="20"/>
                <w:color w:val="auto"/>
              </w:rPr>
            </w:pPr>
            <w:r>
              <w:rPr>
                <w:rFonts w:ascii="Arial" w:cs="Arial" w:eastAsia="Arial" w:hAnsi="Arial"/>
                <w:sz w:val="13"/>
                <w:szCs w:val="13"/>
                <w:color w:val="010035"/>
              </w:rPr>
              <w:t>($313.30)</w:t>
            </w:r>
          </w:p>
        </w:tc>
        <w:tc>
          <w:tcPr>
            <w:tcW w:w="9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4"/>
              </w:rPr>
              <w:t>$1,292.3</w:t>
            </w:r>
          </w:p>
        </w:tc>
        <w:tc>
          <w:tcPr>
            <w:tcW w:w="0" w:type="dxa"/>
            <w:vAlign w:val="bottom"/>
          </w:tcPr>
          <w:p>
            <w:pPr>
              <w:spacing w:after="0"/>
              <w:rPr>
                <w:sz w:val="1"/>
                <w:szCs w:val="1"/>
                <w:color w:val="auto"/>
              </w:rPr>
            </w:pPr>
          </w:p>
        </w:tc>
      </w:tr>
      <w:tr>
        <w:trPr>
          <w:trHeight w:val="68"/>
        </w:trPr>
        <w:tc>
          <w:tcPr>
            <w:tcW w:w="540" w:type="dxa"/>
            <w:vAlign w:val="bottom"/>
            <w:shd w:val="clear" w:color="auto" w:fill="DED8EC"/>
          </w:tcPr>
          <w:p>
            <w:pPr>
              <w:spacing w:after="0"/>
              <w:rPr>
                <w:sz w:val="5"/>
                <w:szCs w:val="5"/>
                <w:color w:val="auto"/>
              </w:rPr>
            </w:pPr>
          </w:p>
        </w:tc>
        <w:tc>
          <w:tcPr>
            <w:tcW w:w="1220" w:type="dxa"/>
            <w:vAlign w:val="bottom"/>
            <w:shd w:val="clear" w:color="auto" w:fill="DED8EC"/>
          </w:tcPr>
          <w:p>
            <w:pPr>
              <w:spacing w:after="0"/>
              <w:rPr>
                <w:sz w:val="5"/>
                <w:szCs w:val="5"/>
                <w:color w:val="auto"/>
              </w:rPr>
            </w:pPr>
          </w:p>
        </w:tc>
        <w:tc>
          <w:tcPr>
            <w:tcW w:w="1200" w:type="dxa"/>
            <w:vAlign w:val="bottom"/>
            <w:shd w:val="clear" w:color="auto" w:fill="DED8EC"/>
          </w:tcPr>
          <w:p>
            <w:pPr>
              <w:spacing w:after="0"/>
              <w:rPr>
                <w:sz w:val="5"/>
                <w:szCs w:val="5"/>
                <w:color w:val="auto"/>
              </w:rPr>
            </w:pPr>
          </w:p>
        </w:tc>
        <w:tc>
          <w:tcPr>
            <w:tcW w:w="1220" w:type="dxa"/>
            <w:vAlign w:val="bottom"/>
            <w:shd w:val="clear" w:color="auto" w:fill="DED8EC"/>
          </w:tcPr>
          <w:p>
            <w:pPr>
              <w:spacing w:after="0"/>
              <w:rPr>
                <w:sz w:val="5"/>
                <w:szCs w:val="5"/>
                <w:color w:val="auto"/>
              </w:rPr>
            </w:pPr>
          </w:p>
        </w:tc>
        <w:tc>
          <w:tcPr>
            <w:tcW w:w="1220" w:type="dxa"/>
            <w:vAlign w:val="bottom"/>
            <w:shd w:val="clear" w:color="auto" w:fill="DED8EC"/>
          </w:tcPr>
          <w:p>
            <w:pPr>
              <w:spacing w:after="0"/>
              <w:rPr>
                <w:sz w:val="5"/>
                <w:szCs w:val="5"/>
                <w:color w:val="auto"/>
              </w:rPr>
            </w:pPr>
          </w:p>
        </w:tc>
        <w:tc>
          <w:tcPr>
            <w:tcW w:w="1160" w:type="dxa"/>
            <w:vAlign w:val="bottom"/>
            <w:shd w:val="clear" w:color="auto" w:fill="DED8EC"/>
          </w:tcPr>
          <w:p>
            <w:pPr>
              <w:spacing w:after="0"/>
              <w:rPr>
                <w:sz w:val="5"/>
                <w:szCs w:val="5"/>
                <w:color w:val="auto"/>
              </w:rPr>
            </w:pPr>
          </w:p>
        </w:tc>
        <w:tc>
          <w:tcPr>
            <w:tcW w:w="1160" w:type="dxa"/>
            <w:vAlign w:val="bottom"/>
            <w:shd w:val="clear" w:color="auto" w:fill="DED8EC"/>
          </w:tcPr>
          <w:p>
            <w:pPr>
              <w:spacing w:after="0"/>
              <w:rPr>
                <w:sz w:val="5"/>
                <w:szCs w:val="5"/>
                <w:color w:val="auto"/>
              </w:rPr>
            </w:pPr>
          </w:p>
        </w:tc>
        <w:tc>
          <w:tcPr>
            <w:tcW w:w="720" w:type="dxa"/>
            <w:vAlign w:val="bottom"/>
            <w:gridSpan w:val="2"/>
            <w:shd w:val="clear" w:color="auto" w:fill="DED8EC"/>
          </w:tcPr>
          <w:p>
            <w:pPr>
              <w:spacing w:after="0"/>
              <w:rPr>
                <w:sz w:val="5"/>
                <w:szCs w:val="5"/>
                <w:color w:val="auto"/>
              </w:rPr>
            </w:pPr>
          </w:p>
        </w:tc>
        <w:tc>
          <w:tcPr>
            <w:tcW w:w="96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0" w:type="dxa"/>
            <w:vAlign w:val="bottom"/>
          </w:tcPr>
          <w:p>
            <w:pPr>
              <w:ind w:left="40"/>
              <w:spacing w:after="0"/>
              <w:rPr>
                <w:sz w:val="20"/>
                <w:szCs w:val="20"/>
                <w:color w:val="auto"/>
              </w:rPr>
            </w:pPr>
            <w:r>
              <w:rPr>
                <w:rFonts w:ascii="Arial" w:cs="Arial" w:eastAsia="Arial" w:hAnsi="Arial"/>
                <w:sz w:val="13"/>
                <w:szCs w:val="13"/>
                <w:color w:val="010035"/>
              </w:rPr>
              <w:t>2023</w:t>
            </w:r>
          </w:p>
        </w:tc>
        <w:tc>
          <w:tcPr>
            <w:tcW w:w="1220" w:type="dxa"/>
            <w:vAlign w:val="bottom"/>
          </w:tcPr>
          <w:p>
            <w:pPr>
              <w:jc w:val="right"/>
              <w:ind w:right="175"/>
              <w:spacing w:after="0"/>
              <w:rPr>
                <w:sz w:val="20"/>
                <w:szCs w:val="20"/>
                <w:color w:val="auto"/>
              </w:rPr>
            </w:pPr>
            <w:r>
              <w:rPr>
                <w:rFonts w:ascii="Arial" w:cs="Arial" w:eastAsia="Arial" w:hAnsi="Arial"/>
                <w:sz w:val="13"/>
                <w:szCs w:val="13"/>
                <w:color w:val="010035"/>
              </w:rPr>
              <w:t>$15,542,305</w:t>
            </w:r>
          </w:p>
        </w:tc>
        <w:tc>
          <w:tcPr>
            <w:tcW w:w="1200" w:type="dxa"/>
            <w:vAlign w:val="bottom"/>
          </w:tcPr>
          <w:p>
            <w:pPr>
              <w:jc w:val="center"/>
              <w:spacing w:after="0"/>
              <w:rPr>
                <w:sz w:val="20"/>
                <w:szCs w:val="20"/>
                <w:color w:val="auto"/>
              </w:rPr>
            </w:pPr>
            <w:r>
              <w:rPr>
                <w:rFonts w:ascii="Arial" w:cs="Arial" w:eastAsia="Arial" w:hAnsi="Arial"/>
                <w:sz w:val="13"/>
                <w:szCs w:val="13"/>
                <w:color w:val="010035"/>
                <w:w w:val="96"/>
              </w:rPr>
              <w:t>$10,187,197</w:t>
            </w:r>
          </w:p>
        </w:tc>
        <w:tc>
          <w:tcPr>
            <w:tcW w:w="1220" w:type="dxa"/>
            <w:vAlign w:val="bottom"/>
          </w:tcPr>
          <w:p>
            <w:pPr>
              <w:jc w:val="center"/>
              <w:spacing w:after="0"/>
              <w:rPr>
                <w:sz w:val="20"/>
                <w:szCs w:val="20"/>
                <w:color w:val="auto"/>
              </w:rPr>
            </w:pPr>
            <w:r>
              <w:rPr>
                <w:rFonts w:ascii="Arial" w:cs="Arial" w:eastAsia="Arial" w:hAnsi="Arial"/>
                <w:sz w:val="13"/>
                <w:szCs w:val="13"/>
                <w:color w:val="010035"/>
                <w:w w:val="98"/>
              </w:rPr>
              <w:t>$3,800,856</w:t>
            </w:r>
          </w:p>
        </w:tc>
        <w:tc>
          <w:tcPr>
            <w:tcW w:w="1220" w:type="dxa"/>
            <w:vAlign w:val="bottom"/>
          </w:tcPr>
          <w:p>
            <w:pPr>
              <w:jc w:val="center"/>
              <w:spacing w:after="0"/>
              <w:rPr>
                <w:sz w:val="20"/>
                <w:szCs w:val="20"/>
                <w:color w:val="auto"/>
              </w:rPr>
            </w:pPr>
            <w:r>
              <w:rPr>
                <w:rFonts w:ascii="Arial" w:cs="Arial" w:eastAsia="Arial" w:hAnsi="Arial"/>
                <w:sz w:val="13"/>
                <w:szCs w:val="13"/>
                <w:color w:val="010035"/>
                <w:w w:val="98"/>
              </w:rPr>
              <w:t>$3,866,865</w:t>
            </w:r>
          </w:p>
        </w:tc>
        <w:tc>
          <w:tcPr>
            <w:tcW w:w="1160" w:type="dxa"/>
            <w:vAlign w:val="bottom"/>
          </w:tcPr>
          <w:p>
            <w:pPr>
              <w:jc w:val="center"/>
              <w:spacing w:after="0"/>
              <w:rPr>
                <w:sz w:val="20"/>
                <w:szCs w:val="20"/>
                <w:color w:val="auto"/>
              </w:rPr>
            </w:pPr>
            <w:r>
              <w:rPr>
                <w:rFonts w:ascii="Arial" w:cs="Arial" w:eastAsia="Arial" w:hAnsi="Arial"/>
                <w:sz w:val="13"/>
                <w:szCs w:val="13"/>
                <w:color w:val="010035"/>
                <w:w w:val="95"/>
              </w:rPr>
              <w:t>$30.13</w:t>
            </w:r>
          </w:p>
        </w:tc>
        <w:tc>
          <w:tcPr>
            <w:tcW w:w="1160" w:type="dxa"/>
            <w:vAlign w:val="bottom"/>
          </w:tcPr>
          <w:p>
            <w:pPr>
              <w:jc w:val="center"/>
              <w:spacing w:after="0"/>
              <w:rPr>
                <w:sz w:val="20"/>
                <w:szCs w:val="20"/>
                <w:color w:val="auto"/>
              </w:rPr>
            </w:pPr>
            <w:r>
              <w:rPr>
                <w:rFonts w:ascii="Arial" w:cs="Arial" w:eastAsia="Arial" w:hAnsi="Arial"/>
                <w:sz w:val="13"/>
                <w:szCs w:val="13"/>
                <w:color w:val="010035"/>
                <w:w w:val="95"/>
              </w:rPr>
              <w:t>$92.81</w:t>
            </w:r>
          </w:p>
        </w:tc>
        <w:tc>
          <w:tcPr>
            <w:tcW w:w="720" w:type="dxa"/>
            <w:vAlign w:val="bottom"/>
            <w:gridSpan w:val="2"/>
          </w:tcPr>
          <w:p>
            <w:pPr>
              <w:jc w:val="right"/>
              <w:ind w:right="28"/>
              <w:spacing w:after="0"/>
              <w:rPr>
                <w:sz w:val="20"/>
                <w:szCs w:val="20"/>
                <w:color w:val="auto"/>
              </w:rPr>
            </w:pPr>
            <w:r>
              <w:rPr>
                <w:rFonts w:ascii="Arial" w:cs="Arial" w:eastAsia="Arial" w:hAnsi="Arial"/>
                <w:sz w:val="13"/>
                <w:szCs w:val="13"/>
                <w:color w:val="010035"/>
              </w:rPr>
              <w:t>($491.40)</w:t>
            </w:r>
          </w:p>
        </w:tc>
        <w:tc>
          <w:tcPr>
            <w:tcW w:w="960" w:type="dxa"/>
            <w:vAlign w:val="bottom"/>
          </w:tcPr>
          <w:p>
            <w:pPr>
              <w:jc w:val="center"/>
              <w:spacing w:after="0"/>
              <w:rPr>
                <w:sz w:val="20"/>
                <w:szCs w:val="20"/>
                <w:color w:val="auto"/>
              </w:rPr>
            </w:pPr>
            <w:r>
              <w:rPr>
                <w:rFonts w:ascii="Arial" w:cs="Arial" w:eastAsia="Arial" w:hAnsi="Arial"/>
                <w:sz w:val="13"/>
                <w:szCs w:val="13"/>
                <w:color w:val="010035"/>
                <w:w w:val="94"/>
              </w:rPr>
              <w:t>$1,512.6</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DED8EC"/>
          </w:tcPr>
          <w:p>
            <w:pPr>
              <w:ind w:left="40"/>
              <w:spacing w:after="0"/>
              <w:rPr>
                <w:sz w:val="20"/>
                <w:szCs w:val="20"/>
                <w:color w:val="auto"/>
              </w:rPr>
            </w:pPr>
            <w:r>
              <w:rPr>
                <w:rFonts w:ascii="Arial" w:cs="Arial" w:eastAsia="Arial" w:hAnsi="Arial"/>
                <w:sz w:val="13"/>
                <w:szCs w:val="13"/>
                <w:color w:val="010035"/>
              </w:rPr>
              <w:t>2022</w:t>
            </w:r>
          </w:p>
        </w:tc>
        <w:tc>
          <w:tcPr>
            <w:tcW w:w="1220" w:type="dxa"/>
            <w:vAlign w:val="bottom"/>
            <w:shd w:val="clear" w:color="auto" w:fill="DED8EC"/>
          </w:tcPr>
          <w:p>
            <w:pPr>
              <w:jc w:val="right"/>
              <w:ind w:right="175"/>
              <w:spacing w:after="0"/>
              <w:rPr>
                <w:sz w:val="20"/>
                <w:szCs w:val="20"/>
                <w:color w:val="auto"/>
              </w:rPr>
            </w:pPr>
            <w:r>
              <w:rPr>
                <w:rFonts w:ascii="Arial" w:cs="Arial" w:eastAsia="Arial" w:hAnsi="Arial"/>
                <w:sz w:val="13"/>
                <w:szCs w:val="13"/>
                <w:color w:val="010035"/>
              </w:rPr>
              <w:t>$14,075,614</w:t>
            </w:r>
          </w:p>
        </w:tc>
        <w:tc>
          <w:tcPr>
            <w:tcW w:w="120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6"/>
              </w:rPr>
              <w:t>($10,073,072)</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$3,105,185</w:t>
            </w:r>
          </w:p>
        </w:tc>
        <w:tc>
          <w:tcPr>
            <w:tcW w:w="122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8"/>
              </w:rPr>
              <w:t>$1,412,413</w:t>
            </w:r>
          </w:p>
        </w:tc>
        <w:tc>
          <w:tcPr>
            <w:tcW w:w="11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$34.39</w:t>
            </w:r>
          </w:p>
        </w:tc>
        <w:tc>
          <w:tcPr>
            <w:tcW w:w="11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5"/>
              </w:rPr>
              <w:t>$73.75</w:t>
            </w:r>
          </w:p>
        </w:tc>
        <w:tc>
          <w:tcPr>
            <w:tcW w:w="720" w:type="dxa"/>
            <w:vAlign w:val="bottom"/>
            <w:gridSpan w:val="2"/>
            <w:shd w:val="clear" w:color="auto" w:fill="DED8EC"/>
          </w:tcPr>
          <w:p>
            <w:pPr>
              <w:jc w:val="right"/>
              <w:ind w:right="68"/>
              <w:spacing w:after="0"/>
              <w:rPr>
                <w:sz w:val="20"/>
                <w:szCs w:val="20"/>
                <w:color w:val="auto"/>
              </w:rPr>
            </w:pPr>
            <w:r>
              <w:rPr>
                <w:rFonts w:ascii="Arial" w:cs="Arial" w:eastAsia="Arial" w:hAnsi="Arial"/>
                <w:sz w:val="13"/>
                <w:szCs w:val="13"/>
                <w:color w:val="010035"/>
              </w:rPr>
              <w:t>$221.70</w:t>
            </w:r>
          </w:p>
        </w:tc>
        <w:tc>
          <w:tcPr>
            <w:tcW w:w="960" w:type="dxa"/>
            <w:vAlign w:val="bottom"/>
            <w:shd w:val="clear" w:color="auto" w:fill="DED8EC"/>
          </w:tcPr>
          <w:p>
            <w:pPr>
              <w:jc w:val="center"/>
              <w:spacing w:after="0"/>
              <w:rPr>
                <w:sz w:val="20"/>
                <w:szCs w:val="20"/>
                <w:color w:val="auto"/>
              </w:rPr>
            </w:pPr>
            <w:r>
              <w:rPr>
                <w:rFonts w:ascii="Arial" w:cs="Arial" w:eastAsia="Arial" w:hAnsi="Arial"/>
                <w:sz w:val="13"/>
                <w:szCs w:val="13"/>
                <w:color w:val="010035"/>
                <w:w w:val="94"/>
              </w:rPr>
              <w:t>$1,939.4</w:t>
            </w:r>
          </w:p>
        </w:tc>
        <w:tc>
          <w:tcPr>
            <w:tcW w:w="0" w:type="dxa"/>
            <w:vAlign w:val="bottom"/>
          </w:tcPr>
          <w:p>
            <w:pPr>
              <w:spacing w:after="0"/>
              <w:rPr>
                <w:sz w:val="1"/>
                <w:szCs w:val="1"/>
                <w:color w:val="auto"/>
              </w:rPr>
            </w:pPr>
          </w:p>
        </w:tc>
      </w:tr>
      <w:tr>
        <w:trPr>
          <w:trHeight w:val="68"/>
        </w:trPr>
        <w:tc>
          <w:tcPr>
            <w:tcW w:w="540" w:type="dxa"/>
            <w:vAlign w:val="bottom"/>
            <w:shd w:val="clear" w:color="auto" w:fill="DED8EC"/>
          </w:tcPr>
          <w:p>
            <w:pPr>
              <w:spacing w:after="0"/>
              <w:rPr>
                <w:sz w:val="5"/>
                <w:szCs w:val="5"/>
                <w:color w:val="auto"/>
              </w:rPr>
            </w:pPr>
          </w:p>
        </w:tc>
        <w:tc>
          <w:tcPr>
            <w:tcW w:w="1220" w:type="dxa"/>
            <w:vAlign w:val="bottom"/>
            <w:shd w:val="clear" w:color="auto" w:fill="DED8EC"/>
          </w:tcPr>
          <w:p>
            <w:pPr>
              <w:spacing w:after="0"/>
              <w:rPr>
                <w:sz w:val="5"/>
                <w:szCs w:val="5"/>
                <w:color w:val="auto"/>
              </w:rPr>
            </w:pPr>
          </w:p>
        </w:tc>
        <w:tc>
          <w:tcPr>
            <w:tcW w:w="1200" w:type="dxa"/>
            <w:vAlign w:val="bottom"/>
            <w:shd w:val="clear" w:color="auto" w:fill="DED8EC"/>
          </w:tcPr>
          <w:p>
            <w:pPr>
              <w:spacing w:after="0"/>
              <w:rPr>
                <w:sz w:val="5"/>
                <w:szCs w:val="5"/>
                <w:color w:val="auto"/>
              </w:rPr>
            </w:pPr>
          </w:p>
        </w:tc>
        <w:tc>
          <w:tcPr>
            <w:tcW w:w="1220" w:type="dxa"/>
            <w:vAlign w:val="bottom"/>
            <w:shd w:val="clear" w:color="auto" w:fill="DED8EC"/>
          </w:tcPr>
          <w:p>
            <w:pPr>
              <w:spacing w:after="0"/>
              <w:rPr>
                <w:sz w:val="5"/>
                <w:szCs w:val="5"/>
                <w:color w:val="auto"/>
              </w:rPr>
            </w:pPr>
          </w:p>
        </w:tc>
        <w:tc>
          <w:tcPr>
            <w:tcW w:w="1220" w:type="dxa"/>
            <w:vAlign w:val="bottom"/>
            <w:shd w:val="clear" w:color="auto" w:fill="DED8EC"/>
          </w:tcPr>
          <w:p>
            <w:pPr>
              <w:spacing w:after="0"/>
              <w:rPr>
                <w:sz w:val="5"/>
                <w:szCs w:val="5"/>
                <w:color w:val="auto"/>
              </w:rPr>
            </w:pPr>
          </w:p>
        </w:tc>
        <w:tc>
          <w:tcPr>
            <w:tcW w:w="1160" w:type="dxa"/>
            <w:vAlign w:val="bottom"/>
            <w:shd w:val="clear" w:color="auto" w:fill="DED8EC"/>
          </w:tcPr>
          <w:p>
            <w:pPr>
              <w:spacing w:after="0"/>
              <w:rPr>
                <w:sz w:val="5"/>
                <w:szCs w:val="5"/>
                <w:color w:val="auto"/>
              </w:rPr>
            </w:pPr>
          </w:p>
        </w:tc>
        <w:tc>
          <w:tcPr>
            <w:tcW w:w="1160" w:type="dxa"/>
            <w:vAlign w:val="bottom"/>
            <w:shd w:val="clear" w:color="auto" w:fill="DED8EC"/>
          </w:tcPr>
          <w:p>
            <w:pPr>
              <w:spacing w:after="0"/>
              <w:rPr>
                <w:sz w:val="5"/>
                <w:szCs w:val="5"/>
                <w:color w:val="auto"/>
              </w:rPr>
            </w:pPr>
          </w:p>
        </w:tc>
        <w:tc>
          <w:tcPr>
            <w:tcW w:w="720" w:type="dxa"/>
            <w:vAlign w:val="bottom"/>
            <w:gridSpan w:val="2"/>
            <w:shd w:val="clear" w:color="auto" w:fill="DED8EC"/>
          </w:tcPr>
          <w:p>
            <w:pPr>
              <w:spacing w:after="0"/>
              <w:rPr>
                <w:sz w:val="5"/>
                <w:szCs w:val="5"/>
                <w:color w:val="auto"/>
              </w:rPr>
            </w:pPr>
          </w:p>
        </w:tc>
        <w:tc>
          <w:tcPr>
            <w:tcW w:w="96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540" w:type="dxa"/>
            <w:vAlign w:val="bottom"/>
          </w:tcPr>
          <w:p>
            <w:pPr>
              <w:ind w:left="40"/>
              <w:spacing w:after="0"/>
              <w:rPr>
                <w:sz w:val="20"/>
                <w:szCs w:val="20"/>
                <w:color w:val="auto"/>
              </w:rPr>
            </w:pPr>
            <w:r>
              <w:rPr>
                <w:rFonts w:ascii="Arial" w:cs="Arial" w:eastAsia="Arial" w:hAnsi="Arial"/>
                <w:sz w:val="13"/>
                <w:szCs w:val="13"/>
                <w:color w:val="010035"/>
              </w:rPr>
              <w:t>2021</w:t>
            </w:r>
          </w:p>
        </w:tc>
        <w:tc>
          <w:tcPr>
            <w:tcW w:w="1220" w:type="dxa"/>
            <w:vAlign w:val="bottom"/>
          </w:tcPr>
          <w:p>
            <w:pPr>
              <w:jc w:val="right"/>
              <w:ind w:right="175"/>
              <w:spacing w:after="0"/>
              <w:rPr>
                <w:sz w:val="20"/>
                <w:szCs w:val="20"/>
                <w:color w:val="auto"/>
              </w:rPr>
            </w:pPr>
            <w:r>
              <w:rPr>
                <w:rFonts w:ascii="Arial" w:cs="Arial" w:eastAsia="Arial" w:hAnsi="Arial"/>
                <w:sz w:val="13"/>
                <w:szCs w:val="13"/>
                <w:color w:val="010035"/>
              </w:rPr>
              <w:t>$65,887,214</w:t>
            </w:r>
          </w:p>
        </w:tc>
        <w:tc>
          <w:tcPr>
            <w:tcW w:w="1200" w:type="dxa"/>
            <w:vAlign w:val="bottom"/>
          </w:tcPr>
          <w:p>
            <w:pPr>
              <w:jc w:val="center"/>
              <w:spacing w:after="0"/>
              <w:rPr>
                <w:sz w:val="20"/>
                <w:szCs w:val="20"/>
                <w:color w:val="auto"/>
              </w:rPr>
            </w:pPr>
            <w:r>
              <w:rPr>
                <w:rFonts w:ascii="Arial" w:cs="Arial" w:eastAsia="Arial" w:hAnsi="Arial"/>
                <w:sz w:val="13"/>
                <w:szCs w:val="13"/>
                <w:color w:val="010035"/>
                <w:w w:val="98"/>
              </w:rPr>
              <w:t>$7,961,396</w:t>
            </w:r>
          </w:p>
        </w:tc>
        <w:tc>
          <w:tcPr>
            <w:tcW w:w="1220" w:type="dxa"/>
            <w:vAlign w:val="bottom"/>
          </w:tcPr>
          <w:p>
            <w:pPr>
              <w:jc w:val="center"/>
              <w:spacing w:after="0"/>
              <w:rPr>
                <w:sz w:val="20"/>
                <w:szCs w:val="20"/>
                <w:color w:val="auto"/>
              </w:rPr>
            </w:pPr>
            <w:r>
              <w:rPr>
                <w:rFonts w:ascii="Arial" w:cs="Arial" w:eastAsia="Arial" w:hAnsi="Arial"/>
                <w:sz w:val="13"/>
                <w:szCs w:val="13"/>
                <w:color w:val="010035"/>
                <w:w w:val="98"/>
              </w:rPr>
              <w:t>$3,440,477</w:t>
            </w:r>
          </w:p>
        </w:tc>
        <w:tc>
          <w:tcPr>
            <w:tcW w:w="1220" w:type="dxa"/>
            <w:vAlign w:val="bottom"/>
          </w:tcPr>
          <w:p>
            <w:pPr>
              <w:jc w:val="center"/>
              <w:spacing w:after="0"/>
              <w:rPr>
                <w:sz w:val="20"/>
                <w:szCs w:val="20"/>
                <w:color w:val="auto"/>
              </w:rPr>
            </w:pPr>
            <w:r>
              <w:rPr>
                <w:rFonts w:ascii="Arial" w:cs="Arial" w:eastAsia="Arial" w:hAnsi="Arial"/>
                <w:sz w:val="13"/>
                <w:szCs w:val="13"/>
                <w:color w:val="010035"/>
                <w:w w:val="98"/>
              </w:rPr>
              <w:t>$2,027,447</w:t>
            </w:r>
          </w:p>
        </w:tc>
        <w:tc>
          <w:tcPr>
            <w:tcW w:w="1160" w:type="dxa"/>
            <w:vAlign w:val="bottom"/>
          </w:tcPr>
          <w:p>
            <w:pPr>
              <w:jc w:val="center"/>
              <w:spacing w:after="0"/>
              <w:rPr>
                <w:sz w:val="20"/>
                <w:szCs w:val="20"/>
                <w:color w:val="auto"/>
              </w:rPr>
            </w:pPr>
            <w:r>
              <w:rPr>
                <w:rFonts w:ascii="Arial" w:cs="Arial" w:eastAsia="Arial" w:hAnsi="Arial"/>
                <w:sz w:val="13"/>
                <w:szCs w:val="13"/>
                <w:color w:val="010035"/>
                <w:w w:val="95"/>
              </w:rPr>
              <w:t>$60.03</w:t>
            </w:r>
          </w:p>
        </w:tc>
        <w:tc>
          <w:tcPr>
            <w:tcW w:w="1160" w:type="dxa"/>
            <w:vAlign w:val="bottom"/>
          </w:tcPr>
          <w:p>
            <w:pPr>
              <w:jc w:val="center"/>
              <w:spacing w:after="0"/>
              <w:rPr>
                <w:sz w:val="20"/>
                <w:szCs w:val="20"/>
                <w:color w:val="auto"/>
              </w:rPr>
            </w:pPr>
            <w:r>
              <w:rPr>
                <w:rFonts w:ascii="Arial" w:cs="Arial" w:eastAsia="Arial" w:hAnsi="Arial"/>
                <w:sz w:val="13"/>
                <w:szCs w:val="13"/>
                <w:color w:val="010035"/>
                <w:w w:val="95"/>
              </w:rPr>
              <w:t>$98.54</w:t>
            </w:r>
          </w:p>
        </w:tc>
        <w:tc>
          <w:tcPr>
            <w:tcW w:w="720" w:type="dxa"/>
            <w:vAlign w:val="bottom"/>
            <w:gridSpan w:val="2"/>
          </w:tcPr>
          <w:p>
            <w:pPr>
              <w:jc w:val="right"/>
              <w:ind w:right="68"/>
              <w:spacing w:after="0"/>
              <w:rPr>
                <w:sz w:val="20"/>
                <w:szCs w:val="20"/>
                <w:color w:val="auto"/>
              </w:rPr>
            </w:pPr>
            <w:r>
              <w:rPr>
                <w:rFonts w:ascii="Arial" w:cs="Arial" w:eastAsia="Arial" w:hAnsi="Arial"/>
                <w:sz w:val="13"/>
                <w:szCs w:val="13"/>
                <w:color w:val="010035"/>
              </w:rPr>
              <w:t>$420.50</w:t>
            </w:r>
          </w:p>
        </w:tc>
        <w:tc>
          <w:tcPr>
            <w:tcW w:w="960" w:type="dxa"/>
            <w:vAlign w:val="bottom"/>
          </w:tcPr>
          <w:p>
            <w:pPr>
              <w:jc w:val="center"/>
              <w:spacing w:after="0"/>
              <w:rPr>
                <w:sz w:val="20"/>
                <w:szCs w:val="20"/>
                <w:color w:val="auto"/>
              </w:rPr>
            </w:pPr>
            <w:r>
              <w:rPr>
                <w:rFonts w:ascii="Arial" w:cs="Arial" w:eastAsia="Arial" w:hAnsi="Arial"/>
                <w:sz w:val="13"/>
                <w:szCs w:val="13"/>
                <w:color w:val="010035"/>
                <w:w w:val="94"/>
              </w:rPr>
              <w:t>$1,994.4</w:t>
            </w:r>
          </w:p>
        </w:tc>
        <w:tc>
          <w:tcPr>
            <w:tcW w:w="0" w:type="dxa"/>
            <w:vAlign w:val="bottom"/>
          </w:tcPr>
          <w:p>
            <w:pPr>
              <w:spacing w:after="0"/>
              <w:rPr>
                <w:sz w:val="1"/>
                <w:szCs w:val="1"/>
                <w:color w:val="auto"/>
              </w:rPr>
            </w:pPr>
          </w:p>
        </w:tc>
      </w:tr>
      <w:tr>
        <w:trPr>
          <w:trHeight w:val="41"/>
        </w:trPr>
        <w:tc>
          <w:tcPr>
            <w:tcW w:w="540" w:type="dxa"/>
            <w:vAlign w:val="bottom"/>
            <w:tcBorders>
              <w:bottom w:val="single" w:sz="8" w:color="010035"/>
            </w:tcBorders>
          </w:tcPr>
          <w:p>
            <w:pPr>
              <w:spacing w:after="0"/>
              <w:rPr>
                <w:sz w:val="3"/>
                <w:szCs w:val="3"/>
                <w:color w:val="auto"/>
              </w:rPr>
            </w:pPr>
          </w:p>
        </w:tc>
        <w:tc>
          <w:tcPr>
            <w:tcW w:w="1220" w:type="dxa"/>
            <w:vAlign w:val="bottom"/>
            <w:tcBorders>
              <w:bottom w:val="single" w:sz="8" w:color="010035"/>
            </w:tcBorders>
          </w:tcPr>
          <w:p>
            <w:pPr>
              <w:spacing w:after="0"/>
              <w:rPr>
                <w:sz w:val="3"/>
                <w:szCs w:val="3"/>
                <w:color w:val="auto"/>
              </w:rPr>
            </w:pPr>
          </w:p>
        </w:tc>
        <w:tc>
          <w:tcPr>
            <w:tcW w:w="1200" w:type="dxa"/>
            <w:vAlign w:val="bottom"/>
            <w:tcBorders>
              <w:bottom w:val="single" w:sz="8" w:color="010035"/>
            </w:tcBorders>
          </w:tcPr>
          <w:p>
            <w:pPr>
              <w:spacing w:after="0"/>
              <w:rPr>
                <w:sz w:val="3"/>
                <w:szCs w:val="3"/>
                <w:color w:val="auto"/>
              </w:rPr>
            </w:pPr>
          </w:p>
        </w:tc>
        <w:tc>
          <w:tcPr>
            <w:tcW w:w="1220" w:type="dxa"/>
            <w:vAlign w:val="bottom"/>
            <w:tcBorders>
              <w:bottom w:val="single" w:sz="8" w:color="010035"/>
            </w:tcBorders>
          </w:tcPr>
          <w:p>
            <w:pPr>
              <w:spacing w:after="0"/>
              <w:rPr>
                <w:sz w:val="3"/>
                <w:szCs w:val="3"/>
                <w:color w:val="auto"/>
              </w:rPr>
            </w:pPr>
          </w:p>
        </w:tc>
        <w:tc>
          <w:tcPr>
            <w:tcW w:w="1220" w:type="dxa"/>
            <w:vAlign w:val="bottom"/>
            <w:tcBorders>
              <w:bottom w:val="single" w:sz="8" w:color="010035"/>
            </w:tcBorders>
          </w:tcPr>
          <w:p>
            <w:pPr>
              <w:spacing w:after="0"/>
              <w:rPr>
                <w:sz w:val="3"/>
                <w:szCs w:val="3"/>
                <w:color w:val="auto"/>
              </w:rPr>
            </w:pPr>
          </w:p>
        </w:tc>
        <w:tc>
          <w:tcPr>
            <w:tcW w:w="1160" w:type="dxa"/>
            <w:vAlign w:val="bottom"/>
            <w:tcBorders>
              <w:bottom w:val="single" w:sz="8" w:color="010035"/>
            </w:tcBorders>
          </w:tcPr>
          <w:p>
            <w:pPr>
              <w:spacing w:after="0"/>
              <w:rPr>
                <w:sz w:val="3"/>
                <w:szCs w:val="3"/>
                <w:color w:val="auto"/>
              </w:rPr>
            </w:pPr>
          </w:p>
        </w:tc>
        <w:tc>
          <w:tcPr>
            <w:tcW w:w="1160" w:type="dxa"/>
            <w:vAlign w:val="bottom"/>
            <w:tcBorders>
              <w:bottom w:val="single" w:sz="8" w:color="010035"/>
            </w:tcBorders>
          </w:tcPr>
          <w:p>
            <w:pPr>
              <w:spacing w:after="0"/>
              <w:rPr>
                <w:sz w:val="3"/>
                <w:szCs w:val="3"/>
                <w:color w:val="auto"/>
              </w:rPr>
            </w:pPr>
          </w:p>
        </w:tc>
        <w:tc>
          <w:tcPr>
            <w:tcW w:w="40" w:type="dxa"/>
            <w:vAlign w:val="bottom"/>
            <w:tcBorders>
              <w:bottom w:val="single" w:sz="8" w:color="010035"/>
            </w:tcBorders>
          </w:tcPr>
          <w:p>
            <w:pPr>
              <w:spacing w:after="0"/>
              <w:rPr>
                <w:sz w:val="3"/>
                <w:szCs w:val="3"/>
                <w:color w:val="auto"/>
              </w:rPr>
            </w:pPr>
          </w:p>
        </w:tc>
        <w:tc>
          <w:tcPr>
            <w:tcW w:w="680" w:type="dxa"/>
            <w:vAlign w:val="bottom"/>
            <w:tcBorders>
              <w:bottom w:val="single" w:sz="8" w:color="010035"/>
            </w:tcBorders>
          </w:tcPr>
          <w:p>
            <w:pPr>
              <w:spacing w:after="0"/>
              <w:rPr>
                <w:sz w:val="3"/>
                <w:szCs w:val="3"/>
                <w:color w:val="auto"/>
              </w:rPr>
            </w:pPr>
          </w:p>
        </w:tc>
        <w:tc>
          <w:tcPr>
            <w:tcW w:w="960" w:type="dxa"/>
            <w:vAlign w:val="bottom"/>
            <w:tcBorders>
              <w:bottom w:val="single" w:sz="8" w:color="0100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80" w:right="140" w:hanging="174"/>
        <w:spacing w:after="0" w:line="248" w:lineRule="auto"/>
        <w:tabs>
          <w:tab w:leader="none" w:pos="180" w:val="left"/>
        </w:tabs>
        <w:numPr>
          <w:ilvl w:val="0"/>
          <w:numId w:val="68"/>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dollar amounts reported are the amounts of total compensation reported for Mr. Snowden (our Principal Executive Officer) for each corresponding year in the “Total” column of the Summary Compensation Table. Refer to “Executive Compensation—Compensation Tables and Arrangements—2025 Summary Compensation Table.”</w:t>
      </w:r>
    </w:p>
    <w:p>
      <w:pPr>
        <w:ind w:left="180" w:right="40" w:hanging="174"/>
        <w:spacing w:after="0" w:line="239" w:lineRule="auto"/>
        <w:tabs>
          <w:tab w:leader="none" w:pos="180" w:val="left"/>
        </w:tabs>
        <w:numPr>
          <w:ilvl w:val="0"/>
          <w:numId w:val="69"/>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dollar amounts reported represent the amount of “compensation actually paid” to Mr. Snowden, as computed in accordance with Item 402(v) of Regulation S-K. The dollar amounts do not reflect the actual amount of compensation earned by or paid to Mr. Snowden during the applicable year. In accordance with the requirements of Item 402(v) of Regulation S-K, the below “Compensation Actually Paid Calculation” table displays the adjustments made to Mr. Snowden’s total compensation for each year to determine the compensation actually paid.</w:t>
      </w:r>
    </w:p>
    <w:p>
      <w:pPr>
        <w:spacing w:after="0" w:line="8" w:lineRule="exact"/>
        <w:rPr>
          <w:sz w:val="20"/>
          <w:szCs w:val="20"/>
          <w:color w:val="auto"/>
        </w:rPr>
      </w:pPr>
    </w:p>
    <w:p>
      <w:pPr>
        <w:ind w:left="180" w:right="20" w:hanging="174"/>
        <w:spacing w:after="0" w:line="242" w:lineRule="auto"/>
        <w:tabs>
          <w:tab w:leader="none" w:pos="180" w:val="left"/>
        </w:tabs>
        <w:numPr>
          <w:ilvl w:val="0"/>
          <w:numId w:val="70"/>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dollar amounts reported represent the average of the amounts reported for the Company’s named executive officers (NEOs) as a group (excluding Mr. Snowden) in the “Total” column of the Summary Compensation Table in each applicable year. The names of each of the NEOs (excluding Mr. Snowden) included for purposes of calculating the average amounts in each applicable year are as follows: (i) for 2022, 2023 and 2024, Felicia Hendrix, Todd George and Chris Rogers; and (ii) for 2021, Felicia Hendrix, Todd George and Harper Ko.</w:t>
      </w:r>
    </w:p>
    <w:p>
      <w:pPr>
        <w:spacing w:after="0" w:line="1" w:lineRule="exact"/>
        <w:rPr>
          <w:sz w:val="20"/>
          <w:szCs w:val="20"/>
          <w:color w:val="auto"/>
        </w:rPr>
      </w:pPr>
    </w:p>
    <w:p>
      <w:pPr>
        <w:ind w:left="180" w:right="20" w:hanging="174"/>
        <w:spacing w:after="0" w:line="236" w:lineRule="auto"/>
        <w:tabs>
          <w:tab w:leader="none" w:pos="180" w:val="left"/>
        </w:tabs>
        <w:numPr>
          <w:ilvl w:val="0"/>
          <w:numId w:val="71"/>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dollar amounts reported represent the average amount of “compensation actually paid” to the NEOs as a group (excluding Mr. Snowden), as computed in accordance with Item 402(v) of Regulation S-K. The dollar amounts do not reflect the actual average amount of compensation earned by or paid to the NEOs as a group (excluding Mr. Snowden) during the applicable year. In accordance with the requirements of Item 402(v) of Regulation S-K, the below “Compensation Actually Paid Calculation” table displays the adjustments made to average total compensation for the NEOs as a group (excluding Mr. Snowden) for each year to determine the average compensation actually paid to the NEOs as a group (excluding Mr. Snowden).</w:t>
      </w:r>
    </w:p>
    <w:p>
      <w:pPr>
        <w:spacing w:after="0" w:line="2" w:lineRule="exact"/>
        <w:rPr>
          <w:sz w:val="20"/>
          <w:szCs w:val="20"/>
          <w:color w:val="auto"/>
        </w:rPr>
      </w:pPr>
    </w:p>
    <w:p>
      <w:pPr>
        <w:ind w:left="180" w:right="20" w:hanging="174"/>
        <w:spacing w:after="0" w:line="246" w:lineRule="auto"/>
        <w:tabs>
          <w:tab w:leader="none" w:pos="180" w:val="left"/>
        </w:tabs>
        <w:numPr>
          <w:ilvl w:val="0"/>
          <w:numId w:val="72"/>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5" w:lineRule="exact"/>
        <w:rPr>
          <w:sz w:val="20"/>
          <w:szCs w:val="20"/>
          <w:color w:val="auto"/>
        </w:rPr>
      </w:pPr>
    </w:p>
    <w:p>
      <w:pPr>
        <w:ind w:left="180" w:right="120" w:hanging="174"/>
        <w:spacing w:after="0" w:line="248" w:lineRule="auto"/>
        <w:tabs>
          <w:tab w:leader="none" w:pos="180" w:val="left"/>
        </w:tabs>
        <w:numPr>
          <w:ilvl w:val="0"/>
          <w:numId w:val="73"/>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Represents the weighted peer group TSR, weighted according to the respective companies’ stock market capitalization at the beginning of each period for which a return is indicated. The peer group used for this purpose is the following published industry index: Russell 3000 Casino and Gambling Index.</w:t>
      </w:r>
    </w:p>
    <w:p>
      <w:pPr>
        <w:ind w:left="180" w:hanging="174"/>
        <w:spacing w:after="0"/>
        <w:tabs>
          <w:tab w:leader="none" w:pos="180" w:val="left"/>
        </w:tabs>
        <w:numPr>
          <w:ilvl w:val="0"/>
          <w:numId w:val="74"/>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dollar amounts reported represent the amount of net income (loss) reflected in the Company’s audited financial statements for the applicable year.</w:t>
      </w:r>
    </w:p>
    <w:p>
      <w:pPr>
        <w:spacing w:after="0" w:line="9" w:lineRule="exact"/>
        <w:rPr>
          <w:sz w:val="20"/>
          <w:szCs w:val="20"/>
          <w:color w:val="auto"/>
        </w:rPr>
      </w:pPr>
    </w:p>
    <w:p>
      <w:pPr>
        <w:ind w:left="180" w:right="20" w:hanging="174"/>
        <w:spacing w:after="0" w:line="239" w:lineRule="auto"/>
        <w:tabs>
          <w:tab w:leader="none" w:pos="180" w:val="left"/>
        </w:tabs>
        <w:numPr>
          <w:ilvl w:val="0"/>
          <w:numId w:val="75"/>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Company believes Adjusted EBITDAR is the financial performance measure most closely linked to the calculation of compensation actually paid. Adjusted EBITDAR is a non-GAAP financial measure. For a definition and reconciliation of this non-GAAP financial measure to the most directly comparable GAAP measure, see Appendix B to this Proxy Statement entitled “Reconciliation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116840</wp:posOffset>
            </wp:positionV>
            <wp:extent cx="699516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Compensation Actually Paid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1620" w:type="dxa"/>
            <w:vAlign w:val="bottom"/>
          </w:tcPr>
          <w:p>
            <w:pPr>
              <w:spacing w:after="0"/>
              <w:rPr>
                <w:sz w:val="24"/>
                <w:szCs w:val="24"/>
                <w:color w:val="auto"/>
              </w:rPr>
            </w:pPr>
          </w:p>
        </w:tc>
        <w:tc>
          <w:tcPr>
            <w:tcW w:w="760" w:type="dxa"/>
            <w:vAlign w:val="bottom"/>
            <w:tcBorders>
              <w:top w:val="single" w:sz="8" w:color="69439A"/>
            </w:tcBorders>
            <w:shd w:val="clear" w:color="auto" w:fill="010035"/>
          </w:tcPr>
          <w:p>
            <w:pPr>
              <w:spacing w:after="0"/>
              <w:rPr>
                <w:sz w:val="24"/>
                <w:szCs w:val="24"/>
                <w:color w:val="auto"/>
              </w:rPr>
            </w:pPr>
          </w:p>
        </w:tc>
        <w:tc>
          <w:tcPr>
            <w:tcW w:w="780" w:type="dxa"/>
            <w:vAlign w:val="bottom"/>
            <w:tcBorders>
              <w:top w:val="single" w:sz="8" w:color="69439A"/>
            </w:tcBorders>
            <w:shd w:val="clear" w:color="auto" w:fill="010035"/>
          </w:tcPr>
          <w:p>
            <w:pPr>
              <w:spacing w:after="0"/>
              <w:rPr>
                <w:sz w:val="24"/>
                <w:szCs w:val="24"/>
                <w:color w:val="auto"/>
              </w:rPr>
            </w:pPr>
          </w:p>
        </w:tc>
        <w:tc>
          <w:tcPr>
            <w:tcW w:w="760" w:type="dxa"/>
            <w:vAlign w:val="bottom"/>
            <w:tcBorders>
              <w:top w:val="single" w:sz="8" w:color="69439A"/>
            </w:tcBorders>
            <w:shd w:val="clear" w:color="auto" w:fill="010035"/>
          </w:tcPr>
          <w:p>
            <w:pPr>
              <w:jc w:val="right"/>
              <w:ind w:right="77"/>
              <w:spacing w:after="0"/>
              <w:rPr>
                <w:sz w:val="20"/>
                <w:szCs w:val="20"/>
                <w:color w:val="auto"/>
              </w:rPr>
            </w:pPr>
            <w:r>
              <w:rPr>
                <w:rFonts w:ascii="Arial" w:cs="Arial" w:eastAsia="Arial" w:hAnsi="Arial"/>
                <w:sz w:val="16"/>
                <w:szCs w:val="16"/>
                <w:b w:val="1"/>
                <w:bCs w:val="1"/>
                <w:color w:val="FFFFFF"/>
              </w:rPr>
              <w:t>PEO</w:t>
            </w:r>
          </w:p>
        </w:tc>
        <w:tc>
          <w:tcPr>
            <w:tcW w:w="840" w:type="dxa"/>
            <w:vAlign w:val="bottom"/>
            <w:tcBorders>
              <w:top w:val="single" w:sz="8" w:color="69439A"/>
            </w:tcBorders>
            <w:shd w:val="clear" w:color="auto" w:fill="010035"/>
          </w:tcPr>
          <w:p>
            <w:pPr>
              <w:spacing w:after="0"/>
              <w:rPr>
                <w:sz w:val="24"/>
                <w:szCs w:val="24"/>
                <w:color w:val="auto"/>
              </w:rPr>
            </w:pPr>
          </w:p>
        </w:tc>
        <w:tc>
          <w:tcPr>
            <w:tcW w:w="840" w:type="dxa"/>
            <w:vAlign w:val="bottom"/>
            <w:tcBorders>
              <w:top w:val="single" w:sz="8" w:color="69439A"/>
            </w:tcBorders>
            <w:shd w:val="clear" w:color="auto" w:fill="010035"/>
          </w:tcPr>
          <w:p>
            <w:pPr>
              <w:spacing w:after="0"/>
              <w:rPr>
                <w:sz w:val="24"/>
                <w:szCs w:val="24"/>
                <w:color w:val="auto"/>
              </w:rPr>
            </w:pPr>
          </w:p>
        </w:tc>
        <w:tc>
          <w:tcPr>
            <w:tcW w:w="760" w:type="dxa"/>
            <w:vAlign w:val="bottom"/>
            <w:tcBorders>
              <w:top w:val="single" w:sz="8" w:color="69439A"/>
            </w:tcBorders>
            <w:shd w:val="clear" w:color="auto" w:fill="010035"/>
          </w:tcPr>
          <w:p>
            <w:pPr>
              <w:spacing w:after="0"/>
              <w:rPr>
                <w:sz w:val="24"/>
                <w:szCs w:val="24"/>
                <w:color w:val="auto"/>
              </w:rPr>
            </w:pPr>
          </w:p>
        </w:tc>
        <w:tc>
          <w:tcPr>
            <w:tcW w:w="2240" w:type="dxa"/>
            <w:vAlign w:val="bottom"/>
            <w:tcBorders>
              <w:top w:val="single" w:sz="8" w:color="69439A"/>
            </w:tcBorders>
            <w:gridSpan w:val="3"/>
            <w:shd w:val="clear" w:color="auto" w:fill="010035"/>
          </w:tcPr>
          <w:p>
            <w:pPr>
              <w:jc w:val="center"/>
              <w:spacing w:after="0"/>
              <w:rPr>
                <w:sz w:val="20"/>
                <w:szCs w:val="20"/>
                <w:color w:val="auto"/>
              </w:rPr>
            </w:pPr>
            <w:r>
              <w:rPr>
                <w:rFonts w:ascii="Arial" w:cs="Arial" w:eastAsia="Arial" w:hAnsi="Arial"/>
                <w:sz w:val="16"/>
                <w:szCs w:val="16"/>
                <w:b w:val="1"/>
                <w:bCs w:val="1"/>
                <w:color w:val="FFFFFF"/>
                <w:w w:val="87"/>
              </w:rPr>
              <w:t>NEO AVERAGE</w:t>
            </w:r>
          </w:p>
        </w:tc>
        <w:tc>
          <w:tcPr>
            <w:tcW w:w="800" w:type="dxa"/>
            <w:vAlign w:val="bottom"/>
            <w:tcBorders>
              <w:top w:val="single" w:sz="8" w:color="69439A"/>
            </w:tcBorders>
            <w:shd w:val="clear" w:color="auto" w:fill="010035"/>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760" w:type="dxa"/>
            <w:vAlign w:val="bottom"/>
            <w:shd w:val="clear" w:color="auto" w:fill="010035"/>
          </w:tcPr>
          <w:p>
            <w:pPr>
              <w:spacing w:after="0"/>
              <w:rPr>
                <w:sz w:val="5"/>
                <w:szCs w:val="5"/>
                <w:color w:val="auto"/>
              </w:rPr>
            </w:pPr>
          </w:p>
        </w:tc>
        <w:tc>
          <w:tcPr>
            <w:tcW w:w="780" w:type="dxa"/>
            <w:vAlign w:val="bottom"/>
            <w:shd w:val="clear" w:color="auto" w:fill="010035"/>
          </w:tcPr>
          <w:p>
            <w:pPr>
              <w:spacing w:after="0"/>
              <w:rPr>
                <w:sz w:val="5"/>
                <w:szCs w:val="5"/>
                <w:color w:val="auto"/>
              </w:rPr>
            </w:pPr>
          </w:p>
        </w:tc>
        <w:tc>
          <w:tcPr>
            <w:tcW w:w="760" w:type="dxa"/>
            <w:vAlign w:val="bottom"/>
            <w:shd w:val="clear" w:color="auto" w:fill="010035"/>
          </w:tcPr>
          <w:p>
            <w:pPr>
              <w:spacing w:after="0"/>
              <w:rPr>
                <w:sz w:val="5"/>
                <w:szCs w:val="5"/>
                <w:color w:val="auto"/>
              </w:rPr>
            </w:pPr>
          </w:p>
        </w:tc>
        <w:tc>
          <w:tcPr>
            <w:tcW w:w="840" w:type="dxa"/>
            <w:vAlign w:val="bottom"/>
            <w:shd w:val="clear" w:color="auto" w:fill="010035"/>
          </w:tcPr>
          <w:p>
            <w:pPr>
              <w:spacing w:after="0"/>
              <w:rPr>
                <w:sz w:val="5"/>
                <w:szCs w:val="5"/>
                <w:color w:val="auto"/>
              </w:rPr>
            </w:pPr>
          </w:p>
        </w:tc>
        <w:tc>
          <w:tcPr>
            <w:tcW w:w="840" w:type="dxa"/>
            <w:vAlign w:val="bottom"/>
            <w:shd w:val="clear" w:color="auto" w:fill="010035"/>
          </w:tcPr>
          <w:p>
            <w:pPr>
              <w:spacing w:after="0"/>
              <w:rPr>
                <w:sz w:val="5"/>
                <w:szCs w:val="5"/>
                <w:color w:val="auto"/>
              </w:rPr>
            </w:pPr>
          </w:p>
        </w:tc>
        <w:tc>
          <w:tcPr>
            <w:tcW w:w="760" w:type="dxa"/>
            <w:vAlign w:val="bottom"/>
            <w:shd w:val="clear" w:color="auto" w:fill="010035"/>
          </w:tcPr>
          <w:p>
            <w:pPr>
              <w:spacing w:after="0"/>
              <w:rPr>
                <w:sz w:val="5"/>
                <w:szCs w:val="5"/>
                <w:color w:val="auto"/>
              </w:rPr>
            </w:pPr>
          </w:p>
        </w:tc>
        <w:tc>
          <w:tcPr>
            <w:tcW w:w="760" w:type="dxa"/>
            <w:vAlign w:val="bottom"/>
            <w:shd w:val="clear" w:color="auto" w:fill="010035"/>
          </w:tcPr>
          <w:p>
            <w:pPr>
              <w:spacing w:after="0"/>
              <w:rPr>
                <w:sz w:val="5"/>
                <w:szCs w:val="5"/>
                <w:color w:val="auto"/>
              </w:rPr>
            </w:pPr>
          </w:p>
        </w:tc>
        <w:tc>
          <w:tcPr>
            <w:tcW w:w="700" w:type="dxa"/>
            <w:vAlign w:val="bottom"/>
            <w:shd w:val="clear" w:color="auto" w:fill="010035"/>
          </w:tcPr>
          <w:p>
            <w:pPr>
              <w:spacing w:after="0"/>
              <w:rPr>
                <w:sz w:val="5"/>
                <w:szCs w:val="5"/>
                <w:color w:val="auto"/>
              </w:rPr>
            </w:pPr>
          </w:p>
        </w:tc>
        <w:tc>
          <w:tcPr>
            <w:tcW w:w="780" w:type="dxa"/>
            <w:vAlign w:val="bottom"/>
            <w:shd w:val="clear" w:color="auto" w:fill="010035"/>
          </w:tcPr>
          <w:p>
            <w:pPr>
              <w:spacing w:after="0"/>
              <w:rPr>
                <w:sz w:val="5"/>
                <w:szCs w:val="5"/>
                <w:color w:val="auto"/>
              </w:rPr>
            </w:pPr>
          </w:p>
        </w:tc>
        <w:tc>
          <w:tcPr>
            <w:tcW w:w="800" w:type="dxa"/>
            <w:vAlign w:val="bottom"/>
            <w:shd w:val="clear" w:color="auto" w:fill="010035"/>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760" w:type="dxa"/>
            <w:vAlign w:val="bottom"/>
            <w:shd w:val="clear" w:color="auto" w:fill="010035"/>
          </w:tcPr>
          <w:p>
            <w:pPr>
              <w:jc w:val="right"/>
              <w:ind w:right="159"/>
              <w:spacing w:after="0"/>
              <w:rPr>
                <w:sz w:val="20"/>
                <w:szCs w:val="20"/>
                <w:color w:val="auto"/>
              </w:rPr>
            </w:pPr>
            <w:r>
              <w:rPr>
                <w:rFonts w:ascii="Arial" w:cs="Arial" w:eastAsia="Arial" w:hAnsi="Arial"/>
                <w:sz w:val="16"/>
                <w:szCs w:val="16"/>
                <w:b w:val="1"/>
                <w:bCs w:val="1"/>
                <w:color w:val="FFFFFF"/>
              </w:rPr>
              <w:t>2025</w:t>
            </w:r>
          </w:p>
        </w:tc>
        <w:tc>
          <w:tcPr>
            <w:tcW w:w="780" w:type="dxa"/>
            <w:vAlign w:val="bottom"/>
            <w:shd w:val="clear" w:color="auto" w:fill="010035"/>
          </w:tcPr>
          <w:p>
            <w:pPr>
              <w:jc w:val="right"/>
              <w:ind w:right="179"/>
              <w:spacing w:after="0"/>
              <w:rPr>
                <w:sz w:val="20"/>
                <w:szCs w:val="20"/>
                <w:color w:val="auto"/>
              </w:rPr>
            </w:pPr>
            <w:r>
              <w:rPr>
                <w:rFonts w:ascii="Arial" w:cs="Arial" w:eastAsia="Arial" w:hAnsi="Arial"/>
                <w:sz w:val="16"/>
                <w:szCs w:val="16"/>
                <w:b w:val="1"/>
                <w:bCs w:val="1"/>
                <w:color w:val="FFFFFF"/>
              </w:rPr>
              <w:t>2024</w:t>
            </w:r>
          </w:p>
        </w:tc>
        <w:tc>
          <w:tcPr>
            <w:tcW w:w="760" w:type="dxa"/>
            <w:vAlign w:val="bottom"/>
            <w:shd w:val="clear" w:color="auto" w:fill="010035"/>
          </w:tcPr>
          <w:p>
            <w:pPr>
              <w:jc w:val="right"/>
              <w:ind w:right="157"/>
              <w:spacing w:after="0"/>
              <w:rPr>
                <w:sz w:val="20"/>
                <w:szCs w:val="20"/>
                <w:color w:val="auto"/>
              </w:rPr>
            </w:pPr>
            <w:r>
              <w:rPr>
                <w:rFonts w:ascii="Arial" w:cs="Arial" w:eastAsia="Arial" w:hAnsi="Arial"/>
                <w:sz w:val="16"/>
                <w:szCs w:val="16"/>
                <w:b w:val="1"/>
                <w:bCs w:val="1"/>
                <w:color w:val="FFFFFF"/>
              </w:rPr>
              <w:t>2023</w:t>
            </w:r>
          </w:p>
        </w:tc>
        <w:tc>
          <w:tcPr>
            <w:tcW w:w="840" w:type="dxa"/>
            <w:vAlign w:val="bottom"/>
            <w:shd w:val="clear" w:color="auto" w:fill="010035"/>
          </w:tcPr>
          <w:p>
            <w:pPr>
              <w:jc w:val="right"/>
              <w:ind w:right="179"/>
              <w:spacing w:after="0"/>
              <w:rPr>
                <w:sz w:val="20"/>
                <w:szCs w:val="20"/>
                <w:color w:val="auto"/>
              </w:rPr>
            </w:pPr>
            <w:r>
              <w:rPr>
                <w:rFonts w:ascii="Arial" w:cs="Arial" w:eastAsia="Arial" w:hAnsi="Arial"/>
                <w:sz w:val="16"/>
                <w:szCs w:val="16"/>
                <w:b w:val="1"/>
                <w:bCs w:val="1"/>
                <w:color w:val="FFFFFF"/>
              </w:rPr>
              <w:t>2022</w:t>
            </w:r>
          </w:p>
        </w:tc>
        <w:tc>
          <w:tcPr>
            <w:tcW w:w="840" w:type="dxa"/>
            <w:vAlign w:val="bottom"/>
            <w:shd w:val="clear" w:color="auto" w:fill="010035"/>
          </w:tcPr>
          <w:p>
            <w:pPr>
              <w:jc w:val="right"/>
              <w:ind w:right="199"/>
              <w:spacing w:after="0"/>
              <w:rPr>
                <w:sz w:val="20"/>
                <w:szCs w:val="20"/>
                <w:color w:val="auto"/>
              </w:rPr>
            </w:pPr>
            <w:r>
              <w:rPr>
                <w:rFonts w:ascii="Arial" w:cs="Arial" w:eastAsia="Arial" w:hAnsi="Arial"/>
                <w:sz w:val="16"/>
                <w:szCs w:val="16"/>
                <w:b w:val="1"/>
                <w:bCs w:val="1"/>
                <w:color w:val="FFFFFF"/>
              </w:rPr>
              <w:t>2021</w:t>
            </w:r>
          </w:p>
        </w:tc>
        <w:tc>
          <w:tcPr>
            <w:tcW w:w="760" w:type="dxa"/>
            <w:vAlign w:val="bottom"/>
            <w:shd w:val="clear" w:color="auto" w:fill="010035"/>
          </w:tcPr>
          <w:p>
            <w:pPr>
              <w:jc w:val="right"/>
              <w:ind w:right="139"/>
              <w:spacing w:after="0"/>
              <w:rPr>
                <w:sz w:val="20"/>
                <w:szCs w:val="20"/>
                <w:color w:val="auto"/>
              </w:rPr>
            </w:pPr>
            <w:r>
              <w:rPr>
                <w:rFonts w:ascii="Arial" w:cs="Arial" w:eastAsia="Arial" w:hAnsi="Arial"/>
                <w:sz w:val="16"/>
                <w:szCs w:val="16"/>
                <w:b w:val="1"/>
                <w:bCs w:val="1"/>
                <w:color w:val="FFFFFF"/>
              </w:rPr>
              <w:t>2025</w:t>
            </w:r>
          </w:p>
        </w:tc>
        <w:tc>
          <w:tcPr>
            <w:tcW w:w="760" w:type="dxa"/>
            <w:vAlign w:val="bottom"/>
            <w:shd w:val="clear" w:color="auto" w:fill="010035"/>
          </w:tcPr>
          <w:p>
            <w:pPr>
              <w:jc w:val="right"/>
              <w:ind w:right="157"/>
              <w:spacing w:after="0"/>
              <w:rPr>
                <w:sz w:val="20"/>
                <w:szCs w:val="20"/>
                <w:color w:val="auto"/>
              </w:rPr>
            </w:pPr>
            <w:r>
              <w:rPr>
                <w:rFonts w:ascii="Arial" w:cs="Arial" w:eastAsia="Arial" w:hAnsi="Arial"/>
                <w:sz w:val="16"/>
                <w:szCs w:val="16"/>
                <w:b w:val="1"/>
                <w:bCs w:val="1"/>
                <w:color w:val="FFFFFF"/>
              </w:rPr>
              <w:t>2024</w:t>
            </w:r>
          </w:p>
        </w:tc>
        <w:tc>
          <w:tcPr>
            <w:tcW w:w="700" w:type="dxa"/>
            <w:vAlign w:val="bottom"/>
            <w:shd w:val="clear" w:color="auto" w:fill="010035"/>
          </w:tcPr>
          <w:p>
            <w:pPr>
              <w:jc w:val="right"/>
              <w:ind w:right="119"/>
              <w:spacing w:after="0"/>
              <w:rPr>
                <w:sz w:val="20"/>
                <w:szCs w:val="20"/>
                <w:color w:val="auto"/>
              </w:rPr>
            </w:pPr>
            <w:r>
              <w:rPr>
                <w:rFonts w:ascii="Arial" w:cs="Arial" w:eastAsia="Arial" w:hAnsi="Arial"/>
                <w:sz w:val="16"/>
                <w:szCs w:val="16"/>
                <w:b w:val="1"/>
                <w:bCs w:val="1"/>
                <w:color w:val="FFFFFF"/>
              </w:rPr>
              <w:t>2023</w:t>
            </w:r>
          </w:p>
        </w:tc>
        <w:tc>
          <w:tcPr>
            <w:tcW w:w="780" w:type="dxa"/>
            <w:vAlign w:val="bottom"/>
            <w:shd w:val="clear" w:color="auto" w:fill="010035"/>
          </w:tcPr>
          <w:p>
            <w:pPr>
              <w:jc w:val="right"/>
              <w:ind w:right="159"/>
              <w:spacing w:after="0"/>
              <w:rPr>
                <w:sz w:val="20"/>
                <w:szCs w:val="20"/>
                <w:color w:val="auto"/>
              </w:rPr>
            </w:pPr>
            <w:r>
              <w:rPr>
                <w:rFonts w:ascii="Arial" w:cs="Arial" w:eastAsia="Arial" w:hAnsi="Arial"/>
                <w:sz w:val="16"/>
                <w:szCs w:val="16"/>
                <w:b w:val="1"/>
                <w:bCs w:val="1"/>
                <w:color w:val="FFFFFF"/>
              </w:rPr>
              <w:t>2022</w:t>
            </w:r>
          </w:p>
        </w:tc>
        <w:tc>
          <w:tcPr>
            <w:tcW w:w="800" w:type="dxa"/>
            <w:vAlign w:val="bottom"/>
            <w:shd w:val="clear" w:color="auto" w:fill="010035"/>
          </w:tcPr>
          <w:p>
            <w:pPr>
              <w:jc w:val="right"/>
              <w:ind w:right="199"/>
              <w:spacing w:after="0"/>
              <w:rPr>
                <w:sz w:val="20"/>
                <w:szCs w:val="20"/>
                <w:color w:val="auto"/>
              </w:rPr>
            </w:pPr>
            <w:r>
              <w:rPr>
                <w:rFonts w:ascii="Arial" w:cs="Arial" w:eastAsia="Arial" w:hAnsi="Arial"/>
                <w:sz w:val="16"/>
                <w:szCs w:val="16"/>
                <w:b w:val="1"/>
                <w:bCs w:val="1"/>
                <w:color w:val="FFFFFF"/>
              </w:rPr>
              <w:t>2021</w:t>
            </w:r>
          </w:p>
        </w:tc>
        <w:tc>
          <w:tcPr>
            <w:tcW w:w="0" w:type="dxa"/>
            <w:vAlign w:val="bottom"/>
          </w:tcPr>
          <w:p>
            <w:pPr>
              <w:spacing w:after="0"/>
              <w:rPr>
                <w:sz w:val="1"/>
                <w:szCs w:val="1"/>
                <w:color w:val="auto"/>
              </w:rPr>
            </w:pPr>
          </w:p>
        </w:tc>
      </w:tr>
      <w:tr>
        <w:trPr>
          <w:trHeight w:val="96"/>
        </w:trPr>
        <w:tc>
          <w:tcPr>
            <w:tcW w:w="1620" w:type="dxa"/>
            <w:vAlign w:val="bottom"/>
            <w:tcBorders>
              <w:bottom w:val="single" w:sz="8" w:color="69439A"/>
            </w:tcBorders>
          </w:tcPr>
          <w:p>
            <w:pPr>
              <w:spacing w:after="0"/>
              <w:rPr>
                <w:sz w:val="8"/>
                <w:szCs w:val="8"/>
                <w:color w:val="auto"/>
              </w:rPr>
            </w:pPr>
          </w:p>
        </w:tc>
        <w:tc>
          <w:tcPr>
            <w:tcW w:w="760" w:type="dxa"/>
            <w:vAlign w:val="bottom"/>
            <w:tcBorders>
              <w:bottom w:val="single" w:sz="8" w:color="69439A"/>
            </w:tcBorders>
            <w:shd w:val="clear" w:color="auto" w:fill="010035"/>
          </w:tcPr>
          <w:p>
            <w:pPr>
              <w:spacing w:after="0"/>
              <w:rPr>
                <w:sz w:val="8"/>
                <w:szCs w:val="8"/>
                <w:color w:val="auto"/>
              </w:rPr>
            </w:pPr>
          </w:p>
        </w:tc>
        <w:tc>
          <w:tcPr>
            <w:tcW w:w="780" w:type="dxa"/>
            <w:vAlign w:val="bottom"/>
            <w:tcBorders>
              <w:bottom w:val="single" w:sz="8" w:color="69439A"/>
            </w:tcBorders>
            <w:shd w:val="clear" w:color="auto" w:fill="010035"/>
          </w:tcPr>
          <w:p>
            <w:pPr>
              <w:spacing w:after="0"/>
              <w:rPr>
                <w:sz w:val="8"/>
                <w:szCs w:val="8"/>
                <w:color w:val="auto"/>
              </w:rPr>
            </w:pPr>
          </w:p>
        </w:tc>
        <w:tc>
          <w:tcPr>
            <w:tcW w:w="760" w:type="dxa"/>
            <w:vAlign w:val="bottom"/>
            <w:tcBorders>
              <w:bottom w:val="single" w:sz="8" w:color="69439A"/>
            </w:tcBorders>
            <w:shd w:val="clear" w:color="auto" w:fill="010035"/>
          </w:tcPr>
          <w:p>
            <w:pPr>
              <w:spacing w:after="0"/>
              <w:rPr>
                <w:sz w:val="8"/>
                <w:szCs w:val="8"/>
                <w:color w:val="auto"/>
              </w:rPr>
            </w:pPr>
          </w:p>
        </w:tc>
        <w:tc>
          <w:tcPr>
            <w:tcW w:w="840" w:type="dxa"/>
            <w:vAlign w:val="bottom"/>
            <w:tcBorders>
              <w:bottom w:val="single" w:sz="8" w:color="69439A"/>
            </w:tcBorders>
            <w:shd w:val="clear" w:color="auto" w:fill="010035"/>
          </w:tcPr>
          <w:p>
            <w:pPr>
              <w:spacing w:after="0"/>
              <w:rPr>
                <w:sz w:val="8"/>
                <w:szCs w:val="8"/>
                <w:color w:val="auto"/>
              </w:rPr>
            </w:pPr>
          </w:p>
        </w:tc>
        <w:tc>
          <w:tcPr>
            <w:tcW w:w="840" w:type="dxa"/>
            <w:vAlign w:val="bottom"/>
            <w:tcBorders>
              <w:bottom w:val="single" w:sz="8" w:color="69439A"/>
            </w:tcBorders>
            <w:shd w:val="clear" w:color="auto" w:fill="010035"/>
          </w:tcPr>
          <w:p>
            <w:pPr>
              <w:spacing w:after="0"/>
              <w:rPr>
                <w:sz w:val="8"/>
                <w:szCs w:val="8"/>
                <w:color w:val="auto"/>
              </w:rPr>
            </w:pPr>
          </w:p>
        </w:tc>
        <w:tc>
          <w:tcPr>
            <w:tcW w:w="760" w:type="dxa"/>
            <w:vAlign w:val="bottom"/>
            <w:tcBorders>
              <w:bottom w:val="single" w:sz="8" w:color="69439A"/>
            </w:tcBorders>
            <w:shd w:val="clear" w:color="auto" w:fill="010035"/>
          </w:tcPr>
          <w:p>
            <w:pPr>
              <w:spacing w:after="0"/>
              <w:rPr>
                <w:sz w:val="8"/>
                <w:szCs w:val="8"/>
                <w:color w:val="auto"/>
              </w:rPr>
            </w:pPr>
          </w:p>
        </w:tc>
        <w:tc>
          <w:tcPr>
            <w:tcW w:w="760" w:type="dxa"/>
            <w:vAlign w:val="bottom"/>
            <w:tcBorders>
              <w:bottom w:val="single" w:sz="8" w:color="69439A"/>
            </w:tcBorders>
            <w:shd w:val="clear" w:color="auto" w:fill="010035"/>
          </w:tcPr>
          <w:p>
            <w:pPr>
              <w:spacing w:after="0"/>
              <w:rPr>
                <w:sz w:val="8"/>
                <w:szCs w:val="8"/>
                <w:color w:val="auto"/>
              </w:rPr>
            </w:pPr>
          </w:p>
        </w:tc>
        <w:tc>
          <w:tcPr>
            <w:tcW w:w="700" w:type="dxa"/>
            <w:vAlign w:val="bottom"/>
            <w:tcBorders>
              <w:bottom w:val="single" w:sz="8" w:color="69439A"/>
            </w:tcBorders>
            <w:shd w:val="clear" w:color="auto" w:fill="010035"/>
          </w:tcPr>
          <w:p>
            <w:pPr>
              <w:spacing w:after="0"/>
              <w:rPr>
                <w:sz w:val="8"/>
                <w:szCs w:val="8"/>
                <w:color w:val="auto"/>
              </w:rPr>
            </w:pPr>
          </w:p>
        </w:tc>
        <w:tc>
          <w:tcPr>
            <w:tcW w:w="780" w:type="dxa"/>
            <w:vAlign w:val="bottom"/>
            <w:tcBorders>
              <w:bottom w:val="single" w:sz="8" w:color="69439A"/>
            </w:tcBorders>
            <w:shd w:val="clear" w:color="auto" w:fill="010035"/>
          </w:tcPr>
          <w:p>
            <w:pPr>
              <w:spacing w:after="0"/>
              <w:rPr>
                <w:sz w:val="8"/>
                <w:szCs w:val="8"/>
                <w:color w:val="auto"/>
              </w:rPr>
            </w:pPr>
          </w:p>
        </w:tc>
        <w:tc>
          <w:tcPr>
            <w:tcW w:w="800" w:type="dxa"/>
            <w:vAlign w:val="bottom"/>
            <w:tcBorders>
              <w:bottom w:val="single" w:sz="8" w:color="69439A"/>
            </w:tcBorders>
            <w:shd w:val="clear" w:color="auto" w:fill="010035"/>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620" w:type="dxa"/>
            <w:vAlign w:val="bottom"/>
          </w:tcPr>
          <w:p>
            <w:pPr>
              <w:ind w:left="80"/>
              <w:spacing w:after="0"/>
              <w:rPr>
                <w:sz w:val="20"/>
                <w:szCs w:val="20"/>
                <w:color w:val="auto"/>
              </w:rPr>
            </w:pPr>
            <w:r>
              <w:rPr>
                <w:rFonts w:ascii="Arial" w:cs="Arial" w:eastAsia="Arial" w:hAnsi="Arial"/>
                <w:sz w:val="12"/>
                <w:szCs w:val="12"/>
                <w:color w:val="010035"/>
              </w:rPr>
              <w:t>Summary Compensation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8"/>
              </w:rPr>
              <w:t>$24,126,651</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10035"/>
                <w:w w:val="95"/>
              </w:rPr>
              <w:t>$26,676,300</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5"/>
              </w:rPr>
              <w:t>$15,542,305</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10035"/>
                <w:w w:val="98"/>
              </w:rPr>
              <w:t>$14,075,614</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10035"/>
                <w:w w:val="95"/>
              </w:rPr>
              <w:t>$65,887,214</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6"/>
              </w:rPr>
              <w:t>$5,845,528</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6"/>
              </w:rPr>
              <w:t>$5,906,163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010035"/>
                <w:w w:val="99"/>
              </w:rPr>
              <w:t>$3,800,856</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10035"/>
                <w:w w:val="96"/>
              </w:rPr>
              <w:t>$3,105,185</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010035"/>
                <w:w w:val="96"/>
              </w:rPr>
              <w:t>$3,440,477</w:t>
            </w:r>
          </w:p>
        </w:tc>
        <w:tc>
          <w:tcPr>
            <w:tcW w:w="0" w:type="dxa"/>
            <w:vAlign w:val="bottom"/>
          </w:tcPr>
          <w:p>
            <w:pPr>
              <w:spacing w:after="0"/>
              <w:rPr>
                <w:sz w:val="1"/>
                <w:szCs w:val="1"/>
                <w:color w:val="auto"/>
              </w:rPr>
            </w:pPr>
          </w:p>
        </w:tc>
      </w:tr>
      <w:tr>
        <w:trPr>
          <w:trHeight w:val="84"/>
        </w:trPr>
        <w:tc>
          <w:tcPr>
            <w:tcW w:w="1620" w:type="dxa"/>
            <w:vAlign w:val="bottom"/>
            <w:vMerge w:val="restart"/>
          </w:tcPr>
          <w:p>
            <w:pPr>
              <w:ind w:left="80"/>
              <w:spacing w:after="0"/>
              <w:rPr>
                <w:sz w:val="20"/>
                <w:szCs w:val="20"/>
                <w:color w:val="auto"/>
              </w:rPr>
            </w:pPr>
            <w:r>
              <w:rPr>
                <w:rFonts w:ascii="Arial" w:cs="Arial" w:eastAsia="Arial" w:hAnsi="Arial"/>
                <w:sz w:val="12"/>
                <w:szCs w:val="12"/>
                <w:color w:val="010035"/>
              </w:rPr>
              <w:t>Table Total</w:t>
            </w: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620" w:type="dxa"/>
            <w:vAlign w:val="bottom"/>
            <w:shd w:val="clear" w:color="auto" w:fill="DED8EC"/>
          </w:tcPr>
          <w:p>
            <w:pPr>
              <w:ind w:left="80"/>
              <w:spacing w:after="0"/>
              <w:rPr>
                <w:sz w:val="20"/>
                <w:szCs w:val="20"/>
                <w:color w:val="auto"/>
              </w:rPr>
            </w:pPr>
            <w:r>
              <w:rPr>
                <w:rFonts w:ascii="Arial" w:cs="Arial" w:eastAsia="Arial" w:hAnsi="Arial"/>
                <w:sz w:val="12"/>
                <w:szCs w:val="12"/>
                <w:color w:val="010035"/>
                <w:w w:val="99"/>
              </w:rPr>
              <w:t>Less: Reported Fair Value of</w:t>
            </w:r>
          </w:p>
        </w:tc>
        <w:tc>
          <w:tcPr>
            <w:tcW w:w="76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8"/>
              </w:rPr>
              <w:t>$18,999,993</w:t>
            </w:r>
          </w:p>
        </w:tc>
        <w:tc>
          <w:tcPr>
            <w:tcW w:w="78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5"/>
              </w:rPr>
              <w:t>$21,627,843</w:t>
            </w:r>
          </w:p>
        </w:tc>
        <w:tc>
          <w:tcPr>
            <w:tcW w:w="76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$8,953,479</w:t>
            </w:r>
          </w:p>
        </w:tc>
        <w:tc>
          <w:tcPr>
            <w:tcW w:w="84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$6,961,325</w:t>
            </w:r>
          </w:p>
        </w:tc>
        <w:tc>
          <w:tcPr>
            <w:tcW w:w="84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5"/>
              </w:rPr>
              <w:t>$57,104,584</w:t>
            </w:r>
          </w:p>
        </w:tc>
        <w:tc>
          <w:tcPr>
            <w:tcW w:w="76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$4,051,328</w:t>
            </w:r>
          </w:p>
        </w:tc>
        <w:tc>
          <w:tcPr>
            <w:tcW w:w="76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$4,197,649</w:t>
            </w:r>
          </w:p>
        </w:tc>
        <w:tc>
          <w:tcPr>
            <w:tcW w:w="70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9"/>
              </w:rPr>
              <w:t>$2,045,705</w:t>
            </w:r>
          </w:p>
        </w:tc>
        <w:tc>
          <w:tcPr>
            <w:tcW w:w="78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$1,470,912</w:t>
            </w:r>
          </w:p>
        </w:tc>
        <w:tc>
          <w:tcPr>
            <w:tcW w:w="80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$1,645,208</w:t>
            </w:r>
          </w:p>
        </w:tc>
        <w:tc>
          <w:tcPr>
            <w:tcW w:w="0" w:type="dxa"/>
            <w:vAlign w:val="bottom"/>
          </w:tcPr>
          <w:p>
            <w:pPr>
              <w:spacing w:after="0"/>
              <w:rPr>
                <w:sz w:val="1"/>
                <w:szCs w:val="1"/>
                <w:color w:val="auto"/>
              </w:rPr>
            </w:pPr>
          </w:p>
        </w:tc>
      </w:tr>
      <w:tr>
        <w:trPr>
          <w:trHeight w:val="203"/>
        </w:trPr>
        <w:tc>
          <w:tcPr>
            <w:tcW w:w="1620" w:type="dxa"/>
            <w:vAlign w:val="bottom"/>
            <w:shd w:val="clear" w:color="auto" w:fill="DED8EC"/>
          </w:tcPr>
          <w:p>
            <w:pPr>
              <w:ind w:left="80"/>
              <w:spacing w:after="0" w:line="203" w:lineRule="exact"/>
              <w:rPr>
                <w:sz w:val="20"/>
                <w:szCs w:val="20"/>
                <w:color w:val="auto"/>
              </w:rPr>
            </w:pPr>
            <w:r>
              <w:rPr>
                <w:rFonts w:ascii="Arial" w:cs="Arial" w:eastAsia="Arial" w:hAnsi="Arial"/>
                <w:sz w:val="12"/>
                <w:szCs w:val="12"/>
                <w:color w:val="010035"/>
              </w:rPr>
              <w:t>Equity Awards</w:t>
            </w:r>
            <w:r>
              <w:rPr>
                <w:rFonts w:ascii="Arial" w:cs="Arial" w:eastAsia="Arial" w:hAnsi="Arial"/>
                <w:sz w:val="19"/>
                <w:szCs w:val="19"/>
                <w:color w:val="010035"/>
                <w:vertAlign w:val="superscript"/>
              </w:rPr>
              <w:t>(a)</w:t>
            </w:r>
          </w:p>
        </w:tc>
        <w:tc>
          <w:tcPr>
            <w:tcW w:w="760" w:type="dxa"/>
            <w:vAlign w:val="bottom"/>
            <w:shd w:val="clear" w:color="auto" w:fill="DED8EC"/>
          </w:tcPr>
          <w:p>
            <w:pPr>
              <w:spacing w:after="0"/>
              <w:rPr>
                <w:sz w:val="17"/>
                <w:szCs w:val="17"/>
                <w:color w:val="auto"/>
              </w:rPr>
            </w:pPr>
          </w:p>
        </w:tc>
        <w:tc>
          <w:tcPr>
            <w:tcW w:w="780" w:type="dxa"/>
            <w:vAlign w:val="bottom"/>
            <w:shd w:val="clear" w:color="auto" w:fill="DED8EC"/>
          </w:tcPr>
          <w:p>
            <w:pPr>
              <w:spacing w:after="0"/>
              <w:rPr>
                <w:sz w:val="17"/>
                <w:szCs w:val="17"/>
                <w:color w:val="auto"/>
              </w:rPr>
            </w:pPr>
          </w:p>
        </w:tc>
        <w:tc>
          <w:tcPr>
            <w:tcW w:w="760" w:type="dxa"/>
            <w:vAlign w:val="bottom"/>
            <w:shd w:val="clear" w:color="auto" w:fill="DED8EC"/>
          </w:tcPr>
          <w:p>
            <w:pPr>
              <w:spacing w:after="0"/>
              <w:rPr>
                <w:sz w:val="17"/>
                <w:szCs w:val="17"/>
                <w:color w:val="auto"/>
              </w:rPr>
            </w:pPr>
          </w:p>
        </w:tc>
        <w:tc>
          <w:tcPr>
            <w:tcW w:w="840" w:type="dxa"/>
            <w:vAlign w:val="bottom"/>
            <w:shd w:val="clear" w:color="auto" w:fill="DED8EC"/>
          </w:tcPr>
          <w:p>
            <w:pPr>
              <w:spacing w:after="0"/>
              <w:rPr>
                <w:sz w:val="17"/>
                <w:szCs w:val="17"/>
                <w:color w:val="auto"/>
              </w:rPr>
            </w:pPr>
          </w:p>
        </w:tc>
        <w:tc>
          <w:tcPr>
            <w:tcW w:w="840" w:type="dxa"/>
            <w:vAlign w:val="bottom"/>
            <w:shd w:val="clear" w:color="auto" w:fill="DED8EC"/>
          </w:tcPr>
          <w:p>
            <w:pPr>
              <w:spacing w:after="0"/>
              <w:rPr>
                <w:sz w:val="17"/>
                <w:szCs w:val="17"/>
                <w:color w:val="auto"/>
              </w:rPr>
            </w:pPr>
          </w:p>
        </w:tc>
        <w:tc>
          <w:tcPr>
            <w:tcW w:w="760" w:type="dxa"/>
            <w:vAlign w:val="bottom"/>
            <w:shd w:val="clear" w:color="auto" w:fill="DED8EC"/>
          </w:tcPr>
          <w:p>
            <w:pPr>
              <w:spacing w:after="0"/>
              <w:rPr>
                <w:sz w:val="17"/>
                <w:szCs w:val="17"/>
                <w:color w:val="auto"/>
              </w:rPr>
            </w:pPr>
          </w:p>
        </w:tc>
        <w:tc>
          <w:tcPr>
            <w:tcW w:w="760" w:type="dxa"/>
            <w:vAlign w:val="bottom"/>
            <w:shd w:val="clear" w:color="auto" w:fill="DED8EC"/>
          </w:tcPr>
          <w:p>
            <w:pPr>
              <w:spacing w:after="0"/>
              <w:rPr>
                <w:sz w:val="17"/>
                <w:szCs w:val="17"/>
                <w:color w:val="auto"/>
              </w:rPr>
            </w:pPr>
          </w:p>
        </w:tc>
        <w:tc>
          <w:tcPr>
            <w:tcW w:w="700" w:type="dxa"/>
            <w:vAlign w:val="bottom"/>
            <w:shd w:val="clear" w:color="auto" w:fill="DED8EC"/>
          </w:tcPr>
          <w:p>
            <w:pPr>
              <w:spacing w:after="0"/>
              <w:rPr>
                <w:sz w:val="17"/>
                <w:szCs w:val="17"/>
                <w:color w:val="auto"/>
              </w:rPr>
            </w:pPr>
          </w:p>
        </w:tc>
        <w:tc>
          <w:tcPr>
            <w:tcW w:w="780" w:type="dxa"/>
            <w:vAlign w:val="bottom"/>
            <w:shd w:val="clear" w:color="auto" w:fill="DED8EC"/>
          </w:tcPr>
          <w:p>
            <w:pPr>
              <w:spacing w:after="0"/>
              <w:rPr>
                <w:sz w:val="17"/>
                <w:szCs w:val="17"/>
                <w:color w:val="auto"/>
              </w:rPr>
            </w:pPr>
          </w:p>
        </w:tc>
        <w:tc>
          <w:tcPr>
            <w:tcW w:w="800" w:type="dxa"/>
            <w:vAlign w:val="bottom"/>
            <w:shd w:val="clear" w:color="auto" w:fill="DED8E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20" w:type="dxa"/>
            <w:vAlign w:val="bottom"/>
          </w:tcPr>
          <w:p>
            <w:pPr>
              <w:ind w:left="80"/>
              <w:spacing w:after="0"/>
              <w:rPr>
                <w:sz w:val="20"/>
                <w:szCs w:val="20"/>
                <w:color w:val="auto"/>
              </w:rPr>
            </w:pPr>
            <w:r>
              <w:rPr>
                <w:rFonts w:ascii="Arial" w:cs="Arial" w:eastAsia="Arial" w:hAnsi="Arial"/>
                <w:sz w:val="12"/>
                <w:szCs w:val="12"/>
                <w:color w:val="010035"/>
              </w:rPr>
              <w:t>Add: Year End Fair Value of</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8"/>
              </w:rPr>
              <w:t>$12,399,543</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10035"/>
                <w:w w:val="95"/>
              </w:rPr>
              <w:t>$15,717,740</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6"/>
              </w:rPr>
              <w:t>$9,604,572</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10035"/>
                <w:w w:val="96"/>
              </w:rPr>
              <w:t>$5,919,253</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10035"/>
                <w:w w:val="95"/>
              </w:rPr>
              <w:t>$22,335,085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6"/>
              </w:rPr>
              <w:t>$2,591,162</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6"/>
              </w:rPr>
              <w:t>$2,577,342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010035"/>
                <w:w w:val="99"/>
              </w:rPr>
              <w:t>$2,302,218</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10035"/>
                <w:w w:val="96"/>
              </w:rPr>
              <w:t>$1,016,402</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010035"/>
                <w:w w:val="96"/>
              </w:rPr>
              <w:t>$1,231,271</w:t>
            </w:r>
          </w:p>
        </w:tc>
        <w:tc>
          <w:tcPr>
            <w:tcW w:w="0" w:type="dxa"/>
            <w:vAlign w:val="bottom"/>
          </w:tcPr>
          <w:p>
            <w:pPr>
              <w:spacing w:after="0"/>
              <w:rPr>
                <w:sz w:val="1"/>
                <w:szCs w:val="1"/>
                <w:color w:val="auto"/>
              </w:rPr>
            </w:pPr>
          </w:p>
        </w:tc>
      </w:tr>
      <w:tr>
        <w:trPr>
          <w:trHeight w:val="92"/>
        </w:trPr>
        <w:tc>
          <w:tcPr>
            <w:tcW w:w="1620" w:type="dxa"/>
            <w:vAlign w:val="bottom"/>
            <w:vMerge w:val="restart"/>
          </w:tcPr>
          <w:p>
            <w:pPr>
              <w:ind w:left="80"/>
              <w:spacing w:after="0"/>
              <w:rPr>
                <w:sz w:val="20"/>
                <w:szCs w:val="20"/>
                <w:color w:val="auto"/>
              </w:rPr>
            </w:pPr>
            <w:r>
              <w:rPr>
                <w:rFonts w:ascii="Arial" w:cs="Arial" w:eastAsia="Arial" w:hAnsi="Arial"/>
                <w:sz w:val="12"/>
                <w:szCs w:val="12"/>
                <w:color w:val="010035"/>
              </w:rPr>
              <w:t>Equity Awards</w:t>
            </w:r>
            <w:r>
              <w:rPr>
                <w:rFonts w:ascii="Arial" w:cs="Arial" w:eastAsia="Arial" w:hAnsi="Arial"/>
                <w:sz w:val="19"/>
                <w:szCs w:val="19"/>
                <w:color w:val="010035"/>
                <w:vertAlign w:val="superscript"/>
              </w:rPr>
              <w:t>(b)</w:t>
            </w: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6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20" w:type="dxa"/>
            <w:vAlign w:val="bottom"/>
            <w:shd w:val="clear" w:color="auto" w:fill="DED8EC"/>
          </w:tcPr>
          <w:p>
            <w:pPr>
              <w:ind w:left="80"/>
              <w:spacing w:after="0"/>
              <w:rPr>
                <w:sz w:val="20"/>
                <w:szCs w:val="20"/>
                <w:color w:val="auto"/>
              </w:rPr>
            </w:pPr>
            <w:r>
              <w:rPr>
                <w:rFonts w:ascii="Arial" w:cs="Arial" w:eastAsia="Arial" w:hAnsi="Arial"/>
                <w:sz w:val="12"/>
                <w:szCs w:val="12"/>
                <w:color w:val="010035"/>
              </w:rPr>
              <w:t>Add: Change in Fair Value</w:t>
            </w:r>
          </w:p>
        </w:tc>
        <w:tc>
          <w:tcPr>
            <w:tcW w:w="760" w:type="dxa"/>
            <w:vAlign w:val="bottom"/>
            <w:shd w:val="clear" w:color="auto" w:fill="DED8EC"/>
          </w:tcPr>
          <w:p>
            <w:pPr>
              <w:spacing w:after="0"/>
              <w:rPr>
                <w:sz w:val="16"/>
                <w:szCs w:val="16"/>
                <w:color w:val="auto"/>
              </w:rPr>
            </w:pPr>
          </w:p>
        </w:tc>
        <w:tc>
          <w:tcPr>
            <w:tcW w:w="780" w:type="dxa"/>
            <w:vAlign w:val="bottom"/>
            <w:shd w:val="clear" w:color="auto" w:fill="DED8EC"/>
          </w:tcPr>
          <w:p>
            <w:pPr>
              <w:spacing w:after="0"/>
              <w:rPr>
                <w:sz w:val="16"/>
                <w:szCs w:val="16"/>
                <w:color w:val="auto"/>
              </w:rPr>
            </w:pPr>
          </w:p>
        </w:tc>
        <w:tc>
          <w:tcPr>
            <w:tcW w:w="760" w:type="dxa"/>
            <w:vAlign w:val="bottom"/>
            <w:shd w:val="clear" w:color="auto" w:fill="DED8EC"/>
          </w:tcPr>
          <w:p>
            <w:pPr>
              <w:spacing w:after="0"/>
              <w:rPr>
                <w:sz w:val="16"/>
                <w:szCs w:val="16"/>
                <w:color w:val="auto"/>
              </w:rPr>
            </w:pPr>
          </w:p>
        </w:tc>
        <w:tc>
          <w:tcPr>
            <w:tcW w:w="840" w:type="dxa"/>
            <w:vAlign w:val="bottom"/>
            <w:shd w:val="clear" w:color="auto" w:fill="DED8EC"/>
          </w:tcPr>
          <w:p>
            <w:pPr>
              <w:spacing w:after="0"/>
              <w:rPr>
                <w:sz w:val="16"/>
                <w:szCs w:val="16"/>
                <w:color w:val="auto"/>
              </w:rPr>
            </w:pPr>
          </w:p>
        </w:tc>
        <w:tc>
          <w:tcPr>
            <w:tcW w:w="840" w:type="dxa"/>
            <w:vAlign w:val="bottom"/>
            <w:shd w:val="clear" w:color="auto" w:fill="DED8EC"/>
          </w:tcPr>
          <w:p>
            <w:pPr>
              <w:spacing w:after="0"/>
              <w:rPr>
                <w:sz w:val="16"/>
                <w:szCs w:val="16"/>
                <w:color w:val="auto"/>
              </w:rPr>
            </w:pPr>
          </w:p>
        </w:tc>
        <w:tc>
          <w:tcPr>
            <w:tcW w:w="760" w:type="dxa"/>
            <w:vAlign w:val="bottom"/>
            <w:shd w:val="clear" w:color="auto" w:fill="DED8EC"/>
          </w:tcPr>
          <w:p>
            <w:pPr>
              <w:spacing w:after="0"/>
              <w:rPr>
                <w:sz w:val="16"/>
                <w:szCs w:val="16"/>
                <w:color w:val="auto"/>
              </w:rPr>
            </w:pPr>
          </w:p>
        </w:tc>
        <w:tc>
          <w:tcPr>
            <w:tcW w:w="760" w:type="dxa"/>
            <w:vAlign w:val="bottom"/>
            <w:shd w:val="clear" w:color="auto" w:fill="DED8EC"/>
          </w:tcPr>
          <w:p>
            <w:pPr>
              <w:spacing w:after="0"/>
              <w:rPr>
                <w:sz w:val="16"/>
                <w:szCs w:val="16"/>
                <w:color w:val="auto"/>
              </w:rPr>
            </w:pPr>
          </w:p>
        </w:tc>
        <w:tc>
          <w:tcPr>
            <w:tcW w:w="700" w:type="dxa"/>
            <w:vAlign w:val="bottom"/>
            <w:shd w:val="clear" w:color="auto" w:fill="DED8EC"/>
          </w:tcPr>
          <w:p>
            <w:pPr>
              <w:spacing w:after="0"/>
              <w:rPr>
                <w:sz w:val="16"/>
                <w:szCs w:val="16"/>
                <w:color w:val="auto"/>
              </w:rPr>
            </w:pPr>
          </w:p>
        </w:tc>
        <w:tc>
          <w:tcPr>
            <w:tcW w:w="780" w:type="dxa"/>
            <w:vAlign w:val="bottom"/>
            <w:shd w:val="clear" w:color="auto" w:fill="DED8EC"/>
          </w:tcPr>
          <w:p>
            <w:pPr>
              <w:spacing w:after="0"/>
              <w:rPr>
                <w:sz w:val="16"/>
                <w:szCs w:val="16"/>
                <w:color w:val="auto"/>
              </w:rPr>
            </w:pPr>
          </w:p>
        </w:tc>
        <w:tc>
          <w:tcPr>
            <w:tcW w:w="800" w:type="dxa"/>
            <w:vAlign w:val="bottom"/>
            <w:shd w:val="clear" w:color="auto" w:fill="DED8EC"/>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620" w:type="dxa"/>
            <w:vAlign w:val="bottom"/>
            <w:shd w:val="clear" w:color="auto" w:fill="DED8EC"/>
          </w:tcPr>
          <w:p>
            <w:pPr>
              <w:ind w:left="80"/>
              <w:spacing w:after="0"/>
              <w:rPr>
                <w:sz w:val="20"/>
                <w:szCs w:val="20"/>
                <w:color w:val="auto"/>
              </w:rPr>
            </w:pPr>
            <w:r>
              <w:rPr>
                <w:rFonts w:ascii="Arial" w:cs="Arial" w:eastAsia="Arial" w:hAnsi="Arial"/>
                <w:sz w:val="12"/>
                <w:szCs w:val="12"/>
                <w:color w:val="010035"/>
              </w:rPr>
              <w:t>of Outstanding and</w:t>
            </w:r>
          </w:p>
        </w:tc>
        <w:tc>
          <w:tcPr>
            <w:tcW w:w="76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($7,351,186)</w:t>
            </w:r>
          </w:p>
        </w:tc>
        <w:tc>
          <w:tcPr>
            <w:tcW w:w="78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9"/>
              </w:rPr>
              <w:t>($7,005,536)</w:t>
            </w:r>
          </w:p>
        </w:tc>
        <w:tc>
          <w:tcPr>
            <w:tcW w:w="76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($4,077,352)</w:t>
            </w:r>
          </w:p>
        </w:tc>
        <w:tc>
          <w:tcPr>
            <w:tcW w:w="84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8"/>
              </w:rPr>
              <w:t>($18,419,902)</w:t>
            </w:r>
          </w:p>
        </w:tc>
        <w:tc>
          <w:tcPr>
            <w:tcW w:w="84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($20,839,582)</w:t>
            </w:r>
          </w:p>
        </w:tc>
        <w:tc>
          <w:tcPr>
            <w:tcW w:w="76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($1,337,465)</w:t>
            </w:r>
          </w:p>
        </w:tc>
        <w:tc>
          <w:tcPr>
            <w:tcW w:w="76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($1,133,519)</w:t>
            </w:r>
          </w:p>
        </w:tc>
        <w:tc>
          <w:tcPr>
            <w:tcW w:w="70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($271,763)</w:t>
            </w:r>
          </w:p>
        </w:tc>
        <w:tc>
          <w:tcPr>
            <w:tcW w:w="78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($1,066,153)</w:t>
            </w:r>
          </w:p>
        </w:tc>
        <w:tc>
          <w:tcPr>
            <w:tcW w:w="800" w:type="dxa"/>
            <w:vAlign w:val="bottom"/>
            <w:shd w:val="clear" w:color="auto" w:fill="DED8EC"/>
          </w:tcPr>
          <w:p>
            <w:pPr>
              <w:jc w:val="center"/>
              <w:spacing w:after="0"/>
              <w:rPr>
                <w:sz w:val="20"/>
                <w:szCs w:val="20"/>
                <w:color w:val="auto"/>
              </w:rPr>
            </w:pPr>
            <w:r>
              <w:rPr>
                <w:rFonts w:ascii="Arial" w:cs="Arial" w:eastAsia="Arial" w:hAnsi="Arial"/>
                <w:sz w:val="12"/>
                <w:szCs w:val="12"/>
                <w:color w:val="010035"/>
                <w:w w:val="96"/>
              </w:rPr>
              <w:t>($1,020,003)</w:t>
            </w:r>
          </w:p>
        </w:tc>
        <w:tc>
          <w:tcPr>
            <w:tcW w:w="0" w:type="dxa"/>
            <w:vAlign w:val="bottom"/>
          </w:tcPr>
          <w:p>
            <w:pPr>
              <w:spacing w:after="0"/>
              <w:rPr>
                <w:sz w:val="1"/>
                <w:szCs w:val="1"/>
                <w:color w:val="auto"/>
              </w:rPr>
            </w:pPr>
          </w:p>
        </w:tc>
      </w:tr>
      <w:tr>
        <w:trPr>
          <w:trHeight w:val="258"/>
        </w:trPr>
        <w:tc>
          <w:tcPr>
            <w:tcW w:w="1620" w:type="dxa"/>
            <w:vAlign w:val="bottom"/>
            <w:shd w:val="clear" w:color="auto" w:fill="DED8EC"/>
          </w:tcPr>
          <w:p>
            <w:pPr>
              <w:ind w:left="80"/>
              <w:spacing w:after="0"/>
              <w:rPr>
                <w:sz w:val="20"/>
                <w:szCs w:val="20"/>
                <w:color w:val="auto"/>
              </w:rPr>
            </w:pPr>
            <w:r>
              <w:rPr>
                <w:rFonts w:ascii="Arial" w:cs="Arial" w:eastAsia="Arial" w:hAnsi="Arial"/>
                <w:sz w:val="12"/>
                <w:szCs w:val="12"/>
                <w:color w:val="010035"/>
              </w:rPr>
              <w:t>Unvested Equity Awards</w:t>
            </w:r>
            <w:r>
              <w:rPr>
                <w:rFonts w:ascii="Arial" w:cs="Arial" w:eastAsia="Arial" w:hAnsi="Arial"/>
                <w:sz w:val="19"/>
                <w:szCs w:val="19"/>
                <w:color w:val="010035"/>
                <w:vertAlign w:val="superscript"/>
              </w:rPr>
              <w:t>(b)</w:t>
            </w:r>
          </w:p>
        </w:tc>
        <w:tc>
          <w:tcPr>
            <w:tcW w:w="760" w:type="dxa"/>
            <w:vAlign w:val="bottom"/>
            <w:shd w:val="clear" w:color="auto" w:fill="DED8EC"/>
          </w:tcPr>
          <w:p>
            <w:pPr>
              <w:spacing w:after="0"/>
              <w:rPr>
                <w:sz w:val="22"/>
                <w:szCs w:val="22"/>
                <w:color w:val="auto"/>
              </w:rPr>
            </w:pPr>
          </w:p>
        </w:tc>
        <w:tc>
          <w:tcPr>
            <w:tcW w:w="780" w:type="dxa"/>
            <w:vAlign w:val="bottom"/>
            <w:shd w:val="clear" w:color="auto" w:fill="DED8EC"/>
          </w:tcPr>
          <w:p>
            <w:pPr>
              <w:spacing w:after="0"/>
              <w:rPr>
                <w:sz w:val="22"/>
                <w:szCs w:val="22"/>
                <w:color w:val="auto"/>
              </w:rPr>
            </w:pPr>
          </w:p>
        </w:tc>
        <w:tc>
          <w:tcPr>
            <w:tcW w:w="760" w:type="dxa"/>
            <w:vAlign w:val="bottom"/>
            <w:shd w:val="clear" w:color="auto" w:fill="DED8EC"/>
          </w:tcPr>
          <w:p>
            <w:pPr>
              <w:spacing w:after="0"/>
              <w:rPr>
                <w:sz w:val="22"/>
                <w:szCs w:val="22"/>
                <w:color w:val="auto"/>
              </w:rPr>
            </w:pPr>
          </w:p>
        </w:tc>
        <w:tc>
          <w:tcPr>
            <w:tcW w:w="840" w:type="dxa"/>
            <w:vAlign w:val="bottom"/>
            <w:shd w:val="clear" w:color="auto" w:fill="DED8EC"/>
          </w:tcPr>
          <w:p>
            <w:pPr>
              <w:spacing w:after="0"/>
              <w:rPr>
                <w:sz w:val="22"/>
                <w:szCs w:val="22"/>
                <w:color w:val="auto"/>
              </w:rPr>
            </w:pPr>
          </w:p>
        </w:tc>
        <w:tc>
          <w:tcPr>
            <w:tcW w:w="840" w:type="dxa"/>
            <w:vAlign w:val="bottom"/>
            <w:shd w:val="clear" w:color="auto" w:fill="DED8EC"/>
          </w:tcPr>
          <w:p>
            <w:pPr>
              <w:spacing w:after="0"/>
              <w:rPr>
                <w:sz w:val="22"/>
                <w:szCs w:val="22"/>
                <w:color w:val="auto"/>
              </w:rPr>
            </w:pPr>
          </w:p>
        </w:tc>
        <w:tc>
          <w:tcPr>
            <w:tcW w:w="760" w:type="dxa"/>
            <w:vAlign w:val="bottom"/>
            <w:shd w:val="clear" w:color="auto" w:fill="DED8EC"/>
          </w:tcPr>
          <w:p>
            <w:pPr>
              <w:spacing w:after="0"/>
              <w:rPr>
                <w:sz w:val="22"/>
                <w:szCs w:val="22"/>
                <w:color w:val="auto"/>
              </w:rPr>
            </w:pPr>
          </w:p>
        </w:tc>
        <w:tc>
          <w:tcPr>
            <w:tcW w:w="760" w:type="dxa"/>
            <w:vAlign w:val="bottom"/>
            <w:shd w:val="clear" w:color="auto" w:fill="DED8EC"/>
          </w:tcPr>
          <w:p>
            <w:pPr>
              <w:spacing w:after="0"/>
              <w:rPr>
                <w:sz w:val="22"/>
                <w:szCs w:val="22"/>
                <w:color w:val="auto"/>
              </w:rPr>
            </w:pPr>
          </w:p>
        </w:tc>
        <w:tc>
          <w:tcPr>
            <w:tcW w:w="700" w:type="dxa"/>
            <w:vAlign w:val="bottom"/>
            <w:shd w:val="clear" w:color="auto" w:fill="DED8EC"/>
          </w:tcPr>
          <w:p>
            <w:pPr>
              <w:spacing w:after="0"/>
              <w:rPr>
                <w:sz w:val="22"/>
                <w:szCs w:val="22"/>
                <w:color w:val="auto"/>
              </w:rPr>
            </w:pPr>
          </w:p>
        </w:tc>
        <w:tc>
          <w:tcPr>
            <w:tcW w:w="780" w:type="dxa"/>
            <w:vAlign w:val="bottom"/>
            <w:shd w:val="clear" w:color="auto" w:fill="DED8EC"/>
          </w:tcPr>
          <w:p>
            <w:pPr>
              <w:spacing w:after="0"/>
              <w:rPr>
                <w:sz w:val="22"/>
                <w:szCs w:val="22"/>
                <w:color w:val="auto"/>
              </w:rPr>
            </w:pPr>
          </w:p>
        </w:tc>
        <w:tc>
          <w:tcPr>
            <w:tcW w:w="800" w:type="dxa"/>
            <w:vAlign w:val="bottom"/>
            <w:shd w:val="clear" w:color="auto" w:fill="DED8EC"/>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620" w:type="dxa"/>
            <w:vAlign w:val="bottom"/>
          </w:tcPr>
          <w:p>
            <w:pPr>
              <w:ind w:left="80"/>
              <w:spacing w:after="0"/>
              <w:rPr>
                <w:sz w:val="20"/>
                <w:szCs w:val="20"/>
                <w:color w:val="auto"/>
              </w:rPr>
            </w:pPr>
            <w:r>
              <w:rPr>
                <w:rFonts w:ascii="Arial" w:cs="Arial" w:eastAsia="Arial" w:hAnsi="Arial"/>
                <w:sz w:val="12"/>
                <w:szCs w:val="12"/>
                <w:color w:val="010035"/>
              </w:rPr>
              <w:t>Add: Fair Value as of</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80"/>
              <w:spacing w:after="0" w:line="135" w:lineRule="exact"/>
              <w:rPr>
                <w:sz w:val="20"/>
                <w:szCs w:val="20"/>
                <w:color w:val="auto"/>
              </w:rPr>
            </w:pPr>
            <w:r>
              <w:rPr>
                <w:rFonts w:ascii="Arial" w:cs="Arial" w:eastAsia="Arial" w:hAnsi="Arial"/>
                <w:sz w:val="12"/>
                <w:szCs w:val="12"/>
                <w:color w:val="010035"/>
              </w:rPr>
              <w:t>Vesting Date of Equity</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82"/>
              </w:rPr>
              <w:t>—</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10035"/>
                <w:w w:val="99"/>
              </w:rPr>
              <w:t>—</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9"/>
              </w:rPr>
              <w:t>—</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10035"/>
                <w:w w:val="99"/>
              </w:rPr>
              <w:t>—</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10035"/>
                <w:w w:val="99"/>
              </w:rPr>
              <w:t>—</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9"/>
              </w:rPr>
              <w:t>—</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9"/>
              </w:rPr>
              <w:t>—</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010035"/>
                <w:w w:val="99"/>
              </w:rPr>
              <w:t>—</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10035"/>
                <w:w w:val="99"/>
              </w:rPr>
              <w:t>—</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010035"/>
                <w:w w:val="99"/>
              </w:rPr>
              <w:t>—</w:t>
            </w:r>
          </w:p>
        </w:tc>
        <w:tc>
          <w:tcPr>
            <w:tcW w:w="0" w:type="dxa"/>
            <w:vAlign w:val="bottom"/>
          </w:tcPr>
          <w:p>
            <w:pPr>
              <w:spacing w:after="0"/>
              <w:rPr>
                <w:sz w:val="1"/>
                <w:szCs w:val="1"/>
                <w:color w:val="auto"/>
              </w:rPr>
            </w:pPr>
          </w:p>
        </w:tc>
      </w:tr>
      <w:tr>
        <w:trPr>
          <w:trHeight w:val="98"/>
        </w:trPr>
        <w:tc>
          <w:tcPr>
            <w:tcW w:w="1620" w:type="dxa"/>
            <w:vAlign w:val="bottom"/>
            <w:vMerge w:val="restart"/>
          </w:tcPr>
          <w:p>
            <w:pPr>
              <w:ind w:left="80"/>
              <w:spacing w:after="0"/>
              <w:rPr>
                <w:sz w:val="20"/>
                <w:szCs w:val="20"/>
                <w:color w:val="auto"/>
              </w:rPr>
            </w:pPr>
            <w:r>
              <w:rPr>
                <w:rFonts w:ascii="Arial" w:cs="Arial" w:eastAsia="Arial" w:hAnsi="Arial"/>
                <w:sz w:val="12"/>
                <w:szCs w:val="12"/>
                <w:color w:val="010035"/>
              </w:rPr>
              <w:t>Awards Granted and Vested</w:t>
            </w: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6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1620" w:type="dxa"/>
            <w:vAlign w:val="bottom"/>
          </w:tcPr>
          <w:p>
            <w:pPr>
              <w:ind w:left="80"/>
              <w:spacing w:after="0"/>
              <w:rPr>
                <w:sz w:val="20"/>
                <w:szCs w:val="20"/>
                <w:color w:val="auto"/>
              </w:rPr>
            </w:pPr>
            <w:r>
              <w:rPr>
                <w:rFonts w:ascii="Arial" w:cs="Arial" w:eastAsia="Arial" w:hAnsi="Arial"/>
                <w:sz w:val="12"/>
                <w:szCs w:val="12"/>
                <w:color w:val="010035"/>
              </w:rPr>
              <w:t>in the Year</w:t>
            </w:r>
            <w:r>
              <w:rPr>
                <w:rFonts w:ascii="Arial" w:cs="Arial" w:eastAsia="Arial" w:hAnsi="Arial"/>
                <w:sz w:val="19"/>
                <w:szCs w:val="19"/>
                <w:color w:val="010035"/>
                <w:vertAlign w:val="superscript"/>
              </w:rPr>
              <w:t>(b)</w:t>
            </w: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620" w:type="dxa"/>
            <w:vAlign w:val="bottom"/>
            <w:shd w:val="clear" w:color="auto" w:fill="DED8EC"/>
          </w:tcPr>
          <w:p>
            <w:pPr>
              <w:ind w:left="80"/>
              <w:spacing w:after="0"/>
              <w:rPr>
                <w:sz w:val="20"/>
                <w:szCs w:val="20"/>
                <w:color w:val="auto"/>
              </w:rPr>
            </w:pPr>
            <w:r>
              <w:rPr>
                <w:rFonts w:ascii="Arial" w:cs="Arial" w:eastAsia="Arial" w:hAnsi="Arial"/>
                <w:sz w:val="12"/>
                <w:szCs w:val="12"/>
                <w:color w:val="010035"/>
              </w:rPr>
              <w:t>Add: Change in Fair Value</w:t>
            </w:r>
          </w:p>
        </w:tc>
        <w:tc>
          <w:tcPr>
            <w:tcW w:w="760" w:type="dxa"/>
            <w:vAlign w:val="bottom"/>
            <w:shd w:val="clear" w:color="auto" w:fill="DED8EC"/>
          </w:tcPr>
          <w:p>
            <w:pPr>
              <w:spacing w:after="0"/>
              <w:rPr>
                <w:sz w:val="16"/>
                <w:szCs w:val="16"/>
                <w:color w:val="auto"/>
              </w:rPr>
            </w:pPr>
          </w:p>
        </w:tc>
        <w:tc>
          <w:tcPr>
            <w:tcW w:w="780" w:type="dxa"/>
            <w:vAlign w:val="bottom"/>
            <w:shd w:val="clear" w:color="auto" w:fill="DED8EC"/>
          </w:tcPr>
          <w:p>
            <w:pPr>
              <w:spacing w:after="0"/>
              <w:rPr>
                <w:sz w:val="16"/>
                <w:szCs w:val="16"/>
                <w:color w:val="auto"/>
              </w:rPr>
            </w:pPr>
          </w:p>
        </w:tc>
        <w:tc>
          <w:tcPr>
            <w:tcW w:w="760" w:type="dxa"/>
            <w:vAlign w:val="bottom"/>
            <w:shd w:val="clear" w:color="auto" w:fill="DED8EC"/>
          </w:tcPr>
          <w:p>
            <w:pPr>
              <w:spacing w:after="0"/>
              <w:rPr>
                <w:sz w:val="16"/>
                <w:szCs w:val="16"/>
                <w:color w:val="auto"/>
              </w:rPr>
            </w:pPr>
          </w:p>
        </w:tc>
        <w:tc>
          <w:tcPr>
            <w:tcW w:w="840" w:type="dxa"/>
            <w:vAlign w:val="bottom"/>
            <w:shd w:val="clear" w:color="auto" w:fill="DED8EC"/>
          </w:tcPr>
          <w:p>
            <w:pPr>
              <w:spacing w:after="0"/>
              <w:rPr>
                <w:sz w:val="16"/>
                <w:szCs w:val="16"/>
                <w:color w:val="auto"/>
              </w:rPr>
            </w:pPr>
          </w:p>
        </w:tc>
        <w:tc>
          <w:tcPr>
            <w:tcW w:w="840" w:type="dxa"/>
            <w:vAlign w:val="bottom"/>
            <w:shd w:val="clear" w:color="auto" w:fill="DED8EC"/>
          </w:tcPr>
          <w:p>
            <w:pPr>
              <w:spacing w:after="0"/>
              <w:rPr>
                <w:sz w:val="16"/>
                <w:szCs w:val="16"/>
                <w:color w:val="auto"/>
              </w:rPr>
            </w:pPr>
          </w:p>
        </w:tc>
        <w:tc>
          <w:tcPr>
            <w:tcW w:w="760" w:type="dxa"/>
            <w:vAlign w:val="bottom"/>
            <w:shd w:val="clear" w:color="auto" w:fill="DED8EC"/>
          </w:tcPr>
          <w:p>
            <w:pPr>
              <w:spacing w:after="0"/>
              <w:rPr>
                <w:sz w:val="16"/>
                <w:szCs w:val="16"/>
                <w:color w:val="auto"/>
              </w:rPr>
            </w:pPr>
          </w:p>
        </w:tc>
        <w:tc>
          <w:tcPr>
            <w:tcW w:w="760" w:type="dxa"/>
            <w:vAlign w:val="bottom"/>
            <w:shd w:val="clear" w:color="auto" w:fill="DED8EC"/>
          </w:tcPr>
          <w:p>
            <w:pPr>
              <w:spacing w:after="0"/>
              <w:rPr>
                <w:sz w:val="16"/>
                <w:szCs w:val="16"/>
                <w:color w:val="auto"/>
              </w:rPr>
            </w:pPr>
          </w:p>
        </w:tc>
        <w:tc>
          <w:tcPr>
            <w:tcW w:w="700" w:type="dxa"/>
            <w:vAlign w:val="bottom"/>
            <w:shd w:val="clear" w:color="auto" w:fill="DED8EC"/>
          </w:tcPr>
          <w:p>
            <w:pPr>
              <w:spacing w:after="0"/>
              <w:rPr>
                <w:sz w:val="16"/>
                <w:szCs w:val="16"/>
                <w:color w:val="auto"/>
              </w:rPr>
            </w:pPr>
          </w:p>
        </w:tc>
        <w:tc>
          <w:tcPr>
            <w:tcW w:w="780" w:type="dxa"/>
            <w:vAlign w:val="bottom"/>
            <w:shd w:val="clear" w:color="auto" w:fill="DED8EC"/>
          </w:tcPr>
          <w:p>
            <w:pPr>
              <w:spacing w:after="0"/>
              <w:rPr>
                <w:sz w:val="16"/>
                <w:szCs w:val="16"/>
                <w:color w:val="auto"/>
              </w:rPr>
            </w:pPr>
          </w:p>
        </w:tc>
        <w:tc>
          <w:tcPr>
            <w:tcW w:w="800" w:type="dxa"/>
            <w:vAlign w:val="bottom"/>
            <w:shd w:val="clear" w:color="auto" w:fill="DED8E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DED8EC"/>
          </w:tcPr>
          <w:p>
            <w:pPr>
              <w:ind w:left="80"/>
              <w:spacing w:after="0" w:line="135" w:lineRule="exact"/>
              <w:rPr>
                <w:sz w:val="20"/>
                <w:szCs w:val="20"/>
                <w:color w:val="auto"/>
              </w:rPr>
            </w:pPr>
            <w:r>
              <w:rPr>
                <w:rFonts w:ascii="Arial" w:cs="Arial" w:eastAsia="Arial" w:hAnsi="Arial"/>
                <w:sz w:val="12"/>
                <w:szCs w:val="12"/>
                <w:color w:val="010035"/>
              </w:rPr>
              <w:t>of Equity Awards Granted in</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$200,974</w:t>
            </w:r>
          </w:p>
        </w:tc>
        <w:tc>
          <w:tcPr>
            <w:tcW w:w="78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6"/>
              </w:rPr>
              <w:t>($546,988)</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6"/>
              </w:rPr>
              <w:t>($1,928,849)</w:t>
            </w:r>
          </w:p>
        </w:tc>
        <w:tc>
          <w:tcPr>
            <w:tcW w:w="84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6"/>
              </w:rPr>
              <w:t>($4,686,713)</w:t>
            </w:r>
          </w:p>
        </w:tc>
        <w:tc>
          <w:tcPr>
            <w:tcW w:w="84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6"/>
              </w:rPr>
              <w:t>($2,316,737)</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6"/>
              </w:rPr>
              <w:t>$15,812</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6"/>
              </w:rPr>
              <w:t>($117,859)</w:t>
            </w:r>
          </w:p>
        </w:tc>
        <w:tc>
          <w:tcPr>
            <w:tcW w:w="70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6"/>
              </w:rPr>
              <w:t>$81,259</w:t>
            </w:r>
          </w:p>
        </w:tc>
        <w:tc>
          <w:tcPr>
            <w:tcW w:w="78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6"/>
              </w:rPr>
              <w:t>($172,109)</w:t>
            </w:r>
          </w:p>
        </w:tc>
        <w:tc>
          <w:tcPr>
            <w:tcW w:w="80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6"/>
              </w:rPr>
              <w:t>$20,909</w:t>
            </w:r>
          </w:p>
        </w:tc>
        <w:tc>
          <w:tcPr>
            <w:tcW w:w="0" w:type="dxa"/>
            <w:vAlign w:val="bottom"/>
          </w:tcPr>
          <w:p>
            <w:pPr>
              <w:spacing w:after="0"/>
              <w:rPr>
                <w:sz w:val="1"/>
                <w:szCs w:val="1"/>
                <w:color w:val="auto"/>
              </w:rPr>
            </w:pPr>
          </w:p>
        </w:tc>
      </w:tr>
      <w:tr>
        <w:trPr>
          <w:trHeight w:val="98"/>
        </w:trPr>
        <w:tc>
          <w:tcPr>
            <w:tcW w:w="1620" w:type="dxa"/>
            <w:vAlign w:val="bottom"/>
            <w:vMerge w:val="restart"/>
            <w:shd w:val="clear" w:color="auto" w:fill="DED8EC"/>
          </w:tcPr>
          <w:p>
            <w:pPr>
              <w:ind w:left="80"/>
              <w:spacing w:after="0"/>
              <w:rPr>
                <w:sz w:val="20"/>
                <w:szCs w:val="20"/>
                <w:color w:val="auto"/>
              </w:rPr>
            </w:pPr>
            <w:r>
              <w:rPr>
                <w:rFonts w:ascii="Arial" w:cs="Arial" w:eastAsia="Arial" w:hAnsi="Arial"/>
                <w:sz w:val="12"/>
                <w:szCs w:val="12"/>
                <w:color w:val="010035"/>
              </w:rPr>
              <w:t>Prior Years that Vested in</w:t>
            </w:r>
          </w:p>
        </w:tc>
        <w:tc>
          <w:tcPr>
            <w:tcW w:w="760" w:type="dxa"/>
            <w:vAlign w:val="bottom"/>
            <w:vMerge w:val="continue"/>
            <w:shd w:val="clear" w:color="auto" w:fill="DED8EC"/>
          </w:tcPr>
          <w:p>
            <w:pPr>
              <w:spacing w:after="0"/>
              <w:rPr>
                <w:sz w:val="8"/>
                <w:szCs w:val="8"/>
                <w:color w:val="auto"/>
              </w:rPr>
            </w:pPr>
          </w:p>
        </w:tc>
        <w:tc>
          <w:tcPr>
            <w:tcW w:w="780" w:type="dxa"/>
            <w:vAlign w:val="bottom"/>
            <w:vMerge w:val="continue"/>
            <w:shd w:val="clear" w:color="auto" w:fill="DED8EC"/>
          </w:tcPr>
          <w:p>
            <w:pPr>
              <w:spacing w:after="0"/>
              <w:rPr>
                <w:sz w:val="8"/>
                <w:szCs w:val="8"/>
                <w:color w:val="auto"/>
              </w:rPr>
            </w:pPr>
          </w:p>
        </w:tc>
        <w:tc>
          <w:tcPr>
            <w:tcW w:w="760" w:type="dxa"/>
            <w:vAlign w:val="bottom"/>
            <w:vMerge w:val="continue"/>
            <w:shd w:val="clear" w:color="auto" w:fill="DED8EC"/>
          </w:tcPr>
          <w:p>
            <w:pPr>
              <w:spacing w:after="0"/>
              <w:rPr>
                <w:sz w:val="8"/>
                <w:szCs w:val="8"/>
                <w:color w:val="auto"/>
              </w:rPr>
            </w:pPr>
          </w:p>
        </w:tc>
        <w:tc>
          <w:tcPr>
            <w:tcW w:w="840" w:type="dxa"/>
            <w:vAlign w:val="bottom"/>
            <w:vMerge w:val="continue"/>
            <w:shd w:val="clear" w:color="auto" w:fill="DED8EC"/>
          </w:tcPr>
          <w:p>
            <w:pPr>
              <w:spacing w:after="0"/>
              <w:rPr>
                <w:sz w:val="8"/>
                <w:szCs w:val="8"/>
                <w:color w:val="auto"/>
              </w:rPr>
            </w:pPr>
          </w:p>
        </w:tc>
        <w:tc>
          <w:tcPr>
            <w:tcW w:w="840" w:type="dxa"/>
            <w:vAlign w:val="bottom"/>
            <w:vMerge w:val="continue"/>
            <w:shd w:val="clear" w:color="auto" w:fill="DED8EC"/>
          </w:tcPr>
          <w:p>
            <w:pPr>
              <w:spacing w:after="0"/>
              <w:rPr>
                <w:sz w:val="8"/>
                <w:szCs w:val="8"/>
                <w:color w:val="auto"/>
              </w:rPr>
            </w:pPr>
          </w:p>
        </w:tc>
        <w:tc>
          <w:tcPr>
            <w:tcW w:w="760" w:type="dxa"/>
            <w:vAlign w:val="bottom"/>
            <w:vMerge w:val="continue"/>
            <w:shd w:val="clear" w:color="auto" w:fill="DED8EC"/>
          </w:tcPr>
          <w:p>
            <w:pPr>
              <w:spacing w:after="0"/>
              <w:rPr>
                <w:sz w:val="8"/>
                <w:szCs w:val="8"/>
                <w:color w:val="auto"/>
              </w:rPr>
            </w:pPr>
          </w:p>
        </w:tc>
        <w:tc>
          <w:tcPr>
            <w:tcW w:w="760" w:type="dxa"/>
            <w:vAlign w:val="bottom"/>
            <w:vMerge w:val="continue"/>
            <w:shd w:val="clear" w:color="auto" w:fill="DED8EC"/>
          </w:tcPr>
          <w:p>
            <w:pPr>
              <w:spacing w:after="0"/>
              <w:rPr>
                <w:sz w:val="8"/>
                <w:szCs w:val="8"/>
                <w:color w:val="auto"/>
              </w:rPr>
            </w:pPr>
          </w:p>
        </w:tc>
        <w:tc>
          <w:tcPr>
            <w:tcW w:w="700" w:type="dxa"/>
            <w:vAlign w:val="bottom"/>
            <w:vMerge w:val="continue"/>
            <w:shd w:val="clear" w:color="auto" w:fill="DED8EC"/>
          </w:tcPr>
          <w:p>
            <w:pPr>
              <w:spacing w:after="0"/>
              <w:rPr>
                <w:sz w:val="8"/>
                <w:szCs w:val="8"/>
                <w:color w:val="auto"/>
              </w:rPr>
            </w:pPr>
          </w:p>
        </w:tc>
        <w:tc>
          <w:tcPr>
            <w:tcW w:w="780" w:type="dxa"/>
            <w:vAlign w:val="bottom"/>
            <w:vMerge w:val="continue"/>
            <w:shd w:val="clear" w:color="auto" w:fill="DED8EC"/>
          </w:tcPr>
          <w:p>
            <w:pPr>
              <w:spacing w:after="0"/>
              <w:rPr>
                <w:sz w:val="8"/>
                <w:szCs w:val="8"/>
                <w:color w:val="auto"/>
              </w:rPr>
            </w:pPr>
          </w:p>
        </w:tc>
        <w:tc>
          <w:tcPr>
            <w:tcW w:w="800" w:type="dxa"/>
            <w:vAlign w:val="bottom"/>
            <w:vMerge w:val="continue"/>
            <w:shd w:val="clear" w:color="auto" w:fill="DED8EC"/>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620" w:type="dxa"/>
            <w:vAlign w:val="bottom"/>
            <w:vMerge w:val="continue"/>
            <w:shd w:val="clear" w:color="auto" w:fill="DED8EC"/>
          </w:tcPr>
          <w:p>
            <w:pPr>
              <w:spacing w:after="0"/>
              <w:rPr>
                <w:sz w:val="3"/>
                <w:szCs w:val="3"/>
                <w:color w:val="auto"/>
              </w:rPr>
            </w:pPr>
          </w:p>
        </w:tc>
        <w:tc>
          <w:tcPr>
            <w:tcW w:w="760" w:type="dxa"/>
            <w:vAlign w:val="bottom"/>
            <w:shd w:val="clear" w:color="auto" w:fill="DED8EC"/>
          </w:tcPr>
          <w:p>
            <w:pPr>
              <w:spacing w:after="0"/>
              <w:rPr>
                <w:sz w:val="3"/>
                <w:szCs w:val="3"/>
                <w:color w:val="auto"/>
              </w:rPr>
            </w:pPr>
          </w:p>
        </w:tc>
        <w:tc>
          <w:tcPr>
            <w:tcW w:w="780" w:type="dxa"/>
            <w:vAlign w:val="bottom"/>
            <w:shd w:val="clear" w:color="auto" w:fill="DED8EC"/>
          </w:tcPr>
          <w:p>
            <w:pPr>
              <w:spacing w:after="0"/>
              <w:rPr>
                <w:sz w:val="3"/>
                <w:szCs w:val="3"/>
                <w:color w:val="auto"/>
              </w:rPr>
            </w:pPr>
          </w:p>
        </w:tc>
        <w:tc>
          <w:tcPr>
            <w:tcW w:w="760" w:type="dxa"/>
            <w:vAlign w:val="bottom"/>
            <w:shd w:val="clear" w:color="auto" w:fill="DED8EC"/>
          </w:tcPr>
          <w:p>
            <w:pPr>
              <w:spacing w:after="0"/>
              <w:rPr>
                <w:sz w:val="3"/>
                <w:szCs w:val="3"/>
                <w:color w:val="auto"/>
              </w:rPr>
            </w:pPr>
          </w:p>
        </w:tc>
        <w:tc>
          <w:tcPr>
            <w:tcW w:w="840" w:type="dxa"/>
            <w:vAlign w:val="bottom"/>
            <w:shd w:val="clear" w:color="auto" w:fill="DED8EC"/>
          </w:tcPr>
          <w:p>
            <w:pPr>
              <w:spacing w:after="0"/>
              <w:rPr>
                <w:sz w:val="3"/>
                <w:szCs w:val="3"/>
                <w:color w:val="auto"/>
              </w:rPr>
            </w:pPr>
          </w:p>
        </w:tc>
        <w:tc>
          <w:tcPr>
            <w:tcW w:w="840" w:type="dxa"/>
            <w:vAlign w:val="bottom"/>
            <w:shd w:val="clear" w:color="auto" w:fill="DED8EC"/>
          </w:tcPr>
          <w:p>
            <w:pPr>
              <w:spacing w:after="0"/>
              <w:rPr>
                <w:sz w:val="3"/>
                <w:szCs w:val="3"/>
                <w:color w:val="auto"/>
              </w:rPr>
            </w:pPr>
          </w:p>
        </w:tc>
        <w:tc>
          <w:tcPr>
            <w:tcW w:w="760" w:type="dxa"/>
            <w:vAlign w:val="bottom"/>
            <w:shd w:val="clear" w:color="auto" w:fill="DED8EC"/>
          </w:tcPr>
          <w:p>
            <w:pPr>
              <w:spacing w:after="0"/>
              <w:rPr>
                <w:sz w:val="3"/>
                <w:szCs w:val="3"/>
                <w:color w:val="auto"/>
              </w:rPr>
            </w:pPr>
          </w:p>
        </w:tc>
        <w:tc>
          <w:tcPr>
            <w:tcW w:w="760" w:type="dxa"/>
            <w:vAlign w:val="bottom"/>
            <w:shd w:val="clear" w:color="auto" w:fill="DED8EC"/>
          </w:tcPr>
          <w:p>
            <w:pPr>
              <w:spacing w:after="0"/>
              <w:rPr>
                <w:sz w:val="3"/>
                <w:szCs w:val="3"/>
                <w:color w:val="auto"/>
              </w:rPr>
            </w:pPr>
          </w:p>
        </w:tc>
        <w:tc>
          <w:tcPr>
            <w:tcW w:w="700" w:type="dxa"/>
            <w:vAlign w:val="bottom"/>
            <w:shd w:val="clear" w:color="auto" w:fill="DED8EC"/>
          </w:tcPr>
          <w:p>
            <w:pPr>
              <w:spacing w:after="0"/>
              <w:rPr>
                <w:sz w:val="3"/>
                <w:szCs w:val="3"/>
                <w:color w:val="auto"/>
              </w:rPr>
            </w:pPr>
          </w:p>
        </w:tc>
        <w:tc>
          <w:tcPr>
            <w:tcW w:w="780" w:type="dxa"/>
            <w:vAlign w:val="bottom"/>
            <w:shd w:val="clear" w:color="auto" w:fill="DED8EC"/>
          </w:tcPr>
          <w:p>
            <w:pPr>
              <w:spacing w:after="0"/>
              <w:rPr>
                <w:sz w:val="3"/>
                <w:szCs w:val="3"/>
                <w:color w:val="auto"/>
              </w:rPr>
            </w:pPr>
          </w:p>
        </w:tc>
        <w:tc>
          <w:tcPr>
            <w:tcW w:w="800" w:type="dxa"/>
            <w:vAlign w:val="bottom"/>
            <w:shd w:val="clear" w:color="auto" w:fill="DED8EC"/>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1620" w:type="dxa"/>
            <w:vAlign w:val="bottom"/>
            <w:shd w:val="clear" w:color="auto" w:fill="DED8EC"/>
          </w:tcPr>
          <w:p>
            <w:pPr>
              <w:ind w:left="80"/>
              <w:spacing w:after="0"/>
              <w:rPr>
                <w:sz w:val="20"/>
                <w:szCs w:val="20"/>
                <w:color w:val="auto"/>
              </w:rPr>
            </w:pPr>
            <w:r>
              <w:rPr>
                <w:rFonts w:ascii="Arial" w:cs="Arial" w:eastAsia="Arial" w:hAnsi="Arial"/>
                <w:sz w:val="12"/>
                <w:szCs w:val="12"/>
                <w:color w:val="010035"/>
              </w:rPr>
              <w:t>the Year</w:t>
            </w:r>
            <w:r>
              <w:rPr>
                <w:rFonts w:ascii="Arial" w:cs="Arial" w:eastAsia="Arial" w:hAnsi="Arial"/>
                <w:sz w:val="19"/>
                <w:szCs w:val="19"/>
                <w:color w:val="010035"/>
                <w:vertAlign w:val="superscript"/>
              </w:rPr>
              <w:t>(b)</w:t>
            </w:r>
          </w:p>
        </w:tc>
        <w:tc>
          <w:tcPr>
            <w:tcW w:w="760" w:type="dxa"/>
            <w:vAlign w:val="bottom"/>
            <w:shd w:val="clear" w:color="auto" w:fill="DED8EC"/>
          </w:tcPr>
          <w:p>
            <w:pPr>
              <w:spacing w:after="0"/>
              <w:rPr>
                <w:sz w:val="22"/>
                <w:szCs w:val="22"/>
                <w:color w:val="auto"/>
              </w:rPr>
            </w:pPr>
          </w:p>
        </w:tc>
        <w:tc>
          <w:tcPr>
            <w:tcW w:w="780" w:type="dxa"/>
            <w:vAlign w:val="bottom"/>
            <w:shd w:val="clear" w:color="auto" w:fill="DED8EC"/>
          </w:tcPr>
          <w:p>
            <w:pPr>
              <w:spacing w:after="0"/>
              <w:rPr>
                <w:sz w:val="22"/>
                <w:szCs w:val="22"/>
                <w:color w:val="auto"/>
              </w:rPr>
            </w:pPr>
          </w:p>
        </w:tc>
        <w:tc>
          <w:tcPr>
            <w:tcW w:w="760" w:type="dxa"/>
            <w:vAlign w:val="bottom"/>
            <w:shd w:val="clear" w:color="auto" w:fill="DED8EC"/>
          </w:tcPr>
          <w:p>
            <w:pPr>
              <w:spacing w:after="0"/>
              <w:rPr>
                <w:sz w:val="22"/>
                <w:szCs w:val="22"/>
                <w:color w:val="auto"/>
              </w:rPr>
            </w:pPr>
          </w:p>
        </w:tc>
        <w:tc>
          <w:tcPr>
            <w:tcW w:w="840" w:type="dxa"/>
            <w:vAlign w:val="bottom"/>
            <w:shd w:val="clear" w:color="auto" w:fill="DED8EC"/>
          </w:tcPr>
          <w:p>
            <w:pPr>
              <w:spacing w:after="0"/>
              <w:rPr>
                <w:sz w:val="22"/>
                <w:szCs w:val="22"/>
                <w:color w:val="auto"/>
              </w:rPr>
            </w:pPr>
          </w:p>
        </w:tc>
        <w:tc>
          <w:tcPr>
            <w:tcW w:w="840" w:type="dxa"/>
            <w:vAlign w:val="bottom"/>
            <w:shd w:val="clear" w:color="auto" w:fill="DED8EC"/>
          </w:tcPr>
          <w:p>
            <w:pPr>
              <w:spacing w:after="0"/>
              <w:rPr>
                <w:sz w:val="22"/>
                <w:szCs w:val="22"/>
                <w:color w:val="auto"/>
              </w:rPr>
            </w:pPr>
          </w:p>
        </w:tc>
        <w:tc>
          <w:tcPr>
            <w:tcW w:w="760" w:type="dxa"/>
            <w:vAlign w:val="bottom"/>
            <w:shd w:val="clear" w:color="auto" w:fill="DED8EC"/>
          </w:tcPr>
          <w:p>
            <w:pPr>
              <w:spacing w:after="0"/>
              <w:rPr>
                <w:sz w:val="22"/>
                <w:szCs w:val="22"/>
                <w:color w:val="auto"/>
              </w:rPr>
            </w:pPr>
          </w:p>
        </w:tc>
        <w:tc>
          <w:tcPr>
            <w:tcW w:w="760" w:type="dxa"/>
            <w:vAlign w:val="bottom"/>
            <w:shd w:val="clear" w:color="auto" w:fill="DED8EC"/>
          </w:tcPr>
          <w:p>
            <w:pPr>
              <w:spacing w:after="0"/>
              <w:rPr>
                <w:sz w:val="22"/>
                <w:szCs w:val="22"/>
                <w:color w:val="auto"/>
              </w:rPr>
            </w:pPr>
          </w:p>
        </w:tc>
        <w:tc>
          <w:tcPr>
            <w:tcW w:w="700" w:type="dxa"/>
            <w:vAlign w:val="bottom"/>
            <w:shd w:val="clear" w:color="auto" w:fill="DED8EC"/>
          </w:tcPr>
          <w:p>
            <w:pPr>
              <w:spacing w:after="0"/>
              <w:rPr>
                <w:sz w:val="22"/>
                <w:szCs w:val="22"/>
                <w:color w:val="auto"/>
              </w:rPr>
            </w:pPr>
          </w:p>
        </w:tc>
        <w:tc>
          <w:tcPr>
            <w:tcW w:w="780" w:type="dxa"/>
            <w:vAlign w:val="bottom"/>
            <w:shd w:val="clear" w:color="auto" w:fill="DED8EC"/>
          </w:tcPr>
          <w:p>
            <w:pPr>
              <w:spacing w:after="0"/>
              <w:rPr>
                <w:sz w:val="22"/>
                <w:szCs w:val="22"/>
                <w:color w:val="auto"/>
              </w:rPr>
            </w:pPr>
          </w:p>
        </w:tc>
        <w:tc>
          <w:tcPr>
            <w:tcW w:w="800" w:type="dxa"/>
            <w:vAlign w:val="bottom"/>
            <w:shd w:val="clear" w:color="auto" w:fill="DED8EC"/>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620" w:type="dxa"/>
            <w:vAlign w:val="bottom"/>
          </w:tcPr>
          <w:p>
            <w:pPr>
              <w:ind w:left="80"/>
              <w:spacing w:after="0"/>
              <w:rPr>
                <w:sz w:val="20"/>
                <w:szCs w:val="20"/>
                <w:color w:val="auto"/>
              </w:rPr>
            </w:pPr>
            <w:r>
              <w:rPr>
                <w:rFonts w:ascii="Arial" w:cs="Arial" w:eastAsia="Arial" w:hAnsi="Arial"/>
                <w:sz w:val="12"/>
                <w:szCs w:val="12"/>
                <w:color w:val="010035"/>
              </w:rPr>
              <w:t>Less: Fair Value at the End</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80"/>
              <w:spacing w:after="0" w:line="135" w:lineRule="exact"/>
              <w:rPr>
                <w:sz w:val="20"/>
                <w:szCs w:val="20"/>
                <w:color w:val="auto"/>
              </w:rPr>
            </w:pPr>
            <w:r>
              <w:rPr>
                <w:rFonts w:ascii="Arial" w:cs="Arial" w:eastAsia="Arial" w:hAnsi="Arial"/>
                <w:sz w:val="12"/>
                <w:szCs w:val="12"/>
                <w:color w:val="010035"/>
              </w:rPr>
              <w:t>of the Prior Year of Equity</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80"/>
              <w:spacing w:after="0" w:line="135" w:lineRule="exact"/>
              <w:rPr>
                <w:sz w:val="20"/>
                <w:szCs w:val="20"/>
                <w:color w:val="auto"/>
              </w:rPr>
            </w:pPr>
            <w:r>
              <w:rPr>
                <w:rFonts w:ascii="Arial" w:cs="Arial" w:eastAsia="Arial" w:hAnsi="Arial"/>
                <w:sz w:val="12"/>
                <w:szCs w:val="12"/>
                <w:color w:val="010035"/>
              </w:rPr>
              <w:t>Awards that Failed to Meet</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010035"/>
                <w:w w:val="82"/>
              </w:rPr>
              <w:t>—</w:t>
            </w:r>
          </w:p>
        </w:tc>
        <w:tc>
          <w:tcPr>
            <w:tcW w:w="780" w:type="dxa"/>
            <w:vAlign w:val="bottom"/>
          </w:tcPr>
          <w:p>
            <w:pPr>
              <w:jc w:val="center"/>
              <w:spacing w:after="0" w:line="135" w:lineRule="exact"/>
              <w:rPr>
                <w:sz w:val="20"/>
                <w:szCs w:val="20"/>
                <w:color w:val="auto"/>
              </w:rPr>
            </w:pPr>
            <w:r>
              <w:rPr>
                <w:rFonts w:ascii="Arial" w:cs="Arial" w:eastAsia="Arial" w:hAnsi="Arial"/>
                <w:sz w:val="12"/>
                <w:szCs w:val="12"/>
                <w:color w:val="010035"/>
                <w:w w:val="99"/>
              </w:rPr>
              <w:t>—</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010035"/>
                <w:w w:val="99"/>
              </w:rPr>
              <w:t>—</w:t>
            </w:r>
          </w:p>
        </w:tc>
        <w:tc>
          <w:tcPr>
            <w:tcW w:w="840" w:type="dxa"/>
            <w:vAlign w:val="bottom"/>
          </w:tcPr>
          <w:p>
            <w:pPr>
              <w:jc w:val="center"/>
              <w:spacing w:after="0" w:line="135" w:lineRule="exact"/>
              <w:rPr>
                <w:sz w:val="20"/>
                <w:szCs w:val="20"/>
                <w:color w:val="auto"/>
              </w:rPr>
            </w:pPr>
            <w:r>
              <w:rPr>
                <w:rFonts w:ascii="Arial" w:cs="Arial" w:eastAsia="Arial" w:hAnsi="Arial"/>
                <w:sz w:val="12"/>
                <w:szCs w:val="12"/>
                <w:color w:val="010035"/>
                <w:w w:val="99"/>
              </w:rPr>
              <w:t>—</w:t>
            </w:r>
          </w:p>
        </w:tc>
        <w:tc>
          <w:tcPr>
            <w:tcW w:w="840" w:type="dxa"/>
            <w:vAlign w:val="bottom"/>
          </w:tcPr>
          <w:p>
            <w:pPr>
              <w:jc w:val="center"/>
              <w:spacing w:after="0" w:line="135" w:lineRule="exact"/>
              <w:rPr>
                <w:sz w:val="20"/>
                <w:szCs w:val="20"/>
                <w:color w:val="auto"/>
              </w:rPr>
            </w:pPr>
            <w:r>
              <w:rPr>
                <w:rFonts w:ascii="Arial" w:cs="Arial" w:eastAsia="Arial" w:hAnsi="Arial"/>
                <w:sz w:val="12"/>
                <w:szCs w:val="12"/>
                <w:color w:val="010035"/>
                <w:w w:val="99"/>
              </w:rPr>
              <w:t>—</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010035"/>
                <w:w w:val="99"/>
              </w:rPr>
              <w:t>—</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010035"/>
                <w:w w:val="99"/>
              </w:rPr>
              <w:t>—</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010035"/>
                <w:w w:val="99"/>
              </w:rPr>
              <w:t>—</w:t>
            </w:r>
          </w:p>
        </w:tc>
        <w:tc>
          <w:tcPr>
            <w:tcW w:w="780" w:type="dxa"/>
            <w:vAlign w:val="bottom"/>
          </w:tcPr>
          <w:p>
            <w:pPr>
              <w:jc w:val="center"/>
              <w:spacing w:after="0" w:line="135" w:lineRule="exact"/>
              <w:rPr>
                <w:sz w:val="20"/>
                <w:szCs w:val="20"/>
                <w:color w:val="auto"/>
              </w:rPr>
            </w:pPr>
            <w:r>
              <w:rPr>
                <w:rFonts w:ascii="Arial" w:cs="Arial" w:eastAsia="Arial" w:hAnsi="Arial"/>
                <w:sz w:val="12"/>
                <w:szCs w:val="12"/>
                <w:color w:val="010035"/>
                <w:w w:val="99"/>
              </w:rPr>
              <w:t>—</w:t>
            </w:r>
          </w:p>
        </w:tc>
        <w:tc>
          <w:tcPr>
            <w:tcW w:w="800" w:type="dxa"/>
            <w:vAlign w:val="bottom"/>
          </w:tcPr>
          <w:p>
            <w:pPr>
              <w:jc w:val="center"/>
              <w:spacing w:after="0" w:line="135" w:lineRule="exact"/>
              <w:rPr>
                <w:sz w:val="20"/>
                <w:szCs w:val="20"/>
                <w:color w:val="auto"/>
              </w:rPr>
            </w:pPr>
            <w:r>
              <w:rPr>
                <w:rFonts w:ascii="Arial" w:cs="Arial" w:eastAsia="Arial" w:hAnsi="Arial"/>
                <w:sz w:val="12"/>
                <w:szCs w:val="12"/>
                <w:color w:val="010035"/>
                <w:w w:val="99"/>
              </w:rPr>
              <w:t>—</w:t>
            </w:r>
          </w:p>
        </w:tc>
        <w:tc>
          <w:tcPr>
            <w:tcW w:w="0" w:type="dxa"/>
            <w:vAlign w:val="bottom"/>
          </w:tcPr>
          <w:p>
            <w:pPr>
              <w:spacing w:after="0"/>
              <w:rPr>
                <w:sz w:val="1"/>
                <w:szCs w:val="1"/>
                <w:color w:val="auto"/>
              </w:rPr>
            </w:pPr>
          </w:p>
        </w:tc>
      </w:tr>
      <w:tr>
        <w:trPr>
          <w:trHeight w:val="141"/>
        </w:trPr>
        <w:tc>
          <w:tcPr>
            <w:tcW w:w="1620" w:type="dxa"/>
            <w:vAlign w:val="bottom"/>
          </w:tcPr>
          <w:p>
            <w:pPr>
              <w:ind w:left="80"/>
              <w:spacing w:after="0"/>
              <w:rPr>
                <w:sz w:val="20"/>
                <w:szCs w:val="20"/>
                <w:color w:val="auto"/>
              </w:rPr>
            </w:pPr>
            <w:r>
              <w:rPr>
                <w:rFonts w:ascii="Arial" w:cs="Arial" w:eastAsia="Arial" w:hAnsi="Arial"/>
                <w:sz w:val="12"/>
                <w:szCs w:val="12"/>
                <w:color w:val="010035"/>
              </w:rPr>
              <w:t>Vesting Conditions in the</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620" w:type="dxa"/>
            <w:vAlign w:val="bottom"/>
          </w:tcPr>
          <w:p>
            <w:pPr>
              <w:ind w:left="80"/>
              <w:spacing w:after="0"/>
              <w:rPr>
                <w:sz w:val="20"/>
                <w:szCs w:val="20"/>
                <w:color w:val="auto"/>
              </w:rPr>
            </w:pPr>
            <w:r>
              <w:rPr>
                <w:rFonts w:ascii="Arial" w:cs="Arial" w:eastAsia="Arial" w:hAnsi="Arial"/>
                <w:sz w:val="12"/>
                <w:szCs w:val="12"/>
                <w:color w:val="010035"/>
              </w:rPr>
              <w:t>Year</w:t>
            </w:r>
            <w:r>
              <w:rPr>
                <w:rFonts w:ascii="Arial" w:cs="Arial" w:eastAsia="Arial" w:hAnsi="Arial"/>
                <w:sz w:val="19"/>
                <w:szCs w:val="19"/>
                <w:color w:val="010035"/>
                <w:vertAlign w:val="superscript"/>
              </w:rPr>
              <w:t>(b)</w:t>
            </w: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620" w:type="dxa"/>
            <w:vAlign w:val="bottom"/>
            <w:shd w:val="clear" w:color="auto" w:fill="DED8EC"/>
          </w:tcPr>
          <w:p>
            <w:pPr>
              <w:ind w:left="80"/>
              <w:spacing w:after="0"/>
              <w:rPr>
                <w:sz w:val="20"/>
                <w:szCs w:val="20"/>
                <w:color w:val="auto"/>
              </w:rPr>
            </w:pPr>
            <w:r>
              <w:rPr>
                <w:rFonts w:ascii="Arial" w:cs="Arial" w:eastAsia="Arial" w:hAnsi="Arial"/>
                <w:sz w:val="12"/>
                <w:szCs w:val="12"/>
                <w:color w:val="010035"/>
              </w:rPr>
              <w:t>Add: Value of Dividends</w:t>
            </w:r>
          </w:p>
        </w:tc>
        <w:tc>
          <w:tcPr>
            <w:tcW w:w="760" w:type="dxa"/>
            <w:vAlign w:val="bottom"/>
            <w:shd w:val="clear" w:color="auto" w:fill="DED8EC"/>
          </w:tcPr>
          <w:p>
            <w:pPr>
              <w:spacing w:after="0"/>
              <w:rPr>
                <w:sz w:val="16"/>
                <w:szCs w:val="16"/>
                <w:color w:val="auto"/>
              </w:rPr>
            </w:pPr>
          </w:p>
        </w:tc>
        <w:tc>
          <w:tcPr>
            <w:tcW w:w="780" w:type="dxa"/>
            <w:vAlign w:val="bottom"/>
            <w:shd w:val="clear" w:color="auto" w:fill="DED8EC"/>
          </w:tcPr>
          <w:p>
            <w:pPr>
              <w:spacing w:after="0"/>
              <w:rPr>
                <w:sz w:val="16"/>
                <w:szCs w:val="16"/>
                <w:color w:val="auto"/>
              </w:rPr>
            </w:pPr>
          </w:p>
        </w:tc>
        <w:tc>
          <w:tcPr>
            <w:tcW w:w="760" w:type="dxa"/>
            <w:vAlign w:val="bottom"/>
            <w:shd w:val="clear" w:color="auto" w:fill="DED8EC"/>
          </w:tcPr>
          <w:p>
            <w:pPr>
              <w:spacing w:after="0"/>
              <w:rPr>
                <w:sz w:val="16"/>
                <w:szCs w:val="16"/>
                <w:color w:val="auto"/>
              </w:rPr>
            </w:pPr>
          </w:p>
        </w:tc>
        <w:tc>
          <w:tcPr>
            <w:tcW w:w="840" w:type="dxa"/>
            <w:vAlign w:val="bottom"/>
            <w:shd w:val="clear" w:color="auto" w:fill="DED8EC"/>
          </w:tcPr>
          <w:p>
            <w:pPr>
              <w:spacing w:after="0"/>
              <w:rPr>
                <w:sz w:val="16"/>
                <w:szCs w:val="16"/>
                <w:color w:val="auto"/>
              </w:rPr>
            </w:pPr>
          </w:p>
        </w:tc>
        <w:tc>
          <w:tcPr>
            <w:tcW w:w="840" w:type="dxa"/>
            <w:vAlign w:val="bottom"/>
            <w:shd w:val="clear" w:color="auto" w:fill="DED8EC"/>
          </w:tcPr>
          <w:p>
            <w:pPr>
              <w:spacing w:after="0"/>
              <w:rPr>
                <w:sz w:val="16"/>
                <w:szCs w:val="16"/>
                <w:color w:val="auto"/>
              </w:rPr>
            </w:pPr>
          </w:p>
        </w:tc>
        <w:tc>
          <w:tcPr>
            <w:tcW w:w="760" w:type="dxa"/>
            <w:vAlign w:val="bottom"/>
            <w:shd w:val="clear" w:color="auto" w:fill="DED8EC"/>
          </w:tcPr>
          <w:p>
            <w:pPr>
              <w:spacing w:after="0"/>
              <w:rPr>
                <w:sz w:val="16"/>
                <w:szCs w:val="16"/>
                <w:color w:val="auto"/>
              </w:rPr>
            </w:pPr>
          </w:p>
        </w:tc>
        <w:tc>
          <w:tcPr>
            <w:tcW w:w="760" w:type="dxa"/>
            <w:vAlign w:val="bottom"/>
            <w:shd w:val="clear" w:color="auto" w:fill="DED8EC"/>
          </w:tcPr>
          <w:p>
            <w:pPr>
              <w:spacing w:after="0"/>
              <w:rPr>
                <w:sz w:val="16"/>
                <w:szCs w:val="16"/>
                <w:color w:val="auto"/>
              </w:rPr>
            </w:pPr>
          </w:p>
        </w:tc>
        <w:tc>
          <w:tcPr>
            <w:tcW w:w="700" w:type="dxa"/>
            <w:vAlign w:val="bottom"/>
            <w:shd w:val="clear" w:color="auto" w:fill="DED8EC"/>
          </w:tcPr>
          <w:p>
            <w:pPr>
              <w:spacing w:after="0"/>
              <w:rPr>
                <w:sz w:val="16"/>
                <w:szCs w:val="16"/>
                <w:color w:val="auto"/>
              </w:rPr>
            </w:pPr>
          </w:p>
        </w:tc>
        <w:tc>
          <w:tcPr>
            <w:tcW w:w="780" w:type="dxa"/>
            <w:vAlign w:val="bottom"/>
            <w:shd w:val="clear" w:color="auto" w:fill="DED8EC"/>
          </w:tcPr>
          <w:p>
            <w:pPr>
              <w:spacing w:after="0"/>
              <w:rPr>
                <w:sz w:val="16"/>
                <w:szCs w:val="16"/>
                <w:color w:val="auto"/>
              </w:rPr>
            </w:pPr>
          </w:p>
        </w:tc>
        <w:tc>
          <w:tcPr>
            <w:tcW w:w="800" w:type="dxa"/>
            <w:vAlign w:val="bottom"/>
            <w:shd w:val="clear" w:color="auto" w:fill="DED8E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DED8EC"/>
          </w:tcPr>
          <w:p>
            <w:pPr>
              <w:ind w:left="80"/>
              <w:spacing w:after="0" w:line="135" w:lineRule="exact"/>
              <w:rPr>
                <w:sz w:val="20"/>
                <w:szCs w:val="20"/>
                <w:color w:val="auto"/>
              </w:rPr>
            </w:pPr>
            <w:r>
              <w:rPr>
                <w:rFonts w:ascii="Arial" w:cs="Arial" w:eastAsia="Arial" w:hAnsi="Arial"/>
                <w:sz w:val="12"/>
                <w:szCs w:val="12"/>
                <w:color w:val="010035"/>
              </w:rPr>
              <w:t>or other Earnings Paid</w:t>
            </w:r>
          </w:p>
        </w:tc>
        <w:tc>
          <w:tcPr>
            <w:tcW w:w="760" w:type="dxa"/>
            <w:vAlign w:val="bottom"/>
            <w:shd w:val="clear" w:color="auto" w:fill="DED8EC"/>
          </w:tcPr>
          <w:p>
            <w:pPr>
              <w:spacing w:after="0"/>
              <w:rPr>
                <w:sz w:val="11"/>
                <w:szCs w:val="11"/>
                <w:color w:val="auto"/>
              </w:rPr>
            </w:pPr>
          </w:p>
        </w:tc>
        <w:tc>
          <w:tcPr>
            <w:tcW w:w="780" w:type="dxa"/>
            <w:vAlign w:val="bottom"/>
            <w:shd w:val="clear" w:color="auto" w:fill="DED8EC"/>
          </w:tcPr>
          <w:p>
            <w:pPr>
              <w:spacing w:after="0"/>
              <w:rPr>
                <w:sz w:val="11"/>
                <w:szCs w:val="11"/>
                <w:color w:val="auto"/>
              </w:rPr>
            </w:pPr>
          </w:p>
        </w:tc>
        <w:tc>
          <w:tcPr>
            <w:tcW w:w="760" w:type="dxa"/>
            <w:vAlign w:val="bottom"/>
            <w:shd w:val="clear" w:color="auto" w:fill="DED8EC"/>
          </w:tcPr>
          <w:p>
            <w:pPr>
              <w:spacing w:after="0"/>
              <w:rPr>
                <w:sz w:val="11"/>
                <w:szCs w:val="11"/>
                <w:color w:val="auto"/>
              </w:rPr>
            </w:pPr>
          </w:p>
        </w:tc>
        <w:tc>
          <w:tcPr>
            <w:tcW w:w="840" w:type="dxa"/>
            <w:vAlign w:val="bottom"/>
            <w:shd w:val="clear" w:color="auto" w:fill="DED8EC"/>
          </w:tcPr>
          <w:p>
            <w:pPr>
              <w:spacing w:after="0"/>
              <w:rPr>
                <w:sz w:val="11"/>
                <w:szCs w:val="11"/>
                <w:color w:val="auto"/>
              </w:rPr>
            </w:pPr>
          </w:p>
        </w:tc>
        <w:tc>
          <w:tcPr>
            <w:tcW w:w="840" w:type="dxa"/>
            <w:vAlign w:val="bottom"/>
            <w:shd w:val="clear" w:color="auto" w:fill="DED8EC"/>
          </w:tcPr>
          <w:p>
            <w:pPr>
              <w:spacing w:after="0"/>
              <w:rPr>
                <w:sz w:val="11"/>
                <w:szCs w:val="11"/>
                <w:color w:val="auto"/>
              </w:rPr>
            </w:pPr>
          </w:p>
        </w:tc>
        <w:tc>
          <w:tcPr>
            <w:tcW w:w="760" w:type="dxa"/>
            <w:vAlign w:val="bottom"/>
            <w:shd w:val="clear" w:color="auto" w:fill="DED8EC"/>
          </w:tcPr>
          <w:p>
            <w:pPr>
              <w:spacing w:after="0"/>
              <w:rPr>
                <w:sz w:val="11"/>
                <w:szCs w:val="11"/>
                <w:color w:val="auto"/>
              </w:rPr>
            </w:pPr>
          </w:p>
        </w:tc>
        <w:tc>
          <w:tcPr>
            <w:tcW w:w="760" w:type="dxa"/>
            <w:vAlign w:val="bottom"/>
            <w:shd w:val="clear" w:color="auto" w:fill="DED8EC"/>
          </w:tcPr>
          <w:p>
            <w:pPr>
              <w:spacing w:after="0"/>
              <w:rPr>
                <w:sz w:val="11"/>
                <w:szCs w:val="11"/>
                <w:color w:val="auto"/>
              </w:rPr>
            </w:pPr>
          </w:p>
        </w:tc>
        <w:tc>
          <w:tcPr>
            <w:tcW w:w="700" w:type="dxa"/>
            <w:vAlign w:val="bottom"/>
            <w:shd w:val="clear" w:color="auto" w:fill="DED8EC"/>
          </w:tcPr>
          <w:p>
            <w:pPr>
              <w:spacing w:after="0"/>
              <w:rPr>
                <w:sz w:val="11"/>
                <w:szCs w:val="11"/>
                <w:color w:val="auto"/>
              </w:rPr>
            </w:pPr>
          </w:p>
        </w:tc>
        <w:tc>
          <w:tcPr>
            <w:tcW w:w="780" w:type="dxa"/>
            <w:vAlign w:val="bottom"/>
            <w:shd w:val="clear" w:color="auto" w:fill="DED8EC"/>
          </w:tcPr>
          <w:p>
            <w:pPr>
              <w:spacing w:after="0"/>
              <w:rPr>
                <w:sz w:val="11"/>
                <w:szCs w:val="11"/>
                <w:color w:val="auto"/>
              </w:rPr>
            </w:pPr>
          </w:p>
        </w:tc>
        <w:tc>
          <w:tcPr>
            <w:tcW w:w="800" w:type="dxa"/>
            <w:vAlign w:val="bottom"/>
            <w:shd w:val="clear" w:color="auto" w:fill="DED8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DED8EC"/>
          </w:tcPr>
          <w:p>
            <w:pPr>
              <w:ind w:left="80"/>
              <w:spacing w:after="0" w:line="135" w:lineRule="exact"/>
              <w:rPr>
                <w:sz w:val="20"/>
                <w:szCs w:val="20"/>
                <w:color w:val="auto"/>
              </w:rPr>
            </w:pPr>
            <w:r>
              <w:rPr>
                <w:rFonts w:ascii="Arial" w:cs="Arial" w:eastAsia="Arial" w:hAnsi="Arial"/>
                <w:sz w:val="12"/>
                <w:szCs w:val="12"/>
                <w:color w:val="010035"/>
              </w:rPr>
              <w:t>on Stock or Option Awards</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82"/>
              </w:rPr>
              <w:t>—</w:t>
            </w:r>
          </w:p>
        </w:tc>
        <w:tc>
          <w:tcPr>
            <w:tcW w:w="78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w:t>
            </w:r>
          </w:p>
        </w:tc>
        <w:tc>
          <w:tcPr>
            <w:tcW w:w="84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w:t>
            </w:r>
          </w:p>
        </w:tc>
        <w:tc>
          <w:tcPr>
            <w:tcW w:w="84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w:t>
            </w:r>
          </w:p>
        </w:tc>
        <w:tc>
          <w:tcPr>
            <w:tcW w:w="76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w:t>
            </w:r>
          </w:p>
        </w:tc>
        <w:tc>
          <w:tcPr>
            <w:tcW w:w="70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w:t>
            </w:r>
          </w:p>
        </w:tc>
        <w:tc>
          <w:tcPr>
            <w:tcW w:w="78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w:t>
            </w:r>
          </w:p>
        </w:tc>
        <w:tc>
          <w:tcPr>
            <w:tcW w:w="800" w:type="dxa"/>
            <w:vAlign w:val="bottom"/>
            <w:vMerge w:val="restart"/>
            <w:shd w:val="clear" w:color="auto" w:fill="DED8EC"/>
          </w:tcPr>
          <w:p>
            <w:pPr>
              <w:jc w:val="center"/>
              <w:spacing w:after="0"/>
              <w:rPr>
                <w:sz w:val="20"/>
                <w:szCs w:val="20"/>
                <w:color w:val="auto"/>
              </w:rPr>
            </w:pPr>
            <w:r>
              <w:rPr>
                <w:rFonts w:ascii="Arial" w:cs="Arial" w:eastAsia="Arial" w:hAnsi="Arial"/>
                <w:sz w:val="12"/>
                <w:szCs w:val="12"/>
                <w:color w:val="010035"/>
                <w:w w:val="99"/>
              </w:rPr>
              <w:t>—</w:t>
            </w:r>
          </w:p>
        </w:tc>
        <w:tc>
          <w:tcPr>
            <w:tcW w:w="0" w:type="dxa"/>
            <w:vAlign w:val="bottom"/>
          </w:tcPr>
          <w:p>
            <w:pPr>
              <w:spacing w:after="0"/>
              <w:rPr>
                <w:sz w:val="1"/>
                <w:szCs w:val="1"/>
                <w:color w:val="auto"/>
              </w:rPr>
            </w:pPr>
          </w:p>
        </w:tc>
      </w:tr>
      <w:tr>
        <w:trPr>
          <w:trHeight w:val="98"/>
        </w:trPr>
        <w:tc>
          <w:tcPr>
            <w:tcW w:w="1620" w:type="dxa"/>
            <w:vAlign w:val="bottom"/>
            <w:vMerge w:val="restart"/>
            <w:shd w:val="clear" w:color="auto" w:fill="DED8EC"/>
          </w:tcPr>
          <w:p>
            <w:pPr>
              <w:ind w:left="80"/>
              <w:spacing w:after="0" w:line="135" w:lineRule="exact"/>
              <w:rPr>
                <w:sz w:val="20"/>
                <w:szCs w:val="20"/>
                <w:color w:val="auto"/>
              </w:rPr>
            </w:pPr>
            <w:r>
              <w:rPr>
                <w:rFonts w:ascii="Arial" w:cs="Arial" w:eastAsia="Arial" w:hAnsi="Arial"/>
                <w:sz w:val="12"/>
                <w:szCs w:val="12"/>
                <w:color w:val="010035"/>
              </w:rPr>
              <w:t>not Otherwise</w:t>
            </w:r>
          </w:p>
        </w:tc>
        <w:tc>
          <w:tcPr>
            <w:tcW w:w="760" w:type="dxa"/>
            <w:vAlign w:val="bottom"/>
            <w:vMerge w:val="continue"/>
            <w:shd w:val="clear" w:color="auto" w:fill="DED8EC"/>
          </w:tcPr>
          <w:p>
            <w:pPr>
              <w:spacing w:after="0"/>
              <w:rPr>
                <w:sz w:val="8"/>
                <w:szCs w:val="8"/>
                <w:color w:val="auto"/>
              </w:rPr>
            </w:pPr>
          </w:p>
        </w:tc>
        <w:tc>
          <w:tcPr>
            <w:tcW w:w="780" w:type="dxa"/>
            <w:vAlign w:val="bottom"/>
            <w:vMerge w:val="continue"/>
            <w:shd w:val="clear" w:color="auto" w:fill="DED8EC"/>
          </w:tcPr>
          <w:p>
            <w:pPr>
              <w:spacing w:after="0"/>
              <w:rPr>
                <w:sz w:val="8"/>
                <w:szCs w:val="8"/>
                <w:color w:val="auto"/>
              </w:rPr>
            </w:pPr>
          </w:p>
        </w:tc>
        <w:tc>
          <w:tcPr>
            <w:tcW w:w="760" w:type="dxa"/>
            <w:vAlign w:val="bottom"/>
            <w:vMerge w:val="continue"/>
            <w:shd w:val="clear" w:color="auto" w:fill="DED8EC"/>
          </w:tcPr>
          <w:p>
            <w:pPr>
              <w:spacing w:after="0"/>
              <w:rPr>
                <w:sz w:val="8"/>
                <w:szCs w:val="8"/>
                <w:color w:val="auto"/>
              </w:rPr>
            </w:pPr>
          </w:p>
        </w:tc>
        <w:tc>
          <w:tcPr>
            <w:tcW w:w="840" w:type="dxa"/>
            <w:vAlign w:val="bottom"/>
            <w:vMerge w:val="continue"/>
            <w:shd w:val="clear" w:color="auto" w:fill="DED8EC"/>
          </w:tcPr>
          <w:p>
            <w:pPr>
              <w:spacing w:after="0"/>
              <w:rPr>
                <w:sz w:val="8"/>
                <w:szCs w:val="8"/>
                <w:color w:val="auto"/>
              </w:rPr>
            </w:pPr>
          </w:p>
        </w:tc>
        <w:tc>
          <w:tcPr>
            <w:tcW w:w="840" w:type="dxa"/>
            <w:vAlign w:val="bottom"/>
            <w:vMerge w:val="continue"/>
            <w:shd w:val="clear" w:color="auto" w:fill="DED8EC"/>
          </w:tcPr>
          <w:p>
            <w:pPr>
              <w:spacing w:after="0"/>
              <w:rPr>
                <w:sz w:val="8"/>
                <w:szCs w:val="8"/>
                <w:color w:val="auto"/>
              </w:rPr>
            </w:pPr>
          </w:p>
        </w:tc>
        <w:tc>
          <w:tcPr>
            <w:tcW w:w="760" w:type="dxa"/>
            <w:vAlign w:val="bottom"/>
            <w:vMerge w:val="continue"/>
            <w:shd w:val="clear" w:color="auto" w:fill="DED8EC"/>
          </w:tcPr>
          <w:p>
            <w:pPr>
              <w:spacing w:after="0"/>
              <w:rPr>
                <w:sz w:val="8"/>
                <w:szCs w:val="8"/>
                <w:color w:val="auto"/>
              </w:rPr>
            </w:pPr>
          </w:p>
        </w:tc>
        <w:tc>
          <w:tcPr>
            <w:tcW w:w="760" w:type="dxa"/>
            <w:vAlign w:val="bottom"/>
            <w:vMerge w:val="continue"/>
            <w:shd w:val="clear" w:color="auto" w:fill="DED8EC"/>
          </w:tcPr>
          <w:p>
            <w:pPr>
              <w:spacing w:after="0"/>
              <w:rPr>
                <w:sz w:val="8"/>
                <w:szCs w:val="8"/>
                <w:color w:val="auto"/>
              </w:rPr>
            </w:pPr>
          </w:p>
        </w:tc>
        <w:tc>
          <w:tcPr>
            <w:tcW w:w="700" w:type="dxa"/>
            <w:vAlign w:val="bottom"/>
            <w:vMerge w:val="continue"/>
            <w:shd w:val="clear" w:color="auto" w:fill="DED8EC"/>
          </w:tcPr>
          <w:p>
            <w:pPr>
              <w:spacing w:after="0"/>
              <w:rPr>
                <w:sz w:val="8"/>
                <w:szCs w:val="8"/>
                <w:color w:val="auto"/>
              </w:rPr>
            </w:pPr>
          </w:p>
        </w:tc>
        <w:tc>
          <w:tcPr>
            <w:tcW w:w="780" w:type="dxa"/>
            <w:vAlign w:val="bottom"/>
            <w:vMerge w:val="continue"/>
            <w:shd w:val="clear" w:color="auto" w:fill="DED8EC"/>
          </w:tcPr>
          <w:p>
            <w:pPr>
              <w:spacing w:after="0"/>
              <w:rPr>
                <w:sz w:val="8"/>
                <w:szCs w:val="8"/>
                <w:color w:val="auto"/>
              </w:rPr>
            </w:pPr>
          </w:p>
        </w:tc>
        <w:tc>
          <w:tcPr>
            <w:tcW w:w="800" w:type="dxa"/>
            <w:vAlign w:val="bottom"/>
            <w:vMerge w:val="continue"/>
            <w:shd w:val="clear" w:color="auto" w:fill="DED8EC"/>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620" w:type="dxa"/>
            <w:vAlign w:val="bottom"/>
            <w:vMerge w:val="continue"/>
            <w:shd w:val="clear" w:color="auto" w:fill="DED8EC"/>
          </w:tcPr>
          <w:p>
            <w:pPr>
              <w:spacing w:after="0"/>
              <w:rPr>
                <w:sz w:val="3"/>
                <w:szCs w:val="3"/>
                <w:color w:val="auto"/>
              </w:rPr>
            </w:pPr>
          </w:p>
        </w:tc>
        <w:tc>
          <w:tcPr>
            <w:tcW w:w="760" w:type="dxa"/>
            <w:vAlign w:val="bottom"/>
            <w:shd w:val="clear" w:color="auto" w:fill="DED8EC"/>
          </w:tcPr>
          <w:p>
            <w:pPr>
              <w:spacing w:after="0"/>
              <w:rPr>
                <w:sz w:val="3"/>
                <w:szCs w:val="3"/>
                <w:color w:val="auto"/>
              </w:rPr>
            </w:pPr>
          </w:p>
        </w:tc>
        <w:tc>
          <w:tcPr>
            <w:tcW w:w="780" w:type="dxa"/>
            <w:vAlign w:val="bottom"/>
            <w:shd w:val="clear" w:color="auto" w:fill="DED8EC"/>
          </w:tcPr>
          <w:p>
            <w:pPr>
              <w:spacing w:after="0"/>
              <w:rPr>
                <w:sz w:val="3"/>
                <w:szCs w:val="3"/>
                <w:color w:val="auto"/>
              </w:rPr>
            </w:pPr>
          </w:p>
        </w:tc>
        <w:tc>
          <w:tcPr>
            <w:tcW w:w="760" w:type="dxa"/>
            <w:vAlign w:val="bottom"/>
            <w:shd w:val="clear" w:color="auto" w:fill="DED8EC"/>
          </w:tcPr>
          <w:p>
            <w:pPr>
              <w:spacing w:after="0"/>
              <w:rPr>
                <w:sz w:val="3"/>
                <w:szCs w:val="3"/>
                <w:color w:val="auto"/>
              </w:rPr>
            </w:pPr>
          </w:p>
        </w:tc>
        <w:tc>
          <w:tcPr>
            <w:tcW w:w="840" w:type="dxa"/>
            <w:vAlign w:val="bottom"/>
            <w:shd w:val="clear" w:color="auto" w:fill="DED8EC"/>
          </w:tcPr>
          <w:p>
            <w:pPr>
              <w:spacing w:after="0"/>
              <w:rPr>
                <w:sz w:val="3"/>
                <w:szCs w:val="3"/>
                <w:color w:val="auto"/>
              </w:rPr>
            </w:pPr>
          </w:p>
        </w:tc>
        <w:tc>
          <w:tcPr>
            <w:tcW w:w="840" w:type="dxa"/>
            <w:vAlign w:val="bottom"/>
            <w:shd w:val="clear" w:color="auto" w:fill="DED8EC"/>
          </w:tcPr>
          <w:p>
            <w:pPr>
              <w:spacing w:after="0"/>
              <w:rPr>
                <w:sz w:val="3"/>
                <w:szCs w:val="3"/>
                <w:color w:val="auto"/>
              </w:rPr>
            </w:pPr>
          </w:p>
        </w:tc>
        <w:tc>
          <w:tcPr>
            <w:tcW w:w="760" w:type="dxa"/>
            <w:vAlign w:val="bottom"/>
            <w:shd w:val="clear" w:color="auto" w:fill="DED8EC"/>
          </w:tcPr>
          <w:p>
            <w:pPr>
              <w:spacing w:after="0"/>
              <w:rPr>
                <w:sz w:val="3"/>
                <w:szCs w:val="3"/>
                <w:color w:val="auto"/>
              </w:rPr>
            </w:pPr>
          </w:p>
        </w:tc>
        <w:tc>
          <w:tcPr>
            <w:tcW w:w="760" w:type="dxa"/>
            <w:vAlign w:val="bottom"/>
            <w:shd w:val="clear" w:color="auto" w:fill="DED8EC"/>
          </w:tcPr>
          <w:p>
            <w:pPr>
              <w:spacing w:after="0"/>
              <w:rPr>
                <w:sz w:val="3"/>
                <w:szCs w:val="3"/>
                <w:color w:val="auto"/>
              </w:rPr>
            </w:pPr>
          </w:p>
        </w:tc>
        <w:tc>
          <w:tcPr>
            <w:tcW w:w="700" w:type="dxa"/>
            <w:vAlign w:val="bottom"/>
            <w:shd w:val="clear" w:color="auto" w:fill="DED8EC"/>
          </w:tcPr>
          <w:p>
            <w:pPr>
              <w:spacing w:after="0"/>
              <w:rPr>
                <w:sz w:val="3"/>
                <w:szCs w:val="3"/>
                <w:color w:val="auto"/>
              </w:rPr>
            </w:pPr>
          </w:p>
        </w:tc>
        <w:tc>
          <w:tcPr>
            <w:tcW w:w="780" w:type="dxa"/>
            <w:vAlign w:val="bottom"/>
            <w:shd w:val="clear" w:color="auto" w:fill="DED8EC"/>
          </w:tcPr>
          <w:p>
            <w:pPr>
              <w:spacing w:after="0"/>
              <w:rPr>
                <w:sz w:val="3"/>
                <w:szCs w:val="3"/>
                <w:color w:val="auto"/>
              </w:rPr>
            </w:pPr>
          </w:p>
        </w:tc>
        <w:tc>
          <w:tcPr>
            <w:tcW w:w="800" w:type="dxa"/>
            <w:vAlign w:val="bottom"/>
            <w:shd w:val="clear" w:color="auto" w:fill="DED8E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1620" w:type="dxa"/>
            <w:vAlign w:val="bottom"/>
            <w:shd w:val="clear" w:color="auto" w:fill="DED8EC"/>
          </w:tcPr>
          <w:p>
            <w:pPr>
              <w:ind w:left="80"/>
              <w:spacing w:after="0"/>
              <w:rPr>
                <w:sz w:val="20"/>
                <w:szCs w:val="20"/>
                <w:color w:val="auto"/>
              </w:rPr>
            </w:pPr>
            <w:r>
              <w:rPr>
                <w:rFonts w:ascii="Arial" w:cs="Arial" w:eastAsia="Arial" w:hAnsi="Arial"/>
                <w:sz w:val="12"/>
                <w:szCs w:val="12"/>
                <w:color w:val="010035"/>
              </w:rPr>
              <w:t>Reflected in Fair Value or</w:t>
            </w:r>
          </w:p>
        </w:tc>
        <w:tc>
          <w:tcPr>
            <w:tcW w:w="760" w:type="dxa"/>
            <w:vAlign w:val="bottom"/>
            <w:shd w:val="clear" w:color="auto" w:fill="DED8EC"/>
          </w:tcPr>
          <w:p>
            <w:pPr>
              <w:spacing w:after="0"/>
              <w:rPr>
                <w:sz w:val="12"/>
                <w:szCs w:val="12"/>
                <w:color w:val="auto"/>
              </w:rPr>
            </w:pPr>
          </w:p>
        </w:tc>
        <w:tc>
          <w:tcPr>
            <w:tcW w:w="780" w:type="dxa"/>
            <w:vAlign w:val="bottom"/>
            <w:shd w:val="clear" w:color="auto" w:fill="DED8EC"/>
          </w:tcPr>
          <w:p>
            <w:pPr>
              <w:spacing w:after="0"/>
              <w:rPr>
                <w:sz w:val="12"/>
                <w:szCs w:val="12"/>
                <w:color w:val="auto"/>
              </w:rPr>
            </w:pPr>
          </w:p>
        </w:tc>
        <w:tc>
          <w:tcPr>
            <w:tcW w:w="760" w:type="dxa"/>
            <w:vAlign w:val="bottom"/>
            <w:shd w:val="clear" w:color="auto" w:fill="DED8EC"/>
          </w:tcPr>
          <w:p>
            <w:pPr>
              <w:spacing w:after="0"/>
              <w:rPr>
                <w:sz w:val="12"/>
                <w:szCs w:val="12"/>
                <w:color w:val="auto"/>
              </w:rPr>
            </w:pPr>
          </w:p>
        </w:tc>
        <w:tc>
          <w:tcPr>
            <w:tcW w:w="840" w:type="dxa"/>
            <w:vAlign w:val="bottom"/>
            <w:shd w:val="clear" w:color="auto" w:fill="DED8EC"/>
          </w:tcPr>
          <w:p>
            <w:pPr>
              <w:spacing w:after="0"/>
              <w:rPr>
                <w:sz w:val="12"/>
                <w:szCs w:val="12"/>
                <w:color w:val="auto"/>
              </w:rPr>
            </w:pPr>
          </w:p>
        </w:tc>
        <w:tc>
          <w:tcPr>
            <w:tcW w:w="840" w:type="dxa"/>
            <w:vAlign w:val="bottom"/>
            <w:shd w:val="clear" w:color="auto" w:fill="DED8EC"/>
          </w:tcPr>
          <w:p>
            <w:pPr>
              <w:spacing w:after="0"/>
              <w:rPr>
                <w:sz w:val="12"/>
                <w:szCs w:val="12"/>
                <w:color w:val="auto"/>
              </w:rPr>
            </w:pPr>
          </w:p>
        </w:tc>
        <w:tc>
          <w:tcPr>
            <w:tcW w:w="760" w:type="dxa"/>
            <w:vAlign w:val="bottom"/>
            <w:shd w:val="clear" w:color="auto" w:fill="DED8EC"/>
          </w:tcPr>
          <w:p>
            <w:pPr>
              <w:spacing w:after="0"/>
              <w:rPr>
                <w:sz w:val="12"/>
                <w:szCs w:val="12"/>
                <w:color w:val="auto"/>
              </w:rPr>
            </w:pPr>
          </w:p>
        </w:tc>
        <w:tc>
          <w:tcPr>
            <w:tcW w:w="760" w:type="dxa"/>
            <w:vAlign w:val="bottom"/>
            <w:shd w:val="clear" w:color="auto" w:fill="DED8EC"/>
          </w:tcPr>
          <w:p>
            <w:pPr>
              <w:spacing w:after="0"/>
              <w:rPr>
                <w:sz w:val="12"/>
                <w:szCs w:val="12"/>
                <w:color w:val="auto"/>
              </w:rPr>
            </w:pPr>
          </w:p>
        </w:tc>
        <w:tc>
          <w:tcPr>
            <w:tcW w:w="700" w:type="dxa"/>
            <w:vAlign w:val="bottom"/>
            <w:shd w:val="clear" w:color="auto" w:fill="DED8EC"/>
          </w:tcPr>
          <w:p>
            <w:pPr>
              <w:spacing w:after="0"/>
              <w:rPr>
                <w:sz w:val="12"/>
                <w:szCs w:val="12"/>
                <w:color w:val="auto"/>
              </w:rPr>
            </w:pPr>
          </w:p>
        </w:tc>
        <w:tc>
          <w:tcPr>
            <w:tcW w:w="780" w:type="dxa"/>
            <w:vAlign w:val="bottom"/>
            <w:shd w:val="clear" w:color="auto" w:fill="DED8EC"/>
          </w:tcPr>
          <w:p>
            <w:pPr>
              <w:spacing w:after="0"/>
              <w:rPr>
                <w:sz w:val="12"/>
                <w:szCs w:val="12"/>
                <w:color w:val="auto"/>
              </w:rPr>
            </w:pPr>
          </w:p>
        </w:tc>
        <w:tc>
          <w:tcPr>
            <w:tcW w:w="800" w:type="dxa"/>
            <w:vAlign w:val="bottom"/>
            <w:shd w:val="clear" w:color="auto" w:fill="DED8EC"/>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620" w:type="dxa"/>
            <w:vAlign w:val="bottom"/>
            <w:shd w:val="clear" w:color="auto" w:fill="DED8EC"/>
          </w:tcPr>
          <w:p>
            <w:pPr>
              <w:ind w:left="80"/>
              <w:spacing w:after="0"/>
              <w:rPr>
                <w:sz w:val="20"/>
                <w:szCs w:val="20"/>
                <w:color w:val="auto"/>
              </w:rPr>
            </w:pPr>
            <w:r>
              <w:rPr>
                <w:rFonts w:ascii="Arial" w:cs="Arial" w:eastAsia="Arial" w:hAnsi="Arial"/>
                <w:sz w:val="12"/>
                <w:szCs w:val="12"/>
                <w:color w:val="010035"/>
              </w:rPr>
              <w:t>Total Compensation</w:t>
            </w:r>
            <w:r>
              <w:rPr>
                <w:rFonts w:ascii="Arial" w:cs="Arial" w:eastAsia="Arial" w:hAnsi="Arial"/>
                <w:sz w:val="19"/>
                <w:szCs w:val="19"/>
                <w:color w:val="010035"/>
                <w:vertAlign w:val="superscript"/>
              </w:rPr>
              <w:t>(b)</w:t>
            </w:r>
          </w:p>
        </w:tc>
        <w:tc>
          <w:tcPr>
            <w:tcW w:w="760" w:type="dxa"/>
            <w:vAlign w:val="bottom"/>
            <w:shd w:val="clear" w:color="auto" w:fill="DED8EC"/>
          </w:tcPr>
          <w:p>
            <w:pPr>
              <w:spacing w:after="0"/>
              <w:rPr>
                <w:sz w:val="22"/>
                <w:szCs w:val="22"/>
                <w:color w:val="auto"/>
              </w:rPr>
            </w:pPr>
          </w:p>
        </w:tc>
        <w:tc>
          <w:tcPr>
            <w:tcW w:w="780" w:type="dxa"/>
            <w:vAlign w:val="bottom"/>
            <w:shd w:val="clear" w:color="auto" w:fill="DED8EC"/>
          </w:tcPr>
          <w:p>
            <w:pPr>
              <w:spacing w:after="0"/>
              <w:rPr>
                <w:sz w:val="22"/>
                <w:szCs w:val="22"/>
                <w:color w:val="auto"/>
              </w:rPr>
            </w:pPr>
          </w:p>
        </w:tc>
        <w:tc>
          <w:tcPr>
            <w:tcW w:w="760" w:type="dxa"/>
            <w:vAlign w:val="bottom"/>
            <w:shd w:val="clear" w:color="auto" w:fill="DED8EC"/>
          </w:tcPr>
          <w:p>
            <w:pPr>
              <w:spacing w:after="0"/>
              <w:rPr>
                <w:sz w:val="22"/>
                <w:szCs w:val="22"/>
                <w:color w:val="auto"/>
              </w:rPr>
            </w:pPr>
          </w:p>
        </w:tc>
        <w:tc>
          <w:tcPr>
            <w:tcW w:w="840" w:type="dxa"/>
            <w:vAlign w:val="bottom"/>
            <w:shd w:val="clear" w:color="auto" w:fill="DED8EC"/>
          </w:tcPr>
          <w:p>
            <w:pPr>
              <w:spacing w:after="0"/>
              <w:rPr>
                <w:sz w:val="22"/>
                <w:szCs w:val="22"/>
                <w:color w:val="auto"/>
              </w:rPr>
            </w:pPr>
          </w:p>
        </w:tc>
        <w:tc>
          <w:tcPr>
            <w:tcW w:w="840" w:type="dxa"/>
            <w:vAlign w:val="bottom"/>
            <w:shd w:val="clear" w:color="auto" w:fill="DED8EC"/>
          </w:tcPr>
          <w:p>
            <w:pPr>
              <w:spacing w:after="0"/>
              <w:rPr>
                <w:sz w:val="22"/>
                <w:szCs w:val="22"/>
                <w:color w:val="auto"/>
              </w:rPr>
            </w:pPr>
          </w:p>
        </w:tc>
        <w:tc>
          <w:tcPr>
            <w:tcW w:w="760" w:type="dxa"/>
            <w:vAlign w:val="bottom"/>
            <w:shd w:val="clear" w:color="auto" w:fill="DED8EC"/>
          </w:tcPr>
          <w:p>
            <w:pPr>
              <w:spacing w:after="0"/>
              <w:rPr>
                <w:sz w:val="22"/>
                <w:szCs w:val="22"/>
                <w:color w:val="auto"/>
              </w:rPr>
            </w:pPr>
          </w:p>
        </w:tc>
        <w:tc>
          <w:tcPr>
            <w:tcW w:w="760" w:type="dxa"/>
            <w:vAlign w:val="bottom"/>
            <w:shd w:val="clear" w:color="auto" w:fill="DED8EC"/>
          </w:tcPr>
          <w:p>
            <w:pPr>
              <w:spacing w:after="0"/>
              <w:rPr>
                <w:sz w:val="22"/>
                <w:szCs w:val="22"/>
                <w:color w:val="auto"/>
              </w:rPr>
            </w:pPr>
          </w:p>
        </w:tc>
        <w:tc>
          <w:tcPr>
            <w:tcW w:w="700" w:type="dxa"/>
            <w:vAlign w:val="bottom"/>
            <w:shd w:val="clear" w:color="auto" w:fill="DED8EC"/>
          </w:tcPr>
          <w:p>
            <w:pPr>
              <w:spacing w:after="0"/>
              <w:rPr>
                <w:sz w:val="22"/>
                <w:szCs w:val="22"/>
                <w:color w:val="auto"/>
              </w:rPr>
            </w:pPr>
          </w:p>
        </w:tc>
        <w:tc>
          <w:tcPr>
            <w:tcW w:w="780" w:type="dxa"/>
            <w:vAlign w:val="bottom"/>
            <w:shd w:val="clear" w:color="auto" w:fill="DED8EC"/>
          </w:tcPr>
          <w:p>
            <w:pPr>
              <w:spacing w:after="0"/>
              <w:rPr>
                <w:sz w:val="22"/>
                <w:szCs w:val="22"/>
                <w:color w:val="auto"/>
              </w:rPr>
            </w:pPr>
          </w:p>
        </w:tc>
        <w:tc>
          <w:tcPr>
            <w:tcW w:w="800" w:type="dxa"/>
            <w:vAlign w:val="bottom"/>
            <w:shd w:val="clear" w:color="auto" w:fill="DED8EC"/>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20" w:type="dxa"/>
            <w:vAlign w:val="bottom"/>
          </w:tcPr>
          <w:p>
            <w:pPr>
              <w:ind w:left="80"/>
              <w:spacing w:after="0"/>
              <w:rPr>
                <w:sz w:val="20"/>
                <w:szCs w:val="20"/>
                <w:color w:val="auto"/>
              </w:rPr>
            </w:pPr>
            <w:r>
              <w:rPr>
                <w:rFonts w:ascii="Arial" w:cs="Arial" w:eastAsia="Arial" w:hAnsi="Arial"/>
                <w:sz w:val="12"/>
                <w:szCs w:val="12"/>
                <w:color w:val="010035"/>
              </w:rPr>
              <w:t>Compensation Actually</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8"/>
              </w:rPr>
              <w:t>$10,375,989</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10035"/>
                <w:w w:val="95"/>
              </w:rPr>
              <w:t>$13,213,672</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5"/>
              </w:rPr>
              <w:t>$10,187,197</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10035"/>
                <w:w w:val="98"/>
              </w:rPr>
              <w:t>($10,073,072)</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10035"/>
                <w:w w:val="96"/>
              </w:rPr>
              <w:t>$7,961,396</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6"/>
              </w:rPr>
              <w:t>$3,063,710</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10035"/>
                <w:w w:val="96"/>
              </w:rPr>
              <w:t>$3,034,477</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010035"/>
                <w:w w:val="99"/>
              </w:rPr>
              <w:t>$3,866,865</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10035"/>
                <w:w w:val="96"/>
              </w:rPr>
              <w:t>$1,412,413</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010035"/>
                <w:w w:val="96"/>
              </w:rPr>
              <w:t>$2,027,447</w:t>
            </w:r>
          </w:p>
        </w:tc>
        <w:tc>
          <w:tcPr>
            <w:tcW w:w="0" w:type="dxa"/>
            <w:vAlign w:val="bottom"/>
          </w:tcPr>
          <w:p>
            <w:pPr>
              <w:spacing w:after="0"/>
              <w:rPr>
                <w:sz w:val="1"/>
                <w:szCs w:val="1"/>
                <w:color w:val="auto"/>
              </w:rPr>
            </w:pPr>
          </w:p>
        </w:tc>
      </w:tr>
      <w:tr>
        <w:trPr>
          <w:trHeight w:val="92"/>
        </w:trPr>
        <w:tc>
          <w:tcPr>
            <w:tcW w:w="1620" w:type="dxa"/>
            <w:vAlign w:val="bottom"/>
            <w:vMerge w:val="restart"/>
          </w:tcPr>
          <w:p>
            <w:pPr>
              <w:ind w:left="80"/>
              <w:spacing w:after="0"/>
              <w:rPr>
                <w:sz w:val="20"/>
                <w:szCs w:val="20"/>
                <w:color w:val="auto"/>
              </w:rPr>
            </w:pPr>
            <w:r>
              <w:rPr>
                <w:rFonts w:ascii="Arial" w:cs="Arial" w:eastAsia="Arial" w:hAnsi="Arial"/>
                <w:sz w:val="12"/>
                <w:szCs w:val="12"/>
                <w:color w:val="010035"/>
              </w:rPr>
              <w:t>Paid</w:t>
            </w:r>
            <w:r>
              <w:rPr>
                <w:rFonts w:ascii="Arial" w:cs="Arial" w:eastAsia="Arial" w:hAnsi="Arial"/>
                <w:sz w:val="19"/>
                <w:szCs w:val="19"/>
                <w:color w:val="010035"/>
                <w:vertAlign w:val="superscript"/>
              </w:rPr>
              <w:t>(c)</w:t>
            </w: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620" w:type="dxa"/>
            <w:vAlign w:val="bottom"/>
            <w:tcBorders>
              <w:bottom w:val="single" w:sz="8" w:color="010035"/>
            </w:tcBorders>
            <w:vMerge w:val="continue"/>
          </w:tcPr>
          <w:p>
            <w:pPr>
              <w:spacing w:after="0"/>
              <w:rPr>
                <w:sz w:val="12"/>
                <w:szCs w:val="12"/>
                <w:color w:val="auto"/>
              </w:rPr>
            </w:pPr>
          </w:p>
        </w:tc>
        <w:tc>
          <w:tcPr>
            <w:tcW w:w="760" w:type="dxa"/>
            <w:vAlign w:val="bottom"/>
            <w:tcBorders>
              <w:bottom w:val="single" w:sz="8" w:color="010035"/>
            </w:tcBorders>
          </w:tcPr>
          <w:p>
            <w:pPr>
              <w:spacing w:after="0"/>
              <w:rPr>
                <w:sz w:val="12"/>
                <w:szCs w:val="12"/>
                <w:color w:val="auto"/>
              </w:rPr>
            </w:pPr>
          </w:p>
        </w:tc>
        <w:tc>
          <w:tcPr>
            <w:tcW w:w="780" w:type="dxa"/>
            <w:vAlign w:val="bottom"/>
            <w:tcBorders>
              <w:bottom w:val="single" w:sz="8" w:color="010035"/>
            </w:tcBorders>
          </w:tcPr>
          <w:p>
            <w:pPr>
              <w:spacing w:after="0"/>
              <w:rPr>
                <w:sz w:val="12"/>
                <w:szCs w:val="12"/>
                <w:color w:val="auto"/>
              </w:rPr>
            </w:pPr>
          </w:p>
        </w:tc>
        <w:tc>
          <w:tcPr>
            <w:tcW w:w="760" w:type="dxa"/>
            <w:vAlign w:val="bottom"/>
            <w:tcBorders>
              <w:bottom w:val="single" w:sz="8" w:color="010035"/>
            </w:tcBorders>
          </w:tcPr>
          <w:p>
            <w:pPr>
              <w:spacing w:after="0"/>
              <w:rPr>
                <w:sz w:val="12"/>
                <w:szCs w:val="12"/>
                <w:color w:val="auto"/>
              </w:rPr>
            </w:pPr>
          </w:p>
        </w:tc>
        <w:tc>
          <w:tcPr>
            <w:tcW w:w="840" w:type="dxa"/>
            <w:vAlign w:val="bottom"/>
            <w:tcBorders>
              <w:bottom w:val="single" w:sz="8" w:color="010035"/>
            </w:tcBorders>
          </w:tcPr>
          <w:p>
            <w:pPr>
              <w:spacing w:after="0"/>
              <w:rPr>
                <w:sz w:val="12"/>
                <w:szCs w:val="12"/>
                <w:color w:val="auto"/>
              </w:rPr>
            </w:pPr>
          </w:p>
        </w:tc>
        <w:tc>
          <w:tcPr>
            <w:tcW w:w="840" w:type="dxa"/>
            <w:vAlign w:val="bottom"/>
            <w:tcBorders>
              <w:bottom w:val="single" w:sz="8" w:color="010035"/>
            </w:tcBorders>
          </w:tcPr>
          <w:p>
            <w:pPr>
              <w:spacing w:after="0"/>
              <w:rPr>
                <w:sz w:val="12"/>
                <w:szCs w:val="12"/>
                <w:color w:val="auto"/>
              </w:rPr>
            </w:pPr>
          </w:p>
        </w:tc>
        <w:tc>
          <w:tcPr>
            <w:tcW w:w="760" w:type="dxa"/>
            <w:vAlign w:val="bottom"/>
            <w:tcBorders>
              <w:bottom w:val="single" w:sz="8" w:color="010035"/>
            </w:tcBorders>
          </w:tcPr>
          <w:p>
            <w:pPr>
              <w:spacing w:after="0"/>
              <w:rPr>
                <w:sz w:val="12"/>
                <w:szCs w:val="12"/>
                <w:color w:val="auto"/>
              </w:rPr>
            </w:pPr>
          </w:p>
        </w:tc>
        <w:tc>
          <w:tcPr>
            <w:tcW w:w="760" w:type="dxa"/>
            <w:vAlign w:val="bottom"/>
            <w:tcBorders>
              <w:bottom w:val="single" w:sz="8" w:color="010035"/>
            </w:tcBorders>
          </w:tcPr>
          <w:p>
            <w:pPr>
              <w:spacing w:after="0"/>
              <w:rPr>
                <w:sz w:val="12"/>
                <w:szCs w:val="12"/>
                <w:color w:val="auto"/>
              </w:rPr>
            </w:pPr>
          </w:p>
        </w:tc>
        <w:tc>
          <w:tcPr>
            <w:tcW w:w="700" w:type="dxa"/>
            <w:vAlign w:val="bottom"/>
            <w:tcBorders>
              <w:bottom w:val="single" w:sz="8" w:color="010035"/>
            </w:tcBorders>
          </w:tcPr>
          <w:p>
            <w:pPr>
              <w:spacing w:after="0"/>
              <w:rPr>
                <w:sz w:val="12"/>
                <w:szCs w:val="12"/>
                <w:color w:val="auto"/>
              </w:rPr>
            </w:pPr>
          </w:p>
        </w:tc>
        <w:tc>
          <w:tcPr>
            <w:tcW w:w="780" w:type="dxa"/>
            <w:vAlign w:val="bottom"/>
            <w:tcBorders>
              <w:bottom w:val="single" w:sz="8" w:color="010035"/>
            </w:tcBorders>
          </w:tcPr>
          <w:p>
            <w:pPr>
              <w:spacing w:after="0"/>
              <w:rPr>
                <w:sz w:val="12"/>
                <w:szCs w:val="12"/>
                <w:color w:val="auto"/>
              </w:rPr>
            </w:pPr>
          </w:p>
        </w:tc>
        <w:tc>
          <w:tcPr>
            <w:tcW w:w="800" w:type="dxa"/>
            <w:vAlign w:val="bottom"/>
            <w:tcBorders>
              <w:bottom w:val="single" w:sz="8" w:color="010035"/>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80" w:hanging="174"/>
        <w:spacing w:after="0"/>
        <w:tabs>
          <w:tab w:leader="none" w:pos="180" w:val="left"/>
        </w:tabs>
        <w:numPr>
          <w:ilvl w:val="0"/>
          <w:numId w:val="7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grant date fair value of equity awards represents the total of the amounts reported in the “Stock Awards” and “Option Awards” columns in the Summary Compensation Table for the applicable year.</w:t>
      </w:r>
    </w:p>
    <w:p>
      <w:pPr>
        <w:spacing w:after="0" w:line="22" w:lineRule="exact"/>
        <w:rPr>
          <w:rFonts w:ascii="Times New Roman" w:cs="Times New Roman" w:eastAsia="Times New Roman" w:hAnsi="Times New Roman"/>
          <w:sz w:val="11"/>
          <w:szCs w:val="11"/>
          <w:color w:val="010035"/>
        </w:rPr>
      </w:pPr>
    </w:p>
    <w:p>
      <w:pPr>
        <w:ind w:left="180" w:right="120" w:hanging="174"/>
        <w:spacing w:after="0" w:line="236" w:lineRule="auto"/>
        <w:tabs>
          <w:tab w:leader="none" w:pos="180" w:val="left"/>
        </w:tabs>
        <w:numPr>
          <w:ilvl w:val="0"/>
          <w:numId w:val="7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a deduction for the amount equal to the fair value at the end of the prior fiscal year. The valuation assumptions used to calculate fair values did not materially differ from those disclosed at the time of grant.</w:t>
      </w:r>
    </w:p>
    <w:p>
      <w:pPr>
        <w:spacing w:after="0" w:line="1"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7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Company does not maintain any defined benefit pension programs for its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Most 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below table represents the most important financial performance measures used to link compensation actually paid to our NEOs to the Company’s performance for the most recently completed fiscal year, as further described in “Executive Compensation – Compensation Discussion and Analysis”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29845</wp:posOffset>
            </wp:positionV>
            <wp:extent cx="192024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39"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010035"/>
        </w:rPr>
        <w:t>Adjusted EBITDAR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83820</wp:posOffset>
            </wp:positionV>
            <wp:extent cx="192024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38"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010035"/>
        </w:rPr>
        <w:t>Retail Adjusted EBITDAR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83820</wp:posOffset>
            </wp:positionV>
            <wp:extent cx="192024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38"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010035"/>
        </w:rPr>
        <w:t>Interactive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40640</wp:posOffset>
            </wp:positionV>
            <wp:extent cx="192024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Analysis of the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While the Company utilizes several non-financial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103505</wp:posOffset>
            </wp:positionV>
            <wp:extent cx="699516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ind w:right="680"/>
        <w:spacing w:after="0" w:line="272" w:lineRule="auto"/>
        <w:rPr>
          <w:sz w:val="20"/>
          <w:szCs w:val="20"/>
          <w:color w:val="auto"/>
        </w:rPr>
      </w:pPr>
      <w:r>
        <w:rPr>
          <w:rFonts w:ascii="Arial" w:cs="Arial" w:eastAsia="Arial" w:hAnsi="Arial"/>
          <w:sz w:val="22"/>
          <w:szCs w:val="22"/>
          <w:b w:val="1"/>
          <w:bCs w:val="1"/>
          <w:color w:val="69439A"/>
        </w:rPr>
        <w:t>Description of Relationship Between PEO and Average Non-PEO NEO Compensation Actually Paid and Company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596646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01"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The following chart sets forth the relationship between Compensation Actually Paid to our PEO, the average of Compensation Actually Paid to our Non-PEO NEOs, and cumulative TSR of the Company and the peer group (the Russell 3000 Casino &amp; Gambling Index)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158115</wp:posOffset>
            </wp:positionV>
            <wp:extent cx="5640705" cy="282892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64070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ind w:right="640"/>
        <w:spacing w:after="0" w:line="272" w:lineRule="auto"/>
        <w:rPr>
          <w:sz w:val="20"/>
          <w:szCs w:val="20"/>
          <w:color w:val="auto"/>
        </w:rPr>
      </w:pPr>
      <w:r>
        <w:rPr>
          <w:rFonts w:ascii="Arial" w:cs="Arial" w:eastAsia="Arial" w:hAnsi="Arial"/>
          <w:sz w:val="22"/>
          <w:szCs w:val="22"/>
          <w:b w:val="1"/>
          <w:bCs w:val="1"/>
          <w:color w:val="69439A"/>
        </w:rPr>
        <w:t>Description of Relationship Between PEO and Average Non-PEO NEO 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596646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 following chart sets forth the relationship between Compensation Actually Paid (CAP) to our PEO, the average of Compensation Actually Paid to our Non-PEO NEOs, and our Net Income during the five most recently completed fiscal years. While the Company does not use net income as a performance measure in the overall executive compensation program, the measure of net income is correlated with the measure Adjusted EBITDAR, which the Company does use when setting goals in the Company’s STIP and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161290</wp:posOffset>
            </wp:positionV>
            <wp:extent cx="5640705" cy="284607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64070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ind w:right="680"/>
        <w:spacing w:after="0" w:line="272" w:lineRule="auto"/>
        <w:rPr>
          <w:sz w:val="20"/>
          <w:szCs w:val="20"/>
          <w:color w:val="auto"/>
        </w:rPr>
      </w:pPr>
      <w:r>
        <w:rPr>
          <w:rFonts w:ascii="Arial" w:cs="Arial" w:eastAsia="Arial" w:hAnsi="Arial"/>
          <w:sz w:val="22"/>
          <w:szCs w:val="22"/>
          <w:b w:val="1"/>
          <w:bCs w:val="1"/>
          <w:color w:val="69439A"/>
        </w:rPr>
        <w:t>Description of Relationship Between PEO and Average Non-PEO NEO Compensation Actually Paid and Adjusted EBITDAR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596646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01"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The following chart sets forth the relationship between Compensation Actually Paid (CAP) to our PEO, the average of Compensation Actually Paid to our non-PEO NEOs, and our Adjusted EBITDAR during the five most recently completed fiscal years. While the Company uses numerous measures, both financial and non-financial, for the purpose of evaluating performance for the Company’s compensation programs, the Company has determined that Adjusted EBITDAR is the most important financial performance measure used to link the Company’s financial performance to compensation actually paid to the Company’s NEOs for the most recently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163195</wp:posOffset>
            </wp:positionV>
            <wp:extent cx="5640705" cy="284607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64070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Description of Relationship Between Company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119"/>
        <w:spacing w:after="0" w:line="285" w:lineRule="auto"/>
        <w:rPr>
          <w:sz w:val="20"/>
          <w:szCs w:val="20"/>
          <w:color w:val="auto"/>
        </w:rPr>
      </w:pPr>
      <w:r>
        <w:rPr>
          <w:rFonts w:ascii="Arial" w:cs="Arial" w:eastAsia="Arial" w:hAnsi="Arial"/>
          <w:sz w:val="14"/>
          <w:szCs w:val="14"/>
          <w:color w:val="auto"/>
        </w:rPr>
        <w:t>The following chart compares our cumulative TSR over the five most recently completed fiscal years to that of the peer group (the Russell 3000 Casino &amp; Gambling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148590</wp:posOffset>
            </wp:positionV>
            <wp:extent cx="5820410" cy="291465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82041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102870</wp:posOffset>
            </wp:positionV>
            <wp:extent cx="4414520" cy="1371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160655</wp:posOffset>
            </wp:positionV>
            <wp:extent cx="2571750" cy="822071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571750" cy="8220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20"/>
        <w:spacing w:after="0"/>
        <w:rPr>
          <w:sz w:val="20"/>
          <w:szCs w:val="20"/>
          <w:color w:val="auto"/>
        </w:rPr>
      </w:pPr>
      <w:r>
        <w:rPr>
          <w:rFonts w:ascii="Arial" w:cs="Arial" w:eastAsia="Arial" w:hAnsi="Arial"/>
          <w:sz w:val="41"/>
          <w:szCs w:val="41"/>
          <w:b w:val="1"/>
          <w:bCs w:val="1"/>
          <w:color w:val="010035"/>
        </w:rPr>
        <w:t>PROPOSAL 4:</w:t>
      </w:r>
    </w:p>
    <w:p>
      <w:pPr>
        <w:spacing w:after="0" w:line="35" w:lineRule="exact"/>
        <w:rPr>
          <w:sz w:val="20"/>
          <w:szCs w:val="20"/>
          <w:color w:val="auto"/>
        </w:rPr>
      </w:pPr>
    </w:p>
    <w:p>
      <w:pPr>
        <w:ind w:left="4320" w:right="20"/>
        <w:spacing w:after="0" w:line="259" w:lineRule="auto"/>
        <w:rPr>
          <w:sz w:val="20"/>
          <w:szCs w:val="20"/>
          <w:color w:val="auto"/>
        </w:rPr>
      </w:pPr>
      <w:r>
        <w:rPr>
          <w:rFonts w:ascii="Arial" w:cs="Arial" w:eastAsia="Arial" w:hAnsi="Arial"/>
          <w:sz w:val="44"/>
          <w:szCs w:val="44"/>
          <w:b w:val="1"/>
          <w:bCs w:val="1"/>
          <w:color w:val="010035"/>
        </w:rPr>
        <w:t>APPROVAL OF THE THIRD AMENDMENT TO OUR 2022 LONG-TERM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5080</wp:posOffset>
            </wp:positionV>
            <wp:extent cx="3737610" cy="13716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737610" cy="137160"/>
                    </a:xfrm>
                    <a:prstGeom prst="rect">
                      <a:avLst/>
                    </a:prstGeom>
                    <a:noFill/>
                  </pic:spPr>
                </pic:pic>
              </a:graphicData>
            </a:graphic>
          </wp:anchor>
        </w:drawing>
      </w:r>
    </w:p>
    <w:p>
      <w:pPr>
        <w:ind w:left="4320"/>
        <w:spacing w:after="0"/>
        <w:rPr>
          <w:sz w:val="20"/>
          <w:szCs w:val="20"/>
          <w:color w:val="auto"/>
        </w:rPr>
      </w:pPr>
      <w:r>
        <w:rPr>
          <w:sz w:val="1"/>
          <w:szCs w:val="1"/>
          <w:color w:val="auto"/>
        </w:rPr>
        <w:drawing>
          <wp:inline distT="0" distB="0" distL="0" distR="0">
            <wp:extent cx="128905" cy="342900"/>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8905" cy="342900"/>
                    </a:xfrm>
                    <a:prstGeom prst="rect">
                      <a:avLst/>
                    </a:prstGeom>
                    <a:noFill/>
                    <a:ln>
                      <a:noFill/>
                    </a:ln>
                  </pic:spPr>
                </pic:pic>
              </a:graphicData>
            </a:graphic>
          </wp:inline>
        </w:drawing>
      </w:r>
      <w:r>
        <w:rPr>
          <w:rFonts w:ascii="Arial" w:cs="Arial" w:eastAsia="Arial" w:hAnsi="Arial"/>
          <w:sz w:val="22"/>
          <w:szCs w:val="22"/>
          <w:b w:val="1"/>
          <w:bCs w:val="1"/>
          <w:color w:val="010035"/>
        </w:rPr>
        <w:t xml:space="preserve">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-229870</wp:posOffset>
            </wp:positionV>
            <wp:extent cx="3737610" cy="7200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737610" cy="720090"/>
                    </a:xfrm>
                    <a:prstGeom prst="rect">
                      <a:avLst/>
                    </a:prstGeom>
                    <a:noFill/>
                  </pic:spPr>
                </pic:pic>
              </a:graphicData>
            </a:graphic>
          </wp:anchor>
        </w:drawing>
      </w:r>
    </w:p>
    <w:p>
      <w:pPr>
        <w:spacing w:after="0" w:line="94" w:lineRule="exact"/>
        <w:rPr>
          <w:sz w:val="20"/>
          <w:szCs w:val="20"/>
          <w:color w:val="auto"/>
        </w:rPr>
      </w:pPr>
    </w:p>
    <w:p>
      <w:pPr>
        <w:ind w:left="5260" w:right="280"/>
        <w:spacing w:after="0" w:line="267" w:lineRule="auto"/>
        <w:rPr>
          <w:sz w:val="20"/>
          <w:szCs w:val="20"/>
          <w:color w:val="auto"/>
        </w:rPr>
      </w:pPr>
      <w:r>
        <w:rPr>
          <w:rFonts w:ascii="Arial" w:cs="Arial" w:eastAsia="Arial" w:hAnsi="Arial"/>
          <w:sz w:val="14"/>
          <w:szCs w:val="14"/>
          <w:b w:val="1"/>
          <w:bCs w:val="1"/>
          <w:color w:val="FFFFFF"/>
        </w:rPr>
        <w:t>OUR BOARD OF DIRECTORS UNANIMOUSLY RECOMMENDS A VOTE “FOR” THE APPROVAL OF THE THIRD AMENDMENT TO OUR 2022 LONG-TERM INCENTIVE COMPENSATION PLAN.</w:t>
      </w:r>
    </w:p>
    <w:p>
      <w:pPr>
        <w:spacing w:after="0" w:line="26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69439A"/>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12065</wp:posOffset>
            </wp:positionV>
            <wp:extent cx="373761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92" w:lineRule="exact"/>
        <w:rPr>
          <w:sz w:val="20"/>
          <w:szCs w:val="20"/>
          <w:color w:val="auto"/>
        </w:rPr>
      </w:pPr>
    </w:p>
    <w:p>
      <w:pPr>
        <w:ind w:left="4320"/>
        <w:spacing w:after="0" w:line="248" w:lineRule="auto"/>
        <w:rPr>
          <w:sz w:val="20"/>
          <w:szCs w:val="20"/>
          <w:color w:val="auto"/>
        </w:rPr>
      </w:pPr>
      <w:r>
        <w:rPr>
          <w:rFonts w:ascii="Arial" w:cs="Arial" w:eastAsia="Arial" w:hAnsi="Arial"/>
          <w:sz w:val="14"/>
          <w:szCs w:val="14"/>
          <w:color w:val="auto"/>
        </w:rPr>
        <w:t>We are asking shareholders to approve a third amendment to the PENN Entertainment, Inc. 2022 Long Term Incentive Compensation Plan, as originally adopted on June 7, 2022, first amended on June 6, 2023 and subsequently amended on June 17, 2025 (the “2022 Plan”), to increase the number of shares reserved for issuance thereunder by 4,000,000 shares. On April 17, 2026, the Board of Directors approved the third amendment to the 2022 Plan, including the addition of 4,000,000 shares to the 2022 Plan, subject to approval by the shareholders at the Annual Meeting.</w:t>
      </w:r>
    </w:p>
    <w:p>
      <w:pPr>
        <w:spacing w:after="0" w:line="77" w:lineRule="exact"/>
        <w:rPr>
          <w:sz w:val="20"/>
          <w:szCs w:val="20"/>
          <w:color w:val="auto"/>
        </w:rPr>
      </w:pPr>
    </w:p>
    <w:p>
      <w:pPr>
        <w:jc w:val="both"/>
        <w:ind w:left="4320" w:right="40"/>
        <w:spacing w:after="0" w:line="263" w:lineRule="auto"/>
        <w:rPr>
          <w:sz w:val="20"/>
          <w:szCs w:val="20"/>
          <w:color w:val="auto"/>
        </w:rPr>
      </w:pPr>
      <w:r>
        <w:rPr>
          <w:rFonts w:ascii="Arial" w:cs="Arial" w:eastAsia="Arial" w:hAnsi="Arial"/>
          <w:sz w:val="14"/>
          <w:szCs w:val="14"/>
          <w:color w:val="auto"/>
        </w:rPr>
        <w:t>Except for the amendment to increase the number of shares reserved for issuance, the third amendment to the 2022 Plan otherwise does not amend the features, terms and conditions on the 2022 Plan.</w:t>
      </w:r>
    </w:p>
    <w:p>
      <w:pPr>
        <w:spacing w:after="0" w:line="65" w:lineRule="exact"/>
        <w:rPr>
          <w:sz w:val="20"/>
          <w:szCs w:val="20"/>
          <w:color w:val="auto"/>
        </w:rPr>
      </w:pPr>
    </w:p>
    <w:p>
      <w:pPr>
        <w:ind w:left="4320" w:right="20"/>
        <w:spacing w:after="0" w:line="247" w:lineRule="auto"/>
        <w:rPr>
          <w:sz w:val="20"/>
          <w:szCs w:val="20"/>
          <w:color w:val="auto"/>
        </w:rPr>
      </w:pPr>
      <w:r>
        <w:rPr>
          <w:rFonts w:ascii="Arial" w:cs="Arial" w:eastAsia="Arial" w:hAnsi="Arial"/>
          <w:sz w:val="14"/>
          <w:szCs w:val="14"/>
          <w:color w:val="auto"/>
        </w:rPr>
        <w:t>6,870,000 shares were originally approved on June 7, 2022 under the 2022 Plan, an additional 7,000,000 shares were approved by shareholders on June 6, 2023, and an additional 8,197,275 shares were approved by shareholders on June 17, 2025. As of April 15, 2026, 18,243,359 shares have been granted to eligible participants since the adoption of the 2022 Plan and 5,482,225 shares remained available for issuance. Based on the number of shares issued under the 2022 Plan during recent offering periods, the Board of Directors believes that the shares remaining available for issuance are insufficient to meet the estimated participation levels for upcoming offering periods unless more shares are added to the 2022 Plan.</w:t>
      </w:r>
    </w:p>
    <w:p>
      <w:pPr>
        <w:spacing w:after="0" w:line="240" w:lineRule="exact"/>
        <w:rPr>
          <w:sz w:val="20"/>
          <w:szCs w:val="20"/>
          <w:color w:val="auto"/>
        </w:rPr>
      </w:pPr>
    </w:p>
    <w:p>
      <w:pPr>
        <w:jc w:val="both"/>
        <w:ind w:left="4320"/>
        <w:spacing w:after="0" w:line="252" w:lineRule="auto"/>
        <w:rPr>
          <w:sz w:val="20"/>
          <w:szCs w:val="20"/>
          <w:color w:val="auto"/>
        </w:rPr>
      </w:pPr>
      <w:r>
        <w:rPr>
          <w:rFonts w:ascii="Arial" w:cs="Arial" w:eastAsia="Arial" w:hAnsi="Arial"/>
          <w:sz w:val="14"/>
          <w:szCs w:val="14"/>
          <w:color w:val="auto"/>
        </w:rPr>
        <w:t>Assuming approval of the third amendment to the 2022 Plan at the Annual Meeting, the total number of shares remaining available to be issued under the 2022 Plan would be 9,482,225. Based on current and projected usage, we currently expect that the increased share reserve would meet the anticipated needs under the 2022 Plan for a period of approximately one (1) year.</w:t>
      </w:r>
    </w:p>
    <w:p>
      <w:pPr>
        <w:spacing w:after="0" w:line="73" w:lineRule="exact"/>
        <w:rPr>
          <w:sz w:val="20"/>
          <w:szCs w:val="20"/>
          <w:color w:val="auto"/>
        </w:rPr>
      </w:pPr>
    </w:p>
    <w:p>
      <w:pPr>
        <w:ind w:left="4320" w:right="260"/>
        <w:spacing w:after="0" w:line="256" w:lineRule="auto"/>
        <w:rPr>
          <w:sz w:val="20"/>
          <w:szCs w:val="20"/>
          <w:color w:val="auto"/>
        </w:rPr>
      </w:pPr>
      <w:r>
        <w:rPr>
          <w:rFonts w:ascii="Arial" w:cs="Arial" w:eastAsia="Arial" w:hAnsi="Arial"/>
          <w:sz w:val="14"/>
          <w:szCs w:val="14"/>
          <w:color w:val="auto"/>
        </w:rPr>
        <w:t>Based solely on the closing price of the Company’s Common Stock, as reported on the Nasdaq stock exchange on April 15, 2026, which was $16.01 per share, the maximum aggregate market value of the 4,000,000 new shares that may be issued under the 2022 Plan is $64,040,000.</w:t>
      </w:r>
    </w:p>
    <w:p>
      <w:pPr>
        <w:sectPr>
          <w:pgSz w:w="11900" w:h="16838" w:orient="portrait"/>
          <w:cols w:equalWidth="0" w:num="1">
            <w:col w:w="10200"/>
          </w:cols>
          <w:pgMar w:left="840" w:top="114"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6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191135</wp:posOffset>
            </wp:positionV>
            <wp:extent cx="699516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200"/>
          </w:cols>
          <w:pgMar w:left="840" w:top="114" w:right="8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7372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271" w:lineRule="exact"/>
        <w:rPr>
          <w:sz w:val="20"/>
          <w:szCs w:val="20"/>
          <w:color w:val="auto"/>
        </w:rPr>
      </w:pPr>
    </w:p>
    <w:p>
      <w:pPr>
        <w:ind w:left="340" w:right="54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KEY REASONS TO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As described in more detail above in the Compensation Discussion and Analysis, we believe that equity compensation is a critical component of the Company’s compensation program. We are requesting shareholder approval of an increase in shares available under the 2022 Plan to support our next phase of growth and strategic repositioning of our Interactive segment.</w:t>
      </w:r>
    </w:p>
    <w:p>
      <w:pPr>
        <w:spacing w:after="0" w:line="65" w:lineRule="exact"/>
        <w:rPr>
          <w:sz w:val="20"/>
          <w:szCs w:val="20"/>
          <w:color w:val="auto"/>
        </w:rPr>
      </w:pPr>
    </w:p>
    <w:p>
      <w:pPr>
        <w:ind w:left="720" w:right="80" w:hanging="354"/>
        <w:spacing w:after="0" w:line="263" w:lineRule="auto"/>
        <w:tabs>
          <w:tab w:leader="none" w:pos="720" w:val="left"/>
        </w:tabs>
        <w:numPr>
          <w:ilvl w:val="0"/>
          <w:numId w:val="77"/>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Equity Compensation Plan Supports Our Enterprise-Wide Talent Strategy: </w:t>
      </w:r>
      <w:r>
        <w:rPr>
          <w:rFonts w:ascii="Arial" w:cs="Arial" w:eastAsia="Arial" w:hAnsi="Arial"/>
          <w:sz w:val="14"/>
          <w:szCs w:val="14"/>
          <w:color w:val="auto"/>
        </w:rPr>
        <w:t>Equity incentives are a core component of our total</w:t>
      </w:r>
      <w:r>
        <w:rPr>
          <w:rFonts w:ascii="Arial" w:cs="Arial" w:eastAsia="Arial" w:hAnsi="Arial"/>
          <w:sz w:val="14"/>
          <w:szCs w:val="14"/>
          <w:b w:val="1"/>
          <w:bCs w:val="1"/>
          <w:color w:val="auto"/>
        </w:rPr>
        <w:t xml:space="preserve"> </w:t>
      </w:r>
      <w:r>
        <w:rPr>
          <w:rFonts w:ascii="Arial" w:cs="Arial" w:eastAsia="Arial" w:hAnsi="Arial"/>
          <w:sz w:val="14"/>
          <w:szCs w:val="14"/>
          <w:color w:val="auto"/>
        </w:rPr>
        <w:t>rewards program, positioning total direct compensation competitively against our peers and enabling us to attract, retain and motivate high-caliber talent, including employees with the specialized technical, operational and digital skills needed to drive our growth strategy.</w:t>
      </w:r>
    </w:p>
    <w:p>
      <w:pPr>
        <w:spacing w:after="0" w:line="64" w:lineRule="exact"/>
        <w:rPr>
          <w:rFonts w:ascii="MS PGothic" w:cs="MS PGothic" w:eastAsia="MS PGothic" w:hAnsi="MS PGothic"/>
          <w:sz w:val="14"/>
          <w:szCs w:val="14"/>
          <w:color w:val="auto"/>
        </w:rPr>
      </w:pPr>
    </w:p>
    <w:p>
      <w:pPr>
        <w:ind w:left="720" w:right="100" w:hanging="354"/>
        <w:spacing w:after="0" w:line="252" w:lineRule="auto"/>
        <w:tabs>
          <w:tab w:leader="none" w:pos="720" w:val="left"/>
        </w:tabs>
        <w:numPr>
          <w:ilvl w:val="0"/>
          <w:numId w:val="77"/>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Participation in the Equity Compensation Program is Broad-based: </w:t>
      </w:r>
      <w:r>
        <w:rPr>
          <w:rFonts w:ascii="Arial" w:cs="Arial" w:eastAsia="Arial" w:hAnsi="Arial"/>
          <w:sz w:val="14"/>
          <w:szCs w:val="14"/>
          <w:color w:val="auto"/>
        </w:rPr>
        <w:t>In 2025, 603 of our employees received equity awards.</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the realignment of our executive compensation peer group, and the corresponding reduction or flat pay decisions for NEOs, we expect a significant portion of our equity pool to support equity grants to non-executive employees. We believe the continued use of equity is essential to strengthening team member alignment with our shareholders and supports the disciplined execution of our integrated and recently realigned digital strategy.</w:t>
      </w:r>
    </w:p>
    <w:p>
      <w:pPr>
        <w:spacing w:after="0" w:line="72" w:lineRule="exact"/>
        <w:rPr>
          <w:rFonts w:ascii="MS PGothic" w:cs="MS PGothic" w:eastAsia="MS PGothic" w:hAnsi="MS PGothic"/>
          <w:sz w:val="14"/>
          <w:szCs w:val="14"/>
          <w:color w:val="auto"/>
        </w:rPr>
      </w:pPr>
    </w:p>
    <w:p>
      <w:pPr>
        <w:ind w:left="720" w:right="700" w:hanging="354"/>
        <w:spacing w:after="0" w:line="263" w:lineRule="auto"/>
        <w:tabs>
          <w:tab w:leader="none" w:pos="720" w:val="left"/>
        </w:tabs>
        <w:numPr>
          <w:ilvl w:val="0"/>
          <w:numId w:val="77"/>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Stock Awards Foster an “Ownership” Mindset Across the Company: </w:t>
      </w:r>
      <w:r>
        <w:rPr>
          <w:rFonts w:ascii="Arial" w:cs="Arial" w:eastAsia="Arial" w:hAnsi="Arial"/>
          <w:sz w:val="14"/>
          <w:szCs w:val="14"/>
          <w:color w:val="auto"/>
        </w:rPr>
        <w:t>Stock ownership directly links individual employee</w:t>
      </w:r>
      <w:r>
        <w:rPr>
          <w:rFonts w:ascii="Arial" w:cs="Arial" w:eastAsia="Arial" w:hAnsi="Arial"/>
          <w:sz w:val="14"/>
          <w:szCs w:val="14"/>
          <w:b w:val="1"/>
          <w:bCs w:val="1"/>
          <w:color w:val="auto"/>
        </w:rPr>
        <w:t xml:space="preserve"> </w:t>
      </w:r>
      <w:r>
        <w:rPr>
          <w:rFonts w:ascii="Arial" w:cs="Arial" w:eastAsia="Arial" w:hAnsi="Arial"/>
          <w:sz w:val="14"/>
          <w:szCs w:val="14"/>
          <w:color w:val="auto"/>
        </w:rPr>
        <w:t>contributions to our overall corporate financial performance results and shareholder value creation, fostering a strong pay-for-performance compensation philosophy and deepening alignment with long-term shareholder interests.</w:t>
      </w:r>
    </w:p>
    <w:p>
      <w:pPr>
        <w:spacing w:after="0" w:line="64" w:lineRule="exact"/>
        <w:rPr>
          <w:rFonts w:ascii="MS PGothic" w:cs="MS PGothic" w:eastAsia="MS PGothic" w:hAnsi="MS PGothic"/>
          <w:sz w:val="14"/>
          <w:szCs w:val="14"/>
          <w:color w:val="auto"/>
        </w:rPr>
      </w:pPr>
    </w:p>
    <w:p>
      <w:pPr>
        <w:ind w:left="720" w:right="20" w:hanging="354"/>
        <w:spacing w:after="0" w:line="252" w:lineRule="auto"/>
        <w:tabs>
          <w:tab w:leader="none" w:pos="720" w:val="left"/>
        </w:tabs>
        <w:numPr>
          <w:ilvl w:val="0"/>
          <w:numId w:val="77"/>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Responsible Equity Usage and Disciplined Share Requests: </w:t>
      </w:r>
      <w:r>
        <w:rPr>
          <w:rFonts w:ascii="Arial" w:cs="Arial" w:eastAsia="Arial" w:hAnsi="Arial"/>
          <w:sz w:val="14"/>
          <w:szCs w:val="14"/>
          <w:color w:val="auto"/>
        </w:rPr>
        <w:t>The requested share authorization is intended to meet anticipated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equity needs for approximately one year, underscoring a conservative and measured approach to share usage. The Board actively monitors dilution and burn rate, with our burn rate averaging 2.85% over the past three years (see page </w:t>
      </w:r>
      <w:r>
        <w:rPr>
          <w:rFonts w:ascii="Arial" w:cs="Arial" w:eastAsia="Arial" w:hAnsi="Arial"/>
          <w:sz w:val="14"/>
          <w:szCs w:val="14"/>
          <w:u w:val="single" w:color="auto"/>
          <w:color w:val="0000EE"/>
        </w:rPr>
        <w:t>95</w:t>
      </w:r>
      <w:r>
        <w:rPr>
          <w:rFonts w:ascii="Arial" w:cs="Arial" w:eastAsia="Arial" w:hAnsi="Arial"/>
          <w:sz w:val="14"/>
          <w:szCs w:val="14"/>
          <w:color w:val="auto"/>
        </w:rPr>
        <w:t xml:space="preserve"> for calculation methodology), and regularly seeks shareholder approval of the equity plan authorization, with the most recent one presented in 2025. We anticipate maintaining this regular practice to ensure ongoing shareholder feedback and engagement.</w:t>
      </w:r>
    </w:p>
    <w:p>
      <w:pPr>
        <w:spacing w:after="0" w:line="72" w:lineRule="exact"/>
        <w:rPr>
          <w:rFonts w:ascii="MS PGothic" w:cs="MS PGothic" w:eastAsia="MS PGothic" w:hAnsi="MS PGothic"/>
          <w:sz w:val="14"/>
          <w:szCs w:val="14"/>
          <w:color w:val="auto"/>
        </w:rPr>
      </w:pPr>
    </w:p>
    <w:p>
      <w:pPr>
        <w:ind w:left="720" w:right="420" w:hanging="354"/>
        <w:spacing w:after="0" w:line="263" w:lineRule="auto"/>
        <w:tabs>
          <w:tab w:leader="none" w:pos="720" w:val="left"/>
        </w:tabs>
        <w:numPr>
          <w:ilvl w:val="0"/>
          <w:numId w:val="77"/>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Proven Track Record of Offsetting Dilution: </w:t>
      </w:r>
      <w:r>
        <w:rPr>
          <w:rFonts w:ascii="Arial" w:cs="Arial" w:eastAsia="Arial" w:hAnsi="Arial"/>
          <w:sz w:val="14"/>
          <w:szCs w:val="14"/>
          <w:color w:val="auto"/>
        </w:rPr>
        <w:t>We have returned significant capital to shareholders, including $1.1 billion of share</w:t>
      </w:r>
      <w:r>
        <w:rPr>
          <w:rFonts w:ascii="Arial" w:cs="Arial" w:eastAsia="Arial" w:hAnsi="Arial"/>
          <w:sz w:val="14"/>
          <w:szCs w:val="14"/>
          <w:b w:val="1"/>
          <w:bCs w:val="1"/>
          <w:color w:val="auto"/>
        </w:rPr>
        <w:t xml:space="preserve"> </w:t>
      </w:r>
      <w:r>
        <w:rPr>
          <w:rFonts w:ascii="Arial" w:cs="Arial" w:eastAsia="Arial" w:hAnsi="Arial"/>
          <w:sz w:val="14"/>
          <w:szCs w:val="14"/>
          <w:color w:val="auto"/>
        </w:rPr>
        <w:t>repurchases since 2022 (~25% of shares outstanding), reflecting a balanced capital allocation strategy and demonstrating our commitment to offset dilution and drive shareholder value.</w:t>
      </w:r>
    </w:p>
    <w:p>
      <w:pPr>
        <w:spacing w:after="0" w:line="64" w:lineRule="exact"/>
        <w:rPr>
          <w:rFonts w:ascii="MS PGothic" w:cs="MS PGothic" w:eastAsia="MS PGothic" w:hAnsi="MS PGothic"/>
          <w:sz w:val="14"/>
          <w:szCs w:val="14"/>
          <w:color w:val="auto"/>
        </w:rPr>
      </w:pPr>
    </w:p>
    <w:p>
      <w:pPr>
        <w:ind w:left="720" w:right="20" w:hanging="354"/>
        <w:spacing w:after="0" w:line="258" w:lineRule="auto"/>
        <w:tabs>
          <w:tab w:leader="none" w:pos="720" w:val="left"/>
        </w:tabs>
        <w:numPr>
          <w:ilvl w:val="0"/>
          <w:numId w:val="77"/>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Shareholder-Aligned Governance Provisions: </w:t>
      </w:r>
      <w:r>
        <w:rPr>
          <w:rFonts w:ascii="Arial" w:cs="Arial" w:eastAsia="Arial" w:hAnsi="Arial"/>
          <w:sz w:val="14"/>
          <w:szCs w:val="14"/>
          <w:color w:val="auto"/>
        </w:rPr>
        <w:t>The 2022 Plan incorporates robust governance features, including no evergreen share</w:t>
      </w:r>
      <w:r>
        <w:rPr>
          <w:rFonts w:ascii="Arial" w:cs="Arial" w:eastAsia="Arial" w:hAnsi="Arial"/>
          <w:sz w:val="14"/>
          <w:szCs w:val="14"/>
          <w:b w:val="1"/>
          <w:bCs w:val="1"/>
          <w:color w:val="auto"/>
        </w:rPr>
        <w:t xml:space="preserve"> </w:t>
      </w:r>
      <w:r>
        <w:rPr>
          <w:rFonts w:ascii="Arial" w:cs="Arial" w:eastAsia="Arial" w:hAnsi="Arial"/>
          <w:sz w:val="14"/>
          <w:szCs w:val="14"/>
          <w:color w:val="auto"/>
        </w:rPr>
        <w:t>replenishment, no forms of repricing of appreciation awards without shareholder approval, no liberal share recycling, minimum vesting requirements (subject to limited exceptions) and clawback provisions covering equity awards, among other leading governance practices.</w:t>
      </w:r>
    </w:p>
    <w:p>
      <w:pPr>
        <w:spacing w:after="0" w:line="236" w:lineRule="exact"/>
        <w:rPr>
          <w:rFonts w:ascii="MS PGothic" w:cs="MS PGothic" w:eastAsia="MS PGothic" w:hAnsi="MS PGothic"/>
          <w:sz w:val="14"/>
          <w:szCs w:val="14"/>
          <w:color w:val="auto"/>
        </w:rPr>
      </w:pPr>
    </w:p>
    <w:p>
      <w:pPr>
        <w:ind w:left="720" w:right="220" w:hanging="354"/>
        <w:spacing w:after="0" w:line="263" w:lineRule="auto"/>
        <w:tabs>
          <w:tab w:leader="none" w:pos="720" w:val="left"/>
        </w:tabs>
        <w:numPr>
          <w:ilvl w:val="0"/>
          <w:numId w:val="77"/>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Current Share Capacity Poses Significant Risk to Employee Retention Strategy: </w:t>
      </w:r>
      <w:r>
        <w:rPr>
          <w:rFonts w:ascii="Arial" w:cs="Arial" w:eastAsia="Arial" w:hAnsi="Arial"/>
          <w:sz w:val="14"/>
          <w:szCs w:val="14"/>
          <w:color w:val="auto"/>
        </w:rPr>
        <w:t>Without new share requests, the Company will</w:t>
      </w:r>
      <w:r>
        <w:rPr>
          <w:rFonts w:ascii="Arial" w:cs="Arial" w:eastAsia="Arial" w:hAnsi="Arial"/>
          <w:sz w:val="14"/>
          <w:szCs w:val="14"/>
          <w:b w:val="1"/>
          <w:bCs w:val="1"/>
          <w:color w:val="auto"/>
        </w:rPr>
        <w:t xml:space="preserve"> </w:t>
      </w:r>
      <w:r>
        <w:rPr>
          <w:rFonts w:ascii="Arial" w:cs="Arial" w:eastAsia="Arial" w:hAnsi="Arial"/>
          <w:sz w:val="14"/>
          <w:szCs w:val="14"/>
          <w:color w:val="auto"/>
        </w:rPr>
        <w:t>need to rely on the use of cash compensation, which would limit our agility in supporting our strategic investment opportunities and undermine alignment of our employee-ownership mentality associated with stock ownership across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7372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31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Share Usage Rate and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Our average share usage rate, sometimes referred to as unadjusted burn rate, over the three years ended December 31, 2025 (calculated as equity-based awards granted under our equity compensation plan for the relevant year, divided by average basic common shares outstanding for that year) as reflected in the table below, was approximately 2.85%.</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potential dilution resulting from issuing all of the 4,000,000 additional shares authorized under the 2022 Plan pursuant to this third amendment, plus the 5,482,225 shares that remain available for grant as of April 15, 2026 and taking into account outstanding awards, would be 14.90% on a fully-diluted basis.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The total number of common shares outstanding as of December 31, 2025 and April 15, 2026, was 132,584,258 and 133,743,976, respectively.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3660" w:type="dxa"/>
            <w:vAlign w:val="bottom"/>
            <w:tcBorders>
              <w:top w:val="single" w:sz="8" w:color="69439A"/>
              <w:bottom w:val="single" w:sz="8" w:color="010035"/>
            </w:tcBorders>
            <w:shd w:val="clear" w:color="auto" w:fill="010035"/>
          </w:tcPr>
          <w:p>
            <w:pPr>
              <w:ind w:left="80"/>
              <w:spacing w:after="0"/>
              <w:rPr>
                <w:sz w:val="20"/>
                <w:szCs w:val="20"/>
                <w:color w:val="auto"/>
              </w:rPr>
            </w:pPr>
            <w:r>
              <w:rPr>
                <w:rFonts w:ascii="Arial" w:cs="Arial" w:eastAsia="Arial" w:hAnsi="Arial"/>
                <w:sz w:val="14"/>
                <w:szCs w:val="14"/>
                <w:b w:val="1"/>
                <w:bCs w:val="1"/>
                <w:color w:val="FFFFFF"/>
              </w:rPr>
              <w:t>KEY EQUITY METRICS – BURN RATE</w:t>
            </w:r>
          </w:p>
        </w:tc>
        <w:tc>
          <w:tcPr>
            <w:tcW w:w="2140" w:type="dxa"/>
            <w:vAlign w:val="bottom"/>
            <w:tcBorders>
              <w:top w:val="single" w:sz="8" w:color="69439A"/>
              <w:bottom w:val="single" w:sz="8" w:color="010035"/>
            </w:tcBorders>
            <w:shd w:val="clear" w:color="auto" w:fill="010035"/>
          </w:tcPr>
          <w:p>
            <w:pPr>
              <w:jc w:val="right"/>
              <w:ind w:right="808"/>
              <w:spacing w:after="0"/>
              <w:rPr>
                <w:sz w:val="20"/>
                <w:szCs w:val="20"/>
                <w:color w:val="auto"/>
              </w:rPr>
            </w:pPr>
            <w:r>
              <w:rPr>
                <w:rFonts w:ascii="Arial" w:cs="Arial" w:eastAsia="Arial" w:hAnsi="Arial"/>
                <w:sz w:val="14"/>
                <w:szCs w:val="14"/>
                <w:b w:val="1"/>
                <w:bCs w:val="1"/>
                <w:color w:val="FFFFFF"/>
              </w:rPr>
              <w:t>2025</w:t>
            </w:r>
          </w:p>
        </w:tc>
        <w:tc>
          <w:tcPr>
            <w:tcW w:w="2080" w:type="dxa"/>
            <w:vAlign w:val="bottom"/>
            <w:tcBorders>
              <w:top w:val="single" w:sz="8" w:color="69439A"/>
              <w:bottom w:val="single" w:sz="8" w:color="010035"/>
            </w:tcBorders>
            <w:shd w:val="clear" w:color="auto" w:fill="010035"/>
          </w:tcPr>
          <w:p>
            <w:pPr>
              <w:jc w:val="right"/>
              <w:ind w:right="808"/>
              <w:spacing w:after="0"/>
              <w:rPr>
                <w:sz w:val="20"/>
                <w:szCs w:val="20"/>
                <w:color w:val="auto"/>
              </w:rPr>
            </w:pPr>
            <w:r>
              <w:rPr>
                <w:rFonts w:ascii="Arial" w:cs="Arial" w:eastAsia="Arial" w:hAnsi="Arial"/>
                <w:sz w:val="14"/>
                <w:szCs w:val="14"/>
                <w:b w:val="1"/>
                <w:bCs w:val="1"/>
                <w:color w:val="FFFFFF"/>
              </w:rPr>
              <w:t>2024</w:t>
            </w:r>
          </w:p>
        </w:tc>
        <w:tc>
          <w:tcPr>
            <w:tcW w:w="1520" w:type="dxa"/>
            <w:vAlign w:val="bottom"/>
            <w:tcBorders>
              <w:top w:val="single" w:sz="8" w:color="69439A"/>
              <w:bottom w:val="single" w:sz="8" w:color="010035"/>
            </w:tcBorders>
            <w:shd w:val="clear" w:color="auto" w:fill="010035"/>
          </w:tcPr>
          <w:p>
            <w:pPr>
              <w:jc w:val="right"/>
              <w:ind w:right="248"/>
              <w:spacing w:after="0"/>
              <w:rPr>
                <w:sz w:val="20"/>
                <w:szCs w:val="20"/>
                <w:color w:val="auto"/>
              </w:rPr>
            </w:pPr>
            <w:r>
              <w:rPr>
                <w:rFonts w:ascii="Arial" w:cs="Arial" w:eastAsia="Arial" w:hAnsi="Arial"/>
                <w:sz w:val="14"/>
                <w:szCs w:val="14"/>
                <w:b w:val="1"/>
                <w:bCs w:val="1"/>
                <w:color w:val="FFFFFF"/>
              </w:rPr>
              <w:t>2023</w:t>
            </w:r>
          </w:p>
        </w:tc>
      </w:tr>
      <w:tr>
        <w:trPr>
          <w:trHeight w:val="338"/>
        </w:trPr>
        <w:tc>
          <w:tcPr>
            <w:tcW w:w="3660" w:type="dxa"/>
            <w:vAlign w:val="bottom"/>
          </w:tcPr>
          <w:p>
            <w:pPr>
              <w:ind w:left="80"/>
              <w:spacing w:after="0"/>
              <w:rPr>
                <w:sz w:val="20"/>
                <w:szCs w:val="20"/>
                <w:color w:val="auto"/>
              </w:rPr>
            </w:pPr>
            <w:r>
              <w:rPr>
                <w:rFonts w:ascii="Arial" w:cs="Arial" w:eastAsia="Arial" w:hAnsi="Arial"/>
                <w:sz w:val="14"/>
                <w:szCs w:val="14"/>
                <w:color w:val="010035"/>
              </w:rPr>
              <w:t>Equity Burn Rate</w:t>
            </w:r>
            <w:r>
              <w:rPr>
                <w:rFonts w:ascii="Arial" w:cs="Arial" w:eastAsia="Arial" w:hAnsi="Arial"/>
                <w:sz w:val="23"/>
                <w:szCs w:val="23"/>
                <w:color w:val="010035"/>
                <w:vertAlign w:val="superscript"/>
              </w:rPr>
              <w:t>(1)</w:t>
            </w:r>
          </w:p>
        </w:tc>
        <w:tc>
          <w:tcPr>
            <w:tcW w:w="2140" w:type="dxa"/>
            <w:vAlign w:val="bottom"/>
          </w:tcPr>
          <w:p>
            <w:pPr>
              <w:jc w:val="right"/>
              <w:ind w:right="568"/>
              <w:spacing w:after="0"/>
              <w:rPr>
                <w:sz w:val="20"/>
                <w:szCs w:val="20"/>
                <w:color w:val="auto"/>
              </w:rPr>
            </w:pPr>
            <w:r>
              <w:rPr>
                <w:rFonts w:ascii="Arial" w:cs="Arial" w:eastAsia="Arial" w:hAnsi="Arial"/>
                <w:sz w:val="14"/>
                <w:szCs w:val="14"/>
                <w:color w:val="010035"/>
              </w:rPr>
              <w:t>3.56%</w:t>
            </w:r>
          </w:p>
        </w:tc>
        <w:tc>
          <w:tcPr>
            <w:tcW w:w="2080" w:type="dxa"/>
            <w:vAlign w:val="bottom"/>
          </w:tcPr>
          <w:p>
            <w:pPr>
              <w:jc w:val="right"/>
              <w:ind w:right="568"/>
              <w:spacing w:after="0"/>
              <w:rPr>
                <w:sz w:val="20"/>
                <w:szCs w:val="20"/>
                <w:color w:val="auto"/>
              </w:rPr>
            </w:pPr>
            <w:r>
              <w:rPr>
                <w:rFonts w:ascii="Arial" w:cs="Arial" w:eastAsia="Arial" w:hAnsi="Arial"/>
                <w:sz w:val="14"/>
                <w:szCs w:val="14"/>
                <w:color w:val="010035"/>
              </w:rPr>
              <w:t>3.28%</w:t>
            </w:r>
          </w:p>
        </w:tc>
        <w:tc>
          <w:tcPr>
            <w:tcW w:w="1520" w:type="dxa"/>
            <w:vAlign w:val="bottom"/>
          </w:tcPr>
          <w:p>
            <w:pPr>
              <w:jc w:val="right"/>
              <w:spacing w:after="0"/>
              <w:rPr>
                <w:sz w:val="20"/>
                <w:szCs w:val="20"/>
                <w:color w:val="auto"/>
              </w:rPr>
            </w:pPr>
            <w:r>
              <w:rPr>
                <w:rFonts w:ascii="Arial" w:cs="Arial" w:eastAsia="Arial" w:hAnsi="Arial"/>
                <w:sz w:val="14"/>
                <w:szCs w:val="14"/>
                <w:color w:val="010035"/>
              </w:rPr>
              <w:t>1.70%</w:t>
            </w:r>
          </w:p>
        </w:tc>
      </w:tr>
      <w:tr>
        <w:trPr>
          <w:trHeight w:val="338"/>
        </w:trPr>
        <w:tc>
          <w:tcPr>
            <w:tcW w:w="366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​Shares Awarded (A)</w:t>
            </w:r>
            <w:r>
              <w:rPr>
                <w:rFonts w:ascii="Arial" w:cs="Arial" w:eastAsia="Arial" w:hAnsi="Arial"/>
                <w:sz w:val="23"/>
                <w:szCs w:val="23"/>
                <w:color w:val="010035"/>
                <w:vertAlign w:val="superscript"/>
              </w:rPr>
              <w:t>(4)</w:t>
            </w:r>
          </w:p>
        </w:tc>
        <w:tc>
          <w:tcPr>
            <w:tcW w:w="2140" w:type="dxa"/>
            <w:vAlign w:val="bottom"/>
            <w:shd w:val="clear" w:color="auto" w:fill="DED8EC"/>
          </w:tcPr>
          <w:p>
            <w:pPr>
              <w:jc w:val="right"/>
              <w:ind w:right="568"/>
              <w:spacing w:after="0"/>
              <w:rPr>
                <w:sz w:val="20"/>
                <w:szCs w:val="20"/>
                <w:color w:val="auto"/>
              </w:rPr>
            </w:pPr>
            <w:r>
              <w:rPr>
                <w:rFonts w:ascii="Arial" w:cs="Arial" w:eastAsia="Arial" w:hAnsi="Arial"/>
                <w:sz w:val="14"/>
                <w:szCs w:val="14"/>
                <w:color w:val="010035"/>
              </w:rPr>
              <w:t>​5,142,598</w:t>
            </w:r>
          </w:p>
        </w:tc>
        <w:tc>
          <w:tcPr>
            <w:tcW w:w="2080" w:type="dxa"/>
            <w:vAlign w:val="bottom"/>
            <w:shd w:val="clear" w:color="auto" w:fill="DED8EC"/>
          </w:tcPr>
          <w:p>
            <w:pPr>
              <w:jc w:val="right"/>
              <w:ind w:right="568"/>
              <w:spacing w:after="0"/>
              <w:rPr>
                <w:sz w:val="20"/>
                <w:szCs w:val="20"/>
                <w:color w:val="auto"/>
              </w:rPr>
            </w:pPr>
            <w:r>
              <w:rPr>
                <w:rFonts w:ascii="Arial" w:cs="Arial" w:eastAsia="Arial" w:hAnsi="Arial"/>
                <w:sz w:val="14"/>
                <w:szCs w:val="14"/>
                <w:color w:val="010035"/>
              </w:rPr>
              <w:t>4,988,734​</w:t>
            </w:r>
          </w:p>
        </w:tc>
        <w:tc>
          <w:tcPr>
            <w:tcW w:w="1520" w:type="dxa"/>
            <w:vAlign w:val="bottom"/>
            <w:shd w:val="clear" w:color="auto" w:fill="DED8EC"/>
          </w:tcPr>
          <w:p>
            <w:pPr>
              <w:jc w:val="right"/>
              <w:spacing w:after="0"/>
              <w:rPr>
                <w:sz w:val="20"/>
                <w:szCs w:val="20"/>
                <w:color w:val="auto"/>
              </w:rPr>
            </w:pPr>
            <w:r>
              <w:rPr>
                <w:rFonts w:ascii="Arial" w:cs="Arial" w:eastAsia="Arial" w:hAnsi="Arial"/>
                <w:sz w:val="14"/>
                <w:szCs w:val="14"/>
                <w:color w:val="010035"/>
              </w:rPr>
              <w:t>2,581,123​</w:t>
            </w:r>
          </w:p>
        </w:tc>
      </w:tr>
      <w:tr>
        <w:trPr>
          <w:trHeight w:val="338"/>
        </w:trPr>
        <w:tc>
          <w:tcPr>
            <w:tcW w:w="3660" w:type="dxa"/>
            <w:vAlign w:val="bottom"/>
          </w:tcPr>
          <w:p>
            <w:pPr>
              <w:ind w:left="80"/>
              <w:spacing w:after="0"/>
              <w:rPr>
                <w:sz w:val="20"/>
                <w:szCs w:val="20"/>
                <w:color w:val="auto"/>
              </w:rPr>
            </w:pPr>
            <w:r>
              <w:rPr>
                <w:rFonts w:ascii="Arial" w:cs="Arial" w:eastAsia="Arial" w:hAnsi="Arial"/>
                <w:sz w:val="14"/>
                <w:szCs w:val="14"/>
                <w:color w:val="010035"/>
              </w:rPr>
              <w:t>Shares Forfeited (B)</w:t>
            </w:r>
            <w:r>
              <w:rPr>
                <w:rFonts w:ascii="Arial" w:cs="Arial" w:eastAsia="Arial" w:hAnsi="Arial"/>
                <w:sz w:val="23"/>
                <w:szCs w:val="23"/>
                <w:color w:val="010035"/>
                <w:vertAlign w:val="superscript"/>
              </w:rPr>
              <w:t>(5)</w:t>
            </w:r>
          </w:p>
        </w:tc>
        <w:tc>
          <w:tcPr>
            <w:tcW w:w="2140" w:type="dxa"/>
            <w:vAlign w:val="bottom"/>
          </w:tcPr>
          <w:p>
            <w:pPr>
              <w:jc w:val="right"/>
              <w:ind w:right="568"/>
              <w:spacing w:after="0"/>
              <w:rPr>
                <w:sz w:val="20"/>
                <w:szCs w:val="20"/>
                <w:color w:val="auto"/>
              </w:rPr>
            </w:pPr>
            <w:r>
              <w:rPr>
                <w:rFonts w:ascii="Arial" w:cs="Arial" w:eastAsia="Arial" w:hAnsi="Arial"/>
                <w:sz w:val="14"/>
                <w:szCs w:val="14"/>
                <w:color w:val="010035"/>
              </w:rPr>
              <w:t>2,220,515</w:t>
            </w:r>
          </w:p>
        </w:tc>
        <w:tc>
          <w:tcPr>
            <w:tcW w:w="2080" w:type="dxa"/>
            <w:vAlign w:val="bottom"/>
          </w:tcPr>
          <w:p>
            <w:pPr>
              <w:jc w:val="right"/>
              <w:ind w:right="568"/>
              <w:spacing w:after="0"/>
              <w:rPr>
                <w:sz w:val="20"/>
                <w:szCs w:val="20"/>
                <w:color w:val="auto"/>
              </w:rPr>
            </w:pPr>
            <w:r>
              <w:rPr>
                <w:rFonts w:ascii="Arial" w:cs="Arial" w:eastAsia="Arial" w:hAnsi="Arial"/>
                <w:sz w:val="14"/>
                <w:szCs w:val="14"/>
                <w:color w:val="010035"/>
              </w:rPr>
              <w:t>570,478</w:t>
            </w:r>
          </w:p>
        </w:tc>
        <w:tc>
          <w:tcPr>
            <w:tcW w:w="1520" w:type="dxa"/>
            <w:vAlign w:val="bottom"/>
          </w:tcPr>
          <w:p>
            <w:pPr>
              <w:jc w:val="right"/>
              <w:spacing w:after="0"/>
              <w:rPr>
                <w:sz w:val="20"/>
                <w:szCs w:val="20"/>
                <w:color w:val="auto"/>
              </w:rPr>
            </w:pPr>
            <w:r>
              <w:rPr>
                <w:rFonts w:ascii="Arial" w:cs="Arial" w:eastAsia="Arial" w:hAnsi="Arial"/>
                <w:sz w:val="14"/>
                <w:szCs w:val="14"/>
                <w:color w:val="010035"/>
              </w:rPr>
              <w:t>251,524</w:t>
            </w:r>
          </w:p>
        </w:tc>
      </w:tr>
      <w:tr>
        <w:trPr>
          <w:trHeight w:val="248"/>
        </w:trPr>
        <w:tc>
          <w:tcPr>
            <w:tcW w:w="366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Net Shares Granted (A)-(B)</w:t>
            </w:r>
          </w:p>
        </w:tc>
        <w:tc>
          <w:tcPr>
            <w:tcW w:w="2140" w:type="dxa"/>
            <w:vAlign w:val="bottom"/>
            <w:shd w:val="clear" w:color="auto" w:fill="DED8EC"/>
          </w:tcPr>
          <w:p>
            <w:pPr>
              <w:jc w:val="right"/>
              <w:ind w:right="568"/>
              <w:spacing w:after="0"/>
              <w:rPr>
                <w:sz w:val="20"/>
                <w:szCs w:val="20"/>
                <w:color w:val="auto"/>
              </w:rPr>
            </w:pPr>
            <w:r>
              <w:rPr>
                <w:rFonts w:ascii="Arial" w:cs="Arial" w:eastAsia="Arial" w:hAnsi="Arial"/>
                <w:sz w:val="14"/>
                <w:szCs w:val="14"/>
                <w:color w:val="010035"/>
              </w:rPr>
              <w:t>2,922,083</w:t>
            </w:r>
          </w:p>
        </w:tc>
        <w:tc>
          <w:tcPr>
            <w:tcW w:w="2080" w:type="dxa"/>
            <w:vAlign w:val="bottom"/>
            <w:shd w:val="clear" w:color="auto" w:fill="DED8EC"/>
          </w:tcPr>
          <w:p>
            <w:pPr>
              <w:jc w:val="right"/>
              <w:ind w:right="568"/>
              <w:spacing w:after="0"/>
              <w:rPr>
                <w:sz w:val="20"/>
                <w:szCs w:val="20"/>
                <w:color w:val="auto"/>
              </w:rPr>
            </w:pPr>
            <w:r>
              <w:rPr>
                <w:rFonts w:ascii="Arial" w:cs="Arial" w:eastAsia="Arial" w:hAnsi="Arial"/>
                <w:sz w:val="14"/>
                <w:szCs w:val="14"/>
                <w:color w:val="010035"/>
              </w:rPr>
              <w:t>4,418,256</w:t>
            </w:r>
          </w:p>
        </w:tc>
        <w:tc>
          <w:tcPr>
            <w:tcW w:w="1520" w:type="dxa"/>
            <w:vAlign w:val="bottom"/>
            <w:shd w:val="clear" w:color="auto" w:fill="DED8EC"/>
          </w:tcPr>
          <w:p>
            <w:pPr>
              <w:jc w:val="right"/>
              <w:spacing w:after="0"/>
              <w:rPr>
                <w:sz w:val="20"/>
                <w:szCs w:val="20"/>
                <w:color w:val="auto"/>
              </w:rPr>
            </w:pPr>
            <w:r>
              <w:rPr>
                <w:rFonts w:ascii="Arial" w:cs="Arial" w:eastAsia="Arial" w:hAnsi="Arial"/>
                <w:sz w:val="14"/>
                <w:szCs w:val="14"/>
                <w:color w:val="010035"/>
              </w:rPr>
              <w:t>2,329,599</w:t>
            </w:r>
          </w:p>
        </w:tc>
      </w:tr>
      <w:tr>
        <w:trPr>
          <w:trHeight w:val="62"/>
        </w:trPr>
        <w:tc>
          <w:tcPr>
            <w:tcW w:w="3660" w:type="dxa"/>
            <w:vAlign w:val="bottom"/>
            <w:shd w:val="clear" w:color="auto" w:fill="DED8EC"/>
          </w:tcPr>
          <w:p>
            <w:pPr>
              <w:spacing w:after="0"/>
              <w:rPr>
                <w:sz w:val="5"/>
                <w:szCs w:val="5"/>
                <w:color w:val="auto"/>
              </w:rPr>
            </w:pPr>
          </w:p>
        </w:tc>
        <w:tc>
          <w:tcPr>
            <w:tcW w:w="2140" w:type="dxa"/>
            <w:vAlign w:val="bottom"/>
            <w:shd w:val="clear" w:color="auto" w:fill="DED8EC"/>
          </w:tcPr>
          <w:p>
            <w:pPr>
              <w:spacing w:after="0"/>
              <w:rPr>
                <w:sz w:val="5"/>
                <w:szCs w:val="5"/>
                <w:color w:val="auto"/>
              </w:rPr>
            </w:pPr>
          </w:p>
        </w:tc>
        <w:tc>
          <w:tcPr>
            <w:tcW w:w="2080" w:type="dxa"/>
            <w:vAlign w:val="bottom"/>
            <w:shd w:val="clear" w:color="auto" w:fill="DED8EC"/>
          </w:tcPr>
          <w:p>
            <w:pPr>
              <w:spacing w:after="0"/>
              <w:rPr>
                <w:sz w:val="5"/>
                <w:szCs w:val="5"/>
                <w:color w:val="auto"/>
              </w:rPr>
            </w:pPr>
          </w:p>
        </w:tc>
        <w:tc>
          <w:tcPr>
            <w:tcW w:w="1520" w:type="dxa"/>
            <w:vAlign w:val="bottom"/>
            <w:shd w:val="clear" w:color="auto" w:fill="DED8EC"/>
          </w:tcPr>
          <w:p>
            <w:pPr>
              <w:spacing w:after="0"/>
              <w:rPr>
                <w:sz w:val="5"/>
                <w:szCs w:val="5"/>
                <w:color w:val="auto"/>
              </w:rPr>
            </w:pPr>
          </w:p>
        </w:tc>
      </w:tr>
      <w:tr>
        <w:trPr>
          <w:trHeight w:val="248"/>
        </w:trPr>
        <w:tc>
          <w:tcPr>
            <w:tcW w:w="3660" w:type="dxa"/>
            <w:vAlign w:val="bottom"/>
          </w:tcPr>
          <w:p>
            <w:pPr>
              <w:ind w:left="80"/>
              <w:spacing w:after="0"/>
              <w:rPr>
                <w:sz w:val="20"/>
                <w:szCs w:val="20"/>
                <w:color w:val="auto"/>
              </w:rPr>
            </w:pPr>
            <w:r>
              <w:rPr>
                <w:rFonts w:ascii="Arial" w:cs="Arial" w:eastAsia="Arial" w:hAnsi="Arial"/>
                <w:sz w:val="14"/>
                <w:szCs w:val="14"/>
                <w:color w:val="010035"/>
              </w:rPr>
              <w:t>Weighted-Average Basic Shares Outstanding</w:t>
            </w:r>
          </w:p>
        </w:tc>
        <w:tc>
          <w:tcPr>
            <w:tcW w:w="2140" w:type="dxa"/>
            <w:vAlign w:val="bottom"/>
          </w:tcPr>
          <w:p>
            <w:pPr>
              <w:jc w:val="right"/>
              <w:ind w:right="568"/>
              <w:spacing w:after="0"/>
              <w:rPr>
                <w:sz w:val="20"/>
                <w:szCs w:val="20"/>
                <w:color w:val="auto"/>
              </w:rPr>
            </w:pPr>
            <w:r>
              <w:rPr>
                <w:rFonts w:ascii="Arial" w:cs="Arial" w:eastAsia="Arial" w:hAnsi="Arial"/>
                <w:sz w:val="14"/>
                <w:szCs w:val="14"/>
                <w:color w:val="010035"/>
              </w:rPr>
              <w:t>144,587,144</w:t>
            </w:r>
          </w:p>
        </w:tc>
        <w:tc>
          <w:tcPr>
            <w:tcW w:w="2080" w:type="dxa"/>
            <w:vAlign w:val="bottom"/>
          </w:tcPr>
          <w:p>
            <w:pPr>
              <w:jc w:val="right"/>
              <w:ind w:right="568"/>
              <w:spacing w:after="0"/>
              <w:rPr>
                <w:sz w:val="20"/>
                <w:szCs w:val="20"/>
                <w:color w:val="auto"/>
              </w:rPr>
            </w:pPr>
            <w:r>
              <w:rPr>
                <w:rFonts w:ascii="Arial" w:cs="Arial" w:eastAsia="Arial" w:hAnsi="Arial"/>
                <w:sz w:val="14"/>
                <w:szCs w:val="14"/>
                <w:color w:val="010035"/>
              </w:rPr>
              <w:t>152,100,000</w:t>
            </w:r>
          </w:p>
        </w:tc>
        <w:tc>
          <w:tcPr>
            <w:tcW w:w="1520" w:type="dxa"/>
            <w:vAlign w:val="bottom"/>
          </w:tcPr>
          <w:p>
            <w:pPr>
              <w:jc w:val="right"/>
              <w:spacing w:after="0"/>
              <w:rPr>
                <w:sz w:val="20"/>
                <w:szCs w:val="20"/>
                <w:color w:val="auto"/>
              </w:rPr>
            </w:pPr>
            <w:r>
              <w:rPr>
                <w:rFonts w:ascii="Arial" w:cs="Arial" w:eastAsia="Arial" w:hAnsi="Arial"/>
                <w:sz w:val="14"/>
                <w:szCs w:val="14"/>
                <w:color w:val="010035"/>
              </w:rPr>
              <w:t>152,100,000</w:t>
            </w:r>
          </w:p>
        </w:tc>
      </w:tr>
      <w:tr>
        <w:trPr>
          <w:trHeight w:val="62"/>
        </w:trPr>
        <w:tc>
          <w:tcPr>
            <w:tcW w:w="36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91"/>
        </w:trPr>
        <w:tc>
          <w:tcPr>
            <w:tcW w:w="3660" w:type="dxa"/>
            <w:vAlign w:val="bottom"/>
            <w:tcBorders>
              <w:bottom w:val="single" w:sz="8" w:color="DED8EC"/>
            </w:tcBorders>
            <w:shd w:val="clear" w:color="auto" w:fill="DED8EC"/>
          </w:tcPr>
          <w:p>
            <w:pPr>
              <w:ind w:left="80"/>
              <w:spacing w:after="0" w:line="256" w:lineRule="exact"/>
              <w:rPr>
                <w:sz w:val="20"/>
                <w:szCs w:val="20"/>
                <w:color w:val="auto"/>
              </w:rPr>
            </w:pPr>
            <w:r>
              <w:rPr>
                <w:rFonts w:ascii="Arial" w:cs="Arial" w:eastAsia="Arial" w:hAnsi="Arial"/>
                <w:sz w:val="14"/>
                <w:szCs w:val="14"/>
                <w:color w:val="010035"/>
              </w:rPr>
              <w:t>Net Equity Burn Rate</w:t>
            </w:r>
            <w:r>
              <w:rPr>
                <w:rFonts w:ascii="Arial" w:cs="Arial" w:eastAsia="Arial" w:hAnsi="Arial"/>
                <w:sz w:val="23"/>
                <w:szCs w:val="23"/>
                <w:color w:val="010035"/>
                <w:vertAlign w:val="superscript"/>
              </w:rPr>
              <w:t>(2)(3)</w:t>
            </w:r>
          </w:p>
        </w:tc>
        <w:tc>
          <w:tcPr>
            <w:tcW w:w="2140" w:type="dxa"/>
            <w:vAlign w:val="bottom"/>
            <w:tcBorders>
              <w:bottom w:val="single" w:sz="8" w:color="DED8EC"/>
            </w:tcBorders>
            <w:shd w:val="clear" w:color="auto" w:fill="DED8EC"/>
          </w:tcPr>
          <w:p>
            <w:pPr>
              <w:jc w:val="right"/>
              <w:ind w:right="568"/>
              <w:spacing w:after="0"/>
              <w:rPr>
                <w:sz w:val="20"/>
                <w:szCs w:val="20"/>
                <w:color w:val="auto"/>
              </w:rPr>
            </w:pPr>
            <w:r>
              <w:rPr>
                <w:rFonts w:ascii="Arial" w:cs="Arial" w:eastAsia="Arial" w:hAnsi="Arial"/>
                <w:sz w:val="14"/>
                <w:szCs w:val="14"/>
                <w:color w:val="010035"/>
              </w:rPr>
              <w:t>2.02%</w:t>
            </w:r>
          </w:p>
        </w:tc>
        <w:tc>
          <w:tcPr>
            <w:tcW w:w="2080" w:type="dxa"/>
            <w:vAlign w:val="bottom"/>
            <w:tcBorders>
              <w:bottom w:val="single" w:sz="8" w:color="DED8EC"/>
            </w:tcBorders>
            <w:shd w:val="clear" w:color="auto" w:fill="DED8EC"/>
          </w:tcPr>
          <w:p>
            <w:pPr>
              <w:jc w:val="right"/>
              <w:ind w:right="568"/>
              <w:spacing w:after="0"/>
              <w:rPr>
                <w:sz w:val="20"/>
                <w:szCs w:val="20"/>
                <w:color w:val="auto"/>
              </w:rPr>
            </w:pPr>
            <w:r>
              <w:rPr>
                <w:rFonts w:ascii="Arial" w:cs="Arial" w:eastAsia="Arial" w:hAnsi="Arial"/>
                <w:sz w:val="14"/>
                <w:szCs w:val="14"/>
                <w:color w:val="010035"/>
              </w:rPr>
              <w:t>2.90%</w:t>
            </w:r>
          </w:p>
        </w:tc>
        <w:tc>
          <w:tcPr>
            <w:tcW w:w="1520" w:type="dxa"/>
            <w:vAlign w:val="bottom"/>
            <w:tcBorders>
              <w:bottom w:val="single" w:sz="8" w:color="DED8EC"/>
            </w:tcBorders>
            <w:shd w:val="clear" w:color="auto" w:fill="DED8EC"/>
          </w:tcPr>
          <w:p>
            <w:pPr>
              <w:jc w:val="right"/>
              <w:spacing w:after="0"/>
              <w:rPr>
                <w:sz w:val="20"/>
                <w:szCs w:val="20"/>
                <w:color w:val="auto"/>
              </w:rPr>
            </w:pPr>
            <w:r>
              <w:rPr>
                <w:rFonts w:ascii="Arial" w:cs="Arial" w:eastAsia="Arial" w:hAnsi="Arial"/>
                <w:sz w:val="14"/>
                <w:szCs w:val="14"/>
                <w:color w:val="010035"/>
              </w:rPr>
              <w:t>1.53%</w:t>
            </w:r>
          </w:p>
        </w:tc>
      </w:tr>
      <w:tr>
        <w:trPr>
          <w:trHeight w:val="20"/>
        </w:trPr>
        <w:tc>
          <w:tcPr>
            <w:tcW w:w="3660" w:type="dxa"/>
            <w:vAlign w:val="bottom"/>
            <w:shd w:val="clear" w:color="auto" w:fill="010035"/>
          </w:tcPr>
          <w:p>
            <w:pPr>
              <w:spacing w:after="0" w:line="20" w:lineRule="exact"/>
              <w:rPr>
                <w:sz w:val="1"/>
                <w:szCs w:val="1"/>
                <w:color w:val="auto"/>
              </w:rPr>
            </w:pPr>
          </w:p>
        </w:tc>
        <w:tc>
          <w:tcPr>
            <w:tcW w:w="2140" w:type="dxa"/>
            <w:vAlign w:val="bottom"/>
            <w:shd w:val="clear" w:color="auto" w:fill="010035"/>
          </w:tcPr>
          <w:p>
            <w:pPr>
              <w:spacing w:after="0" w:line="20" w:lineRule="exact"/>
              <w:rPr>
                <w:sz w:val="1"/>
                <w:szCs w:val="1"/>
                <w:color w:val="auto"/>
              </w:rPr>
            </w:pPr>
          </w:p>
        </w:tc>
        <w:tc>
          <w:tcPr>
            <w:tcW w:w="2080" w:type="dxa"/>
            <w:vAlign w:val="bottom"/>
            <w:shd w:val="clear" w:color="auto" w:fill="010035"/>
          </w:tcPr>
          <w:p>
            <w:pPr>
              <w:spacing w:after="0" w:line="20" w:lineRule="exact"/>
              <w:rPr>
                <w:sz w:val="1"/>
                <w:szCs w:val="1"/>
                <w:color w:val="auto"/>
              </w:rPr>
            </w:pPr>
          </w:p>
        </w:tc>
        <w:tc>
          <w:tcPr>
            <w:tcW w:w="1520" w:type="dxa"/>
            <w:vAlign w:val="bottom"/>
            <w:shd w:val="clear" w:color="auto" w:fill="010035"/>
          </w:tcPr>
          <w:p>
            <w:pPr>
              <w:spacing w:after="0" w:line="20" w:lineRule="exact"/>
              <w:rPr>
                <w:sz w:val="1"/>
                <w:szCs w:val="1"/>
                <w:color w:val="auto"/>
              </w:rPr>
            </w:pPr>
          </w:p>
        </w:tc>
      </w:tr>
    </w:tbl>
    <w:p>
      <w:pPr>
        <w:spacing w:after="0" w:line="108" w:lineRule="exact"/>
        <w:rPr>
          <w:sz w:val="20"/>
          <w:szCs w:val="20"/>
          <w:color w:val="auto"/>
        </w:rPr>
      </w:pPr>
    </w:p>
    <w:p>
      <w:pPr>
        <w:ind w:left="360" w:hanging="354"/>
        <w:spacing w:after="0"/>
        <w:tabs>
          <w:tab w:leader="none" w:pos="360" w:val="left"/>
        </w:tabs>
        <w:numPr>
          <w:ilvl w:val="0"/>
          <w:numId w:val="78"/>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Equity burn rate is determined by dividing the number of shares subject to stock awards we grant in a fiscal year by the weighted average number of our shares outstanding for that fiscal year.</w:t>
      </w:r>
    </w:p>
    <w:p>
      <w:pPr>
        <w:spacing w:after="0" w:line="13" w:lineRule="exact"/>
        <w:rPr>
          <w:rFonts w:ascii="Times New Roman" w:cs="Times New Roman" w:eastAsia="Times New Roman" w:hAnsi="Times New Roman"/>
          <w:sz w:val="11"/>
          <w:szCs w:val="11"/>
          <w:color w:val="010035"/>
        </w:rPr>
      </w:pPr>
    </w:p>
    <w:p>
      <w:pPr>
        <w:ind w:left="360" w:hanging="354"/>
        <w:spacing w:after="0"/>
        <w:tabs>
          <w:tab w:leader="none" w:pos="360" w:val="left"/>
        </w:tabs>
        <w:numPr>
          <w:ilvl w:val="0"/>
          <w:numId w:val="78"/>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Net equity burn rate is determined by calculating the sum of shares awarded during the fiscal year, less shares forfeited, divided by the weighted average number of shares outstanding for that fiscal year.</w:t>
      </w:r>
    </w:p>
    <w:p>
      <w:pPr>
        <w:spacing w:after="0" w:line="16" w:lineRule="exact"/>
        <w:rPr>
          <w:rFonts w:ascii="Times New Roman" w:cs="Times New Roman" w:eastAsia="Times New Roman" w:hAnsi="Times New Roman"/>
          <w:sz w:val="11"/>
          <w:szCs w:val="11"/>
          <w:color w:val="010035"/>
        </w:rPr>
      </w:pPr>
    </w:p>
    <w:p>
      <w:pPr>
        <w:ind w:left="360" w:right="40" w:hanging="354"/>
        <w:spacing w:after="0" w:line="242" w:lineRule="auto"/>
        <w:tabs>
          <w:tab w:leader="none" w:pos="360" w:val="left"/>
        </w:tabs>
        <w:numPr>
          <w:ilvl w:val="0"/>
          <w:numId w:val="78"/>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Company has periodically repurchased shares under Board authorized share repurchase programs. The Company repurchased 20,090,831 shares in 2025, 0 in 2024, and 5,438,221 in 2023. These repurchases are not reflected in the net equity burn rate calculation, which is intended to measure shares utilized for equity compensation purposes. However, such repurchases may mitigate the dilutive impact of current and future equity awards.</w:t>
      </w:r>
    </w:p>
    <w:p>
      <w:pPr>
        <w:ind w:left="360" w:hanging="354"/>
        <w:spacing w:after="0"/>
        <w:tabs>
          <w:tab w:leader="none" w:pos="360" w:val="left"/>
        </w:tabs>
        <w:numPr>
          <w:ilvl w:val="0"/>
          <w:numId w:val="78"/>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Includes restricted stock, stock-settled RSU's, options and performance-based awards granted at target.</w:t>
      </w:r>
    </w:p>
    <w:p>
      <w:pPr>
        <w:spacing w:after="0" w:line="8" w:lineRule="exact"/>
        <w:rPr>
          <w:rFonts w:ascii="Times New Roman" w:cs="Times New Roman" w:eastAsia="Times New Roman" w:hAnsi="Times New Roman"/>
          <w:sz w:val="11"/>
          <w:szCs w:val="11"/>
          <w:color w:val="010035"/>
        </w:rPr>
      </w:pPr>
    </w:p>
    <w:p>
      <w:pPr>
        <w:ind w:left="360" w:right="80" w:hanging="354"/>
        <w:spacing w:after="0" w:line="239" w:lineRule="auto"/>
        <w:tabs>
          <w:tab w:leader="none" w:pos="360" w:val="left"/>
        </w:tabs>
        <w:numPr>
          <w:ilvl w:val="0"/>
          <w:numId w:val="78"/>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Includes (i) restricted stock, stock-settled RSU's and options canceled because of termination, (ii) options which expired prior to being exercised, and (iii) performance-based awards initially reported at target payout levels which ultimately vested at lower levels based on actual performance. Forfeited shares include awards granted under the Company's 2008, 2018 and 2022 Long Term Incentive Compensation Plans and Score Media and Gaming Second Amended and Restated Stock Option and Restricted Stock Unit Plan.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3340" w:type="dxa"/>
            <w:vAlign w:val="bottom"/>
            <w:tcBorders>
              <w:top w:val="single" w:sz="8" w:color="69439A"/>
              <w:bottom w:val="single" w:sz="8" w:color="010035"/>
            </w:tcBorders>
            <w:shd w:val="clear" w:color="auto" w:fill="010035"/>
          </w:tcPr>
          <w:p>
            <w:pPr>
              <w:ind w:left="80"/>
              <w:spacing w:after="0"/>
              <w:rPr>
                <w:sz w:val="20"/>
                <w:szCs w:val="20"/>
                <w:color w:val="auto"/>
              </w:rPr>
            </w:pPr>
            <w:r>
              <w:rPr>
                <w:rFonts w:ascii="Arial" w:cs="Arial" w:eastAsia="Arial" w:hAnsi="Arial"/>
                <w:sz w:val="14"/>
                <w:szCs w:val="14"/>
                <w:b w:val="1"/>
                <w:bCs w:val="1"/>
                <w:color w:val="FFFFFF"/>
              </w:rPr>
              <w:t>KEY EQUITY METRICS - DILUTION</w:t>
            </w:r>
          </w:p>
        </w:tc>
        <w:tc>
          <w:tcPr>
            <w:tcW w:w="2440" w:type="dxa"/>
            <w:vAlign w:val="bottom"/>
            <w:tcBorders>
              <w:top w:val="single" w:sz="8" w:color="69439A"/>
              <w:bottom w:val="single" w:sz="8" w:color="010035"/>
            </w:tcBorders>
            <w:shd w:val="clear" w:color="auto" w:fill="010035"/>
          </w:tcPr>
          <w:p>
            <w:pPr>
              <w:jc w:val="right"/>
              <w:ind w:right="828"/>
              <w:spacing w:after="0"/>
              <w:rPr>
                <w:sz w:val="20"/>
                <w:szCs w:val="20"/>
                <w:color w:val="auto"/>
              </w:rPr>
            </w:pPr>
            <w:r>
              <w:rPr>
                <w:rFonts w:ascii="Arial" w:cs="Arial" w:eastAsia="Arial" w:hAnsi="Arial"/>
                <w:sz w:val="14"/>
                <w:szCs w:val="14"/>
                <w:b w:val="1"/>
                <w:bCs w:val="1"/>
                <w:color w:val="FFFFFF"/>
              </w:rPr>
              <w:t>2025</w:t>
            </w:r>
          </w:p>
        </w:tc>
        <w:tc>
          <w:tcPr>
            <w:tcW w:w="2120" w:type="dxa"/>
            <w:vAlign w:val="bottom"/>
            <w:tcBorders>
              <w:top w:val="single" w:sz="8" w:color="69439A"/>
              <w:bottom w:val="single" w:sz="8" w:color="010035"/>
            </w:tcBorders>
            <w:shd w:val="clear" w:color="auto" w:fill="010035"/>
          </w:tcPr>
          <w:p>
            <w:pPr>
              <w:jc w:val="right"/>
              <w:ind w:right="828"/>
              <w:spacing w:after="0"/>
              <w:rPr>
                <w:sz w:val="20"/>
                <w:szCs w:val="20"/>
                <w:color w:val="auto"/>
              </w:rPr>
            </w:pPr>
            <w:r>
              <w:rPr>
                <w:rFonts w:ascii="Arial" w:cs="Arial" w:eastAsia="Arial" w:hAnsi="Arial"/>
                <w:sz w:val="14"/>
                <w:szCs w:val="14"/>
                <w:b w:val="1"/>
                <w:bCs w:val="1"/>
                <w:color w:val="FFFFFF"/>
              </w:rPr>
              <w:t>2024</w:t>
            </w:r>
          </w:p>
        </w:tc>
        <w:tc>
          <w:tcPr>
            <w:tcW w:w="1500" w:type="dxa"/>
            <w:vAlign w:val="bottom"/>
            <w:tcBorders>
              <w:top w:val="single" w:sz="8" w:color="69439A"/>
              <w:bottom w:val="single" w:sz="8" w:color="010035"/>
            </w:tcBorders>
            <w:shd w:val="clear" w:color="auto" w:fill="010035"/>
          </w:tcPr>
          <w:p>
            <w:pPr>
              <w:jc w:val="right"/>
              <w:ind w:right="228"/>
              <w:spacing w:after="0"/>
              <w:rPr>
                <w:sz w:val="20"/>
                <w:szCs w:val="20"/>
                <w:color w:val="auto"/>
              </w:rPr>
            </w:pPr>
            <w:r>
              <w:rPr>
                <w:rFonts w:ascii="Arial" w:cs="Arial" w:eastAsia="Arial" w:hAnsi="Arial"/>
                <w:sz w:val="14"/>
                <w:szCs w:val="14"/>
                <w:b w:val="1"/>
                <w:bCs w:val="1"/>
                <w:color w:val="FFFFFF"/>
              </w:rPr>
              <w:t>2023</w:t>
            </w:r>
          </w:p>
        </w:tc>
      </w:tr>
      <w:tr>
        <w:trPr>
          <w:trHeight w:val="248"/>
        </w:trPr>
        <w:tc>
          <w:tcPr>
            <w:tcW w:w="3340" w:type="dxa"/>
            <w:vAlign w:val="bottom"/>
          </w:tcPr>
          <w:p>
            <w:pPr>
              <w:ind w:left="80"/>
              <w:spacing w:after="0"/>
              <w:rPr>
                <w:sz w:val="20"/>
                <w:szCs w:val="20"/>
                <w:color w:val="auto"/>
              </w:rPr>
            </w:pPr>
            <w:r>
              <w:rPr>
                <w:rFonts w:ascii="Arial" w:cs="Arial" w:eastAsia="Arial" w:hAnsi="Arial"/>
                <w:sz w:val="14"/>
                <w:szCs w:val="14"/>
                <w:color w:val="010035"/>
              </w:rPr>
              <w:t>Unexercised Stock Options</w:t>
            </w:r>
          </w:p>
        </w:tc>
        <w:tc>
          <w:tcPr>
            <w:tcW w:w="2440" w:type="dxa"/>
            <w:vAlign w:val="bottom"/>
          </w:tcPr>
          <w:p>
            <w:pPr>
              <w:jc w:val="right"/>
              <w:ind w:right="568"/>
              <w:spacing w:after="0"/>
              <w:rPr>
                <w:sz w:val="20"/>
                <w:szCs w:val="20"/>
                <w:color w:val="auto"/>
              </w:rPr>
            </w:pPr>
            <w:r>
              <w:rPr>
                <w:rFonts w:ascii="Arial" w:cs="Arial" w:eastAsia="Arial" w:hAnsi="Arial"/>
                <w:sz w:val="14"/>
                <w:szCs w:val="14"/>
                <w:color w:val="010035"/>
              </w:rPr>
              <w:t>5,186,549</w:t>
            </w:r>
          </w:p>
        </w:tc>
        <w:tc>
          <w:tcPr>
            <w:tcW w:w="2120" w:type="dxa"/>
            <w:vAlign w:val="bottom"/>
          </w:tcPr>
          <w:p>
            <w:pPr>
              <w:jc w:val="right"/>
              <w:ind w:right="588"/>
              <w:spacing w:after="0"/>
              <w:rPr>
                <w:sz w:val="20"/>
                <w:szCs w:val="20"/>
                <w:color w:val="auto"/>
              </w:rPr>
            </w:pPr>
            <w:r>
              <w:rPr>
                <w:rFonts w:ascii="Arial" w:cs="Arial" w:eastAsia="Arial" w:hAnsi="Arial"/>
                <w:sz w:val="14"/>
                <w:szCs w:val="14"/>
                <w:color w:val="010035"/>
              </w:rPr>
              <w:t>4,611,862</w:t>
            </w:r>
          </w:p>
        </w:tc>
        <w:tc>
          <w:tcPr>
            <w:tcW w:w="1500" w:type="dxa"/>
            <w:vAlign w:val="bottom"/>
          </w:tcPr>
          <w:p>
            <w:pPr>
              <w:jc w:val="right"/>
              <w:spacing w:after="0"/>
              <w:rPr>
                <w:sz w:val="20"/>
                <w:szCs w:val="20"/>
                <w:color w:val="auto"/>
              </w:rPr>
            </w:pPr>
            <w:r>
              <w:rPr>
                <w:rFonts w:ascii="Arial" w:cs="Arial" w:eastAsia="Arial" w:hAnsi="Arial"/>
                <w:sz w:val="14"/>
                <w:szCs w:val="14"/>
                <w:color w:val="010035"/>
              </w:rPr>
              <w:t>3,710,184</w:t>
            </w:r>
          </w:p>
        </w:tc>
      </w:tr>
      <w:tr>
        <w:trPr>
          <w:trHeight w:val="62"/>
        </w:trPr>
        <w:tc>
          <w:tcPr>
            <w:tcW w:w="33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48"/>
        </w:trPr>
        <w:tc>
          <w:tcPr>
            <w:tcW w:w="33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Unvested RSUs and PSUs</w:t>
            </w:r>
          </w:p>
        </w:tc>
        <w:tc>
          <w:tcPr>
            <w:tcW w:w="2440" w:type="dxa"/>
            <w:vAlign w:val="bottom"/>
            <w:shd w:val="clear" w:color="auto" w:fill="DED8EC"/>
          </w:tcPr>
          <w:p>
            <w:pPr>
              <w:jc w:val="right"/>
              <w:ind w:right="568"/>
              <w:spacing w:after="0"/>
              <w:rPr>
                <w:sz w:val="20"/>
                <w:szCs w:val="20"/>
                <w:color w:val="auto"/>
              </w:rPr>
            </w:pPr>
            <w:r>
              <w:rPr>
                <w:rFonts w:ascii="Arial" w:cs="Arial" w:eastAsia="Arial" w:hAnsi="Arial"/>
                <w:sz w:val="14"/>
                <w:szCs w:val="14"/>
                <w:color w:val="010035"/>
              </w:rPr>
              <w:t>6,717,507​</w:t>
            </w:r>
          </w:p>
        </w:tc>
        <w:tc>
          <w:tcPr>
            <w:tcW w:w="2120" w:type="dxa"/>
            <w:vAlign w:val="bottom"/>
            <w:shd w:val="clear" w:color="auto" w:fill="DED8EC"/>
          </w:tcPr>
          <w:p>
            <w:pPr>
              <w:jc w:val="right"/>
              <w:ind w:right="588"/>
              <w:spacing w:after="0"/>
              <w:rPr>
                <w:sz w:val="20"/>
                <w:szCs w:val="20"/>
                <w:color w:val="auto"/>
              </w:rPr>
            </w:pPr>
            <w:r>
              <w:rPr>
                <w:rFonts w:ascii="Arial" w:cs="Arial" w:eastAsia="Arial" w:hAnsi="Arial"/>
                <w:sz w:val="14"/>
                <w:szCs w:val="14"/>
                <w:color w:val="010035"/>
              </w:rPr>
              <w:t>5,505,358​</w:t>
            </w:r>
          </w:p>
        </w:tc>
        <w:tc>
          <w:tcPr>
            <w:tcW w:w="1500" w:type="dxa"/>
            <w:vAlign w:val="bottom"/>
            <w:shd w:val="clear" w:color="auto" w:fill="DED8EC"/>
          </w:tcPr>
          <w:p>
            <w:pPr>
              <w:jc w:val="right"/>
              <w:spacing w:after="0"/>
              <w:rPr>
                <w:sz w:val="20"/>
                <w:szCs w:val="20"/>
                <w:color w:val="auto"/>
              </w:rPr>
            </w:pPr>
            <w:r>
              <w:rPr>
                <w:rFonts w:ascii="Arial" w:cs="Arial" w:eastAsia="Arial" w:hAnsi="Arial"/>
                <w:sz w:val="14"/>
                <w:szCs w:val="14"/>
                <w:color w:val="010035"/>
              </w:rPr>
              <w:t>​3,005,539</w:t>
            </w:r>
          </w:p>
        </w:tc>
      </w:tr>
      <w:tr>
        <w:trPr>
          <w:trHeight w:val="62"/>
        </w:trPr>
        <w:tc>
          <w:tcPr>
            <w:tcW w:w="3340" w:type="dxa"/>
            <w:vAlign w:val="bottom"/>
            <w:shd w:val="clear" w:color="auto" w:fill="DED8EC"/>
          </w:tcPr>
          <w:p>
            <w:pPr>
              <w:spacing w:after="0"/>
              <w:rPr>
                <w:sz w:val="5"/>
                <w:szCs w:val="5"/>
                <w:color w:val="auto"/>
              </w:rPr>
            </w:pPr>
          </w:p>
        </w:tc>
        <w:tc>
          <w:tcPr>
            <w:tcW w:w="2440" w:type="dxa"/>
            <w:vAlign w:val="bottom"/>
            <w:shd w:val="clear" w:color="auto" w:fill="DED8EC"/>
          </w:tcPr>
          <w:p>
            <w:pPr>
              <w:spacing w:after="0"/>
              <w:rPr>
                <w:sz w:val="5"/>
                <w:szCs w:val="5"/>
                <w:color w:val="auto"/>
              </w:rPr>
            </w:pPr>
          </w:p>
        </w:tc>
        <w:tc>
          <w:tcPr>
            <w:tcW w:w="2120" w:type="dxa"/>
            <w:vAlign w:val="bottom"/>
            <w:shd w:val="clear" w:color="auto" w:fill="DED8EC"/>
          </w:tcPr>
          <w:p>
            <w:pPr>
              <w:spacing w:after="0"/>
              <w:rPr>
                <w:sz w:val="5"/>
                <w:szCs w:val="5"/>
                <w:color w:val="auto"/>
              </w:rPr>
            </w:pPr>
          </w:p>
        </w:tc>
        <w:tc>
          <w:tcPr>
            <w:tcW w:w="1500" w:type="dxa"/>
            <w:vAlign w:val="bottom"/>
            <w:shd w:val="clear" w:color="auto" w:fill="DED8EC"/>
          </w:tcPr>
          <w:p>
            <w:pPr>
              <w:spacing w:after="0"/>
              <w:rPr>
                <w:sz w:val="5"/>
                <w:szCs w:val="5"/>
                <w:color w:val="auto"/>
              </w:rPr>
            </w:pPr>
          </w:p>
        </w:tc>
      </w:tr>
      <w:tr>
        <w:trPr>
          <w:trHeight w:val="248"/>
        </w:trPr>
        <w:tc>
          <w:tcPr>
            <w:tcW w:w="3340" w:type="dxa"/>
            <w:vAlign w:val="bottom"/>
          </w:tcPr>
          <w:p>
            <w:pPr>
              <w:ind w:left="80"/>
              <w:spacing w:after="0"/>
              <w:rPr>
                <w:sz w:val="20"/>
                <w:szCs w:val="20"/>
                <w:color w:val="auto"/>
              </w:rPr>
            </w:pPr>
            <w:r>
              <w:rPr>
                <w:rFonts w:ascii="Arial" w:cs="Arial" w:eastAsia="Arial" w:hAnsi="Arial"/>
                <w:sz w:val="14"/>
                <w:szCs w:val="14"/>
                <w:color w:val="010035"/>
              </w:rPr>
              <w:t>Shares Available for Future Grant</w:t>
            </w:r>
          </w:p>
        </w:tc>
        <w:tc>
          <w:tcPr>
            <w:tcW w:w="2440" w:type="dxa"/>
            <w:vAlign w:val="bottom"/>
          </w:tcPr>
          <w:p>
            <w:pPr>
              <w:jc w:val="right"/>
              <w:ind w:right="568"/>
              <w:spacing w:after="0"/>
              <w:rPr>
                <w:sz w:val="20"/>
                <w:szCs w:val="20"/>
                <w:color w:val="auto"/>
              </w:rPr>
            </w:pPr>
            <w:r>
              <w:rPr>
                <w:rFonts w:ascii="Arial" w:cs="Arial" w:eastAsia="Arial" w:hAnsi="Arial"/>
                <w:sz w:val="14"/>
                <w:szCs w:val="14"/>
                <w:color w:val="010035"/>
              </w:rPr>
              <w:t>9,309,563</w:t>
            </w:r>
          </w:p>
        </w:tc>
        <w:tc>
          <w:tcPr>
            <w:tcW w:w="2120" w:type="dxa"/>
            <w:vAlign w:val="bottom"/>
          </w:tcPr>
          <w:p>
            <w:pPr>
              <w:jc w:val="right"/>
              <w:ind w:right="588"/>
              <w:spacing w:after="0"/>
              <w:rPr>
                <w:sz w:val="20"/>
                <w:szCs w:val="20"/>
                <w:color w:val="auto"/>
              </w:rPr>
            </w:pPr>
            <w:r>
              <w:rPr>
                <w:rFonts w:ascii="Arial" w:cs="Arial" w:eastAsia="Arial" w:hAnsi="Arial"/>
                <w:sz w:val="14"/>
                <w:szCs w:val="14"/>
                <w:color w:val="010035"/>
              </w:rPr>
              <w:t>5,456,563</w:t>
            </w:r>
          </w:p>
        </w:tc>
        <w:tc>
          <w:tcPr>
            <w:tcW w:w="1500" w:type="dxa"/>
            <w:vAlign w:val="bottom"/>
          </w:tcPr>
          <w:p>
            <w:pPr>
              <w:jc w:val="right"/>
              <w:spacing w:after="0"/>
              <w:rPr>
                <w:sz w:val="20"/>
                <w:szCs w:val="20"/>
                <w:color w:val="auto"/>
              </w:rPr>
            </w:pPr>
            <w:r>
              <w:rPr>
                <w:rFonts w:ascii="Arial" w:cs="Arial" w:eastAsia="Arial" w:hAnsi="Arial"/>
                <w:sz w:val="14"/>
                <w:szCs w:val="14"/>
                <w:color w:val="010035"/>
              </w:rPr>
              <w:t>11,008,469</w:t>
            </w:r>
          </w:p>
        </w:tc>
      </w:tr>
      <w:tr>
        <w:trPr>
          <w:trHeight w:val="62"/>
        </w:trPr>
        <w:tc>
          <w:tcPr>
            <w:tcW w:w="33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48"/>
        </w:trPr>
        <w:tc>
          <w:tcPr>
            <w:tcW w:w="33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Shares Outstanding</w:t>
            </w:r>
          </w:p>
        </w:tc>
        <w:tc>
          <w:tcPr>
            <w:tcW w:w="2440" w:type="dxa"/>
            <w:vAlign w:val="bottom"/>
            <w:shd w:val="clear" w:color="auto" w:fill="DED8EC"/>
          </w:tcPr>
          <w:p>
            <w:pPr>
              <w:jc w:val="right"/>
              <w:ind w:right="568"/>
              <w:spacing w:after="0"/>
              <w:rPr>
                <w:sz w:val="20"/>
                <w:szCs w:val="20"/>
                <w:color w:val="auto"/>
              </w:rPr>
            </w:pPr>
            <w:r>
              <w:rPr>
                <w:rFonts w:ascii="Arial" w:cs="Arial" w:eastAsia="Arial" w:hAnsi="Arial"/>
                <w:sz w:val="14"/>
                <w:szCs w:val="14"/>
                <w:color w:val="010035"/>
              </w:rPr>
              <w:t>132,584,258​</w:t>
            </w:r>
          </w:p>
        </w:tc>
        <w:tc>
          <w:tcPr>
            <w:tcW w:w="2120" w:type="dxa"/>
            <w:vAlign w:val="bottom"/>
            <w:shd w:val="clear" w:color="auto" w:fill="DED8EC"/>
          </w:tcPr>
          <w:p>
            <w:pPr>
              <w:jc w:val="right"/>
              <w:ind w:right="588"/>
              <w:spacing w:after="0"/>
              <w:rPr>
                <w:sz w:val="20"/>
                <w:szCs w:val="20"/>
                <w:color w:val="auto"/>
              </w:rPr>
            </w:pPr>
            <w:r>
              <w:rPr>
                <w:rFonts w:ascii="Arial" w:cs="Arial" w:eastAsia="Arial" w:hAnsi="Arial"/>
                <w:sz w:val="14"/>
                <w:szCs w:val="14"/>
                <w:color w:val="010035"/>
              </w:rPr>
              <w:t>152,229,171​</w:t>
            </w:r>
          </w:p>
        </w:tc>
        <w:tc>
          <w:tcPr>
            <w:tcW w:w="1500" w:type="dxa"/>
            <w:vAlign w:val="bottom"/>
            <w:shd w:val="clear" w:color="auto" w:fill="DED8EC"/>
          </w:tcPr>
          <w:p>
            <w:pPr>
              <w:jc w:val="right"/>
              <w:spacing w:after="0"/>
              <w:rPr>
                <w:sz w:val="20"/>
                <w:szCs w:val="20"/>
                <w:color w:val="auto"/>
              </w:rPr>
            </w:pPr>
            <w:r>
              <w:rPr>
                <w:rFonts w:ascii="Arial" w:cs="Arial" w:eastAsia="Arial" w:hAnsi="Arial"/>
                <w:sz w:val="14"/>
                <w:szCs w:val="14"/>
                <w:color w:val="010035"/>
              </w:rPr>
              <w:t>​151,552,694</w:t>
            </w:r>
          </w:p>
        </w:tc>
      </w:tr>
      <w:tr>
        <w:trPr>
          <w:trHeight w:val="62"/>
        </w:trPr>
        <w:tc>
          <w:tcPr>
            <w:tcW w:w="3340" w:type="dxa"/>
            <w:vAlign w:val="bottom"/>
            <w:shd w:val="clear" w:color="auto" w:fill="DED8EC"/>
          </w:tcPr>
          <w:p>
            <w:pPr>
              <w:spacing w:after="0"/>
              <w:rPr>
                <w:sz w:val="5"/>
                <w:szCs w:val="5"/>
                <w:color w:val="auto"/>
              </w:rPr>
            </w:pPr>
          </w:p>
        </w:tc>
        <w:tc>
          <w:tcPr>
            <w:tcW w:w="2440" w:type="dxa"/>
            <w:vAlign w:val="bottom"/>
            <w:shd w:val="clear" w:color="auto" w:fill="DED8EC"/>
          </w:tcPr>
          <w:p>
            <w:pPr>
              <w:spacing w:after="0"/>
              <w:rPr>
                <w:sz w:val="5"/>
                <w:szCs w:val="5"/>
                <w:color w:val="auto"/>
              </w:rPr>
            </w:pPr>
          </w:p>
        </w:tc>
        <w:tc>
          <w:tcPr>
            <w:tcW w:w="2120" w:type="dxa"/>
            <w:vAlign w:val="bottom"/>
            <w:shd w:val="clear" w:color="auto" w:fill="DED8EC"/>
          </w:tcPr>
          <w:p>
            <w:pPr>
              <w:spacing w:after="0"/>
              <w:rPr>
                <w:sz w:val="5"/>
                <w:szCs w:val="5"/>
                <w:color w:val="auto"/>
              </w:rPr>
            </w:pPr>
          </w:p>
        </w:tc>
        <w:tc>
          <w:tcPr>
            <w:tcW w:w="1500" w:type="dxa"/>
            <w:vAlign w:val="bottom"/>
            <w:shd w:val="clear" w:color="auto" w:fill="DED8EC"/>
          </w:tcPr>
          <w:p>
            <w:pPr>
              <w:spacing w:after="0"/>
              <w:rPr>
                <w:sz w:val="5"/>
                <w:szCs w:val="5"/>
                <w:color w:val="auto"/>
              </w:rPr>
            </w:pPr>
          </w:p>
        </w:tc>
      </w:tr>
      <w:tr>
        <w:trPr>
          <w:trHeight w:val="310"/>
        </w:trPr>
        <w:tc>
          <w:tcPr>
            <w:tcW w:w="3340" w:type="dxa"/>
            <w:vAlign w:val="bottom"/>
            <w:tcBorders>
              <w:bottom w:val="single" w:sz="8" w:color="010035"/>
            </w:tcBorders>
          </w:tcPr>
          <w:p>
            <w:pPr>
              <w:ind w:left="80"/>
              <w:spacing w:after="0"/>
              <w:rPr>
                <w:sz w:val="20"/>
                <w:szCs w:val="20"/>
                <w:color w:val="auto"/>
              </w:rPr>
            </w:pPr>
            <w:r>
              <w:rPr>
                <w:rFonts w:ascii="Arial" w:cs="Arial" w:eastAsia="Arial" w:hAnsi="Arial"/>
                <w:sz w:val="14"/>
                <w:szCs w:val="14"/>
                <w:color w:val="010035"/>
              </w:rPr>
              <w:t>Dilution</w:t>
            </w:r>
            <w:r>
              <w:rPr>
                <w:rFonts w:ascii="Arial" w:cs="Arial" w:eastAsia="Arial" w:hAnsi="Arial"/>
                <w:sz w:val="23"/>
                <w:szCs w:val="23"/>
                <w:color w:val="010035"/>
                <w:vertAlign w:val="superscript"/>
              </w:rPr>
              <w:t>(1)</w:t>
            </w:r>
          </w:p>
        </w:tc>
        <w:tc>
          <w:tcPr>
            <w:tcW w:w="2440" w:type="dxa"/>
            <w:vAlign w:val="bottom"/>
            <w:tcBorders>
              <w:bottom w:val="single" w:sz="8" w:color="010035"/>
            </w:tcBorders>
          </w:tcPr>
          <w:p>
            <w:pPr>
              <w:jc w:val="right"/>
              <w:ind w:right="568"/>
              <w:spacing w:after="0"/>
              <w:rPr>
                <w:sz w:val="20"/>
                <w:szCs w:val="20"/>
                <w:color w:val="auto"/>
              </w:rPr>
            </w:pPr>
            <w:r>
              <w:rPr>
                <w:rFonts w:ascii="Arial" w:cs="Arial" w:eastAsia="Arial" w:hAnsi="Arial"/>
                <w:sz w:val="14"/>
                <w:szCs w:val="14"/>
                <w:color w:val="010035"/>
              </w:rPr>
              <w:t>13.79%</w:t>
            </w:r>
          </w:p>
        </w:tc>
        <w:tc>
          <w:tcPr>
            <w:tcW w:w="2120" w:type="dxa"/>
            <w:vAlign w:val="bottom"/>
            <w:tcBorders>
              <w:bottom w:val="single" w:sz="8" w:color="010035"/>
            </w:tcBorders>
          </w:tcPr>
          <w:p>
            <w:pPr>
              <w:jc w:val="right"/>
              <w:ind w:right="588"/>
              <w:spacing w:after="0"/>
              <w:rPr>
                <w:sz w:val="20"/>
                <w:szCs w:val="20"/>
                <w:color w:val="auto"/>
              </w:rPr>
            </w:pPr>
            <w:r>
              <w:rPr>
                <w:rFonts w:ascii="Arial" w:cs="Arial" w:eastAsia="Arial" w:hAnsi="Arial"/>
                <w:sz w:val="14"/>
                <w:szCs w:val="14"/>
                <w:color w:val="010035"/>
              </w:rPr>
              <w:t>9.28%</w:t>
            </w:r>
          </w:p>
        </w:tc>
        <w:tc>
          <w:tcPr>
            <w:tcW w:w="1500" w:type="dxa"/>
            <w:vAlign w:val="bottom"/>
            <w:tcBorders>
              <w:bottom w:val="single" w:sz="8" w:color="010035"/>
            </w:tcBorders>
          </w:tcPr>
          <w:p>
            <w:pPr>
              <w:jc w:val="right"/>
              <w:spacing w:after="0"/>
              <w:rPr>
                <w:sz w:val="20"/>
                <w:szCs w:val="20"/>
                <w:color w:val="auto"/>
              </w:rPr>
            </w:pPr>
            <w:r>
              <w:rPr>
                <w:rFonts w:ascii="Arial" w:cs="Arial" w:eastAsia="Arial" w:hAnsi="Arial"/>
                <w:sz w:val="14"/>
                <w:szCs w:val="14"/>
                <w:color w:val="010035"/>
              </w:rPr>
              <w:t>10.47%</w:t>
            </w:r>
          </w:p>
        </w:tc>
      </w:tr>
    </w:tbl>
    <w:p>
      <w:pPr>
        <w:spacing w:after="0" w:line="108" w:lineRule="exact"/>
        <w:rPr>
          <w:sz w:val="20"/>
          <w:szCs w:val="20"/>
          <w:color w:val="auto"/>
        </w:rPr>
      </w:pPr>
    </w:p>
    <w:p>
      <w:pPr>
        <w:ind w:left="360" w:right="60" w:hanging="354"/>
        <w:spacing w:after="0" w:line="256" w:lineRule="auto"/>
        <w:tabs>
          <w:tab w:leader="none" w:pos="360" w:val="left"/>
        </w:tabs>
        <w:numPr>
          <w:ilvl w:val="0"/>
          <w:numId w:val="79"/>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Dilution is calculated by dividing (i) the sum of the number of shares subject to equity awards outstanding at the end of the fiscal year and the number of shares available for future grants by (ii) the sum of the number of shares outstanding at the end of the fiscal year, the number of shares subject to equity awards outstanding at the end of the fiscal year, and the number of shares available for future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102870</wp:posOffset>
            </wp:positionV>
            <wp:extent cx="6995160"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7372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27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Equity Awards Outstanding as of 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6920" w:type="dxa"/>
            <w:vAlign w:val="bottom"/>
            <w:tcBorders>
              <w:top w:val="single" w:sz="8" w:color="69439A"/>
              <w:bottom w:val="single" w:sz="8" w:color="010035"/>
            </w:tcBorders>
            <w:shd w:val="clear" w:color="auto" w:fill="010035"/>
          </w:tcPr>
          <w:p>
            <w:pPr>
              <w:ind w:left="80"/>
              <w:spacing w:after="0"/>
              <w:rPr>
                <w:sz w:val="20"/>
                <w:szCs w:val="20"/>
                <w:color w:val="auto"/>
              </w:rPr>
            </w:pPr>
            <w:r>
              <w:rPr>
                <w:rFonts w:ascii="Arial" w:cs="Arial" w:eastAsia="Arial" w:hAnsi="Arial"/>
                <w:sz w:val="14"/>
                <w:szCs w:val="14"/>
                <w:b w:val="1"/>
                <w:bCs w:val="1"/>
                <w:color w:val="FFFFFF"/>
              </w:rPr>
              <w:t>Item</w:t>
            </w:r>
          </w:p>
        </w:tc>
        <w:tc>
          <w:tcPr>
            <w:tcW w:w="2480" w:type="dxa"/>
            <w:vAlign w:val="bottom"/>
            <w:tcBorders>
              <w:top w:val="single" w:sz="8" w:color="69439A"/>
              <w:bottom w:val="single" w:sz="8" w:color="010035"/>
            </w:tcBorders>
            <w:shd w:val="clear" w:color="auto" w:fill="010035"/>
          </w:tcPr>
          <w:p>
            <w:pPr>
              <w:ind w:left="1180"/>
              <w:spacing w:after="0"/>
              <w:rPr>
                <w:sz w:val="20"/>
                <w:szCs w:val="20"/>
                <w:color w:val="auto"/>
              </w:rPr>
            </w:pPr>
            <w:r>
              <w:rPr>
                <w:rFonts w:ascii="Arial" w:cs="Arial" w:eastAsia="Arial" w:hAnsi="Arial"/>
                <w:sz w:val="14"/>
                <w:szCs w:val="14"/>
                <w:b w:val="1"/>
                <w:bCs w:val="1"/>
                <w:color w:val="FFFFFF"/>
                <w:w w:val="99"/>
              </w:rPr>
              <w:t>As of April 15, 2026</w:t>
            </w:r>
          </w:p>
        </w:tc>
      </w:tr>
      <w:tr>
        <w:trPr>
          <w:trHeight w:val="254"/>
        </w:trPr>
        <w:tc>
          <w:tcPr>
            <w:tcW w:w="6920" w:type="dxa"/>
            <w:vAlign w:val="bottom"/>
          </w:tcPr>
          <w:p>
            <w:pPr>
              <w:ind w:left="80"/>
              <w:spacing w:after="0"/>
              <w:rPr>
                <w:sz w:val="20"/>
                <w:szCs w:val="20"/>
                <w:color w:val="auto"/>
              </w:rPr>
            </w:pPr>
            <w:r>
              <w:rPr>
                <w:rFonts w:ascii="Arial" w:cs="Arial" w:eastAsia="Arial" w:hAnsi="Arial"/>
                <w:sz w:val="14"/>
                <w:szCs w:val="14"/>
                <w:b w:val="1"/>
                <w:bCs w:val="1"/>
                <w:color w:val="010035"/>
              </w:rPr>
              <w:t>Outstanding Equity-Settled Awards*</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13,930,250</w:t>
            </w:r>
          </w:p>
        </w:tc>
      </w:tr>
      <w:tr>
        <w:trPr>
          <w:trHeight w:val="56"/>
        </w:trPr>
        <w:tc>
          <w:tcPr>
            <w:tcW w:w="6920" w:type="dxa"/>
            <w:vAlign w:val="bottom"/>
          </w:tcPr>
          <w:p>
            <w:pPr>
              <w:spacing w:after="0"/>
              <w:rPr>
                <w:sz w:val="4"/>
                <w:szCs w:val="4"/>
                <w:color w:val="auto"/>
              </w:rPr>
            </w:pPr>
          </w:p>
        </w:tc>
        <w:tc>
          <w:tcPr>
            <w:tcW w:w="2480" w:type="dxa"/>
            <w:vAlign w:val="bottom"/>
          </w:tcPr>
          <w:p>
            <w:pPr>
              <w:spacing w:after="0"/>
              <w:rPr>
                <w:sz w:val="4"/>
                <w:szCs w:val="4"/>
                <w:color w:val="auto"/>
              </w:rPr>
            </w:pPr>
          </w:p>
        </w:tc>
      </w:tr>
      <w:tr>
        <w:trPr>
          <w:trHeight w:val="248"/>
        </w:trPr>
        <w:tc>
          <w:tcPr>
            <w:tcW w:w="6920" w:type="dxa"/>
            <w:vAlign w:val="bottom"/>
            <w:shd w:val="clear" w:color="auto" w:fill="DED8EC"/>
          </w:tcPr>
          <w:p>
            <w:pPr>
              <w:ind w:left="80"/>
              <w:spacing w:after="0"/>
              <w:rPr>
                <w:sz w:val="20"/>
                <w:szCs w:val="20"/>
                <w:color w:val="auto"/>
              </w:rPr>
            </w:pPr>
            <w:r>
              <w:rPr>
                <w:rFonts w:ascii="Arial" w:cs="Arial" w:eastAsia="Arial" w:hAnsi="Arial"/>
                <w:sz w:val="14"/>
                <w:szCs w:val="14"/>
                <w:i w:val="1"/>
                <w:iCs w:val="1"/>
                <w:color w:val="010035"/>
              </w:rPr>
              <w:t>Outstanding Stock Options and Stock Appreciation Rights</w:t>
            </w:r>
          </w:p>
        </w:tc>
        <w:tc>
          <w:tcPr>
            <w:tcW w:w="2480" w:type="dxa"/>
            <w:vAlign w:val="bottom"/>
            <w:shd w:val="clear" w:color="auto" w:fill="DED8EC"/>
          </w:tcPr>
          <w:p>
            <w:pPr>
              <w:jc w:val="center"/>
              <w:ind w:left="1048"/>
              <w:spacing w:after="0"/>
              <w:rPr>
                <w:sz w:val="20"/>
                <w:szCs w:val="20"/>
                <w:color w:val="auto"/>
              </w:rPr>
            </w:pPr>
            <w:r>
              <w:rPr>
                <w:rFonts w:ascii="Arial" w:cs="Arial" w:eastAsia="Arial" w:hAnsi="Arial"/>
                <w:sz w:val="14"/>
                <w:szCs w:val="14"/>
                <w:color w:val="010035"/>
              </w:rPr>
              <w:t>​5,830,347</w:t>
            </w:r>
          </w:p>
        </w:tc>
      </w:tr>
      <w:tr>
        <w:trPr>
          <w:trHeight w:val="62"/>
        </w:trPr>
        <w:tc>
          <w:tcPr>
            <w:tcW w:w="6920" w:type="dxa"/>
            <w:vAlign w:val="bottom"/>
            <w:shd w:val="clear" w:color="auto" w:fill="DED8EC"/>
          </w:tcPr>
          <w:p>
            <w:pPr>
              <w:spacing w:after="0"/>
              <w:rPr>
                <w:sz w:val="5"/>
                <w:szCs w:val="5"/>
                <w:color w:val="auto"/>
              </w:rPr>
            </w:pPr>
          </w:p>
        </w:tc>
        <w:tc>
          <w:tcPr>
            <w:tcW w:w="2480" w:type="dxa"/>
            <w:vAlign w:val="bottom"/>
            <w:shd w:val="clear" w:color="auto" w:fill="DED8EC"/>
          </w:tcPr>
          <w:p>
            <w:pPr>
              <w:spacing w:after="0"/>
              <w:rPr>
                <w:sz w:val="5"/>
                <w:szCs w:val="5"/>
                <w:color w:val="auto"/>
              </w:rPr>
            </w:pPr>
          </w:p>
        </w:tc>
      </w:tr>
      <w:tr>
        <w:trPr>
          <w:trHeight w:val="248"/>
        </w:trPr>
        <w:tc>
          <w:tcPr>
            <w:tcW w:w="6920" w:type="dxa"/>
            <w:vAlign w:val="bottom"/>
          </w:tcPr>
          <w:p>
            <w:pPr>
              <w:ind w:left="80"/>
              <w:spacing w:after="0"/>
              <w:rPr>
                <w:sz w:val="20"/>
                <w:szCs w:val="20"/>
                <w:color w:val="auto"/>
              </w:rPr>
            </w:pPr>
            <w:r>
              <w:rPr>
                <w:rFonts w:ascii="Arial" w:cs="Arial" w:eastAsia="Arial" w:hAnsi="Arial"/>
                <w:sz w:val="14"/>
                <w:szCs w:val="14"/>
                <w:i w:val="1"/>
                <w:iCs w:val="1"/>
                <w:color w:val="010035"/>
              </w:rPr>
              <w:t>Weighted Average Exercise Price</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$24.93</w:t>
            </w:r>
          </w:p>
        </w:tc>
      </w:tr>
      <w:tr>
        <w:trPr>
          <w:trHeight w:val="62"/>
        </w:trPr>
        <w:tc>
          <w:tcPr>
            <w:tcW w:w="6920" w:type="dxa"/>
            <w:vAlign w:val="bottom"/>
          </w:tcPr>
          <w:p>
            <w:pPr>
              <w:spacing w:after="0"/>
              <w:rPr>
                <w:sz w:val="5"/>
                <w:szCs w:val="5"/>
                <w:color w:val="auto"/>
              </w:rPr>
            </w:pPr>
          </w:p>
        </w:tc>
        <w:tc>
          <w:tcPr>
            <w:tcW w:w="2480" w:type="dxa"/>
            <w:vAlign w:val="bottom"/>
          </w:tcPr>
          <w:p>
            <w:pPr>
              <w:spacing w:after="0"/>
              <w:rPr>
                <w:sz w:val="5"/>
                <w:szCs w:val="5"/>
                <w:color w:val="auto"/>
              </w:rPr>
            </w:pPr>
          </w:p>
        </w:tc>
      </w:tr>
      <w:tr>
        <w:trPr>
          <w:trHeight w:val="248"/>
        </w:trPr>
        <w:tc>
          <w:tcPr>
            <w:tcW w:w="6920" w:type="dxa"/>
            <w:vAlign w:val="bottom"/>
            <w:shd w:val="clear" w:color="auto" w:fill="DED8EC"/>
          </w:tcPr>
          <w:p>
            <w:pPr>
              <w:ind w:left="80"/>
              <w:spacing w:after="0"/>
              <w:rPr>
                <w:sz w:val="20"/>
                <w:szCs w:val="20"/>
                <w:color w:val="auto"/>
              </w:rPr>
            </w:pPr>
            <w:r>
              <w:rPr>
                <w:rFonts w:ascii="Arial" w:cs="Arial" w:eastAsia="Arial" w:hAnsi="Arial"/>
                <w:sz w:val="14"/>
                <w:szCs w:val="14"/>
                <w:i w:val="1"/>
                <w:iCs w:val="1"/>
                <w:color w:val="010035"/>
              </w:rPr>
              <w:t>Weighted Average Remaining Term (years)</w:t>
            </w:r>
          </w:p>
        </w:tc>
        <w:tc>
          <w:tcPr>
            <w:tcW w:w="2480" w:type="dxa"/>
            <w:vAlign w:val="bottom"/>
            <w:shd w:val="clear" w:color="auto" w:fill="DED8EC"/>
          </w:tcPr>
          <w:p>
            <w:pPr>
              <w:jc w:val="center"/>
              <w:ind w:left="1048"/>
              <w:spacing w:after="0"/>
              <w:rPr>
                <w:sz w:val="20"/>
                <w:szCs w:val="20"/>
                <w:color w:val="auto"/>
              </w:rPr>
            </w:pPr>
            <w:r>
              <w:rPr>
                <w:rFonts w:ascii="Arial" w:cs="Arial" w:eastAsia="Arial" w:hAnsi="Arial"/>
                <w:sz w:val="14"/>
                <w:szCs w:val="14"/>
                <w:color w:val="010035"/>
              </w:rPr>
              <w:t>​6.23</w:t>
            </w:r>
          </w:p>
        </w:tc>
      </w:tr>
      <w:tr>
        <w:trPr>
          <w:trHeight w:val="62"/>
        </w:trPr>
        <w:tc>
          <w:tcPr>
            <w:tcW w:w="6920" w:type="dxa"/>
            <w:vAlign w:val="bottom"/>
            <w:shd w:val="clear" w:color="auto" w:fill="DED8EC"/>
          </w:tcPr>
          <w:p>
            <w:pPr>
              <w:spacing w:after="0"/>
              <w:rPr>
                <w:sz w:val="5"/>
                <w:szCs w:val="5"/>
                <w:color w:val="auto"/>
              </w:rPr>
            </w:pPr>
          </w:p>
        </w:tc>
        <w:tc>
          <w:tcPr>
            <w:tcW w:w="2480" w:type="dxa"/>
            <w:vAlign w:val="bottom"/>
            <w:shd w:val="clear" w:color="auto" w:fill="DED8EC"/>
          </w:tcPr>
          <w:p>
            <w:pPr>
              <w:spacing w:after="0"/>
              <w:rPr>
                <w:sz w:val="5"/>
                <w:szCs w:val="5"/>
                <w:color w:val="auto"/>
              </w:rPr>
            </w:pPr>
          </w:p>
        </w:tc>
      </w:tr>
      <w:tr>
        <w:trPr>
          <w:trHeight w:val="248"/>
        </w:trPr>
        <w:tc>
          <w:tcPr>
            <w:tcW w:w="6920" w:type="dxa"/>
            <w:vAlign w:val="bottom"/>
          </w:tcPr>
          <w:p>
            <w:pPr>
              <w:ind w:left="80"/>
              <w:spacing w:after="0"/>
              <w:rPr>
                <w:sz w:val="20"/>
                <w:szCs w:val="20"/>
                <w:color w:val="auto"/>
              </w:rPr>
            </w:pPr>
            <w:r>
              <w:rPr>
                <w:rFonts w:ascii="Arial" w:cs="Arial" w:eastAsia="Arial" w:hAnsi="Arial"/>
                <w:sz w:val="14"/>
                <w:szCs w:val="14"/>
                <w:color w:val="010035"/>
              </w:rPr>
              <w:t>Outstanding Restricted Stock</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192,269</w:t>
            </w:r>
          </w:p>
        </w:tc>
      </w:tr>
      <w:tr>
        <w:trPr>
          <w:trHeight w:val="62"/>
        </w:trPr>
        <w:tc>
          <w:tcPr>
            <w:tcW w:w="6920" w:type="dxa"/>
            <w:vAlign w:val="bottom"/>
          </w:tcPr>
          <w:p>
            <w:pPr>
              <w:spacing w:after="0"/>
              <w:rPr>
                <w:sz w:val="5"/>
                <w:szCs w:val="5"/>
                <w:color w:val="auto"/>
              </w:rPr>
            </w:pPr>
          </w:p>
        </w:tc>
        <w:tc>
          <w:tcPr>
            <w:tcW w:w="2480" w:type="dxa"/>
            <w:vAlign w:val="bottom"/>
          </w:tcPr>
          <w:p>
            <w:pPr>
              <w:spacing w:after="0"/>
              <w:rPr>
                <w:sz w:val="5"/>
                <w:szCs w:val="5"/>
                <w:color w:val="auto"/>
              </w:rPr>
            </w:pPr>
          </w:p>
        </w:tc>
      </w:tr>
      <w:tr>
        <w:trPr>
          <w:trHeight w:val="248"/>
        </w:trPr>
        <w:tc>
          <w:tcPr>
            <w:tcW w:w="692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Outstanding Restricted Stock Units</w:t>
            </w:r>
          </w:p>
        </w:tc>
        <w:tc>
          <w:tcPr>
            <w:tcW w:w="2480" w:type="dxa"/>
            <w:vAlign w:val="bottom"/>
            <w:shd w:val="clear" w:color="auto" w:fill="DED8EC"/>
          </w:tcPr>
          <w:p>
            <w:pPr>
              <w:jc w:val="center"/>
              <w:ind w:left="1048"/>
              <w:spacing w:after="0"/>
              <w:rPr>
                <w:sz w:val="20"/>
                <w:szCs w:val="20"/>
                <w:color w:val="auto"/>
              </w:rPr>
            </w:pPr>
            <w:r>
              <w:rPr>
                <w:rFonts w:ascii="Arial" w:cs="Arial" w:eastAsia="Arial" w:hAnsi="Arial"/>
                <w:sz w:val="14"/>
                <w:szCs w:val="14"/>
                <w:color w:val="010035"/>
              </w:rPr>
              <w:t>​4,638,020</w:t>
            </w:r>
          </w:p>
        </w:tc>
      </w:tr>
      <w:tr>
        <w:trPr>
          <w:trHeight w:val="62"/>
        </w:trPr>
        <w:tc>
          <w:tcPr>
            <w:tcW w:w="6920" w:type="dxa"/>
            <w:vAlign w:val="bottom"/>
            <w:shd w:val="clear" w:color="auto" w:fill="DED8EC"/>
          </w:tcPr>
          <w:p>
            <w:pPr>
              <w:spacing w:after="0"/>
              <w:rPr>
                <w:sz w:val="5"/>
                <w:szCs w:val="5"/>
                <w:color w:val="auto"/>
              </w:rPr>
            </w:pPr>
          </w:p>
        </w:tc>
        <w:tc>
          <w:tcPr>
            <w:tcW w:w="2480" w:type="dxa"/>
            <w:vAlign w:val="bottom"/>
            <w:shd w:val="clear" w:color="auto" w:fill="DED8EC"/>
          </w:tcPr>
          <w:p>
            <w:pPr>
              <w:spacing w:after="0"/>
              <w:rPr>
                <w:sz w:val="5"/>
                <w:szCs w:val="5"/>
                <w:color w:val="auto"/>
              </w:rPr>
            </w:pPr>
          </w:p>
        </w:tc>
      </w:tr>
      <w:tr>
        <w:trPr>
          <w:trHeight w:val="248"/>
        </w:trPr>
        <w:tc>
          <w:tcPr>
            <w:tcW w:w="6920" w:type="dxa"/>
            <w:vAlign w:val="bottom"/>
          </w:tcPr>
          <w:p>
            <w:pPr>
              <w:ind w:left="80"/>
              <w:spacing w:after="0"/>
              <w:rPr>
                <w:sz w:val="20"/>
                <w:szCs w:val="20"/>
                <w:color w:val="auto"/>
              </w:rPr>
            </w:pPr>
            <w:r>
              <w:rPr>
                <w:rFonts w:ascii="Arial" w:cs="Arial" w:eastAsia="Arial" w:hAnsi="Arial"/>
                <w:sz w:val="14"/>
                <w:szCs w:val="14"/>
                <w:color w:val="010035"/>
              </w:rPr>
              <w:t>Outstanding Performance-Based Awards (assuming target performance)</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3,269,614</w:t>
            </w:r>
          </w:p>
        </w:tc>
      </w:tr>
      <w:tr>
        <w:trPr>
          <w:trHeight w:val="62"/>
        </w:trPr>
        <w:tc>
          <w:tcPr>
            <w:tcW w:w="6920" w:type="dxa"/>
            <w:vAlign w:val="bottom"/>
          </w:tcPr>
          <w:p>
            <w:pPr>
              <w:spacing w:after="0"/>
              <w:rPr>
                <w:sz w:val="5"/>
                <w:szCs w:val="5"/>
                <w:color w:val="auto"/>
              </w:rPr>
            </w:pPr>
          </w:p>
        </w:tc>
        <w:tc>
          <w:tcPr>
            <w:tcW w:w="2480" w:type="dxa"/>
            <w:vAlign w:val="bottom"/>
          </w:tcPr>
          <w:p>
            <w:pPr>
              <w:spacing w:after="0"/>
              <w:rPr>
                <w:sz w:val="5"/>
                <w:szCs w:val="5"/>
                <w:color w:val="auto"/>
              </w:rPr>
            </w:pPr>
          </w:p>
        </w:tc>
      </w:tr>
      <w:tr>
        <w:trPr>
          <w:trHeight w:val="248"/>
        </w:trPr>
        <w:tc>
          <w:tcPr>
            <w:tcW w:w="692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Outstanding Cash-Settled Awards</w:t>
            </w:r>
          </w:p>
        </w:tc>
        <w:tc>
          <w:tcPr>
            <w:tcW w:w="2480" w:type="dxa"/>
            <w:vAlign w:val="bottom"/>
            <w:shd w:val="clear" w:color="auto" w:fill="DED8EC"/>
          </w:tcPr>
          <w:p>
            <w:pPr>
              <w:jc w:val="center"/>
              <w:ind w:left="1048"/>
              <w:spacing w:after="0"/>
              <w:rPr>
                <w:sz w:val="20"/>
                <w:szCs w:val="20"/>
                <w:color w:val="auto"/>
              </w:rPr>
            </w:pPr>
            <w:r>
              <w:rPr>
                <w:rFonts w:ascii="Arial" w:cs="Arial" w:eastAsia="Arial" w:hAnsi="Arial"/>
                <w:sz w:val="14"/>
                <w:szCs w:val="14"/>
                <w:color w:val="010035"/>
              </w:rPr>
              <w:t>​1,028,770</w:t>
            </w:r>
          </w:p>
        </w:tc>
      </w:tr>
      <w:tr>
        <w:trPr>
          <w:trHeight w:val="62"/>
        </w:trPr>
        <w:tc>
          <w:tcPr>
            <w:tcW w:w="6920" w:type="dxa"/>
            <w:vAlign w:val="bottom"/>
            <w:shd w:val="clear" w:color="auto" w:fill="DED8EC"/>
          </w:tcPr>
          <w:p>
            <w:pPr>
              <w:spacing w:after="0"/>
              <w:rPr>
                <w:sz w:val="5"/>
                <w:szCs w:val="5"/>
                <w:color w:val="auto"/>
              </w:rPr>
            </w:pPr>
          </w:p>
        </w:tc>
        <w:tc>
          <w:tcPr>
            <w:tcW w:w="2480" w:type="dxa"/>
            <w:vAlign w:val="bottom"/>
            <w:shd w:val="clear" w:color="auto" w:fill="DED8EC"/>
          </w:tcPr>
          <w:p>
            <w:pPr>
              <w:spacing w:after="0"/>
              <w:rPr>
                <w:sz w:val="5"/>
                <w:szCs w:val="5"/>
                <w:color w:val="auto"/>
              </w:rPr>
            </w:pPr>
          </w:p>
        </w:tc>
      </w:tr>
      <w:tr>
        <w:trPr>
          <w:trHeight w:val="248"/>
        </w:trPr>
        <w:tc>
          <w:tcPr>
            <w:tcW w:w="6920" w:type="dxa"/>
            <w:vAlign w:val="bottom"/>
          </w:tcPr>
          <w:p>
            <w:pPr>
              <w:ind w:left="80"/>
              <w:spacing w:after="0"/>
              <w:rPr>
                <w:sz w:val="20"/>
                <w:szCs w:val="20"/>
                <w:color w:val="auto"/>
              </w:rPr>
            </w:pPr>
            <w:r>
              <w:rPr>
                <w:rFonts w:ascii="Arial" w:cs="Arial" w:eastAsia="Arial" w:hAnsi="Arial"/>
                <w:sz w:val="14"/>
                <w:szCs w:val="14"/>
                <w:color w:val="010035"/>
              </w:rPr>
              <w:t>Outstanding Cash Settled Stock Appreciation Rights</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998,530</w:t>
            </w:r>
          </w:p>
        </w:tc>
      </w:tr>
      <w:tr>
        <w:trPr>
          <w:trHeight w:val="62"/>
        </w:trPr>
        <w:tc>
          <w:tcPr>
            <w:tcW w:w="6920" w:type="dxa"/>
            <w:vAlign w:val="bottom"/>
          </w:tcPr>
          <w:p>
            <w:pPr>
              <w:spacing w:after="0"/>
              <w:rPr>
                <w:sz w:val="5"/>
                <w:szCs w:val="5"/>
                <w:color w:val="auto"/>
              </w:rPr>
            </w:pPr>
          </w:p>
        </w:tc>
        <w:tc>
          <w:tcPr>
            <w:tcW w:w="2480" w:type="dxa"/>
            <w:vAlign w:val="bottom"/>
          </w:tcPr>
          <w:p>
            <w:pPr>
              <w:spacing w:after="0"/>
              <w:rPr>
                <w:sz w:val="5"/>
                <w:szCs w:val="5"/>
                <w:color w:val="auto"/>
              </w:rPr>
            </w:pPr>
          </w:p>
        </w:tc>
      </w:tr>
      <w:tr>
        <w:trPr>
          <w:trHeight w:val="248"/>
        </w:trPr>
        <w:tc>
          <w:tcPr>
            <w:tcW w:w="692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Weighted Average Exercise Price</w:t>
            </w:r>
          </w:p>
        </w:tc>
        <w:tc>
          <w:tcPr>
            <w:tcW w:w="2480" w:type="dxa"/>
            <w:vAlign w:val="bottom"/>
            <w:shd w:val="clear" w:color="auto" w:fill="DED8EC"/>
          </w:tcPr>
          <w:p>
            <w:pPr>
              <w:jc w:val="center"/>
              <w:ind w:left="1048"/>
              <w:spacing w:after="0"/>
              <w:rPr>
                <w:sz w:val="20"/>
                <w:szCs w:val="20"/>
                <w:color w:val="auto"/>
              </w:rPr>
            </w:pPr>
            <w:r>
              <w:rPr>
                <w:rFonts w:ascii="Arial" w:cs="Arial" w:eastAsia="Arial" w:hAnsi="Arial"/>
                <w:sz w:val="14"/>
                <w:szCs w:val="14"/>
                <w:color w:val="010035"/>
              </w:rPr>
              <w:t>​$34.39</w:t>
            </w:r>
          </w:p>
        </w:tc>
      </w:tr>
      <w:tr>
        <w:trPr>
          <w:trHeight w:val="62"/>
        </w:trPr>
        <w:tc>
          <w:tcPr>
            <w:tcW w:w="6920" w:type="dxa"/>
            <w:vAlign w:val="bottom"/>
            <w:shd w:val="clear" w:color="auto" w:fill="DED8EC"/>
          </w:tcPr>
          <w:p>
            <w:pPr>
              <w:spacing w:after="0"/>
              <w:rPr>
                <w:sz w:val="5"/>
                <w:szCs w:val="5"/>
                <w:color w:val="auto"/>
              </w:rPr>
            </w:pPr>
          </w:p>
        </w:tc>
        <w:tc>
          <w:tcPr>
            <w:tcW w:w="2480" w:type="dxa"/>
            <w:vAlign w:val="bottom"/>
            <w:shd w:val="clear" w:color="auto" w:fill="DED8EC"/>
          </w:tcPr>
          <w:p>
            <w:pPr>
              <w:spacing w:after="0"/>
              <w:rPr>
                <w:sz w:val="5"/>
                <w:szCs w:val="5"/>
                <w:color w:val="auto"/>
              </w:rPr>
            </w:pPr>
          </w:p>
        </w:tc>
      </w:tr>
      <w:tr>
        <w:trPr>
          <w:trHeight w:val="248"/>
        </w:trPr>
        <w:tc>
          <w:tcPr>
            <w:tcW w:w="6920" w:type="dxa"/>
            <w:vAlign w:val="bottom"/>
          </w:tcPr>
          <w:p>
            <w:pPr>
              <w:ind w:left="80"/>
              <w:spacing w:after="0"/>
              <w:rPr>
                <w:sz w:val="20"/>
                <w:szCs w:val="20"/>
                <w:color w:val="auto"/>
              </w:rPr>
            </w:pPr>
            <w:r>
              <w:rPr>
                <w:rFonts w:ascii="Arial" w:cs="Arial" w:eastAsia="Arial" w:hAnsi="Arial"/>
                <w:sz w:val="14"/>
                <w:szCs w:val="14"/>
                <w:color w:val="010035"/>
              </w:rPr>
              <w:t>Weighted Average Remaining Term (Years)</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3.68</w:t>
            </w:r>
          </w:p>
        </w:tc>
      </w:tr>
      <w:tr>
        <w:trPr>
          <w:trHeight w:val="62"/>
        </w:trPr>
        <w:tc>
          <w:tcPr>
            <w:tcW w:w="6920" w:type="dxa"/>
            <w:vAlign w:val="bottom"/>
          </w:tcPr>
          <w:p>
            <w:pPr>
              <w:spacing w:after="0"/>
              <w:rPr>
                <w:sz w:val="5"/>
                <w:szCs w:val="5"/>
                <w:color w:val="auto"/>
              </w:rPr>
            </w:pPr>
          </w:p>
        </w:tc>
        <w:tc>
          <w:tcPr>
            <w:tcW w:w="2480" w:type="dxa"/>
            <w:vAlign w:val="bottom"/>
          </w:tcPr>
          <w:p>
            <w:pPr>
              <w:spacing w:after="0"/>
              <w:rPr>
                <w:sz w:val="5"/>
                <w:szCs w:val="5"/>
                <w:color w:val="auto"/>
              </w:rPr>
            </w:pPr>
          </w:p>
        </w:tc>
      </w:tr>
      <w:tr>
        <w:trPr>
          <w:trHeight w:val="248"/>
        </w:trPr>
        <w:tc>
          <w:tcPr>
            <w:tcW w:w="692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Outstanding Cash-Settled Restricted Stock Units</w:t>
            </w:r>
          </w:p>
        </w:tc>
        <w:tc>
          <w:tcPr>
            <w:tcW w:w="2480" w:type="dxa"/>
            <w:vAlign w:val="bottom"/>
            <w:shd w:val="clear" w:color="auto" w:fill="DED8EC"/>
          </w:tcPr>
          <w:p>
            <w:pPr>
              <w:jc w:val="center"/>
              <w:ind w:left="1048"/>
              <w:spacing w:after="0"/>
              <w:rPr>
                <w:sz w:val="20"/>
                <w:szCs w:val="20"/>
                <w:color w:val="auto"/>
              </w:rPr>
            </w:pPr>
            <w:r>
              <w:rPr>
                <w:rFonts w:ascii="Arial" w:cs="Arial" w:eastAsia="Arial" w:hAnsi="Arial"/>
                <w:sz w:val="14"/>
                <w:szCs w:val="14"/>
                <w:color w:val="010035"/>
              </w:rPr>
              <w:t>​30,240</w:t>
            </w:r>
          </w:p>
        </w:tc>
      </w:tr>
      <w:tr>
        <w:trPr>
          <w:trHeight w:val="62"/>
        </w:trPr>
        <w:tc>
          <w:tcPr>
            <w:tcW w:w="6920" w:type="dxa"/>
            <w:vAlign w:val="bottom"/>
            <w:shd w:val="clear" w:color="auto" w:fill="DED8EC"/>
          </w:tcPr>
          <w:p>
            <w:pPr>
              <w:spacing w:after="0"/>
              <w:rPr>
                <w:sz w:val="5"/>
                <w:szCs w:val="5"/>
                <w:color w:val="auto"/>
              </w:rPr>
            </w:pPr>
          </w:p>
        </w:tc>
        <w:tc>
          <w:tcPr>
            <w:tcW w:w="2480" w:type="dxa"/>
            <w:vAlign w:val="bottom"/>
            <w:shd w:val="clear" w:color="auto" w:fill="DED8EC"/>
          </w:tcPr>
          <w:p>
            <w:pPr>
              <w:spacing w:after="0"/>
              <w:rPr>
                <w:sz w:val="5"/>
                <w:szCs w:val="5"/>
                <w:color w:val="auto"/>
              </w:rPr>
            </w:pPr>
          </w:p>
        </w:tc>
      </w:tr>
      <w:tr>
        <w:trPr>
          <w:trHeight w:val="248"/>
        </w:trPr>
        <w:tc>
          <w:tcPr>
            <w:tcW w:w="6920" w:type="dxa"/>
            <w:vAlign w:val="bottom"/>
          </w:tcPr>
          <w:p>
            <w:pPr>
              <w:ind w:left="80"/>
              <w:spacing w:after="0"/>
              <w:rPr>
                <w:sz w:val="20"/>
                <w:szCs w:val="20"/>
                <w:color w:val="auto"/>
              </w:rPr>
            </w:pPr>
            <w:r>
              <w:rPr>
                <w:rFonts w:ascii="Arial" w:cs="Arial" w:eastAsia="Arial" w:hAnsi="Arial"/>
                <w:sz w:val="14"/>
                <w:szCs w:val="14"/>
                <w:color w:val="010035"/>
              </w:rPr>
              <w:t>Total Equity-Settled Awards*</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13,930,250</w:t>
            </w:r>
          </w:p>
        </w:tc>
      </w:tr>
      <w:tr>
        <w:trPr>
          <w:trHeight w:val="62"/>
        </w:trPr>
        <w:tc>
          <w:tcPr>
            <w:tcW w:w="6920" w:type="dxa"/>
            <w:vAlign w:val="bottom"/>
          </w:tcPr>
          <w:p>
            <w:pPr>
              <w:spacing w:after="0"/>
              <w:rPr>
                <w:sz w:val="5"/>
                <w:szCs w:val="5"/>
                <w:color w:val="auto"/>
              </w:rPr>
            </w:pPr>
          </w:p>
        </w:tc>
        <w:tc>
          <w:tcPr>
            <w:tcW w:w="2480" w:type="dxa"/>
            <w:vAlign w:val="bottom"/>
          </w:tcPr>
          <w:p>
            <w:pPr>
              <w:spacing w:after="0"/>
              <w:rPr>
                <w:sz w:val="5"/>
                <w:szCs w:val="5"/>
                <w:color w:val="auto"/>
              </w:rPr>
            </w:pPr>
          </w:p>
        </w:tc>
      </w:tr>
      <w:tr>
        <w:trPr>
          <w:trHeight w:val="248"/>
        </w:trPr>
        <w:tc>
          <w:tcPr>
            <w:tcW w:w="692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Total Cash-Settled Awards</w:t>
            </w:r>
          </w:p>
        </w:tc>
        <w:tc>
          <w:tcPr>
            <w:tcW w:w="2480" w:type="dxa"/>
            <w:vAlign w:val="bottom"/>
            <w:shd w:val="clear" w:color="auto" w:fill="DED8EC"/>
          </w:tcPr>
          <w:p>
            <w:pPr>
              <w:jc w:val="center"/>
              <w:ind w:left="1048"/>
              <w:spacing w:after="0"/>
              <w:rPr>
                <w:sz w:val="20"/>
                <w:szCs w:val="20"/>
                <w:color w:val="auto"/>
              </w:rPr>
            </w:pPr>
            <w:r>
              <w:rPr>
                <w:rFonts w:ascii="Arial" w:cs="Arial" w:eastAsia="Arial" w:hAnsi="Arial"/>
                <w:sz w:val="14"/>
                <w:szCs w:val="14"/>
                <w:color w:val="010035"/>
              </w:rPr>
              <w:t>​1,028,770</w:t>
            </w:r>
          </w:p>
        </w:tc>
      </w:tr>
      <w:tr>
        <w:trPr>
          <w:trHeight w:val="62"/>
        </w:trPr>
        <w:tc>
          <w:tcPr>
            <w:tcW w:w="6920" w:type="dxa"/>
            <w:vAlign w:val="bottom"/>
            <w:shd w:val="clear" w:color="auto" w:fill="DED8EC"/>
          </w:tcPr>
          <w:p>
            <w:pPr>
              <w:spacing w:after="0"/>
              <w:rPr>
                <w:sz w:val="5"/>
                <w:szCs w:val="5"/>
                <w:color w:val="auto"/>
              </w:rPr>
            </w:pPr>
          </w:p>
        </w:tc>
        <w:tc>
          <w:tcPr>
            <w:tcW w:w="2480" w:type="dxa"/>
            <w:vAlign w:val="bottom"/>
            <w:shd w:val="clear" w:color="auto" w:fill="DED8EC"/>
          </w:tcPr>
          <w:p>
            <w:pPr>
              <w:spacing w:after="0"/>
              <w:rPr>
                <w:sz w:val="5"/>
                <w:szCs w:val="5"/>
                <w:color w:val="auto"/>
              </w:rPr>
            </w:pPr>
          </w:p>
        </w:tc>
      </w:tr>
      <w:tr>
        <w:trPr>
          <w:trHeight w:val="248"/>
        </w:trPr>
        <w:tc>
          <w:tcPr>
            <w:tcW w:w="6920" w:type="dxa"/>
            <w:vAlign w:val="bottom"/>
          </w:tcPr>
          <w:p>
            <w:pPr>
              <w:ind w:left="80"/>
              <w:spacing w:after="0"/>
              <w:rPr>
                <w:sz w:val="20"/>
                <w:szCs w:val="20"/>
                <w:color w:val="auto"/>
              </w:rPr>
            </w:pPr>
            <w:r>
              <w:rPr>
                <w:rFonts w:ascii="Arial" w:cs="Arial" w:eastAsia="Arial" w:hAnsi="Arial"/>
                <w:sz w:val="14"/>
                <w:szCs w:val="14"/>
                <w:color w:val="010035"/>
              </w:rPr>
              <w:t>Total (Equity-Settled and Cash Settled Awards)</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14,959,020</w:t>
            </w:r>
          </w:p>
        </w:tc>
      </w:tr>
      <w:tr>
        <w:trPr>
          <w:trHeight w:val="62"/>
        </w:trPr>
        <w:tc>
          <w:tcPr>
            <w:tcW w:w="6920" w:type="dxa"/>
            <w:vAlign w:val="bottom"/>
          </w:tcPr>
          <w:p>
            <w:pPr>
              <w:spacing w:after="0"/>
              <w:rPr>
                <w:sz w:val="5"/>
                <w:szCs w:val="5"/>
                <w:color w:val="auto"/>
              </w:rPr>
            </w:pPr>
          </w:p>
        </w:tc>
        <w:tc>
          <w:tcPr>
            <w:tcW w:w="2480" w:type="dxa"/>
            <w:vAlign w:val="bottom"/>
          </w:tcPr>
          <w:p>
            <w:pPr>
              <w:spacing w:after="0"/>
              <w:rPr>
                <w:sz w:val="5"/>
                <w:szCs w:val="5"/>
                <w:color w:val="auto"/>
              </w:rPr>
            </w:pPr>
          </w:p>
        </w:tc>
      </w:tr>
      <w:tr>
        <w:trPr>
          <w:trHeight w:val="290"/>
        </w:trPr>
        <w:tc>
          <w:tcPr>
            <w:tcW w:w="6920" w:type="dxa"/>
            <w:vAlign w:val="bottom"/>
            <w:tcBorders>
              <w:bottom w:val="single" w:sz="8" w:color="DED8EC"/>
            </w:tcBorders>
            <w:shd w:val="clear" w:color="auto" w:fill="DED8EC"/>
          </w:tcPr>
          <w:p>
            <w:pPr>
              <w:ind w:left="80"/>
              <w:spacing w:after="0"/>
              <w:rPr>
                <w:sz w:val="20"/>
                <w:szCs w:val="20"/>
                <w:color w:val="auto"/>
              </w:rPr>
            </w:pPr>
            <w:r>
              <w:rPr>
                <w:rFonts w:ascii="Arial" w:cs="Arial" w:eastAsia="Arial" w:hAnsi="Arial"/>
                <w:sz w:val="14"/>
                <w:szCs w:val="14"/>
                <w:b w:val="1"/>
                <w:bCs w:val="1"/>
                <w:color w:val="010035"/>
              </w:rPr>
              <w:t xml:space="preserve">Total Number of Shares Issuable </w:t>
            </w:r>
            <w:r>
              <w:rPr>
                <w:rFonts w:ascii="Arial" w:cs="Arial" w:eastAsia="Arial" w:hAnsi="Arial"/>
                <w:sz w:val="14"/>
                <w:szCs w:val="14"/>
                <w:color w:val="010035"/>
              </w:rPr>
              <w:t>(outstanding equity awards plus potential new grants)</w:t>
            </w:r>
          </w:p>
        </w:tc>
        <w:tc>
          <w:tcPr>
            <w:tcW w:w="2480" w:type="dxa"/>
            <w:vAlign w:val="bottom"/>
            <w:tcBorders>
              <w:bottom w:val="single" w:sz="8" w:color="DED8EC"/>
            </w:tcBorders>
            <w:shd w:val="clear" w:color="auto" w:fill="DED8EC"/>
          </w:tcPr>
          <w:p>
            <w:pPr>
              <w:jc w:val="center"/>
              <w:ind w:left="1048"/>
              <w:spacing w:after="0"/>
              <w:rPr>
                <w:sz w:val="20"/>
                <w:szCs w:val="20"/>
                <w:color w:val="auto"/>
              </w:rPr>
            </w:pPr>
            <w:r>
              <w:rPr>
                <w:rFonts w:ascii="Arial" w:cs="Arial" w:eastAsia="Arial" w:hAnsi="Arial"/>
                <w:sz w:val="14"/>
                <w:szCs w:val="14"/>
                <w:color w:val="010035"/>
              </w:rPr>
              <w:t>​19,412,475</w:t>
            </w:r>
          </w:p>
        </w:tc>
      </w:tr>
      <w:tr>
        <w:trPr>
          <w:trHeight w:val="255"/>
        </w:trPr>
        <w:tc>
          <w:tcPr>
            <w:tcW w:w="6920" w:type="dxa"/>
            <w:vAlign w:val="bottom"/>
          </w:tcPr>
          <w:p>
            <w:pPr>
              <w:ind w:left="80"/>
              <w:spacing w:after="0"/>
              <w:rPr>
                <w:sz w:val="20"/>
                <w:szCs w:val="20"/>
                <w:color w:val="auto"/>
              </w:rPr>
            </w:pPr>
            <w:r>
              <w:rPr>
                <w:rFonts w:ascii="Arial" w:cs="Arial" w:eastAsia="Arial" w:hAnsi="Arial"/>
                <w:sz w:val="14"/>
                <w:szCs w:val="14"/>
                <w:b w:val="1"/>
                <w:bCs w:val="1"/>
                <w:color w:val="010035"/>
              </w:rPr>
              <w:t>Total Number of Shares Available Under the 2022 Plan</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5,482,225</w:t>
            </w:r>
          </w:p>
        </w:tc>
      </w:tr>
      <w:tr>
        <w:trPr>
          <w:trHeight w:val="56"/>
        </w:trPr>
        <w:tc>
          <w:tcPr>
            <w:tcW w:w="6920" w:type="dxa"/>
            <w:vAlign w:val="bottom"/>
          </w:tcPr>
          <w:p>
            <w:pPr>
              <w:spacing w:after="0"/>
              <w:rPr>
                <w:sz w:val="4"/>
                <w:szCs w:val="4"/>
                <w:color w:val="auto"/>
              </w:rPr>
            </w:pPr>
          </w:p>
        </w:tc>
        <w:tc>
          <w:tcPr>
            <w:tcW w:w="2480" w:type="dxa"/>
            <w:vAlign w:val="bottom"/>
          </w:tcPr>
          <w:p>
            <w:pPr>
              <w:spacing w:after="0"/>
              <w:rPr>
                <w:sz w:val="4"/>
                <w:szCs w:val="4"/>
                <w:color w:val="auto"/>
              </w:rPr>
            </w:pPr>
          </w:p>
        </w:tc>
      </w:tr>
      <w:tr>
        <w:trPr>
          <w:trHeight w:val="290"/>
        </w:trPr>
        <w:tc>
          <w:tcPr>
            <w:tcW w:w="6920" w:type="dxa"/>
            <w:vAlign w:val="bottom"/>
            <w:tcBorders>
              <w:bottom w:val="single" w:sz="8" w:color="DED8EC"/>
            </w:tcBorders>
            <w:shd w:val="clear" w:color="auto" w:fill="DED8EC"/>
          </w:tcPr>
          <w:p>
            <w:pPr>
              <w:ind w:left="80"/>
              <w:spacing w:after="0"/>
              <w:rPr>
                <w:sz w:val="20"/>
                <w:szCs w:val="20"/>
                <w:color w:val="auto"/>
              </w:rPr>
            </w:pPr>
            <w:r>
              <w:rPr>
                <w:rFonts w:ascii="Arial" w:cs="Arial" w:eastAsia="Arial" w:hAnsi="Arial"/>
                <w:sz w:val="14"/>
                <w:szCs w:val="14"/>
                <w:b w:val="1"/>
                <w:bCs w:val="1"/>
                <w:color w:val="010035"/>
              </w:rPr>
              <w:t>Additional Shares Requested Under this Proposal</w:t>
            </w:r>
          </w:p>
        </w:tc>
        <w:tc>
          <w:tcPr>
            <w:tcW w:w="2480" w:type="dxa"/>
            <w:vAlign w:val="bottom"/>
            <w:tcBorders>
              <w:bottom w:val="single" w:sz="8" w:color="DED8EC"/>
            </w:tcBorders>
            <w:shd w:val="clear" w:color="auto" w:fill="DED8EC"/>
          </w:tcPr>
          <w:p>
            <w:pPr>
              <w:jc w:val="center"/>
              <w:ind w:left="1048"/>
              <w:spacing w:after="0"/>
              <w:rPr>
                <w:sz w:val="20"/>
                <w:szCs w:val="20"/>
                <w:color w:val="auto"/>
              </w:rPr>
            </w:pPr>
            <w:r>
              <w:rPr>
                <w:rFonts w:ascii="Arial" w:cs="Arial" w:eastAsia="Arial" w:hAnsi="Arial"/>
                <w:sz w:val="14"/>
                <w:szCs w:val="14"/>
                <w:color w:val="010035"/>
              </w:rPr>
              <w:t>​4,000,000</w:t>
            </w:r>
          </w:p>
        </w:tc>
      </w:tr>
      <w:tr>
        <w:trPr>
          <w:trHeight w:val="255"/>
        </w:trPr>
        <w:tc>
          <w:tcPr>
            <w:tcW w:w="6920" w:type="dxa"/>
            <w:vAlign w:val="bottom"/>
          </w:tcPr>
          <w:p>
            <w:pPr>
              <w:ind w:left="80"/>
              <w:spacing w:after="0"/>
              <w:rPr>
                <w:sz w:val="20"/>
                <w:szCs w:val="20"/>
                <w:color w:val="auto"/>
              </w:rPr>
            </w:pPr>
            <w:r>
              <w:rPr>
                <w:rFonts w:ascii="Arial" w:cs="Arial" w:eastAsia="Arial" w:hAnsi="Arial"/>
                <w:sz w:val="14"/>
                <w:szCs w:val="14"/>
                <w:b w:val="1"/>
                <w:bCs w:val="1"/>
                <w:color w:val="010035"/>
              </w:rPr>
              <w:t xml:space="preserve">Total Shares Authorized for Issuance </w:t>
            </w:r>
            <w:r>
              <w:rPr>
                <w:rFonts w:ascii="Arial" w:cs="Arial" w:eastAsia="Arial" w:hAnsi="Arial"/>
                <w:sz w:val="14"/>
                <w:szCs w:val="14"/>
                <w:color w:val="010035"/>
              </w:rPr>
              <w:t>(if this proposal is approved)</w:t>
            </w:r>
          </w:p>
        </w:tc>
        <w:tc>
          <w:tcPr>
            <w:tcW w:w="2480" w:type="dxa"/>
            <w:vAlign w:val="bottom"/>
          </w:tcPr>
          <w:p>
            <w:pPr>
              <w:jc w:val="center"/>
              <w:ind w:left="1048"/>
              <w:spacing w:after="0"/>
              <w:rPr>
                <w:sz w:val="20"/>
                <w:szCs w:val="20"/>
                <w:color w:val="auto"/>
              </w:rPr>
            </w:pPr>
            <w:r>
              <w:rPr>
                <w:rFonts w:ascii="Arial" w:cs="Arial" w:eastAsia="Arial" w:hAnsi="Arial"/>
                <w:sz w:val="14"/>
                <w:szCs w:val="14"/>
                <w:color w:val="010035"/>
              </w:rPr>
              <w:t>23,412,475</w:t>
            </w:r>
          </w:p>
        </w:tc>
      </w:tr>
      <w:tr>
        <w:trPr>
          <w:trHeight w:val="29"/>
        </w:trPr>
        <w:tc>
          <w:tcPr>
            <w:tcW w:w="6920" w:type="dxa"/>
            <w:vAlign w:val="bottom"/>
            <w:tcBorders>
              <w:bottom w:val="single" w:sz="8" w:color="010035"/>
            </w:tcBorders>
          </w:tcPr>
          <w:p>
            <w:pPr>
              <w:spacing w:after="0"/>
              <w:rPr>
                <w:sz w:val="2"/>
                <w:szCs w:val="2"/>
                <w:color w:val="auto"/>
              </w:rPr>
            </w:pPr>
          </w:p>
        </w:tc>
        <w:tc>
          <w:tcPr>
            <w:tcW w:w="2480" w:type="dxa"/>
            <w:vAlign w:val="bottom"/>
            <w:tcBorders>
              <w:bottom w:val="single" w:sz="8" w:color="010035"/>
            </w:tcBorders>
          </w:tcPr>
          <w:p>
            <w:pPr>
              <w:spacing w:after="0"/>
              <w:rPr>
                <w:sz w:val="2"/>
                <w:szCs w:val="2"/>
                <w:color w:val="auto"/>
              </w:rPr>
            </w:pPr>
          </w:p>
        </w:tc>
      </w:tr>
    </w:tbl>
    <w:p>
      <w:pPr>
        <w:spacing w:after="0" w:line="108" w:lineRule="exact"/>
        <w:rPr>
          <w:sz w:val="20"/>
          <w:szCs w:val="20"/>
          <w:color w:val="auto"/>
        </w:rPr>
      </w:pPr>
    </w:p>
    <w:p>
      <w:pPr>
        <w:jc w:val="both"/>
        <w:ind w:left="180" w:right="220" w:hanging="174"/>
        <w:spacing w:after="0" w:line="243" w:lineRule="auto"/>
        <w:tabs>
          <w:tab w:leader="none" w:pos="180" w:val="left"/>
        </w:tabs>
        <w:numPr>
          <w:ilvl w:val="0"/>
          <w:numId w:val="80"/>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The outstanding equity awards reflected in this table include awards granted under the Company’s 2018 Long Term Incentive Compensation Plan and Score Media and Gaming Second Amended and Restated Stock Option and Restricted Stock Unit Plan (the “Legacy Plans”). No new awards may be granted under the Legacy Plans; however, outstanding awards under the Legacy Plans remain in effect in accordance with their original terms.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Principal Provisions of the 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220"/>
        <w:spacing w:after="0" w:line="294" w:lineRule="auto"/>
        <w:rPr>
          <w:sz w:val="20"/>
          <w:szCs w:val="20"/>
          <w:color w:val="auto"/>
        </w:rPr>
      </w:pPr>
      <w:r>
        <w:rPr>
          <w:rFonts w:ascii="Arial" w:cs="Arial" w:eastAsia="Arial" w:hAnsi="Arial"/>
          <w:sz w:val="14"/>
          <w:szCs w:val="14"/>
          <w:color w:val="auto"/>
        </w:rPr>
        <w:t xml:space="preserve">The following is a summary of the material provisions of the 2022 Plan and is not exhaustive and is qualified in its entirety by reference to the full text of the 2022 Plan, as further amended, which is attached hereto as </w:t>
      </w:r>
      <w:r>
        <w:rPr>
          <w:rFonts w:ascii="Arial" w:cs="Arial" w:eastAsia="Arial" w:hAnsi="Arial"/>
          <w:sz w:val="14"/>
          <w:szCs w:val="14"/>
          <w:b w:val="1"/>
          <w:bCs w:val="1"/>
          <w:color w:val="auto"/>
        </w:rPr>
        <w:t>Appendix “A”</w:t>
      </w:r>
      <w:r>
        <w:rPr>
          <w:rFonts w:ascii="Arial" w:cs="Arial" w:eastAsia="Arial" w:hAnsi="Arial"/>
          <w:sz w:val="14"/>
          <w:szCs w:val="14"/>
          <w:color w:val="auto"/>
        </w:rPr>
        <w:t xml:space="preserve"> of this Proxy Statement.</w:t>
      </w:r>
    </w:p>
    <w:p>
      <w:pPr>
        <w:spacing w:after="0" w:line="38"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b w:val="1"/>
          <w:bCs w:val="1"/>
          <w:color w:val="auto"/>
        </w:rPr>
        <w:t xml:space="preserve">General. </w:t>
      </w:r>
      <w:r>
        <w:rPr>
          <w:rFonts w:ascii="Arial" w:cs="Arial" w:eastAsia="Arial" w:hAnsi="Arial"/>
          <w:sz w:val="14"/>
          <w:szCs w:val="14"/>
          <w:color w:val="auto"/>
        </w:rPr>
        <w:t>The 2022 Plan permits the Company to issue stock options (incentive and/or non-qualified), stock appreciation rights (“SARs”), restricted</w:t>
      </w:r>
      <w:r>
        <w:rPr>
          <w:rFonts w:ascii="Arial" w:cs="Arial" w:eastAsia="Arial" w:hAnsi="Arial"/>
          <w:sz w:val="14"/>
          <w:szCs w:val="14"/>
          <w:b w:val="1"/>
          <w:bCs w:val="1"/>
          <w:color w:val="auto"/>
        </w:rPr>
        <w:t xml:space="preserve"> </w:t>
      </w:r>
      <w:r>
        <w:rPr>
          <w:rFonts w:ascii="Arial" w:cs="Arial" w:eastAsia="Arial" w:hAnsi="Arial"/>
          <w:sz w:val="14"/>
          <w:szCs w:val="14"/>
          <w:color w:val="auto"/>
        </w:rPr>
        <w:t>stock, restricted stock units, performance awards and other equity and cash awards to employees. Non-employee directors and consultants are eligible to receive all such awards, other than incentive stock options.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Purpose. </w:t>
      </w:r>
      <w:r>
        <w:rPr>
          <w:rFonts w:ascii="Arial" w:cs="Arial" w:eastAsia="Arial" w:hAnsi="Arial"/>
          <w:sz w:val="14"/>
          <w:szCs w:val="14"/>
          <w:color w:val="auto"/>
        </w:rPr>
        <w:t>The purpose of the 2022 Plan is threefold:</w:t>
      </w:r>
    </w:p>
    <w:p>
      <w:pPr>
        <w:spacing w:after="0" w:line="109" w:lineRule="exact"/>
        <w:rPr>
          <w:sz w:val="20"/>
          <w:szCs w:val="20"/>
          <w:color w:val="auto"/>
        </w:rPr>
      </w:pPr>
    </w:p>
    <w:p>
      <w:pPr>
        <w:ind w:left="440" w:right="560" w:hanging="74"/>
        <w:spacing w:after="0" w:line="263"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advance the interests of the Company and its shareholders by providing a means by which the Company and its participating subsidiaries and affiliates can motivate selected key employees (including officers and directors who are employees), non-employee directors and consultants to direct their efforts to those activities that will contribute materially to the Company’s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98425</wp:posOffset>
            </wp:positionV>
            <wp:extent cx="6995160"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7372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31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Principal Provisions of the 2022 Plan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69214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84" w:lineRule="exact"/>
        <w:rPr>
          <w:sz w:val="20"/>
          <w:szCs w:val="20"/>
          <w:color w:val="auto"/>
        </w:rPr>
      </w:pPr>
    </w:p>
    <w:p>
      <w:pPr>
        <w:jc w:val="both"/>
        <w:ind w:left="440" w:right="560" w:hanging="74"/>
        <w:spacing w:after="0" w:line="263" w:lineRule="auto"/>
        <w:tabs>
          <w:tab w:leader="none" w:pos="440" w:val="left"/>
        </w:tabs>
        <w:numPr>
          <w:ilvl w:val="0"/>
          <w:numId w:val="82"/>
        </w:numPr>
        <w:rPr>
          <w:rFonts w:ascii="Arial" w:cs="Arial" w:eastAsia="Arial" w:hAnsi="Arial"/>
          <w:sz w:val="14"/>
          <w:szCs w:val="14"/>
          <w:color w:val="69439A"/>
        </w:rPr>
      </w:pPr>
      <w:r>
        <w:rPr>
          <w:rFonts w:ascii="Arial" w:cs="Arial" w:eastAsia="Arial" w:hAnsi="Arial"/>
          <w:sz w:val="14"/>
          <w:szCs w:val="14"/>
          <w:color w:val="auto"/>
        </w:rPr>
        <w:t>To link remunerative benefits paid to employees, non-employee directors and consultants who have substantial responsibility for the successful operation, administration and management of the Company and/or its subsidiaries and affiliates with the enhancement of shareholder value; and</w:t>
      </w:r>
    </w:p>
    <w:p>
      <w:pPr>
        <w:spacing w:after="0" w:line="64" w:lineRule="exact"/>
        <w:rPr>
          <w:rFonts w:ascii="Arial" w:cs="Arial" w:eastAsia="Arial" w:hAnsi="Arial"/>
          <w:sz w:val="14"/>
          <w:szCs w:val="14"/>
          <w:color w:val="69439A"/>
        </w:rPr>
      </w:pPr>
    </w:p>
    <w:p>
      <w:pPr>
        <w:ind w:left="440" w:right="480" w:hanging="74"/>
        <w:spacing w:after="0" w:line="285" w:lineRule="auto"/>
        <w:tabs>
          <w:tab w:leader="none" w:pos="440" w:val="left"/>
        </w:tabs>
        <w:numPr>
          <w:ilvl w:val="0"/>
          <w:numId w:val="82"/>
        </w:numPr>
        <w:rPr>
          <w:rFonts w:ascii="Arial" w:cs="Arial" w:eastAsia="Arial" w:hAnsi="Arial"/>
          <w:sz w:val="14"/>
          <w:szCs w:val="14"/>
          <w:color w:val="69439A"/>
        </w:rPr>
      </w:pPr>
      <w:r>
        <w:rPr>
          <w:rFonts w:ascii="Arial" w:cs="Arial" w:eastAsia="Arial" w:hAnsi="Arial"/>
          <w:sz w:val="14"/>
          <w:szCs w:val="14"/>
          <w:color w:val="auto"/>
        </w:rPr>
        <w:t>To enable the Company to attract and retain in its service highly qualified persons (including non-employee directors and consultants) for the successful conduct of its business.</w:t>
      </w:r>
    </w:p>
    <w:p>
      <w:pPr>
        <w:spacing w:after="0" w:line="5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b w:val="1"/>
          <w:bCs w:val="1"/>
          <w:color w:val="auto"/>
        </w:rPr>
        <w:t xml:space="preserve">Eligibility. </w:t>
      </w:r>
      <w:r>
        <w:rPr>
          <w:rFonts w:ascii="Arial" w:cs="Arial" w:eastAsia="Arial" w:hAnsi="Arial"/>
          <w:sz w:val="14"/>
          <w:szCs w:val="14"/>
          <w:color w:val="auto"/>
        </w:rPr>
        <w:t>Employees (including officers) of the Company and our subsidiaries and any parent entity are eligible to receive awards under the 2022</w:t>
      </w:r>
      <w:r>
        <w:rPr>
          <w:rFonts w:ascii="Arial" w:cs="Arial" w:eastAsia="Arial" w:hAnsi="Arial"/>
          <w:sz w:val="14"/>
          <w:szCs w:val="14"/>
          <w:b w:val="1"/>
          <w:bCs w:val="1"/>
          <w:color w:val="auto"/>
        </w:rPr>
        <w:t xml:space="preserve"> </w:t>
      </w:r>
      <w:r>
        <w:rPr>
          <w:rFonts w:ascii="Arial" w:cs="Arial" w:eastAsia="Arial" w:hAnsi="Arial"/>
          <w:sz w:val="14"/>
          <w:szCs w:val="14"/>
          <w:color w:val="auto"/>
        </w:rPr>
        <w:t>Plan. Non-employee directors of the Company and our subsidiaries are also eligible to receive all such awards, other than incentive stock options. In addition, consultants and advisors of the Company and our subsidiaries are also eligible to receive awards under the 2022 Plan. Consultants and advisors who may be eligible to receive awards include those who are eligible to be offered securities registrable on Form S-8 under the Securities Act as well as those who do not comply with the requirements for Form S-8, provided they satisfy an exemption under the Securities Act.</w:t>
      </w:r>
    </w:p>
    <w:p>
      <w:pPr>
        <w:spacing w:after="0" w:line="73"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For purposes of the 2022 Plan, the term “subsidiary” includes any corporation, partnership, joint venture or other entity in which we have made, directly or indirectly through one or more intermediaries, a substantial investment or commitment, including, without limitation, through the purchase of equity or debt or the entering into of a management agreement or joint operating agreement. With respect to incentive stock options, “subsidiary” shall mean any entity that qualifies as a “subsidiary corporation” of the Company under Section 424(f) of the Internal Revenue Code of 1986, as amended (the “Code”).</w:t>
      </w:r>
    </w:p>
    <w:p>
      <w:pPr>
        <w:spacing w:after="0" w:line="73"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As of April 15, 2026, the Company had approximately 528 employees and eleven directors who were eligible to be selected to receive awards under the 2022 Plan, all of whom will continue to be eligible to be selected to receive awards if the third amendment to the 2022 Plan is approved by shareholders.</w:t>
      </w:r>
    </w:p>
    <w:p>
      <w:pPr>
        <w:spacing w:after="0" w:line="65"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b w:val="1"/>
          <w:bCs w:val="1"/>
          <w:color w:val="auto"/>
        </w:rPr>
        <w:t xml:space="preserve">Number of Shares Available for Issuance. </w:t>
      </w:r>
      <w:r>
        <w:rPr>
          <w:rFonts w:ascii="Arial" w:cs="Arial" w:eastAsia="Arial" w:hAnsi="Arial"/>
          <w:sz w:val="14"/>
          <w:szCs w:val="14"/>
          <w:color w:val="auto"/>
        </w:rPr>
        <w:t>Currently, following the approval of the second amendment to the 2022 Plan at the 2025 Annual</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not more than 22,067,275 shares of the Company’s common stock may be issued under the 2022 Plan, plus any shares of common stock subject to outstanding awards under the prior plans as of the effective date of the 2022 Plan that are forfeited or settled for cash. Shares issued under the 2022 Plan that are subsequently forfeited back to the Company before becoming fully vested will be available for future grants under the 2022 Plan. In addition, if an award under the 2022 Plan pursuant to which shares of the Company’s common stock are issuable is forfeited, expires or terminates, then the shares underlying such award will be available for future issuance under the 2022 Plan. The Compensation Committee will adjust the aggregate 22,067,275 share limit if it determines that a dividend, recapitalization, stock split, merger, consolidation or other similar corporate transaction or event equitably requires an adjustment.</w:t>
      </w:r>
    </w:p>
    <w:p>
      <w:pPr>
        <w:spacing w:after="0" w:line="7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Assuming approval of the third amendment to the 2022 Plan at the Annual Meeting, the total number of shares that may be issued under the 2022 Plan would increase from 22,067,275 shares to 26,067,275 shares, plus any shares of common stock subject to outstanding awards under the prior plans as of the effective date of the 2022 Plan that are forfeited or settled for cash.</w:t>
      </w:r>
    </w:p>
    <w:p>
      <w:pPr>
        <w:spacing w:after="0" w:line="65" w:lineRule="exact"/>
        <w:rPr>
          <w:sz w:val="20"/>
          <w:szCs w:val="20"/>
          <w:color w:val="auto"/>
        </w:rPr>
      </w:pPr>
    </w:p>
    <w:p>
      <w:pPr>
        <w:spacing w:after="0" w:line="256" w:lineRule="auto"/>
        <w:rPr>
          <w:sz w:val="20"/>
          <w:szCs w:val="20"/>
          <w:color w:val="auto"/>
        </w:rPr>
      </w:pPr>
      <w:r>
        <w:rPr>
          <w:rFonts w:ascii="Arial" w:cs="Arial" w:eastAsia="Arial" w:hAnsi="Arial"/>
          <w:sz w:val="14"/>
          <w:szCs w:val="14"/>
          <w:b w:val="1"/>
          <w:bCs w:val="1"/>
          <w:color w:val="auto"/>
        </w:rPr>
        <w:t xml:space="preserve">Types of Awards. </w:t>
      </w:r>
      <w:r>
        <w:rPr>
          <w:rFonts w:ascii="Arial" w:cs="Arial" w:eastAsia="Arial" w:hAnsi="Arial"/>
          <w:sz w:val="14"/>
          <w:szCs w:val="14"/>
          <w:color w:val="auto"/>
        </w:rPr>
        <w:t>The 2022 Plan provides for the issuance of stock options, SARs, restricted stock, restricted stock units, performance awards and</w:t>
      </w:r>
      <w:r>
        <w:rPr>
          <w:rFonts w:ascii="Arial" w:cs="Arial" w:eastAsia="Arial" w:hAnsi="Arial"/>
          <w:sz w:val="14"/>
          <w:szCs w:val="14"/>
          <w:b w:val="1"/>
          <w:bCs w:val="1"/>
          <w:color w:val="auto"/>
        </w:rPr>
        <w:t xml:space="preserve"> </w:t>
      </w:r>
      <w:r>
        <w:rPr>
          <w:rFonts w:ascii="Arial" w:cs="Arial" w:eastAsia="Arial" w:hAnsi="Arial"/>
          <w:sz w:val="14"/>
          <w:szCs w:val="14"/>
          <w:color w:val="auto"/>
        </w:rPr>
        <w:t>other equity-based awards. Rights to awards may be contingent on the continued employment or service or achievement of performance goals, which may be applied to the Company as a whole or a business unit or related company and may be measured either annually or cumulatively over a period of years on an absolute basis or relative to a pre-established target, to a previous year’s results or to a designated comparison group.</w:t>
      </w:r>
    </w:p>
    <w:p>
      <w:pPr>
        <w:spacing w:after="0" w:line="69"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b w:val="1"/>
          <w:bCs w:val="1"/>
          <w:color w:val="auto"/>
        </w:rPr>
        <w:t xml:space="preserve">Stock Options. </w:t>
      </w:r>
      <w:r>
        <w:rPr>
          <w:rFonts w:ascii="Arial" w:cs="Arial" w:eastAsia="Arial" w:hAnsi="Arial"/>
          <w:sz w:val="14"/>
          <w:szCs w:val="14"/>
          <w:color w:val="auto"/>
        </w:rPr>
        <w:t>The Compensation Committee may grant stock options to employees as it may select in its sole discretion. The Compensation</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Committee or the Chief Executive Officer also may grant stock options in such number as the Compensation Committee or the CEO may determine to employees or consultants as the Compensation Committee or the Chief Executive Officer may select in its or his or her, as the case may be, sole discretion; provided, however, such grants will be subject to any maximum aggregate limit. The Board may grant stock options to such directors as the Board may select in its sole discretion. A stock option entitles the holder thereof to purchase full shares of common stock at a stated price for a specified period of time. Only employees may be granted incentive stock options and such incentive stock options are subject to certain requirements under Section 422 of the Code. The exercise price is determined by the Company and will not be less than 100% of the fair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97790</wp:posOffset>
            </wp:positionV>
            <wp:extent cx="6995160"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color w:val="auto"/>
        </w:rPr>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7372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271" w:lineRule="exact"/>
        <w:rPr>
          <w:sz w:val="20"/>
          <w:szCs w:val="20"/>
          <w:color w:val="auto"/>
        </w:rPr>
      </w:pPr>
    </w:p>
    <w:p>
      <w:pPr>
        <w:ind w:left="340" w:right="54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Principal Provisions of the 2022 Plan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value of a share of common stock on the date of grant; provided that incentive stock options granted to a 10% shareholder, will have an exercise price no less than 110% of the fair market value of a share of common stock on the date of grant. The Company will determine the term of each such option and the term will be reflected in the award agreement. No stock option may be exercised after the expiration of the term, which will not exceed ten years from the date of grant (and incentive stock options granted to 10% shareholders will not exceed five years). Stock options will be exercisable during the term in accordance with the applicable award agreement by giving notice of exercise to the Company in a form and manner acceptable to the Company. The holder will pay the exercise price in cash or, with the Company’s permission, by delivering shares of common stock already owned by the holder having a fair market value on the date of exercise equal to the option price, or a combination of cash and such shares. The Company may also permit payment in accordance with a cashless exercise program.</w:t>
      </w:r>
    </w:p>
    <w:p>
      <w:pPr>
        <w:spacing w:after="0" w:line="78"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b w:val="1"/>
          <w:bCs w:val="1"/>
          <w:color w:val="auto"/>
        </w:rPr>
        <w:t xml:space="preserve">SARs. </w:t>
      </w:r>
      <w:r>
        <w:rPr>
          <w:rFonts w:ascii="Arial" w:cs="Arial" w:eastAsia="Arial" w:hAnsi="Arial"/>
          <w:sz w:val="14"/>
          <w:szCs w:val="14"/>
          <w:color w:val="auto"/>
        </w:rPr>
        <w:t>The Compensation Committee may grant SARs to employees as it may select in its sole discretion. The Compensation Committee or the</w:t>
      </w:r>
      <w:r>
        <w:rPr>
          <w:rFonts w:ascii="Arial" w:cs="Arial" w:eastAsia="Arial" w:hAnsi="Arial"/>
          <w:sz w:val="14"/>
          <w:szCs w:val="14"/>
          <w:b w:val="1"/>
          <w:bCs w:val="1"/>
          <w:color w:val="auto"/>
        </w:rPr>
        <w:t xml:space="preserve"> </w:t>
      </w:r>
      <w:r>
        <w:rPr>
          <w:rFonts w:ascii="Arial" w:cs="Arial" w:eastAsia="Arial" w:hAnsi="Arial"/>
          <w:sz w:val="14"/>
          <w:szCs w:val="14"/>
          <w:color w:val="auto"/>
        </w:rPr>
        <w:t>Chief Executive Officer also may grant SARs in such number as the Compensation Committee or the CEO may determine to employees or consultants as the Compensation Committee or the Chief Executive Officer may select in its or his or her, as the case may be, sole discretion; provided, however, such grants will be subject to any maximum aggregate limit. The Board may grant SARs to such directors as the Board may select in its sole discretion. A SAR entitles the holder thereof to purchase full shares of common stock at a stated price for a specified period of time. The SAR base amount is determined by the Company and will not be less than 100% of the fair market value of a share of common stock on the date of grant. The Company will determine the term of each such SAR and the term will be reflected in the award agreement. No SAR may be exercised after the expiration of the term, which will not exceed ten years from the date of grant. SARs will be exercisable during the term in accordance with the applicable award agreement by giving notice of exercise to the Company in a form and manner acceptable to the Company. A SAR entitles the holder, upon exercise, to receive an amount equal to the product of (i) the amount by which the fair market value on the exercise date of one share of common stock exceeds the SAR base amount and (ii) the number of shares covered by the SAR, or portion thereof, that is exercised. Any payment which may become due from the Company by reason of the grantee’s exercise of a SAR may be paid to the grantee all in cash, all in shares of common stock, or partly in shares and partly in cash, as provided in the award agreement.</w:t>
      </w:r>
    </w:p>
    <w:p>
      <w:pPr>
        <w:spacing w:after="0" w:line="77" w:lineRule="exact"/>
        <w:rPr>
          <w:sz w:val="20"/>
          <w:szCs w:val="20"/>
          <w:color w:val="auto"/>
        </w:rPr>
      </w:pPr>
    </w:p>
    <w:p>
      <w:pPr>
        <w:spacing w:after="0" w:line="244" w:lineRule="auto"/>
        <w:rPr>
          <w:sz w:val="20"/>
          <w:szCs w:val="20"/>
          <w:color w:val="auto"/>
        </w:rPr>
      </w:pPr>
      <w:r>
        <w:rPr>
          <w:rFonts w:ascii="Arial" w:cs="Arial" w:eastAsia="Arial" w:hAnsi="Arial"/>
          <w:sz w:val="14"/>
          <w:szCs w:val="14"/>
          <w:b w:val="1"/>
          <w:bCs w:val="1"/>
          <w:color w:val="auto"/>
        </w:rPr>
        <w:t xml:space="preserve">Restricted Stock. </w:t>
      </w:r>
      <w:r>
        <w:rPr>
          <w:rFonts w:ascii="Arial" w:cs="Arial" w:eastAsia="Arial" w:hAnsi="Arial"/>
          <w:sz w:val="14"/>
          <w:szCs w:val="14"/>
          <w:color w:val="auto"/>
        </w:rPr>
        <w:t>The Compensation Committee may grant restricted stock awards in such number as it may determine to such employees as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Committee may select in its sole discretion. The Compensation Committee or the Chief Executive Officer also may grant in such number as the Compensation Committee or the Chief Executive Officer may determine restricted stock awards to such employees or consultants as the Compensation Committee or the Chief Executive Officer may select in its or his or her, as the case may be, sole discretion; provided, however, such grants will be subject to any maximum aggregate number of awards in general and shares of restricted stock in particular established by the Compensation Committee for grants under the 2022 Plan for employees or consultants as a group. The Board may grant restricted stock awards to such directors as the Board may select in its sole discretion. A restricted stock award is a grant of shares of common stock subject to those conditions, if any, set forth in the 2022 Plan and the applicable award agreement. Except as otherwise provided in the 2022 Plan or the applicable award agreement, the restricted stock shall be subject to the following restrictions until the expiration or termination of the restricted period: (i) a holder will not be entitled to delivery of a certificate evidencing the shares of restricted stock until the end of the restricted period and the satisfaction of any and all other conditions specified in the award agreement applicable to such restricted stock and (ii) none of the restricted stock may be sold, transferred, assigned, pledged or otherwise encumbered or disposed of during the restricted period, and until the satisfaction of any and all other conditions specified in the award agreement applicable to such restricted stock. Upon the forfeiture of any restricted stock, such forfeited shares shall be transferred to the Company without further acts by the holder. During the restricted period, the grantee will have beneficial interest in, and all rights and privileges of a shareholder as to such shares of common stock covered by the restricted stock award, including the right to vote such shares.</w:t>
      </w:r>
    </w:p>
    <w:p>
      <w:pPr>
        <w:spacing w:after="0" w:line="245"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b w:val="1"/>
          <w:bCs w:val="1"/>
          <w:color w:val="auto"/>
        </w:rPr>
        <w:t xml:space="preserve">Restricted Stock Units. </w:t>
      </w:r>
      <w:r>
        <w:rPr>
          <w:rFonts w:ascii="Arial" w:cs="Arial" w:eastAsia="Arial" w:hAnsi="Arial"/>
          <w:sz w:val="14"/>
          <w:szCs w:val="14"/>
          <w:color w:val="auto"/>
        </w:rPr>
        <w:t>The Compensation Committee may grant restricted stock unit awards to such employees as the Compensation</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Committee may select in its sole discretion. The Compensation Committee or the Chief Executive Officer also may grant restricted stock unit awards in such number as the Compensation Committee or the Chief Executive Officer may determine to such employees or consultants, as the Committee or the Chief Executive Officer may select in its or his or her, as the case may be, sole discretion; provided, however, such grants will be subject to any maximum aggregate number of awards in general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95250</wp:posOffset>
            </wp:positionV>
            <wp:extent cx="6995160"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7372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31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Principal Provisions of the 2022 Plan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restricted stock unit awards in particular established by the Compensation Committee for grants under the 2022 Plan for employees or consultants as a group. The Board may grant restricted stock unit awards to directors as the Board may select in its sole discretion. The restricted stock units will become vested as set forth in the applicable award agreement. Upon vesting of the restricted stock unit award, the grantee will receive the number of shares of common stock (which may be restricted stock) specified in the restricted stock unit award agreement an amount payable in cash determined by multiplying the number of restricted stock units by the fair market value of one share of common stock as of the vesting date, or a combination thereof, as specified by the Company in the applicable award agreement.</w:t>
      </w:r>
    </w:p>
    <w:p>
      <w:pPr>
        <w:spacing w:after="0" w:line="74" w:lineRule="exact"/>
        <w:rPr>
          <w:sz w:val="20"/>
          <w:szCs w:val="20"/>
          <w:color w:val="auto"/>
        </w:rPr>
      </w:pPr>
    </w:p>
    <w:p>
      <w:pPr>
        <w:spacing w:after="0" w:line="246" w:lineRule="auto"/>
        <w:rPr>
          <w:sz w:val="20"/>
          <w:szCs w:val="20"/>
          <w:color w:val="auto"/>
        </w:rPr>
      </w:pPr>
      <w:r>
        <w:rPr>
          <w:rFonts w:ascii="Arial" w:cs="Arial" w:eastAsia="Arial" w:hAnsi="Arial"/>
          <w:sz w:val="14"/>
          <w:szCs w:val="14"/>
          <w:b w:val="1"/>
          <w:bCs w:val="1"/>
          <w:color w:val="auto"/>
        </w:rPr>
        <w:t xml:space="preserve">Other Equity-Based Awards. </w:t>
      </w:r>
      <w:r>
        <w:rPr>
          <w:rFonts w:ascii="Arial" w:cs="Arial" w:eastAsia="Arial" w:hAnsi="Arial"/>
          <w:sz w:val="14"/>
          <w:szCs w:val="14"/>
          <w:color w:val="auto"/>
        </w:rPr>
        <w:t>The Compensation Committee may grant other awards to such employees as the Committee may select in its sole</w:t>
      </w:r>
      <w:r>
        <w:rPr>
          <w:rFonts w:ascii="Arial" w:cs="Arial" w:eastAsia="Arial" w:hAnsi="Arial"/>
          <w:sz w:val="14"/>
          <w:szCs w:val="14"/>
          <w:b w:val="1"/>
          <w:bCs w:val="1"/>
          <w:color w:val="auto"/>
        </w:rPr>
        <w:t xml:space="preserve"> </w:t>
      </w:r>
      <w:r>
        <w:rPr>
          <w:rFonts w:ascii="Arial" w:cs="Arial" w:eastAsia="Arial" w:hAnsi="Arial"/>
          <w:sz w:val="14"/>
          <w:szCs w:val="14"/>
          <w:color w:val="auto"/>
        </w:rPr>
        <w:t>discretion. The Compensation Committee or the Chief Executive Officer also may grant other awards to employees or consultants as the Compensation Committee or the Chief Executive Officer may select in its or his or her, as the case may be, sole discretion; provided, however, such grants will be subject to any maximum aggregate amount of awards in general and other awards in particular (if any) established by the Compensation Committee for grants under the Plan for employees or consultants as a group. The Board may grant other awards to such directors as the Board may select in its sole discretion. Other awards may or may not be evidenced by award agreements. Other awards may be grants of a type of equity-based, equity- related, or cash-based awards not otherwise described by the terms of the 2022 Plan in such amounts and subject to such terms and conditions as determined by the Company, from time to time, under the 2022 Plan. Such awards may provide for the payment of shares of common stock or cash or any combination thereof to a grantee. The value of a cash-based other award shall be determined by the Company.</w:t>
      </w:r>
    </w:p>
    <w:p>
      <w:pPr>
        <w:spacing w:after="0" w:line="243"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b w:val="1"/>
          <w:bCs w:val="1"/>
          <w:color w:val="auto"/>
        </w:rPr>
        <w:t xml:space="preserve">Performance Awards. </w:t>
      </w:r>
      <w:r>
        <w:rPr>
          <w:rFonts w:ascii="Arial" w:cs="Arial" w:eastAsia="Arial" w:hAnsi="Arial"/>
          <w:sz w:val="14"/>
          <w:szCs w:val="14"/>
          <w:color w:val="auto"/>
        </w:rPr>
        <w:t>An award may be granted that is subject to the achievement of one or more performance goals during one or more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period. The Company will establish in writing the performance award terms, including the targets and applicable performance goals and performance period, which will be set forth in the award agreement. Any performance awards will remain subject to restrictions until the end of the award period unless the lapse of such restrictions is accelerated as set forth in the award agreement. At the end of the award period, any performance units credited to the grantee’s account will be settled in shares of common stock, cash or a combination thereof, as determined by the Company and as set forth in the award agreement. Except as set forth in the 2022 Plan or an award agreement, the grantee must remain continuously employed by, or in the service of the Company or any subsidiary from the date he or she receives such performance award until the last day of the award period.</w:t>
      </w:r>
    </w:p>
    <w:p>
      <w:pPr>
        <w:spacing w:after="0" w:line="244"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b w:val="1"/>
          <w:bCs w:val="1"/>
          <w:color w:val="auto"/>
        </w:rPr>
        <w:t xml:space="preserve">Administration. </w:t>
      </w:r>
      <w:r>
        <w:rPr>
          <w:rFonts w:ascii="Arial" w:cs="Arial" w:eastAsia="Arial" w:hAnsi="Arial"/>
          <w:sz w:val="14"/>
          <w:szCs w:val="14"/>
          <w:color w:val="auto"/>
        </w:rPr>
        <w:t>The 2022 Plan is administered by or under the direction of the Compensation Committee. Except for matters required by the terms</w:t>
      </w:r>
      <w:r>
        <w:rPr>
          <w:rFonts w:ascii="Arial" w:cs="Arial" w:eastAsia="Arial" w:hAnsi="Arial"/>
          <w:sz w:val="14"/>
          <w:szCs w:val="14"/>
          <w:b w:val="1"/>
          <w:bCs w:val="1"/>
          <w:color w:val="auto"/>
        </w:rPr>
        <w:t xml:space="preserve"> </w:t>
      </w:r>
      <w:r>
        <w:rPr>
          <w:rFonts w:ascii="Arial" w:cs="Arial" w:eastAsia="Arial" w:hAnsi="Arial"/>
          <w:sz w:val="14"/>
          <w:szCs w:val="14"/>
          <w:color w:val="auto"/>
        </w:rPr>
        <w:t>of the 2022 Plan to be decided by the Board of Directors or the CEO, the Compensation Committee has full power and authority to interpret and construe the 2022 Plan, to prescribe, amend and rescind rules, regulations, policies and practices, to impose such conditions and restrictions on awards as it deems appropriate and to make all other determinations necessary or desirable in connection with the administration of, or the performance of its responsibilities under, the 2022 Plan. Subject to limitations set forth in the Plan and as prescribed by the Compensation Committee, the Compensation Committee may delegate to the Company’s Chief Executive Officer or a designee thereof, the authority to grant awards to certain persons under the 2022 Plan.</w:t>
      </w:r>
    </w:p>
    <w:p>
      <w:pPr>
        <w:spacing w:after="0" w:line="77"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b w:val="1"/>
          <w:bCs w:val="1"/>
          <w:color w:val="auto"/>
        </w:rPr>
        <w:t xml:space="preserve">Minimum Vesting Period. </w:t>
      </w:r>
      <w:r>
        <w:rPr>
          <w:rFonts w:ascii="Arial" w:cs="Arial" w:eastAsia="Arial" w:hAnsi="Arial"/>
          <w:sz w:val="14"/>
          <w:szCs w:val="14"/>
          <w:color w:val="auto"/>
        </w:rPr>
        <w:t>Subject to limited exceptions in the event of a change of control of the Company, stock options, restricted stock,</w:t>
      </w:r>
      <w:r>
        <w:rPr>
          <w:rFonts w:ascii="Arial" w:cs="Arial" w:eastAsia="Arial" w:hAnsi="Arial"/>
          <w:sz w:val="14"/>
          <w:szCs w:val="14"/>
          <w:b w:val="1"/>
          <w:bCs w:val="1"/>
          <w:color w:val="auto"/>
        </w:rPr>
        <w:t xml:space="preserve"> </w:t>
      </w:r>
      <w:r>
        <w:rPr>
          <w:rFonts w:ascii="Arial" w:cs="Arial" w:eastAsia="Arial" w:hAnsi="Arial"/>
          <w:sz w:val="14"/>
          <w:szCs w:val="14"/>
          <w:color w:val="auto"/>
        </w:rPr>
        <w:t>restricted stock units, performance awards and any other awards granted under the 2022 Plan are subject to a minimum vesting period of one year after the date of grant. However, up to 5% of the authorized shares under the 2022 Plan may be granted without regard to the minimum vesting requirement. In addition, such minimum vesting requirement will not prevent acceleration of vesting or exercisability in the event of a change in control, for equity plans acquired in merger and acquisition transactions, or pursuant to the terms of an award agreement relating to termination of employment or service.</w:t>
      </w:r>
    </w:p>
    <w:p>
      <w:pPr>
        <w:spacing w:after="0" w:line="241"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b w:val="1"/>
          <w:bCs w:val="1"/>
          <w:color w:val="auto"/>
        </w:rPr>
        <w:t xml:space="preserve">Limitation on Non-Employee Director Compensation. </w:t>
      </w:r>
      <w:r>
        <w:rPr>
          <w:rFonts w:ascii="Arial" w:cs="Arial" w:eastAsia="Arial" w:hAnsi="Arial"/>
          <w:sz w:val="14"/>
          <w:szCs w:val="14"/>
          <w:color w:val="auto"/>
        </w:rPr>
        <w:t>The aggregate value of cash compensation and grant date fair market value of shares</w:t>
      </w:r>
      <w:r>
        <w:rPr>
          <w:rFonts w:ascii="Arial" w:cs="Arial" w:eastAsia="Arial" w:hAnsi="Arial"/>
          <w:sz w:val="14"/>
          <w:szCs w:val="14"/>
          <w:b w:val="1"/>
          <w:bCs w:val="1"/>
          <w:color w:val="auto"/>
        </w:rPr>
        <w:t xml:space="preserve"> </w:t>
      </w:r>
      <w:r>
        <w:rPr>
          <w:rFonts w:ascii="Arial" w:cs="Arial" w:eastAsia="Arial" w:hAnsi="Arial"/>
          <w:sz w:val="14"/>
          <w:szCs w:val="14"/>
          <w:color w:val="auto"/>
        </w:rPr>
        <w:t>that may be paid or granted during any calendar year of the Company to any non-employee director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80010</wp:posOffset>
            </wp:positionV>
            <wp:extent cx="6995160"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100</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7372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27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Principal Provisions of the 2022 Plan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jc w:val="both"/>
        <w:ind w:right="60"/>
        <w:spacing w:after="0" w:line="263" w:lineRule="auto"/>
        <w:rPr>
          <w:sz w:val="20"/>
          <w:szCs w:val="20"/>
          <w:color w:val="auto"/>
        </w:rPr>
      </w:pPr>
      <w:r>
        <w:rPr>
          <w:rFonts w:ascii="Arial" w:cs="Arial" w:eastAsia="Arial" w:hAnsi="Arial"/>
          <w:sz w:val="14"/>
          <w:szCs w:val="14"/>
          <w:color w:val="auto"/>
        </w:rPr>
        <w:t>exceed $750,000 (as calculated on the date of grant). By approving the 2022 Plan, shareholders would be approving the grant of awards under the 2022 Plan (which may be amended from time to time) to current non-employee directors and such other persons each of whom may be appointed as a non-employee director of the Company from time to time.</w:t>
      </w:r>
    </w:p>
    <w:p>
      <w:pPr>
        <w:spacing w:after="0" w:line="65" w:lineRule="exact"/>
        <w:rPr>
          <w:sz w:val="20"/>
          <w:szCs w:val="20"/>
          <w:color w:val="auto"/>
        </w:rPr>
      </w:pPr>
    </w:p>
    <w:p>
      <w:pPr>
        <w:spacing w:after="0" w:line="256" w:lineRule="auto"/>
        <w:rPr>
          <w:sz w:val="20"/>
          <w:szCs w:val="20"/>
          <w:color w:val="auto"/>
        </w:rPr>
      </w:pPr>
      <w:r>
        <w:rPr>
          <w:rFonts w:ascii="Arial" w:cs="Arial" w:eastAsia="Arial" w:hAnsi="Arial"/>
          <w:sz w:val="14"/>
          <w:szCs w:val="14"/>
          <w:b w:val="1"/>
          <w:bCs w:val="1"/>
          <w:color w:val="auto"/>
        </w:rPr>
        <w:t xml:space="preserve">Amendment and Termination. </w:t>
      </w:r>
      <w:r>
        <w:rPr>
          <w:rFonts w:ascii="Arial" w:cs="Arial" w:eastAsia="Arial" w:hAnsi="Arial"/>
          <w:sz w:val="14"/>
          <w:szCs w:val="14"/>
          <w:color w:val="auto"/>
        </w:rPr>
        <w:t>The Board may at any time amend or modify the 2022 Plan in any or all respects, except that any such amendment</w:t>
      </w:r>
      <w:r>
        <w:rPr>
          <w:rFonts w:ascii="Arial" w:cs="Arial" w:eastAsia="Arial" w:hAnsi="Arial"/>
          <w:sz w:val="14"/>
          <w:szCs w:val="14"/>
          <w:b w:val="1"/>
          <w:bCs w:val="1"/>
          <w:color w:val="auto"/>
        </w:rPr>
        <w:t xml:space="preserve"> </w:t>
      </w:r>
      <w:r>
        <w:rPr>
          <w:rFonts w:ascii="Arial" w:cs="Arial" w:eastAsia="Arial" w:hAnsi="Arial"/>
          <w:sz w:val="14"/>
          <w:szCs w:val="14"/>
          <w:color w:val="auto"/>
        </w:rPr>
        <w:t>or modification may not adversely affect the material rights of any holder of an award previously granted under the 2022 Plan unless in accordance with the provisions of the 2022 Plan or any applicable award agreement or such holder consents, and subject to shareholder approval where such approval is required by applicable law. The Board may also suspend or terminate the 2022 Plan at any time.</w:t>
      </w:r>
    </w:p>
    <w:p>
      <w:pPr>
        <w:spacing w:after="0" w:line="69" w:lineRule="exact"/>
        <w:rPr>
          <w:sz w:val="20"/>
          <w:szCs w:val="20"/>
          <w:color w:val="auto"/>
        </w:rPr>
      </w:pPr>
    </w:p>
    <w:p>
      <w:pPr>
        <w:spacing w:after="0" w:line="252" w:lineRule="auto"/>
        <w:rPr>
          <w:sz w:val="20"/>
          <w:szCs w:val="20"/>
          <w:color w:val="auto"/>
        </w:rPr>
      </w:pPr>
      <w:r>
        <w:rPr>
          <w:rFonts w:ascii="Arial" w:cs="Arial" w:eastAsia="Arial" w:hAnsi="Arial"/>
          <w:sz w:val="14"/>
          <w:szCs w:val="14"/>
          <w:b w:val="1"/>
          <w:bCs w:val="1"/>
          <w:color w:val="auto"/>
        </w:rPr>
        <w:t xml:space="preserve">Dividends and Dividend Equivalents. </w:t>
      </w:r>
      <w:r>
        <w:rPr>
          <w:rFonts w:ascii="Arial" w:cs="Arial" w:eastAsia="Arial" w:hAnsi="Arial"/>
          <w:sz w:val="14"/>
          <w:szCs w:val="14"/>
          <w:color w:val="auto"/>
        </w:rPr>
        <w:t>No dividends or dividend equivalents may be paid to a plan participant with respect to an award prior to the</w:t>
      </w:r>
      <w:r>
        <w:rPr>
          <w:rFonts w:ascii="Arial" w:cs="Arial" w:eastAsia="Arial" w:hAnsi="Arial"/>
          <w:sz w:val="14"/>
          <w:szCs w:val="14"/>
          <w:b w:val="1"/>
          <w:bCs w:val="1"/>
          <w:color w:val="auto"/>
        </w:rPr>
        <w:t xml:space="preserve"> </w:t>
      </w:r>
      <w:r>
        <w:rPr>
          <w:rFonts w:ascii="Arial" w:cs="Arial" w:eastAsia="Arial" w:hAnsi="Arial"/>
          <w:sz w:val="14"/>
          <w:szCs w:val="14"/>
          <w:color w:val="auto"/>
        </w:rPr>
        <w:t>vesting of such award. An award may provide for dividends or dividend equivalents to accrue on behalf of a participant as of each dividend payment date during the period between the date the award is granted and the date the award is exercised, vested, expired, credited or paid, and to be converted to vested cash or shares at the same time and subject to the same vesting conditions that apply to the shares to which such dividends or dividend equivalents relate.</w:t>
      </w:r>
    </w:p>
    <w:p>
      <w:pPr>
        <w:spacing w:after="0" w:line="73" w:lineRule="exact"/>
        <w:rPr>
          <w:sz w:val="20"/>
          <w:szCs w:val="20"/>
          <w:color w:val="auto"/>
        </w:rPr>
      </w:pPr>
    </w:p>
    <w:p>
      <w:pPr>
        <w:ind w:right="40"/>
        <w:spacing w:after="0" w:line="248" w:lineRule="auto"/>
        <w:rPr>
          <w:sz w:val="20"/>
          <w:szCs w:val="20"/>
          <w:color w:val="auto"/>
        </w:rPr>
      </w:pPr>
      <w:r>
        <w:rPr>
          <w:rFonts w:ascii="Arial" w:cs="Arial" w:eastAsia="Arial" w:hAnsi="Arial"/>
          <w:sz w:val="14"/>
          <w:szCs w:val="14"/>
          <w:b w:val="1"/>
          <w:bCs w:val="1"/>
          <w:color w:val="auto"/>
        </w:rPr>
        <w:t xml:space="preserve">Adjustments. </w:t>
      </w:r>
      <w:r>
        <w:rPr>
          <w:rFonts w:ascii="Arial" w:cs="Arial" w:eastAsia="Arial" w:hAnsi="Arial"/>
          <w:sz w:val="14"/>
          <w:szCs w:val="14"/>
          <w:color w:val="auto"/>
        </w:rPr>
        <w:t>The Compensation Committee will make certain adjustments to the 2022 Plan and to the outstanding awards under the 2022 Plan in</w:t>
      </w:r>
      <w:r>
        <w:rPr>
          <w:rFonts w:ascii="Arial" w:cs="Arial" w:eastAsia="Arial" w:hAnsi="Arial"/>
          <w:sz w:val="14"/>
          <w:szCs w:val="14"/>
          <w:b w:val="1"/>
          <w:bCs w:val="1"/>
          <w:color w:val="auto"/>
        </w:rPr>
        <w:t xml:space="preserve"> </w:t>
      </w:r>
      <w:r>
        <w:rPr>
          <w:rFonts w:ascii="Arial" w:cs="Arial" w:eastAsia="Arial" w:hAnsi="Arial"/>
          <w:sz w:val="14"/>
          <w:szCs w:val="14"/>
          <w:color w:val="auto"/>
        </w:rPr>
        <w:t>the event that the Compensation Committee determines any dividend or other distribution (whether in the form of cash, shares of the Company’s common stock or other securities), recapitalization, stock split, reverse stock split, reorganization, merger, consolidation, split-up, spin-off, combination, repurchase or exchange of shares of the Company’s common stock, other securities of the Company, issuance of warrants or other rights to purchase shares of common stock or other securities of the Company, or other similar corporate transaction or event constitutes an equity restructuring transaction, as that term is defined in ASC Topic 718, Compensation – Stock Compensation, or otherwise affects the shares of the Company’s common stock. In the event of such a change, appropriate adjustments will be made to:</w:t>
      </w:r>
    </w:p>
    <w:p>
      <w:pPr>
        <w:spacing w:after="0" w:line="77" w:lineRule="exact"/>
        <w:rPr>
          <w:sz w:val="20"/>
          <w:szCs w:val="20"/>
          <w:color w:val="auto"/>
        </w:rPr>
      </w:pPr>
    </w:p>
    <w:p>
      <w:pPr>
        <w:ind w:left="440" w:right="820" w:hanging="74"/>
        <w:spacing w:after="0" w:line="285" w:lineRule="auto"/>
        <w:tabs>
          <w:tab w:leader="none" w:pos="4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number and type of shares of the Company’s common stock or other securities which thereafter may be made the subject of Awards, including the aggregate and individual limits specified in the 2022 Plan;</w:t>
      </w:r>
    </w:p>
    <w:p>
      <w:pPr>
        <w:spacing w:after="0" w:line="49" w:lineRule="exact"/>
        <w:rPr>
          <w:rFonts w:ascii="Arial" w:cs="Arial" w:eastAsia="Arial" w:hAnsi="Arial"/>
          <w:sz w:val="14"/>
          <w:szCs w:val="14"/>
          <w:color w:val="auto"/>
        </w:rPr>
      </w:pPr>
    </w:p>
    <w:p>
      <w:pPr>
        <w:ind w:left="440" w:hanging="74"/>
        <w:spacing w:after="0"/>
        <w:tabs>
          <w:tab w:leader="none" w:pos="4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number and type of shares of the Company’s common stock or other securities subject to outstanding awards under the 2022 Plan;</w:t>
      </w:r>
    </w:p>
    <w:p>
      <w:pPr>
        <w:spacing w:after="0" w:line="109" w:lineRule="exact"/>
        <w:rPr>
          <w:rFonts w:ascii="Arial" w:cs="Arial" w:eastAsia="Arial" w:hAnsi="Arial"/>
          <w:sz w:val="14"/>
          <w:szCs w:val="14"/>
          <w:color w:val="auto"/>
        </w:rPr>
      </w:pPr>
    </w:p>
    <w:p>
      <w:pPr>
        <w:ind w:left="440" w:right="440" w:hanging="74"/>
        <w:spacing w:after="0" w:line="285" w:lineRule="auto"/>
        <w:tabs>
          <w:tab w:leader="none" w:pos="4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grant, purchase, SAR base amount or option price with respect to any award, or, if deemed appropriate, make provision for a cash payment to the holder of an outstanding award; and</w:t>
      </w:r>
    </w:p>
    <w:p>
      <w:pPr>
        <w:spacing w:after="0" w:line="49" w:lineRule="exact"/>
        <w:rPr>
          <w:rFonts w:ascii="Arial" w:cs="Arial" w:eastAsia="Arial" w:hAnsi="Arial"/>
          <w:sz w:val="14"/>
          <w:szCs w:val="14"/>
          <w:color w:val="auto"/>
        </w:rPr>
      </w:pPr>
    </w:p>
    <w:p>
      <w:pPr>
        <w:ind w:left="440" w:hanging="74"/>
        <w:spacing w:after="0"/>
        <w:tabs>
          <w:tab w:leader="none" w:pos="4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other value determinations applicable to outstanding awards.</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Any such adjustments to the outstanding awards will generally be effected in a manner as to preclude the enlargement or dilution of rights and benefits under such awards. However, in no event will fractions of a share of common stock be issued and the Compensation Committee shall determine, in its discretion, whether cash shall be given in lieu of fractional shares or whether such fractional shares shall be eliminated by rounding down as appropriate.</w:t>
      </w:r>
    </w:p>
    <w:p>
      <w:pPr>
        <w:spacing w:after="0" w:line="69"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After any reorganization, merger or consolidation whether or not the Company is the surviving corporation and unless there is a provision in the sale or reorganization agreement to the contrary, each grantee will, at no additional cost, be entitled upon any exercise of an option or receipt of other award to receive (subject to any required action by shareholders), in lieu of the number of shares of common stock receivable or exercisable pursuant to such Award, the number and class of shares of stock or other securities to which such grantee would have been entitled pursuant to the terms of the reorganization, merger or consolidation if, at the time of such reorganization, merger or consolidation, such grantee had been the holder of record of a number of shares of stock equal to the number of shares receivable or exercisable pursuant to such award. Comparable rights will accrue to each grantee in the event of successive reorganizations, mergers or consolidations of the character described above. Subject to the impact of change of control described below, in the event of a change of control, the Company may (i) cancel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98425</wp:posOffset>
            </wp:positionV>
            <wp:extent cx="6995160"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auto"/>
        </w:rPr>
        <w:t>PROXY STATEMENT - 2026</w:t>
        <w:tab/>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7372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31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Principal Provisions of the 2022 Plan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consideration any outstanding awards with an exercise price that is more than the fair market value of common stock as of the change of control, and (ii) in lieu of the substituted shares, elect to pay grantee a cash payment equal to the difference between the exercise price for the award and the fair market value of the Company’s common stock as of the change of control.</w:t>
      </w:r>
    </w:p>
    <w:p>
      <w:pPr>
        <w:spacing w:after="0" w:line="65"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After any reorganization, merger or consolidation in which the Company or a subsidiary will be a surviving corporation and where such acquired or merged trade or business maintains an equity compensation plan for its employees, directors and/or consultants (the “Target Plan”), the Compensation Committee may (i) add to the number of shares of common stock that may be issued under the 2022 Plan in accordance with the plan terms, a proportionate number of shares available for issuance under the Target Plan, and/or (ii) substitute or replace outstanding awards under the Target Plan with similar awards issued under the 2022 Plan; provided that any such substitution or replacement is consummated in an equitable manner, as determined by the Compensation Committee in its discretion, including, without limitation, substitution options granted under the Target Plan with options under the 2022 Plan in accordance with Section 424 of the Code. Any such adjustments may provide for the elimination of any fractional shares which might otherwise become subject to any awards.</w:t>
      </w:r>
    </w:p>
    <w:p>
      <w:pPr>
        <w:spacing w:after="0" w:line="78"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b w:val="1"/>
          <w:bCs w:val="1"/>
          <w:color w:val="auto"/>
        </w:rPr>
        <w:t xml:space="preserve">Impact of Change of Control. </w:t>
      </w:r>
      <w:r>
        <w:rPr>
          <w:rFonts w:ascii="Arial" w:cs="Arial" w:eastAsia="Arial" w:hAnsi="Arial"/>
          <w:sz w:val="14"/>
          <w:szCs w:val="14"/>
          <w:color w:val="auto"/>
        </w:rPr>
        <w:t>The 2022 Plan provides that in the event of a change of control (as defined in the 2022 Plan), and upon a grantee’s</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termination of employment by the Company without cause or by the grantee for good reason (as defined in the 2022 Plan), within two years following the change of control, then (i) options and SARs will vest and become fully exercisable, (ii) restrictions on restricted stock awards and restricted stock units will lapse and become fully vested, (iii) any performance awards with vesting or other provisions tied to achievement of performance goals will be considered vested at target level of performance, (iv) any awards payable in cash will be paid within thirty (30) days after such termination of employees and (v) any such other additional benefits, changes or adjustments that the Compensation Committee deems appropriate and fair to apply. If in the event of a change of control, the successor company does not agree to assume or substitute the awards, then the foregoing will apply, such that the awards will accelerate and vest. For purposes of the 2022 Plan “change of control” means</w:t>
      </w:r>
    </w:p>
    <w:p>
      <w:pPr>
        <w:spacing w:after="0" w:line="78" w:lineRule="exact"/>
        <w:rPr>
          <w:sz w:val="20"/>
          <w:szCs w:val="20"/>
          <w:color w:val="auto"/>
        </w:rPr>
      </w:pPr>
    </w:p>
    <w:p>
      <w:pPr>
        <w:ind w:left="440" w:right="900" w:hanging="74"/>
        <w:spacing w:after="0" w:line="285" w:lineRule="auto"/>
        <w:tabs>
          <w:tab w:leader="none" w:pos="4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With respect to Awards that are not “deferred compensation” under Section 409A of the Code, any of the following events shall constitute a change of control:</w:t>
      </w:r>
    </w:p>
    <w:p>
      <w:pPr>
        <w:spacing w:after="0" w:line="22" w:lineRule="exact"/>
        <w:rPr>
          <w:rFonts w:ascii="Arial" w:cs="Arial" w:eastAsia="Arial" w:hAnsi="Arial"/>
          <w:sz w:val="14"/>
          <w:szCs w:val="14"/>
          <w:color w:val="auto"/>
        </w:rPr>
      </w:pPr>
    </w:p>
    <w:p>
      <w:pPr>
        <w:ind w:left="1080" w:right="120" w:hanging="354"/>
        <w:spacing w:after="0" w:line="247" w:lineRule="auto"/>
        <w:tabs>
          <w:tab w:leader="none" w:pos="10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the acquisition by any individual, entity or group (within the meaning of Section 13(d)(3) or 14(d)(2) of the Act) (a “Person”) of beneficial ownership (within the meaning of Rule 13d-3 promulgated under the Act) of fifty percent (50%) or more of either (A) the then outstanding shares of the Company (the “Outstanding Company Shares”) or(B) the combined voting power of the then outstanding voting securities of the Company entitled to vote generally in the election of directors (the “Outstanding Company Voting Securities”); provided, however, that for purposes of this subsection (i), the following acquisitions shall not constitute a change of control: (1) any acquisition directly from the Company; (2) any acquisition by the Company; (3) any acquisition by any employee benefit plan (or related trust) sponsored or maintained by the Company or any corporation controlled by the Company; or (4) any acquisition pursuant to a transaction which complies with clauses (A), (B) and (C) of subsection (iii) below; or</w:t>
      </w:r>
    </w:p>
    <w:p>
      <w:pPr>
        <w:spacing w:after="0" w:line="64" w:lineRule="exact"/>
        <w:rPr>
          <w:rFonts w:ascii="Arial" w:cs="Arial" w:eastAsia="Arial" w:hAnsi="Arial"/>
          <w:sz w:val="14"/>
          <w:szCs w:val="14"/>
          <w:color w:val="auto"/>
        </w:rPr>
      </w:pPr>
    </w:p>
    <w:p>
      <w:pPr>
        <w:ind w:left="1080" w:right="20" w:hanging="354"/>
        <w:spacing w:after="0" w:line="245" w:lineRule="auto"/>
        <w:tabs>
          <w:tab w:leader="none" w:pos="10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consummation of a reorganization, merger or consolidation or sale or other disposition of all or substantially all of the assets of the Company or the acquisition of assets of another entity (each, a “Corporate Transaction”), in each case, unless, following such Corporate Transaction, (A) all or substantially all of the individuals and entities who were the beneficial owners, respectively, of the Outstanding Company Shares and Outstanding Company Voting Securities immediately prior to such Corporate Transaction beneficially own, directly or indirectly, more than fifty percent (50%) of, respectively, the then outstanding shares and the combined voting power of the then outstanding voting securities entitled to vote generally in the election of directors, as the case may be, of the corporation or other entity resulting from such Corporate Transaction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Shares and Outstanding Company Voting Securities, as the case may be, (B) no Person (excluding any employee benefit plan or related trust of the Company or such corporation resulting from such Corporate Transaction) beneficially owns, directly or indirectly, twenty percent (20%) or more of, respectively, the then outstanding shares of the corporation resulting from such Corporate Transaction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97790</wp:posOffset>
            </wp:positionV>
            <wp:extent cx="6995160"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102</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7372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271" w:lineRule="exact"/>
        <w:rPr>
          <w:sz w:val="20"/>
          <w:szCs w:val="20"/>
          <w:color w:val="auto"/>
        </w:rPr>
      </w:pPr>
    </w:p>
    <w:p>
      <w:pPr>
        <w:ind w:left="340" w:right="54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Principal Provisions of the 2022 Plan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left="1080" w:right="60"/>
        <w:spacing w:after="0" w:line="252" w:lineRule="auto"/>
        <w:rPr>
          <w:sz w:val="20"/>
          <w:szCs w:val="20"/>
          <w:color w:val="auto"/>
        </w:rPr>
      </w:pPr>
      <w:r>
        <w:rPr>
          <w:rFonts w:ascii="Arial" w:cs="Arial" w:eastAsia="Arial" w:hAnsi="Arial"/>
          <w:sz w:val="14"/>
          <w:szCs w:val="14"/>
          <w:color w:val="auto"/>
        </w:rPr>
        <w:t>combined voting power of the then outstanding voting securities of such corporation except to the extent that such ownership of the Company existed prior to the Corporate Transaction and (C) at least a majority of the members of the board of directors of the corporation (or other governing board of a non-corporate entity) resulting from such Corporate Transaction were members of the Incumbent Board (as defined in subsection (iv)) at the time of the execution of the initial agreement, or of the action of the Board, providing for such Corporate Transaction; or</w:t>
      </w:r>
    </w:p>
    <w:p>
      <w:pPr>
        <w:spacing w:after="0" w:line="46" w:lineRule="exact"/>
        <w:rPr>
          <w:sz w:val="20"/>
          <w:szCs w:val="20"/>
          <w:color w:val="auto"/>
        </w:rPr>
      </w:pPr>
    </w:p>
    <w:p>
      <w:pPr>
        <w:ind w:left="1080" w:right="80" w:hanging="354"/>
        <w:spacing w:after="0" w:line="248" w:lineRule="auto"/>
        <w:tabs>
          <w:tab w:leader="none" w:pos="10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individuals who, as of June 7, 2022, constitute the Board (the “Incumbent Board”) cease for any reason to constitute at least a majority of the Board; provided, however, that any individual becoming a director subsequent to June 7, 2022 whose election, or nomination for election by the Company’s shareholders, was approved by a vote of at least two-thirds (2/3)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77" w:lineRule="exact"/>
        <w:rPr>
          <w:rFonts w:ascii="Arial" w:cs="Arial" w:eastAsia="Arial" w:hAnsi="Arial"/>
          <w:sz w:val="14"/>
          <w:szCs w:val="14"/>
          <w:color w:val="auto"/>
        </w:rPr>
      </w:pPr>
    </w:p>
    <w:p>
      <w:pPr>
        <w:ind w:left="1160" w:right="400" w:hanging="74"/>
        <w:spacing w:after="0" w:line="250" w:lineRule="auto"/>
        <w:tabs>
          <w:tab w:leader="none" w:pos="1160" w:val="left"/>
        </w:tabs>
        <w:numPr>
          <w:ilvl w:val="1"/>
          <w:numId w:val="85"/>
        </w:numPr>
        <w:rPr>
          <w:rFonts w:ascii="Arial" w:cs="Arial" w:eastAsia="Arial" w:hAnsi="Arial"/>
          <w:sz w:val="14"/>
          <w:szCs w:val="14"/>
          <w:color w:val="auto"/>
        </w:rPr>
      </w:pPr>
      <w:r>
        <w:rPr>
          <w:rFonts w:ascii="Arial" w:cs="Arial" w:eastAsia="Arial" w:hAnsi="Arial"/>
          <w:sz w:val="14"/>
          <w:szCs w:val="14"/>
          <w:color w:val="auto"/>
        </w:rPr>
        <w:t>With respect to awards that are “deferred compensation” under Section 409A of the Code, to the extent necessary to avoid incurring adverse tax consequences under Section 409A of the Code with respect to such awards, each of the foregoing events shall only be deemed to be a change of control for purposes of the 2022 Plan to the extent such event qualifies as a “change in control event” for purposes of Section 409A of the Code. The Company will be entitled to amend or interpret the terms of any award to the extent necessary to avoid adverse Federal income tax consequences to a grantee under Section 409A of the Code.</w:t>
      </w:r>
    </w:p>
    <w:p>
      <w:pPr>
        <w:spacing w:after="0" w:line="74" w:lineRule="exact"/>
        <w:rPr>
          <w:sz w:val="20"/>
          <w:szCs w:val="20"/>
          <w:color w:val="auto"/>
        </w:rPr>
      </w:pPr>
    </w:p>
    <w:p>
      <w:pPr>
        <w:spacing w:after="0" w:line="245" w:lineRule="auto"/>
        <w:rPr>
          <w:sz w:val="20"/>
          <w:szCs w:val="20"/>
          <w:color w:val="auto"/>
        </w:rPr>
      </w:pPr>
      <w:r>
        <w:rPr>
          <w:rFonts w:ascii="Arial" w:cs="Arial" w:eastAsia="Arial" w:hAnsi="Arial"/>
          <w:sz w:val="14"/>
          <w:szCs w:val="14"/>
          <w:b w:val="1"/>
          <w:bCs w:val="1"/>
          <w:color w:val="auto"/>
        </w:rPr>
        <w:t xml:space="preserve">No Repricing Without Shareholder Approval. </w:t>
      </w:r>
      <w:r>
        <w:rPr>
          <w:rFonts w:ascii="Arial" w:cs="Arial" w:eastAsia="Arial" w:hAnsi="Arial"/>
          <w:sz w:val="14"/>
          <w:szCs w:val="14"/>
          <w:color w:val="auto"/>
        </w:rPr>
        <w:t>The 2022 Plan prohibits the repricing of stock options and SARs without first obtaining shareholder</w:t>
      </w:r>
      <w:r>
        <w:rPr>
          <w:rFonts w:ascii="Arial" w:cs="Arial" w:eastAsia="Arial" w:hAnsi="Arial"/>
          <w:sz w:val="14"/>
          <w:szCs w:val="14"/>
          <w:b w:val="1"/>
          <w:bCs w:val="1"/>
          <w:color w:val="auto"/>
        </w:rPr>
        <w:t xml:space="preserve"> </w:t>
      </w:r>
      <w:r>
        <w:rPr>
          <w:rFonts w:ascii="Arial" w:cs="Arial" w:eastAsia="Arial" w:hAnsi="Arial"/>
          <w:sz w:val="14"/>
          <w:szCs w:val="14"/>
          <w:color w:val="auto"/>
        </w:rPr>
        <w:t>approval. Specifically, except in connection with anti-dilution and similar equitable adjustments to awards to account for certain business transactions or other changes in capital structure, without first obtaining approval of the Company’s shareholders, the base amount or exercise price, as applicable, of stock options or SARs may not be reduced, whether through amendment, cancellation or replacement grant, or any other means. While not intended to be a substantive change to this provision, to conform to current drafting conventions, the 2022 Plan revises and elaborates on the wording of this provision to explicitly state that, except in connection with anti-dilution and similar equitable adjustments to awards to account for certain business transactions or other changes in capital structure, without first obtaining approval of the Company’s shareholders, we may not (1) cancel, surrender, replace or otherwise exchange any outstanding stock option or SAR where the fair market value of the common stock underlying such stock option or SAR is less than its exercise price for a new stock option or SAR, another award, cash, shares of common stock or other securities; or (2) take any other action that is considered a “repricing” for purposes of the shareholder approval rules of the applicable securities exchange or inter-dealer quotation system on which the Company’s common stock is listed or quoted.</w:t>
      </w:r>
    </w:p>
    <w:p>
      <w:pPr>
        <w:spacing w:after="0" w:line="82"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b w:val="1"/>
          <w:bCs w:val="1"/>
          <w:color w:val="auto"/>
        </w:rPr>
        <w:t xml:space="preserve">Inalienability of Rights and Interests. </w:t>
      </w:r>
      <w:r>
        <w:rPr>
          <w:rFonts w:ascii="Arial" w:cs="Arial" w:eastAsia="Arial" w:hAnsi="Arial"/>
          <w:sz w:val="14"/>
          <w:szCs w:val="14"/>
          <w:color w:val="auto"/>
        </w:rPr>
        <w:t>The rights and interests of a holder under the 2022 Plan are personal to the holder and to any person or</w:t>
      </w:r>
      <w:r>
        <w:rPr>
          <w:rFonts w:ascii="Arial" w:cs="Arial" w:eastAsia="Arial" w:hAnsi="Arial"/>
          <w:sz w:val="14"/>
          <w:szCs w:val="14"/>
          <w:b w:val="1"/>
          <w:bCs w:val="1"/>
          <w:color w:val="auto"/>
        </w:rPr>
        <w:t xml:space="preserve"> </w:t>
      </w:r>
      <w:r>
        <w:rPr>
          <w:rFonts w:ascii="Arial" w:cs="Arial" w:eastAsia="Arial" w:hAnsi="Arial"/>
          <w:sz w:val="14"/>
          <w:szCs w:val="14"/>
          <w:color w:val="auto"/>
        </w:rPr>
        <w:t>persons who may become entitled to distribution or payments under the 2022 Plan by reason of death of the holder, and the rights and interests of the holder or any such person (including, without limitation, any award distributable or payable under the 2022 Plan) will not be subject in any manner to alienation, sale, transfer, assignment, pledge, encumbrance or charge, and any such attempted action shall be void and no such benefit or interest shall be in any manner liable for or subject to debts, contracts, liabilities, engagements or torts of any holder. If any holder shall attempt to alienate, sell, transfer, assign, pledge, encumber or charge any of his rights or interests under the 2022 Plan, (including without limitation, any award payable under the 2022 Plan) then the Compensation Committee may hold or apply such benefit or any part thereof to or for the benefit of such holder in such manner and in such proportions as the Compensation Committee may consider proper. Notwithstanding the foregoing, the holder, subject to the approval of the Company may elect to irrevocably transfer some or all of an award to a family member; provided, however, that: (i) the award, once transferred, may not again be transferred except by will or by the laws of descent and distribution; (ii) the award, once transferred, shall remain subject to the same terms and conditions of the award in effect before the transfer and the transferee of the award (the “Transferee”) must comply with all other provisions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107950</wp:posOffset>
            </wp:positionV>
            <wp:extent cx="6995160"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auto"/>
        </w:rPr>
        <w:t>PROXY STATEMENT - 2026</w:t>
        <w:tab/>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7372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31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Principal Provisions of the 2022 Plan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and (iii) the holder receives no consideration for such transfer. No transferred award will be exercisable following a transfer unless the Compensation Committee receives written notice from the Compensation Committee, in its sole discretion, to the effect that a transfer of the award has occurred and the notice identifies the award transferred, the identity of the Transferee and his or her relationship to the holder.</w:t>
      </w:r>
    </w:p>
    <w:p>
      <w:pPr>
        <w:spacing w:after="0" w:line="65"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b w:val="1"/>
          <w:bCs w:val="1"/>
          <w:color w:val="auto"/>
        </w:rPr>
        <w:t xml:space="preserve">Withholding Taxes. </w:t>
      </w:r>
      <w:r>
        <w:rPr>
          <w:rFonts w:ascii="Arial" w:cs="Arial" w:eastAsia="Arial" w:hAnsi="Arial"/>
          <w:sz w:val="14"/>
          <w:szCs w:val="14"/>
          <w:color w:val="auto"/>
        </w:rPr>
        <w:t>The 2022 Plan authorizes us to withhold taxes due with respect to awards in cash, shares of our Common Stock, other</w:t>
      </w:r>
      <w:r>
        <w:rPr>
          <w:rFonts w:ascii="Arial" w:cs="Arial" w:eastAsia="Arial" w:hAnsi="Arial"/>
          <w:sz w:val="14"/>
          <w:szCs w:val="14"/>
          <w:b w:val="1"/>
          <w:bCs w:val="1"/>
          <w:color w:val="auto"/>
        </w:rPr>
        <w:t xml:space="preserve"> </w:t>
      </w:r>
      <w:r>
        <w:rPr>
          <w:rFonts w:ascii="Arial" w:cs="Arial" w:eastAsia="Arial" w:hAnsi="Arial"/>
          <w:sz w:val="14"/>
          <w:szCs w:val="14"/>
          <w:color w:val="auto"/>
        </w:rPr>
        <w:t>securities or other awards. While not intended to be a substantive change, the 2022 Plan revises this provision in light of changes to applicable accounting rules to address certain limitations applicable when tax withholding is satisfied via tendering, withholding or returning of shares of our Common Stock, including the condition that such withholding may not exceed, in the case of shares underlying awards that are withheld or returned, the maximum statutory tax rates of the grantee’s applicable jurisdiction (or such other rate as would not trigger a negative accounting impact).</w:t>
      </w:r>
    </w:p>
    <w:p>
      <w:pPr>
        <w:spacing w:after="0" w:line="241" w:lineRule="exact"/>
        <w:rPr>
          <w:sz w:val="20"/>
          <w:szCs w:val="20"/>
          <w:color w:val="auto"/>
        </w:rPr>
      </w:pPr>
    </w:p>
    <w:p>
      <w:pPr>
        <w:spacing w:after="0" w:line="252" w:lineRule="auto"/>
        <w:rPr>
          <w:sz w:val="20"/>
          <w:szCs w:val="20"/>
          <w:color w:val="auto"/>
        </w:rPr>
      </w:pPr>
      <w:r>
        <w:rPr>
          <w:rFonts w:ascii="Arial" w:cs="Arial" w:eastAsia="Arial" w:hAnsi="Arial"/>
          <w:sz w:val="14"/>
          <w:szCs w:val="14"/>
          <w:b w:val="1"/>
          <w:bCs w:val="1"/>
          <w:color w:val="auto"/>
        </w:rPr>
        <w:t xml:space="preserve">Section 409A Provisions. </w:t>
      </w:r>
      <w:r>
        <w:rPr>
          <w:rFonts w:ascii="Arial" w:cs="Arial" w:eastAsia="Arial" w:hAnsi="Arial"/>
          <w:sz w:val="14"/>
          <w:szCs w:val="14"/>
          <w:color w:val="auto"/>
        </w:rPr>
        <w:t>The 2022 Plan contains provisions relating to Section 409A of the Code. The 2022 Plan makes technical changes to</w:t>
      </w:r>
      <w:r>
        <w:rPr>
          <w:rFonts w:ascii="Arial" w:cs="Arial" w:eastAsia="Arial" w:hAnsi="Arial"/>
          <w:sz w:val="14"/>
          <w:szCs w:val="14"/>
          <w:b w:val="1"/>
          <w:bCs w:val="1"/>
          <w:color w:val="auto"/>
        </w:rPr>
        <w:t xml:space="preserve"> </w:t>
      </w:r>
      <w:r>
        <w:rPr>
          <w:rFonts w:ascii="Arial" w:cs="Arial" w:eastAsia="Arial" w:hAnsi="Arial"/>
          <w:sz w:val="14"/>
          <w:szCs w:val="14"/>
          <w:color w:val="auto"/>
        </w:rPr>
        <w:t>these provisions, including to provide that all awards made under the 2022 Plan are intended to be exempt from or, in the alternative, to comply with Section 409A of the Code and the interpretive guidance thereunder, including the exceptions for stock rights and short-term deferrals, and that the 2022 Plan will be construed and interpreted in accordance with such intent. The 2022 Plan also clarifies that each payment under an award is treated as a separate payment for purposes of Section 409A of the Code.</w:t>
      </w:r>
    </w:p>
    <w:p>
      <w:pPr>
        <w:spacing w:after="0" w:line="73"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b w:val="1"/>
          <w:bCs w:val="1"/>
          <w:color w:val="auto"/>
        </w:rPr>
        <w:t xml:space="preserve">Clawback. </w:t>
      </w:r>
      <w:r>
        <w:rPr>
          <w:rFonts w:ascii="Arial" w:cs="Arial" w:eastAsia="Arial" w:hAnsi="Arial"/>
          <w:sz w:val="14"/>
          <w:szCs w:val="14"/>
          <w:color w:val="auto"/>
        </w:rPr>
        <w:t>All outstanding awards constitute “incentive compensation” (as defined in the Company’s clawback policy and pursuant to which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Committee may cancel any award to the extent that the terms of the clawback policy so provide.</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following is a summary of certain federal income tax aspects of stock options which may be awarded under the 2022 Plan based upon the laws in effect on the date hereof.</w:t>
      </w:r>
    </w:p>
    <w:p>
      <w:pPr>
        <w:spacing w:after="0" w:line="50" w:lineRule="exact"/>
        <w:rPr>
          <w:sz w:val="20"/>
          <w:szCs w:val="20"/>
          <w:color w:val="auto"/>
        </w:rPr>
      </w:pPr>
    </w:p>
    <w:p>
      <w:pPr>
        <w:jc w:val="both"/>
        <w:ind w:right="200"/>
        <w:spacing w:after="0" w:line="263" w:lineRule="auto"/>
        <w:rPr>
          <w:sz w:val="20"/>
          <w:szCs w:val="20"/>
          <w:color w:val="auto"/>
        </w:rPr>
      </w:pPr>
      <w:r>
        <w:rPr>
          <w:rFonts w:ascii="Arial" w:cs="Arial" w:eastAsia="Arial" w:hAnsi="Arial"/>
          <w:sz w:val="14"/>
          <w:szCs w:val="14"/>
          <w:b w:val="1"/>
          <w:bCs w:val="1"/>
          <w:color w:val="auto"/>
        </w:rPr>
        <w:t xml:space="preserve">Nonqualified Stock Options. </w:t>
      </w:r>
      <w:r>
        <w:rPr>
          <w:rFonts w:ascii="Arial" w:cs="Arial" w:eastAsia="Arial" w:hAnsi="Arial"/>
          <w:sz w:val="14"/>
          <w:szCs w:val="14"/>
          <w:color w:val="auto"/>
        </w:rPr>
        <w:t>A participant will generally not recognize any taxable income upon the grant of a nonqualified stock option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will not receive a deduction at the time of such grant. Upon exercise of a nonqualified stock option, the participant generally will realize ordinary income in an amount equal to the excess of the fair market value of our common stock on the date of exercise over the exercise price.</w:t>
      </w:r>
    </w:p>
    <w:p>
      <w:pPr>
        <w:spacing w:after="0" w:line="65"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b w:val="1"/>
          <w:bCs w:val="1"/>
          <w:color w:val="auto"/>
        </w:rPr>
        <w:t xml:space="preserve">Incentive Stock Options. </w:t>
      </w:r>
      <w:r>
        <w:rPr>
          <w:rFonts w:ascii="Arial" w:cs="Arial" w:eastAsia="Arial" w:hAnsi="Arial"/>
          <w:sz w:val="14"/>
          <w:szCs w:val="14"/>
          <w:color w:val="auto"/>
        </w:rPr>
        <w:t>No taxable income is recognized by a participant at the time of grant of an incentive stock option, and no taxable income</w:t>
      </w:r>
      <w:r>
        <w:rPr>
          <w:rFonts w:ascii="Arial" w:cs="Arial" w:eastAsia="Arial" w:hAnsi="Arial"/>
          <w:sz w:val="14"/>
          <w:szCs w:val="14"/>
          <w:b w:val="1"/>
          <w:bCs w:val="1"/>
          <w:color w:val="auto"/>
        </w:rPr>
        <w:t xml:space="preserve"> </w:t>
      </w:r>
      <w:r>
        <w:rPr>
          <w:rFonts w:ascii="Arial" w:cs="Arial" w:eastAsia="Arial" w:hAnsi="Arial"/>
          <w:sz w:val="14"/>
          <w:szCs w:val="14"/>
          <w:color w:val="auto"/>
        </w:rPr>
        <w:t>is generally recognized at the time the option is exercised. (However, the excess of the fair market value of the Company’s common stock received upon exercise over the option exercise price is an item of tax preference income which may be subject to the alternative minimum tax.) Instead, the participant will recognize taxable income in the year in which the acquired shares are sold or otherwise disposed of. If the sale or other disposition is made after the participant has held the shares for more than two years after the option grant date and more than one year after the date on which the shares are transferred to the participant (referred to as a “qualifying disposition”) pursuant to the option’s exercise, any gain or loss, generally measured by the difference between the amount realized on the sale of shares and the option exercise price, will be treated as long-term capital gain or loss. However, if either of these two holding period requirements is not satisfied (referred to as a “disqualifying disposition”), then upon the disqualifying disposition, the participant generally recognizes ordinary income in the amount of the lesser of (i) the difference between the fair market value of the shares at the time of the option’s exercise and the option’s exercise price, or (ii) the difference between the amount realized on the sale and the option’s exercise price. Any ordinary income recognized is added to the participant’s basis for purposes of determining any additional gain on the sale and any such additional gain will be capital gain.</w:t>
      </w:r>
    </w:p>
    <w:p>
      <w:pPr>
        <w:spacing w:after="0" w:line="80"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b w:val="1"/>
          <w:bCs w:val="1"/>
          <w:color w:val="auto"/>
        </w:rPr>
        <w:t xml:space="preserve">SARs. </w:t>
      </w:r>
      <w:r>
        <w:rPr>
          <w:rFonts w:ascii="Arial" w:cs="Arial" w:eastAsia="Arial" w:hAnsi="Arial"/>
          <w:sz w:val="14"/>
          <w:szCs w:val="14"/>
          <w:color w:val="auto"/>
        </w:rPr>
        <w:t>The grant of a SAR will generally not create any tax consequences for the participant or the Company. Upon the exercise of a SAR,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will recognize ordinary income in an amount equal to the cash or fair market value of the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88900</wp:posOffset>
            </wp:positionV>
            <wp:extent cx="6995160"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104</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7372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27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U.S. Federal Income Tax Consequences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stock received from the exercise. The participant’s tax basis in any shares of common stock received upon the exercise of the SAR will be equal to the ordinary income recognized with respect to the shares. Upon disposition of the shares, the participant will recognize capital gain or loss equal to the difference between the amount realized and his or her basis in the shares.</w:t>
      </w:r>
    </w:p>
    <w:p>
      <w:pPr>
        <w:spacing w:after="0" w:line="65"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b w:val="1"/>
          <w:bCs w:val="1"/>
          <w:color w:val="auto"/>
        </w:rPr>
        <w:t xml:space="preserve">Restricted Stock. </w:t>
      </w:r>
      <w:r>
        <w:rPr>
          <w:rFonts w:ascii="Arial" w:cs="Arial" w:eastAsia="Arial" w:hAnsi="Arial"/>
          <w:sz w:val="14"/>
          <w:szCs w:val="14"/>
          <w:color w:val="auto"/>
        </w:rPr>
        <w:t>In general, a participant will not recognize income with respect to restricted stock awards, including restricted stock with</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performance-based vesting conditions, until the date that the restrictions lapse. Upon vesting, the participant will recognize ordinary income in an amount equal to the difference of the amount paid for such stock (if any) and the fair market value of the shares received. Generally, the participant’s tax basis in any shares is the amount included in his or her income and the amount paid for the stock (if any), and the participant’s holding period in the shares commences on the day after the restrictions lapse. Upon disposition of the shares, the participant will recognize capital gain or loss equal to the difference between the amount realized and his or her basis in the shares.</w:t>
      </w:r>
    </w:p>
    <w:p>
      <w:pPr>
        <w:spacing w:after="0" w:line="74"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A participant receiving restricted stock, including restricted stock with performance-based vesting conditions, may, however, make an election under Section 83(b) of the Code, commonly referred to as a “section 83(b) election,” to recognize as ordinary compensation income in the year that such restricted stock is granted, the amount equal to the spread between the amount paid for such stock (if any) and the fair market value on the date of the issuance of the stock. If such an election is made, the participant recognizes no further amounts of compensation income upon the lapse of any restrictions and any gain or loss on subsequent disposition will be long or short-term capital gain to the recipient. The section 83(b) election must be made within 30 days from the time the restricted stock is issued.</w:t>
      </w:r>
    </w:p>
    <w:p>
      <w:pPr>
        <w:spacing w:after="0" w:line="74" w:lineRule="exact"/>
        <w:rPr>
          <w:sz w:val="20"/>
          <w:szCs w:val="20"/>
          <w:color w:val="auto"/>
        </w:rPr>
      </w:pPr>
    </w:p>
    <w:p>
      <w:pPr>
        <w:spacing w:after="0" w:line="250" w:lineRule="auto"/>
        <w:rPr>
          <w:sz w:val="20"/>
          <w:szCs w:val="20"/>
          <w:color w:val="auto"/>
        </w:rPr>
      </w:pPr>
      <w:r>
        <w:rPr>
          <w:rFonts w:ascii="Arial" w:cs="Arial" w:eastAsia="Arial" w:hAnsi="Arial"/>
          <w:sz w:val="14"/>
          <w:szCs w:val="14"/>
          <w:b w:val="1"/>
          <w:bCs w:val="1"/>
          <w:color w:val="auto"/>
        </w:rPr>
        <w:t xml:space="preserve">Restricted Stock Units (including performance-based). </w:t>
      </w:r>
      <w:r>
        <w:rPr>
          <w:rFonts w:ascii="Arial" w:cs="Arial" w:eastAsia="Arial" w:hAnsi="Arial"/>
          <w:sz w:val="14"/>
          <w:szCs w:val="14"/>
          <w:color w:val="auto"/>
        </w:rPr>
        <w:t>In general, a participant will not recognize income with respect to restricted stock unit</w:t>
      </w:r>
      <w:r>
        <w:rPr>
          <w:rFonts w:ascii="Arial" w:cs="Arial" w:eastAsia="Arial" w:hAnsi="Arial"/>
          <w:sz w:val="14"/>
          <w:szCs w:val="14"/>
          <w:b w:val="1"/>
          <w:bCs w:val="1"/>
          <w:color w:val="auto"/>
        </w:rPr>
        <w:t xml:space="preserve"> </w:t>
      </w:r>
      <w:r>
        <w:rPr>
          <w:rFonts w:ascii="Arial" w:cs="Arial" w:eastAsia="Arial" w:hAnsi="Arial"/>
          <w:sz w:val="14"/>
          <w:szCs w:val="14"/>
          <w:color w:val="auto"/>
        </w:rPr>
        <w:t>awards until there is a settlement of the award, unless Section 409A of the Code applies. Upon settlement, the participant will recognize ordinary income in an amount equal to the cash or fair market value of the shares received. The participant’s tax basis in any shares received is the amount included in his or her income, and the participant’s holding period in the shares commences on the day after receipt of the shares. Upon disposition of the shares received upon settlement of the restricted stock units, the participant will recognize capital gain or loss equal to the difference between the amount realized and his or her basis in the shares.</w:t>
      </w:r>
    </w:p>
    <w:p>
      <w:pPr>
        <w:spacing w:after="0" w:line="74"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b w:val="1"/>
          <w:bCs w:val="1"/>
          <w:color w:val="auto"/>
        </w:rPr>
        <w:t xml:space="preserve">Company Deductions. </w:t>
      </w:r>
      <w:r>
        <w:rPr>
          <w:rFonts w:ascii="Arial" w:cs="Arial" w:eastAsia="Arial" w:hAnsi="Arial"/>
          <w:sz w:val="14"/>
          <w:szCs w:val="14"/>
          <w:color w:val="auto"/>
        </w:rPr>
        <w:t>As a general rule, the Company or one of its subsidiaries will be entitled to a deduction for federal income tax purposes at</w:t>
      </w:r>
      <w:r>
        <w:rPr>
          <w:rFonts w:ascii="Arial" w:cs="Arial" w:eastAsia="Arial" w:hAnsi="Arial"/>
          <w:sz w:val="14"/>
          <w:szCs w:val="14"/>
          <w:b w:val="1"/>
          <w:bCs w:val="1"/>
          <w:color w:val="auto"/>
        </w:rPr>
        <w:t xml:space="preserve"> </w:t>
      </w:r>
      <w:r>
        <w:rPr>
          <w:rFonts w:ascii="Arial" w:cs="Arial" w:eastAsia="Arial" w:hAnsi="Arial"/>
          <w:sz w:val="14"/>
          <w:szCs w:val="14"/>
          <w:color w:val="auto"/>
        </w:rPr>
        <w:t>the same time and in the same amount that a participant recognizes ordinary income from awards under the 2022 Plan, to the extent such income is considered reasonable compensation under the Code. The Company will not, however, be entitled to a deduction with respect to payments which are contingent upon a change in control if such payments are deemed to constitute “excess parachute payments” pursuant to Section 280G of the Code and do not qualify as reasonable compensation pursuant to that Section. Such payments will subject the recipients to a 20% excise tax. In addition, the Company will not be entitled to a deduction to the extent compensation in excess of $1 million per individual per year is paid to certain current and former executive officers of the Company.</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No grants under the 2022 Plan have been made that are conditioned upon approval of the proposed amendment to the 2022 Plan. The number and types of awards that will be granted under the amended 2022 Plan in the future are not determinable, as the Compensation Committee will make these determinations in its sole discretion. Therefore, a New Plan Benefits Table is not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140" w:val="left"/>
        </w:tabs>
        <w:rPr>
          <w:sz w:val="20"/>
          <w:szCs w:val="20"/>
          <w:color w:val="auto"/>
        </w:rPr>
      </w:pPr>
      <w:r>
        <w:rPr>
          <w:rFonts w:ascii="Arial" w:cs="Arial" w:eastAsia="Arial" w:hAnsi="Arial"/>
          <w:sz w:val="14"/>
          <w:szCs w:val="14"/>
          <w:color w:val="auto"/>
        </w:rPr>
        <w:t>PROXY STATEMENT - 2026</w:t>
        <w:tab/>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7372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31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Stock Awards Granted Under the 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The table below reflects all equity awards granted under the 2022 Plan from its adoption through April 15, 2026 to the individuals and groups listed in the table. Note that the amounts in the table reflect the actual number of shares underlying awards, not the shares that are counted against the 2022 Plan’s share reserve with respect to full-value awards, as described under “Number of Shares Available for Issuance” above. As of April 15, 2026, the closing price of the Company’s common stock was $16.01.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40" w:type="dxa"/>
            <w:vAlign w:val="bottom"/>
            <w:tcBorders>
              <w:top w:val="single" w:sz="8" w:color="69439A"/>
            </w:tcBorders>
            <w:shd w:val="clear" w:color="auto" w:fill="010035"/>
          </w:tcPr>
          <w:p>
            <w:pPr>
              <w:spacing w:after="0"/>
              <w:rPr>
                <w:sz w:val="24"/>
                <w:szCs w:val="24"/>
                <w:color w:val="auto"/>
              </w:rPr>
            </w:pPr>
          </w:p>
        </w:tc>
        <w:tc>
          <w:tcPr>
            <w:tcW w:w="4160" w:type="dxa"/>
            <w:vAlign w:val="bottom"/>
            <w:tcBorders>
              <w:top w:val="single" w:sz="8" w:color="69439A"/>
            </w:tcBorders>
            <w:shd w:val="clear" w:color="auto" w:fill="010035"/>
          </w:tcPr>
          <w:p>
            <w:pPr>
              <w:spacing w:after="0"/>
              <w:rPr>
                <w:sz w:val="24"/>
                <w:szCs w:val="24"/>
                <w:color w:val="auto"/>
              </w:rPr>
            </w:pPr>
          </w:p>
        </w:tc>
        <w:tc>
          <w:tcPr>
            <w:tcW w:w="90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STOCK</w:t>
            </w:r>
          </w:p>
        </w:tc>
        <w:tc>
          <w:tcPr>
            <w:tcW w:w="760" w:type="dxa"/>
            <w:vAlign w:val="bottom"/>
            <w:tcBorders>
              <w:top w:val="single" w:sz="8" w:color="69439A"/>
            </w:tcBorders>
            <w:shd w:val="clear" w:color="auto" w:fill="010035"/>
          </w:tcPr>
          <w:p>
            <w:pPr>
              <w:spacing w:after="0"/>
              <w:rPr>
                <w:sz w:val="24"/>
                <w:szCs w:val="24"/>
                <w:color w:val="auto"/>
              </w:rPr>
            </w:pPr>
          </w:p>
        </w:tc>
        <w:tc>
          <w:tcPr>
            <w:tcW w:w="114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RESTRICTED</w:t>
            </w:r>
          </w:p>
        </w:tc>
        <w:tc>
          <w:tcPr>
            <w:tcW w:w="114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rPr>
              <w:t>RESTRICTED</w:t>
            </w:r>
          </w:p>
        </w:tc>
        <w:tc>
          <w:tcPr>
            <w:tcW w:w="1260" w:type="dxa"/>
            <w:vAlign w:val="bottom"/>
            <w:tcBorders>
              <w:top w:val="single" w:sz="8" w:color="69439A"/>
            </w:tcBorders>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PERFORMANCE</w:t>
            </w: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4160" w:type="dxa"/>
            <w:vAlign w:val="bottom"/>
            <w:vMerge w:val="restart"/>
            <w:shd w:val="clear" w:color="auto" w:fill="010035"/>
          </w:tcPr>
          <w:p>
            <w:pPr>
              <w:ind w:left="40"/>
              <w:spacing w:after="0"/>
              <w:rPr>
                <w:sz w:val="20"/>
                <w:szCs w:val="20"/>
                <w:color w:val="auto"/>
              </w:rPr>
            </w:pPr>
            <w:r>
              <w:rPr>
                <w:rFonts w:ascii="Arial" w:cs="Arial" w:eastAsia="Arial" w:hAnsi="Arial"/>
                <w:sz w:val="14"/>
                <w:szCs w:val="14"/>
                <w:b w:val="1"/>
                <w:bCs w:val="1"/>
                <w:color w:val="FFFFFF"/>
              </w:rPr>
              <w:t>NAME AND TITLE</w:t>
            </w:r>
          </w:p>
        </w:tc>
        <w:tc>
          <w:tcPr>
            <w:tcW w:w="900" w:type="dxa"/>
            <w:vAlign w:val="bottom"/>
            <w:vMerge w:val="continue"/>
            <w:shd w:val="clear" w:color="auto" w:fill="010035"/>
          </w:tcPr>
          <w:p>
            <w:pPr>
              <w:spacing w:after="0"/>
              <w:rPr>
                <w:sz w:val="7"/>
                <w:szCs w:val="7"/>
                <w:color w:val="auto"/>
              </w:rPr>
            </w:pPr>
          </w:p>
        </w:tc>
        <w:tc>
          <w:tcPr>
            <w:tcW w:w="760" w:type="dxa"/>
            <w:vAlign w:val="bottom"/>
            <w:vMerge w:val="restart"/>
            <w:shd w:val="clear" w:color="auto" w:fill="010035"/>
          </w:tcPr>
          <w:p>
            <w:pPr>
              <w:ind w:left="200"/>
              <w:spacing w:after="0"/>
              <w:rPr>
                <w:sz w:val="20"/>
                <w:szCs w:val="20"/>
                <w:color w:val="auto"/>
              </w:rPr>
            </w:pPr>
            <w:r>
              <w:rPr>
                <w:rFonts w:ascii="Arial" w:cs="Arial" w:eastAsia="Arial" w:hAnsi="Arial"/>
                <w:sz w:val="14"/>
                <w:szCs w:val="14"/>
                <w:b w:val="1"/>
                <w:bCs w:val="1"/>
                <w:color w:val="FFFFFF"/>
              </w:rPr>
              <w:t>SARS</w:t>
            </w:r>
          </w:p>
        </w:tc>
        <w:tc>
          <w:tcPr>
            <w:tcW w:w="114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STOCK</w:t>
            </w:r>
          </w:p>
        </w:tc>
        <w:tc>
          <w:tcPr>
            <w:tcW w:w="114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rPr>
              <w:t>STOCK</w:t>
            </w:r>
          </w:p>
        </w:tc>
        <w:tc>
          <w:tcPr>
            <w:tcW w:w="1260" w:type="dxa"/>
            <w:vAlign w:val="bottom"/>
            <w:vMerge w:val="continue"/>
            <w:shd w:val="clear" w:color="auto" w:fill="01003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4160" w:type="dxa"/>
            <w:vAlign w:val="bottom"/>
            <w:vMerge w:val="continue"/>
            <w:shd w:val="clear" w:color="auto" w:fill="010035"/>
          </w:tcPr>
          <w:p>
            <w:pPr>
              <w:spacing w:after="0"/>
              <w:rPr>
                <w:sz w:val="7"/>
                <w:szCs w:val="7"/>
                <w:color w:val="auto"/>
              </w:rPr>
            </w:pPr>
          </w:p>
        </w:tc>
        <w:tc>
          <w:tcPr>
            <w:tcW w:w="90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OPTIONS</w:t>
            </w:r>
          </w:p>
        </w:tc>
        <w:tc>
          <w:tcPr>
            <w:tcW w:w="760" w:type="dxa"/>
            <w:vAlign w:val="bottom"/>
            <w:vMerge w:val="continue"/>
            <w:shd w:val="clear" w:color="auto" w:fill="010035"/>
          </w:tcPr>
          <w:p>
            <w:pPr>
              <w:spacing w:after="0"/>
              <w:rPr>
                <w:sz w:val="7"/>
                <w:szCs w:val="7"/>
                <w:color w:val="auto"/>
              </w:rPr>
            </w:pPr>
          </w:p>
        </w:tc>
        <w:tc>
          <w:tcPr>
            <w:tcW w:w="1140" w:type="dxa"/>
            <w:vAlign w:val="bottom"/>
            <w:vMerge w:val="continue"/>
            <w:shd w:val="clear" w:color="auto" w:fill="010035"/>
          </w:tcPr>
          <w:p>
            <w:pPr>
              <w:spacing w:after="0"/>
              <w:rPr>
                <w:sz w:val="7"/>
                <w:szCs w:val="7"/>
                <w:color w:val="auto"/>
              </w:rPr>
            </w:pPr>
          </w:p>
        </w:tc>
        <w:tc>
          <w:tcPr>
            <w:tcW w:w="1140" w:type="dxa"/>
            <w:vAlign w:val="bottom"/>
            <w:vMerge w:val="continue"/>
            <w:shd w:val="clear" w:color="auto" w:fill="010035"/>
          </w:tcPr>
          <w:p>
            <w:pPr>
              <w:spacing w:after="0"/>
              <w:rPr>
                <w:sz w:val="7"/>
                <w:szCs w:val="7"/>
                <w:color w:val="auto"/>
              </w:rPr>
            </w:pPr>
          </w:p>
        </w:tc>
        <w:tc>
          <w:tcPr>
            <w:tcW w:w="126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5"/>
              </w:rPr>
              <w:t>AWARDS</w:t>
            </w:r>
          </w:p>
        </w:tc>
        <w:tc>
          <w:tcPr>
            <w:tcW w:w="0" w:type="dxa"/>
            <w:vAlign w:val="bottom"/>
          </w:tcPr>
          <w:p>
            <w:pPr>
              <w:spacing w:after="0"/>
              <w:rPr>
                <w:sz w:val="1"/>
                <w:szCs w:val="1"/>
                <w:color w:val="auto"/>
              </w:rPr>
            </w:pPr>
          </w:p>
        </w:tc>
      </w:tr>
      <w:tr>
        <w:trPr>
          <w:trHeight w:val="115"/>
        </w:trPr>
        <w:tc>
          <w:tcPr>
            <w:tcW w:w="40" w:type="dxa"/>
            <w:vAlign w:val="bottom"/>
            <w:shd w:val="clear" w:color="auto" w:fill="010035"/>
          </w:tcPr>
          <w:p>
            <w:pPr>
              <w:spacing w:after="0"/>
              <w:rPr>
                <w:sz w:val="10"/>
                <w:szCs w:val="10"/>
                <w:color w:val="auto"/>
              </w:rPr>
            </w:pPr>
          </w:p>
        </w:tc>
        <w:tc>
          <w:tcPr>
            <w:tcW w:w="4160" w:type="dxa"/>
            <w:vAlign w:val="bottom"/>
            <w:shd w:val="clear" w:color="auto" w:fill="010035"/>
          </w:tcPr>
          <w:p>
            <w:pPr>
              <w:spacing w:after="0"/>
              <w:rPr>
                <w:sz w:val="10"/>
                <w:szCs w:val="10"/>
                <w:color w:val="auto"/>
              </w:rPr>
            </w:pPr>
          </w:p>
        </w:tc>
        <w:tc>
          <w:tcPr>
            <w:tcW w:w="900" w:type="dxa"/>
            <w:vAlign w:val="bottom"/>
            <w:vMerge w:val="continue"/>
            <w:shd w:val="clear" w:color="auto" w:fill="010035"/>
          </w:tcPr>
          <w:p>
            <w:pPr>
              <w:spacing w:after="0"/>
              <w:rPr>
                <w:sz w:val="10"/>
                <w:szCs w:val="10"/>
                <w:color w:val="auto"/>
              </w:rPr>
            </w:pPr>
          </w:p>
        </w:tc>
        <w:tc>
          <w:tcPr>
            <w:tcW w:w="760" w:type="dxa"/>
            <w:vAlign w:val="bottom"/>
            <w:shd w:val="clear" w:color="auto" w:fill="010035"/>
          </w:tcPr>
          <w:p>
            <w:pPr>
              <w:spacing w:after="0"/>
              <w:rPr>
                <w:sz w:val="10"/>
                <w:szCs w:val="10"/>
                <w:color w:val="auto"/>
              </w:rPr>
            </w:pPr>
          </w:p>
        </w:tc>
        <w:tc>
          <w:tcPr>
            <w:tcW w:w="114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SHARES</w:t>
            </w:r>
          </w:p>
        </w:tc>
        <w:tc>
          <w:tcPr>
            <w:tcW w:w="114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UNITS</w:t>
            </w:r>
          </w:p>
        </w:tc>
        <w:tc>
          <w:tcPr>
            <w:tcW w:w="1260" w:type="dxa"/>
            <w:vAlign w:val="bottom"/>
            <w:vMerge w:val="continue"/>
            <w:shd w:val="clear" w:color="auto" w:fill="010035"/>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010035"/>
            </w:tcBorders>
            <w:shd w:val="clear" w:color="auto" w:fill="010035"/>
          </w:tcPr>
          <w:p>
            <w:pPr>
              <w:spacing w:after="0"/>
              <w:rPr>
                <w:sz w:val="9"/>
                <w:szCs w:val="9"/>
                <w:color w:val="auto"/>
              </w:rPr>
            </w:pPr>
          </w:p>
        </w:tc>
        <w:tc>
          <w:tcPr>
            <w:tcW w:w="4160" w:type="dxa"/>
            <w:vAlign w:val="bottom"/>
            <w:tcBorders>
              <w:bottom w:val="single" w:sz="8" w:color="010035"/>
            </w:tcBorders>
            <w:shd w:val="clear" w:color="auto" w:fill="010035"/>
          </w:tcPr>
          <w:p>
            <w:pPr>
              <w:spacing w:after="0"/>
              <w:rPr>
                <w:sz w:val="9"/>
                <w:szCs w:val="9"/>
                <w:color w:val="auto"/>
              </w:rPr>
            </w:pPr>
          </w:p>
        </w:tc>
        <w:tc>
          <w:tcPr>
            <w:tcW w:w="900" w:type="dxa"/>
            <w:vAlign w:val="bottom"/>
            <w:tcBorders>
              <w:bottom w:val="single" w:sz="8" w:color="010035"/>
            </w:tcBorders>
            <w:shd w:val="clear" w:color="auto" w:fill="010035"/>
          </w:tcPr>
          <w:p>
            <w:pPr>
              <w:spacing w:after="0"/>
              <w:rPr>
                <w:sz w:val="9"/>
                <w:szCs w:val="9"/>
                <w:color w:val="auto"/>
              </w:rPr>
            </w:pPr>
          </w:p>
        </w:tc>
        <w:tc>
          <w:tcPr>
            <w:tcW w:w="760" w:type="dxa"/>
            <w:vAlign w:val="bottom"/>
            <w:tcBorders>
              <w:bottom w:val="single" w:sz="8" w:color="010035"/>
            </w:tcBorders>
            <w:shd w:val="clear" w:color="auto" w:fill="010035"/>
          </w:tcPr>
          <w:p>
            <w:pPr>
              <w:spacing w:after="0"/>
              <w:rPr>
                <w:sz w:val="9"/>
                <w:szCs w:val="9"/>
                <w:color w:val="auto"/>
              </w:rPr>
            </w:pPr>
          </w:p>
        </w:tc>
        <w:tc>
          <w:tcPr>
            <w:tcW w:w="1140" w:type="dxa"/>
            <w:vAlign w:val="bottom"/>
            <w:tcBorders>
              <w:bottom w:val="single" w:sz="8" w:color="010035"/>
            </w:tcBorders>
            <w:vMerge w:val="continue"/>
            <w:shd w:val="clear" w:color="auto" w:fill="010035"/>
          </w:tcPr>
          <w:p>
            <w:pPr>
              <w:spacing w:after="0"/>
              <w:rPr>
                <w:sz w:val="9"/>
                <w:szCs w:val="9"/>
                <w:color w:val="auto"/>
              </w:rPr>
            </w:pPr>
          </w:p>
        </w:tc>
        <w:tc>
          <w:tcPr>
            <w:tcW w:w="1140" w:type="dxa"/>
            <w:vAlign w:val="bottom"/>
            <w:tcBorders>
              <w:bottom w:val="single" w:sz="8" w:color="010035"/>
            </w:tcBorders>
            <w:vMerge w:val="continue"/>
            <w:shd w:val="clear" w:color="auto" w:fill="010035"/>
          </w:tcPr>
          <w:p>
            <w:pPr>
              <w:spacing w:after="0"/>
              <w:rPr>
                <w:sz w:val="9"/>
                <w:szCs w:val="9"/>
                <w:color w:val="auto"/>
              </w:rPr>
            </w:pPr>
          </w:p>
        </w:tc>
        <w:tc>
          <w:tcPr>
            <w:tcW w:w="1260" w:type="dxa"/>
            <w:vAlign w:val="bottom"/>
            <w:tcBorders>
              <w:bottom w:val="single" w:sz="8" w:color="010035"/>
            </w:tcBorders>
            <w:shd w:val="clear" w:color="auto" w:fill="010035"/>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60" w:type="dxa"/>
            <w:vAlign w:val="bottom"/>
          </w:tcPr>
          <w:p>
            <w:pPr>
              <w:ind w:left="40"/>
              <w:spacing w:after="0"/>
              <w:rPr>
                <w:sz w:val="20"/>
                <w:szCs w:val="20"/>
                <w:color w:val="auto"/>
              </w:rPr>
            </w:pPr>
            <w:r>
              <w:rPr>
                <w:rFonts w:ascii="Arial" w:cs="Arial" w:eastAsia="Arial" w:hAnsi="Arial"/>
                <w:sz w:val="14"/>
                <w:szCs w:val="14"/>
                <w:b w:val="1"/>
                <w:bCs w:val="1"/>
                <w:color w:val="010035"/>
              </w:rPr>
              <w:t>Jay Snowden</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010035"/>
              </w:rPr>
              <w:t>Chief Executive Officer and President</w:t>
            </w:r>
          </w:p>
        </w:tc>
        <w:tc>
          <w:tcPr>
            <w:tcW w:w="900" w:type="dxa"/>
            <w:vAlign w:val="bottom"/>
          </w:tcPr>
          <w:p>
            <w:pPr>
              <w:jc w:val="center"/>
              <w:spacing w:after="0"/>
              <w:rPr>
                <w:sz w:val="20"/>
                <w:szCs w:val="20"/>
                <w:color w:val="auto"/>
              </w:rPr>
            </w:pPr>
            <w:r>
              <w:rPr>
                <w:rFonts w:ascii="Arial" w:cs="Arial" w:eastAsia="Arial" w:hAnsi="Arial"/>
                <w:sz w:val="14"/>
                <w:szCs w:val="14"/>
                <w:color w:val="010035"/>
              </w:rPr>
              <w:t>1,307,062</w:t>
            </w:r>
          </w:p>
        </w:tc>
        <w:tc>
          <w:tcPr>
            <w:tcW w:w="76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010035"/>
              </w:rPr>
              <w:t>434,254</w:t>
            </w:r>
          </w:p>
        </w:tc>
        <w:tc>
          <w:tcPr>
            <w:tcW w:w="1260" w:type="dxa"/>
            <w:vAlign w:val="bottom"/>
          </w:tcPr>
          <w:p>
            <w:pPr>
              <w:jc w:val="center"/>
              <w:spacing w:after="0"/>
              <w:rPr>
                <w:sz w:val="20"/>
                <w:szCs w:val="20"/>
                <w:color w:val="auto"/>
              </w:rPr>
            </w:pPr>
            <w:r>
              <w:rPr>
                <w:rFonts w:ascii="Arial" w:cs="Arial" w:eastAsia="Arial" w:hAnsi="Arial"/>
                <w:sz w:val="14"/>
                <w:szCs w:val="14"/>
                <w:color w:val="010035"/>
              </w:rPr>
              <w:t>2,130,131</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4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DED8EC"/>
          </w:tcPr>
          <w:p>
            <w:pPr>
              <w:spacing w:after="0"/>
              <w:rPr>
                <w:sz w:val="19"/>
                <w:szCs w:val="19"/>
                <w:color w:val="auto"/>
              </w:rPr>
            </w:pPr>
          </w:p>
        </w:tc>
        <w:tc>
          <w:tcPr>
            <w:tcW w:w="4160" w:type="dxa"/>
            <w:vAlign w:val="bottom"/>
            <w:shd w:val="clear" w:color="auto" w:fill="DED8EC"/>
          </w:tcPr>
          <w:p>
            <w:pPr>
              <w:ind w:left="40"/>
              <w:spacing w:after="0"/>
              <w:rPr>
                <w:sz w:val="20"/>
                <w:szCs w:val="20"/>
                <w:color w:val="auto"/>
              </w:rPr>
            </w:pPr>
            <w:r>
              <w:rPr>
                <w:rFonts w:ascii="Arial" w:cs="Arial" w:eastAsia="Arial" w:hAnsi="Arial"/>
                <w:sz w:val="14"/>
                <w:szCs w:val="14"/>
                <w:b w:val="1"/>
                <w:bCs w:val="1"/>
                <w:color w:val="010035"/>
              </w:rPr>
              <w:t>Felicia Hendrix</w:t>
            </w:r>
          </w:p>
        </w:tc>
        <w:tc>
          <w:tcPr>
            <w:tcW w:w="900" w:type="dxa"/>
            <w:vAlign w:val="bottom"/>
            <w:shd w:val="clear" w:color="auto" w:fill="DED8EC"/>
          </w:tcPr>
          <w:p>
            <w:pPr>
              <w:spacing w:after="0"/>
              <w:rPr>
                <w:sz w:val="19"/>
                <w:szCs w:val="19"/>
                <w:color w:val="auto"/>
              </w:rPr>
            </w:pPr>
          </w:p>
        </w:tc>
        <w:tc>
          <w:tcPr>
            <w:tcW w:w="760" w:type="dxa"/>
            <w:vAlign w:val="bottom"/>
            <w:shd w:val="clear" w:color="auto" w:fill="DED8EC"/>
          </w:tcPr>
          <w:p>
            <w:pPr>
              <w:spacing w:after="0"/>
              <w:rPr>
                <w:sz w:val="19"/>
                <w:szCs w:val="19"/>
                <w:color w:val="auto"/>
              </w:rPr>
            </w:pPr>
          </w:p>
        </w:tc>
        <w:tc>
          <w:tcPr>
            <w:tcW w:w="1140" w:type="dxa"/>
            <w:vAlign w:val="bottom"/>
            <w:shd w:val="clear" w:color="auto" w:fill="DED8EC"/>
          </w:tcPr>
          <w:p>
            <w:pPr>
              <w:spacing w:after="0"/>
              <w:rPr>
                <w:sz w:val="19"/>
                <w:szCs w:val="19"/>
                <w:color w:val="auto"/>
              </w:rPr>
            </w:pPr>
          </w:p>
        </w:tc>
        <w:tc>
          <w:tcPr>
            <w:tcW w:w="1140" w:type="dxa"/>
            <w:vAlign w:val="bottom"/>
            <w:shd w:val="clear" w:color="auto" w:fill="DED8EC"/>
          </w:tcPr>
          <w:p>
            <w:pPr>
              <w:spacing w:after="0"/>
              <w:rPr>
                <w:sz w:val="19"/>
                <w:szCs w:val="19"/>
                <w:color w:val="auto"/>
              </w:rPr>
            </w:pPr>
          </w:p>
        </w:tc>
        <w:tc>
          <w:tcPr>
            <w:tcW w:w="1260" w:type="dxa"/>
            <w:vAlign w:val="bottom"/>
            <w:shd w:val="clear" w:color="auto" w:fill="DED8E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DED8EC"/>
          </w:tcPr>
          <w:p>
            <w:pPr>
              <w:spacing w:after="0"/>
              <w:rPr>
                <w:sz w:val="16"/>
                <w:szCs w:val="16"/>
                <w:color w:val="auto"/>
              </w:rPr>
            </w:pPr>
          </w:p>
        </w:tc>
        <w:tc>
          <w:tcPr>
            <w:tcW w:w="4160" w:type="dxa"/>
            <w:vAlign w:val="bottom"/>
            <w:shd w:val="clear" w:color="auto" w:fill="DED8EC"/>
          </w:tcPr>
          <w:p>
            <w:pPr>
              <w:ind w:left="40"/>
              <w:spacing w:after="0"/>
              <w:rPr>
                <w:sz w:val="20"/>
                <w:szCs w:val="20"/>
                <w:color w:val="auto"/>
              </w:rPr>
            </w:pPr>
            <w:r>
              <w:rPr>
                <w:rFonts w:ascii="Arial" w:cs="Arial" w:eastAsia="Arial" w:hAnsi="Arial"/>
                <w:sz w:val="14"/>
                <w:szCs w:val="14"/>
                <w:color w:val="010035"/>
              </w:rPr>
              <w:t>EVP, Chief Financial Officer</w:t>
            </w:r>
          </w:p>
        </w:tc>
        <w:tc>
          <w:tcPr>
            <w:tcW w:w="90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377,458​</w:t>
            </w:r>
          </w:p>
        </w:tc>
        <w:tc>
          <w:tcPr>
            <w:tcW w:w="76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8"/>
              </w:rPr>
              <w:t>110,605​</w:t>
            </w:r>
          </w:p>
        </w:tc>
        <w:tc>
          <w:tcPr>
            <w:tcW w:w="126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410,133​</w:t>
            </w:r>
          </w:p>
        </w:tc>
        <w:tc>
          <w:tcPr>
            <w:tcW w:w="0" w:type="dxa"/>
            <w:vAlign w:val="bottom"/>
          </w:tcPr>
          <w:p>
            <w:pPr>
              <w:spacing w:after="0"/>
              <w:rPr>
                <w:sz w:val="1"/>
                <w:szCs w:val="1"/>
                <w:color w:val="auto"/>
              </w:rPr>
            </w:pPr>
          </w:p>
        </w:tc>
      </w:tr>
      <w:tr>
        <w:trPr>
          <w:trHeight w:val="62"/>
        </w:trPr>
        <w:tc>
          <w:tcPr>
            <w:tcW w:w="40" w:type="dxa"/>
            <w:vAlign w:val="bottom"/>
            <w:shd w:val="clear" w:color="auto" w:fill="DED8EC"/>
          </w:tcPr>
          <w:p>
            <w:pPr>
              <w:spacing w:after="0"/>
              <w:rPr>
                <w:sz w:val="5"/>
                <w:szCs w:val="5"/>
                <w:color w:val="auto"/>
              </w:rPr>
            </w:pPr>
          </w:p>
        </w:tc>
        <w:tc>
          <w:tcPr>
            <w:tcW w:w="4160" w:type="dxa"/>
            <w:vAlign w:val="bottom"/>
            <w:shd w:val="clear" w:color="auto" w:fill="DED8EC"/>
          </w:tcPr>
          <w:p>
            <w:pPr>
              <w:spacing w:after="0"/>
              <w:rPr>
                <w:sz w:val="5"/>
                <w:szCs w:val="5"/>
                <w:color w:val="auto"/>
              </w:rPr>
            </w:pPr>
          </w:p>
        </w:tc>
        <w:tc>
          <w:tcPr>
            <w:tcW w:w="900" w:type="dxa"/>
            <w:vAlign w:val="bottom"/>
            <w:shd w:val="clear" w:color="auto" w:fill="DED8EC"/>
          </w:tcPr>
          <w:p>
            <w:pPr>
              <w:spacing w:after="0"/>
              <w:rPr>
                <w:sz w:val="5"/>
                <w:szCs w:val="5"/>
                <w:color w:val="auto"/>
              </w:rPr>
            </w:pPr>
          </w:p>
        </w:tc>
        <w:tc>
          <w:tcPr>
            <w:tcW w:w="760" w:type="dxa"/>
            <w:vAlign w:val="bottom"/>
            <w:shd w:val="clear" w:color="auto" w:fill="DED8EC"/>
          </w:tcPr>
          <w:p>
            <w:pPr>
              <w:spacing w:after="0"/>
              <w:rPr>
                <w:sz w:val="5"/>
                <w:szCs w:val="5"/>
                <w:color w:val="auto"/>
              </w:rPr>
            </w:pPr>
          </w:p>
        </w:tc>
        <w:tc>
          <w:tcPr>
            <w:tcW w:w="1140" w:type="dxa"/>
            <w:vAlign w:val="bottom"/>
            <w:shd w:val="clear" w:color="auto" w:fill="DED8EC"/>
          </w:tcPr>
          <w:p>
            <w:pPr>
              <w:spacing w:after="0"/>
              <w:rPr>
                <w:sz w:val="5"/>
                <w:szCs w:val="5"/>
                <w:color w:val="auto"/>
              </w:rPr>
            </w:pPr>
          </w:p>
        </w:tc>
        <w:tc>
          <w:tcPr>
            <w:tcW w:w="1140" w:type="dxa"/>
            <w:vAlign w:val="bottom"/>
            <w:shd w:val="clear" w:color="auto" w:fill="DED8EC"/>
          </w:tcPr>
          <w:p>
            <w:pPr>
              <w:spacing w:after="0"/>
              <w:rPr>
                <w:sz w:val="5"/>
                <w:szCs w:val="5"/>
                <w:color w:val="auto"/>
              </w:rPr>
            </w:pPr>
          </w:p>
        </w:tc>
        <w:tc>
          <w:tcPr>
            <w:tcW w:w="126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60" w:type="dxa"/>
            <w:vAlign w:val="bottom"/>
          </w:tcPr>
          <w:p>
            <w:pPr>
              <w:ind w:left="40"/>
              <w:spacing w:after="0"/>
              <w:rPr>
                <w:sz w:val="20"/>
                <w:szCs w:val="20"/>
                <w:color w:val="auto"/>
              </w:rPr>
            </w:pPr>
            <w:r>
              <w:rPr>
                <w:rFonts w:ascii="Arial" w:cs="Arial" w:eastAsia="Arial" w:hAnsi="Arial"/>
                <w:sz w:val="14"/>
                <w:szCs w:val="14"/>
                <w:b w:val="1"/>
                <w:bCs w:val="1"/>
                <w:color w:val="010035"/>
              </w:rPr>
              <w:t>Chris Rogers</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010035"/>
              </w:rPr>
              <w:t>EVP, Chief Strategy and Legal Officer and Secretary</w:t>
            </w:r>
          </w:p>
        </w:tc>
        <w:tc>
          <w:tcPr>
            <w:tcW w:w="900" w:type="dxa"/>
            <w:vAlign w:val="bottom"/>
          </w:tcPr>
          <w:p>
            <w:pPr>
              <w:jc w:val="center"/>
              <w:spacing w:after="0"/>
              <w:rPr>
                <w:sz w:val="20"/>
                <w:szCs w:val="20"/>
                <w:color w:val="auto"/>
              </w:rPr>
            </w:pPr>
            <w:r>
              <w:rPr>
                <w:rFonts w:ascii="Arial" w:cs="Arial" w:eastAsia="Arial" w:hAnsi="Arial"/>
                <w:sz w:val="14"/>
                <w:szCs w:val="14"/>
                <w:color w:val="010035"/>
              </w:rPr>
              <w:t>311,419</w:t>
            </w:r>
          </w:p>
        </w:tc>
        <w:tc>
          <w:tcPr>
            <w:tcW w:w="76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010035"/>
              </w:rPr>
              <w:t>98,315</w:t>
            </w:r>
          </w:p>
        </w:tc>
        <w:tc>
          <w:tcPr>
            <w:tcW w:w="1260" w:type="dxa"/>
            <w:vAlign w:val="bottom"/>
          </w:tcPr>
          <w:p>
            <w:pPr>
              <w:jc w:val="center"/>
              <w:spacing w:after="0"/>
              <w:rPr>
                <w:sz w:val="20"/>
                <w:szCs w:val="20"/>
                <w:color w:val="auto"/>
              </w:rPr>
            </w:pPr>
            <w:r>
              <w:rPr>
                <w:rFonts w:ascii="Arial" w:cs="Arial" w:eastAsia="Arial" w:hAnsi="Arial"/>
                <w:sz w:val="14"/>
                <w:szCs w:val="14"/>
                <w:color w:val="010035"/>
              </w:rPr>
              <w:t>349,539</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4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DED8EC"/>
          </w:tcPr>
          <w:p>
            <w:pPr>
              <w:spacing w:after="0"/>
              <w:rPr>
                <w:sz w:val="21"/>
                <w:szCs w:val="21"/>
                <w:color w:val="auto"/>
              </w:rPr>
            </w:pPr>
          </w:p>
        </w:tc>
        <w:tc>
          <w:tcPr>
            <w:tcW w:w="4160" w:type="dxa"/>
            <w:vAlign w:val="bottom"/>
            <w:shd w:val="clear" w:color="auto" w:fill="DED8EC"/>
          </w:tcPr>
          <w:p>
            <w:pPr>
              <w:ind w:left="40"/>
              <w:spacing w:after="0"/>
              <w:rPr>
                <w:sz w:val="20"/>
                <w:szCs w:val="20"/>
                <w:color w:val="auto"/>
              </w:rPr>
            </w:pPr>
            <w:r>
              <w:rPr>
                <w:rFonts w:ascii="Arial" w:cs="Arial" w:eastAsia="Arial" w:hAnsi="Arial"/>
                <w:sz w:val="14"/>
                <w:szCs w:val="14"/>
                <w:color w:val="010035"/>
              </w:rPr>
              <w:t>All current executive officers, as a group (3 persons)</w:t>
            </w:r>
          </w:p>
        </w:tc>
        <w:tc>
          <w:tcPr>
            <w:tcW w:w="90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1,995,939​</w:t>
            </w:r>
          </w:p>
        </w:tc>
        <w:tc>
          <w:tcPr>
            <w:tcW w:w="76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643,174​</w:t>
            </w:r>
          </w:p>
        </w:tc>
        <w:tc>
          <w:tcPr>
            <w:tcW w:w="126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2,889,803​</w:t>
            </w:r>
          </w:p>
        </w:tc>
        <w:tc>
          <w:tcPr>
            <w:tcW w:w="0" w:type="dxa"/>
            <w:vAlign w:val="bottom"/>
          </w:tcPr>
          <w:p>
            <w:pPr>
              <w:spacing w:after="0"/>
              <w:rPr>
                <w:sz w:val="1"/>
                <w:szCs w:val="1"/>
                <w:color w:val="auto"/>
              </w:rPr>
            </w:pPr>
          </w:p>
        </w:tc>
      </w:tr>
      <w:tr>
        <w:trPr>
          <w:trHeight w:val="62"/>
        </w:trPr>
        <w:tc>
          <w:tcPr>
            <w:tcW w:w="40" w:type="dxa"/>
            <w:vAlign w:val="bottom"/>
            <w:shd w:val="clear" w:color="auto" w:fill="DED8EC"/>
          </w:tcPr>
          <w:p>
            <w:pPr>
              <w:spacing w:after="0"/>
              <w:rPr>
                <w:sz w:val="5"/>
                <w:szCs w:val="5"/>
                <w:color w:val="auto"/>
              </w:rPr>
            </w:pPr>
          </w:p>
        </w:tc>
        <w:tc>
          <w:tcPr>
            <w:tcW w:w="4160" w:type="dxa"/>
            <w:vAlign w:val="bottom"/>
            <w:shd w:val="clear" w:color="auto" w:fill="DED8EC"/>
          </w:tcPr>
          <w:p>
            <w:pPr>
              <w:spacing w:after="0"/>
              <w:rPr>
                <w:sz w:val="5"/>
                <w:szCs w:val="5"/>
                <w:color w:val="auto"/>
              </w:rPr>
            </w:pPr>
          </w:p>
        </w:tc>
        <w:tc>
          <w:tcPr>
            <w:tcW w:w="900" w:type="dxa"/>
            <w:vAlign w:val="bottom"/>
            <w:shd w:val="clear" w:color="auto" w:fill="DED8EC"/>
          </w:tcPr>
          <w:p>
            <w:pPr>
              <w:spacing w:after="0"/>
              <w:rPr>
                <w:sz w:val="5"/>
                <w:szCs w:val="5"/>
                <w:color w:val="auto"/>
              </w:rPr>
            </w:pPr>
          </w:p>
        </w:tc>
        <w:tc>
          <w:tcPr>
            <w:tcW w:w="760" w:type="dxa"/>
            <w:vAlign w:val="bottom"/>
            <w:shd w:val="clear" w:color="auto" w:fill="DED8EC"/>
          </w:tcPr>
          <w:p>
            <w:pPr>
              <w:spacing w:after="0"/>
              <w:rPr>
                <w:sz w:val="5"/>
                <w:szCs w:val="5"/>
                <w:color w:val="auto"/>
              </w:rPr>
            </w:pPr>
          </w:p>
        </w:tc>
        <w:tc>
          <w:tcPr>
            <w:tcW w:w="1140" w:type="dxa"/>
            <w:vAlign w:val="bottom"/>
            <w:shd w:val="clear" w:color="auto" w:fill="DED8EC"/>
          </w:tcPr>
          <w:p>
            <w:pPr>
              <w:spacing w:after="0"/>
              <w:rPr>
                <w:sz w:val="5"/>
                <w:szCs w:val="5"/>
                <w:color w:val="auto"/>
              </w:rPr>
            </w:pPr>
          </w:p>
        </w:tc>
        <w:tc>
          <w:tcPr>
            <w:tcW w:w="1140" w:type="dxa"/>
            <w:vAlign w:val="bottom"/>
            <w:shd w:val="clear" w:color="auto" w:fill="DED8EC"/>
          </w:tcPr>
          <w:p>
            <w:pPr>
              <w:spacing w:after="0"/>
              <w:rPr>
                <w:sz w:val="5"/>
                <w:szCs w:val="5"/>
                <w:color w:val="auto"/>
              </w:rPr>
            </w:pPr>
          </w:p>
        </w:tc>
        <w:tc>
          <w:tcPr>
            <w:tcW w:w="126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010035"/>
              </w:rPr>
              <w:t>All current directors who are not current executive officers as a</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10035"/>
                <w:w w:val="94"/>
              </w:rPr>
              <w:t>53,757</w:t>
            </w:r>
            <w:r>
              <w:rPr>
                <w:rFonts w:ascii="Arial" w:cs="Arial" w:eastAsia="Arial" w:hAnsi="Arial"/>
                <w:sz w:val="23"/>
                <w:szCs w:val="23"/>
                <w:color w:val="010035"/>
                <w:w w:val="94"/>
                <w:vertAlign w:val="superscript"/>
              </w:rPr>
              <w:t>(1)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010035"/>
              </w:rPr>
              <w:t>group (10 persons)</w:t>
            </w:r>
          </w:p>
        </w:tc>
        <w:tc>
          <w:tcPr>
            <w:tcW w:w="90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010035"/>
              </w:rPr>
              <w:t>337,969</w:t>
            </w:r>
          </w:p>
        </w:tc>
        <w:tc>
          <w:tcPr>
            <w:tcW w:w="1140" w:type="dxa"/>
            <w:vAlign w:val="bottom"/>
            <w:vMerge w:val="continue"/>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010035"/>
              </w:rPr>
              <w:t>—</w:t>
            </w:r>
          </w:p>
        </w:tc>
        <w:tc>
          <w:tcPr>
            <w:tcW w:w="0" w:type="dxa"/>
            <w:vAlign w:val="bottom"/>
          </w:tcPr>
          <w:p>
            <w:pPr>
              <w:spacing w:after="0"/>
              <w:rPr>
                <w:sz w:val="1"/>
                <w:szCs w:val="1"/>
                <w:color w:val="auto"/>
              </w:rPr>
            </w:pPr>
          </w:p>
        </w:tc>
      </w:tr>
      <w:tr>
        <w:trPr>
          <w:trHeight w:val="248"/>
        </w:trPr>
        <w:tc>
          <w:tcPr>
            <w:tcW w:w="40" w:type="dxa"/>
            <w:vAlign w:val="bottom"/>
            <w:shd w:val="clear" w:color="auto" w:fill="DED8EC"/>
          </w:tcPr>
          <w:p>
            <w:pPr>
              <w:spacing w:after="0"/>
              <w:rPr>
                <w:sz w:val="21"/>
                <w:szCs w:val="21"/>
                <w:color w:val="auto"/>
              </w:rPr>
            </w:pPr>
          </w:p>
        </w:tc>
        <w:tc>
          <w:tcPr>
            <w:tcW w:w="4160" w:type="dxa"/>
            <w:vAlign w:val="bottom"/>
            <w:shd w:val="clear" w:color="auto" w:fill="DED8EC"/>
          </w:tcPr>
          <w:p>
            <w:pPr>
              <w:ind w:left="40"/>
              <w:spacing w:after="0"/>
              <w:rPr>
                <w:sz w:val="20"/>
                <w:szCs w:val="20"/>
                <w:color w:val="auto"/>
              </w:rPr>
            </w:pPr>
            <w:r>
              <w:rPr>
                <w:rFonts w:ascii="Arial" w:cs="Arial" w:eastAsia="Arial" w:hAnsi="Arial"/>
                <w:sz w:val="14"/>
                <w:szCs w:val="14"/>
                <w:color w:val="010035"/>
              </w:rPr>
              <w:t>Each nominee for election as a director</w:t>
            </w:r>
          </w:p>
        </w:tc>
        <w:tc>
          <w:tcPr>
            <w:tcW w:w="90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76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26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w:t>
            </w:r>
          </w:p>
        </w:tc>
        <w:tc>
          <w:tcPr>
            <w:tcW w:w="0" w:type="dxa"/>
            <w:vAlign w:val="bottom"/>
          </w:tcPr>
          <w:p>
            <w:pPr>
              <w:spacing w:after="0"/>
              <w:rPr>
                <w:sz w:val="1"/>
                <w:szCs w:val="1"/>
                <w:color w:val="auto"/>
              </w:rPr>
            </w:pPr>
          </w:p>
        </w:tc>
      </w:tr>
      <w:tr>
        <w:trPr>
          <w:trHeight w:val="62"/>
        </w:trPr>
        <w:tc>
          <w:tcPr>
            <w:tcW w:w="40" w:type="dxa"/>
            <w:vAlign w:val="bottom"/>
            <w:shd w:val="clear" w:color="auto" w:fill="DED8EC"/>
          </w:tcPr>
          <w:p>
            <w:pPr>
              <w:spacing w:after="0"/>
              <w:rPr>
                <w:sz w:val="5"/>
                <w:szCs w:val="5"/>
                <w:color w:val="auto"/>
              </w:rPr>
            </w:pPr>
          </w:p>
        </w:tc>
        <w:tc>
          <w:tcPr>
            <w:tcW w:w="4160" w:type="dxa"/>
            <w:vAlign w:val="bottom"/>
            <w:shd w:val="clear" w:color="auto" w:fill="DED8EC"/>
          </w:tcPr>
          <w:p>
            <w:pPr>
              <w:spacing w:after="0"/>
              <w:rPr>
                <w:sz w:val="5"/>
                <w:szCs w:val="5"/>
                <w:color w:val="auto"/>
              </w:rPr>
            </w:pPr>
          </w:p>
        </w:tc>
        <w:tc>
          <w:tcPr>
            <w:tcW w:w="900" w:type="dxa"/>
            <w:vAlign w:val="bottom"/>
            <w:shd w:val="clear" w:color="auto" w:fill="DED8EC"/>
          </w:tcPr>
          <w:p>
            <w:pPr>
              <w:spacing w:after="0"/>
              <w:rPr>
                <w:sz w:val="5"/>
                <w:szCs w:val="5"/>
                <w:color w:val="auto"/>
              </w:rPr>
            </w:pPr>
          </w:p>
        </w:tc>
        <w:tc>
          <w:tcPr>
            <w:tcW w:w="760" w:type="dxa"/>
            <w:vAlign w:val="bottom"/>
            <w:shd w:val="clear" w:color="auto" w:fill="DED8EC"/>
          </w:tcPr>
          <w:p>
            <w:pPr>
              <w:spacing w:after="0"/>
              <w:rPr>
                <w:sz w:val="5"/>
                <w:szCs w:val="5"/>
                <w:color w:val="auto"/>
              </w:rPr>
            </w:pPr>
          </w:p>
        </w:tc>
        <w:tc>
          <w:tcPr>
            <w:tcW w:w="1140" w:type="dxa"/>
            <w:vAlign w:val="bottom"/>
            <w:shd w:val="clear" w:color="auto" w:fill="DED8EC"/>
          </w:tcPr>
          <w:p>
            <w:pPr>
              <w:spacing w:after="0"/>
              <w:rPr>
                <w:sz w:val="5"/>
                <w:szCs w:val="5"/>
                <w:color w:val="auto"/>
              </w:rPr>
            </w:pPr>
          </w:p>
        </w:tc>
        <w:tc>
          <w:tcPr>
            <w:tcW w:w="1140" w:type="dxa"/>
            <w:vAlign w:val="bottom"/>
            <w:shd w:val="clear" w:color="auto" w:fill="DED8EC"/>
          </w:tcPr>
          <w:p>
            <w:pPr>
              <w:spacing w:after="0"/>
              <w:rPr>
                <w:sz w:val="5"/>
                <w:szCs w:val="5"/>
                <w:color w:val="auto"/>
              </w:rPr>
            </w:pPr>
          </w:p>
        </w:tc>
        <w:tc>
          <w:tcPr>
            <w:tcW w:w="126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010035"/>
              </w:rPr>
              <w:t>Each associate of the above-mentioned directors or executive</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010035"/>
              </w:rPr>
              <w:t>officers</w:t>
            </w:r>
          </w:p>
        </w:tc>
        <w:tc>
          <w:tcPr>
            <w:tcW w:w="90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010035"/>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010035"/>
              </w:rPr>
              <w:t>—</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4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DED8EC"/>
          </w:tcPr>
          <w:p>
            <w:pPr>
              <w:spacing w:after="0"/>
              <w:rPr>
                <w:sz w:val="19"/>
                <w:szCs w:val="19"/>
                <w:color w:val="auto"/>
              </w:rPr>
            </w:pPr>
          </w:p>
        </w:tc>
        <w:tc>
          <w:tcPr>
            <w:tcW w:w="4160" w:type="dxa"/>
            <w:vAlign w:val="bottom"/>
            <w:shd w:val="clear" w:color="auto" w:fill="DED8EC"/>
          </w:tcPr>
          <w:p>
            <w:pPr>
              <w:ind w:left="40"/>
              <w:spacing w:after="0"/>
              <w:rPr>
                <w:sz w:val="20"/>
                <w:szCs w:val="20"/>
                <w:color w:val="auto"/>
              </w:rPr>
            </w:pPr>
            <w:r>
              <w:rPr>
                <w:rFonts w:ascii="Arial" w:cs="Arial" w:eastAsia="Arial" w:hAnsi="Arial"/>
                <w:sz w:val="14"/>
                <w:szCs w:val="14"/>
                <w:color w:val="010035"/>
              </w:rPr>
              <w:t>Each other person who received or is to receive 5% of such</w:t>
            </w:r>
          </w:p>
        </w:tc>
        <w:tc>
          <w:tcPr>
            <w:tcW w:w="900" w:type="dxa"/>
            <w:vAlign w:val="bottom"/>
            <w:shd w:val="clear" w:color="auto" w:fill="DED8EC"/>
          </w:tcPr>
          <w:p>
            <w:pPr>
              <w:spacing w:after="0"/>
              <w:rPr>
                <w:sz w:val="19"/>
                <w:szCs w:val="19"/>
                <w:color w:val="auto"/>
              </w:rPr>
            </w:pPr>
          </w:p>
        </w:tc>
        <w:tc>
          <w:tcPr>
            <w:tcW w:w="760" w:type="dxa"/>
            <w:vAlign w:val="bottom"/>
            <w:shd w:val="clear" w:color="auto" w:fill="DED8EC"/>
          </w:tcPr>
          <w:p>
            <w:pPr>
              <w:spacing w:after="0"/>
              <w:rPr>
                <w:sz w:val="19"/>
                <w:szCs w:val="19"/>
                <w:color w:val="auto"/>
              </w:rPr>
            </w:pPr>
          </w:p>
        </w:tc>
        <w:tc>
          <w:tcPr>
            <w:tcW w:w="1140" w:type="dxa"/>
            <w:vAlign w:val="bottom"/>
            <w:shd w:val="clear" w:color="auto" w:fill="DED8EC"/>
          </w:tcPr>
          <w:p>
            <w:pPr>
              <w:spacing w:after="0"/>
              <w:rPr>
                <w:sz w:val="19"/>
                <w:szCs w:val="19"/>
                <w:color w:val="auto"/>
              </w:rPr>
            </w:pPr>
          </w:p>
        </w:tc>
        <w:tc>
          <w:tcPr>
            <w:tcW w:w="1140" w:type="dxa"/>
            <w:vAlign w:val="bottom"/>
            <w:shd w:val="clear" w:color="auto" w:fill="DED8EC"/>
          </w:tcPr>
          <w:p>
            <w:pPr>
              <w:spacing w:after="0"/>
              <w:rPr>
                <w:sz w:val="19"/>
                <w:szCs w:val="19"/>
                <w:color w:val="auto"/>
              </w:rPr>
            </w:pPr>
          </w:p>
        </w:tc>
        <w:tc>
          <w:tcPr>
            <w:tcW w:w="1260" w:type="dxa"/>
            <w:vAlign w:val="bottom"/>
            <w:shd w:val="clear" w:color="auto" w:fill="DED8E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DED8EC"/>
          </w:tcPr>
          <w:p>
            <w:pPr>
              <w:spacing w:after="0"/>
              <w:rPr>
                <w:sz w:val="16"/>
                <w:szCs w:val="16"/>
                <w:color w:val="auto"/>
              </w:rPr>
            </w:pPr>
          </w:p>
        </w:tc>
        <w:tc>
          <w:tcPr>
            <w:tcW w:w="4160" w:type="dxa"/>
            <w:vAlign w:val="bottom"/>
            <w:shd w:val="clear" w:color="auto" w:fill="DED8EC"/>
          </w:tcPr>
          <w:p>
            <w:pPr>
              <w:ind w:left="40"/>
              <w:spacing w:after="0"/>
              <w:rPr>
                <w:sz w:val="20"/>
                <w:szCs w:val="20"/>
                <w:color w:val="auto"/>
              </w:rPr>
            </w:pPr>
            <w:r>
              <w:rPr>
                <w:rFonts w:ascii="Arial" w:cs="Arial" w:eastAsia="Arial" w:hAnsi="Arial"/>
                <w:sz w:val="14"/>
                <w:szCs w:val="14"/>
                <w:color w:val="010035"/>
              </w:rPr>
              <w:t>options, warrants or rights</w:t>
            </w:r>
          </w:p>
        </w:tc>
        <w:tc>
          <w:tcPr>
            <w:tcW w:w="90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76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shd w:val="clear" w:color="auto" w:fill="DED8EC"/>
          </w:tcPr>
          <w:p>
            <w:pPr>
              <w:jc w:val="center"/>
              <w:spacing w:after="0"/>
              <w:rPr>
                <w:sz w:val="20"/>
                <w:szCs w:val="20"/>
                <w:color w:val="auto"/>
              </w:rPr>
            </w:pPr>
            <w:r>
              <w:rPr>
                <w:rFonts w:ascii="Arial" w:cs="Arial" w:eastAsia="Arial" w:hAnsi="Arial"/>
                <w:sz w:val="14"/>
                <w:szCs w:val="14"/>
                <w:color w:val="010035"/>
                <w:w w:val="99"/>
              </w:rPr>
              <w:t>—</w:t>
            </w:r>
          </w:p>
        </w:tc>
        <w:tc>
          <w:tcPr>
            <w:tcW w:w="1260" w:type="dxa"/>
            <w:vAlign w:val="bottom"/>
            <w:shd w:val="clear" w:color="auto" w:fill="DED8EC"/>
          </w:tcPr>
          <w:p>
            <w:pPr>
              <w:jc w:val="center"/>
              <w:spacing w:after="0"/>
              <w:rPr>
                <w:sz w:val="20"/>
                <w:szCs w:val="20"/>
                <w:color w:val="auto"/>
              </w:rPr>
            </w:pPr>
            <w:r>
              <w:rPr>
                <w:rFonts w:ascii="Arial" w:cs="Arial" w:eastAsia="Arial" w:hAnsi="Arial"/>
                <w:sz w:val="14"/>
                <w:szCs w:val="14"/>
                <w:color w:val="010035"/>
              </w:rPr>
              <w:t>—</w:t>
            </w:r>
          </w:p>
        </w:tc>
        <w:tc>
          <w:tcPr>
            <w:tcW w:w="0" w:type="dxa"/>
            <w:vAlign w:val="bottom"/>
          </w:tcPr>
          <w:p>
            <w:pPr>
              <w:spacing w:after="0"/>
              <w:rPr>
                <w:sz w:val="1"/>
                <w:szCs w:val="1"/>
                <w:color w:val="auto"/>
              </w:rPr>
            </w:pPr>
          </w:p>
        </w:tc>
      </w:tr>
      <w:tr>
        <w:trPr>
          <w:trHeight w:val="62"/>
        </w:trPr>
        <w:tc>
          <w:tcPr>
            <w:tcW w:w="40" w:type="dxa"/>
            <w:vAlign w:val="bottom"/>
            <w:shd w:val="clear" w:color="auto" w:fill="DED8EC"/>
          </w:tcPr>
          <w:p>
            <w:pPr>
              <w:spacing w:after="0"/>
              <w:rPr>
                <w:sz w:val="5"/>
                <w:szCs w:val="5"/>
                <w:color w:val="auto"/>
              </w:rPr>
            </w:pPr>
          </w:p>
        </w:tc>
        <w:tc>
          <w:tcPr>
            <w:tcW w:w="4160" w:type="dxa"/>
            <w:vAlign w:val="bottom"/>
            <w:shd w:val="clear" w:color="auto" w:fill="DED8EC"/>
          </w:tcPr>
          <w:p>
            <w:pPr>
              <w:spacing w:after="0"/>
              <w:rPr>
                <w:sz w:val="5"/>
                <w:szCs w:val="5"/>
                <w:color w:val="auto"/>
              </w:rPr>
            </w:pPr>
          </w:p>
        </w:tc>
        <w:tc>
          <w:tcPr>
            <w:tcW w:w="900" w:type="dxa"/>
            <w:vAlign w:val="bottom"/>
            <w:shd w:val="clear" w:color="auto" w:fill="DED8EC"/>
          </w:tcPr>
          <w:p>
            <w:pPr>
              <w:spacing w:after="0"/>
              <w:rPr>
                <w:sz w:val="5"/>
                <w:szCs w:val="5"/>
                <w:color w:val="auto"/>
              </w:rPr>
            </w:pPr>
          </w:p>
        </w:tc>
        <w:tc>
          <w:tcPr>
            <w:tcW w:w="760" w:type="dxa"/>
            <w:vAlign w:val="bottom"/>
            <w:shd w:val="clear" w:color="auto" w:fill="DED8EC"/>
          </w:tcPr>
          <w:p>
            <w:pPr>
              <w:spacing w:after="0"/>
              <w:rPr>
                <w:sz w:val="5"/>
                <w:szCs w:val="5"/>
                <w:color w:val="auto"/>
              </w:rPr>
            </w:pPr>
          </w:p>
        </w:tc>
        <w:tc>
          <w:tcPr>
            <w:tcW w:w="1140" w:type="dxa"/>
            <w:vAlign w:val="bottom"/>
            <w:shd w:val="clear" w:color="auto" w:fill="DED8EC"/>
          </w:tcPr>
          <w:p>
            <w:pPr>
              <w:spacing w:after="0"/>
              <w:rPr>
                <w:sz w:val="5"/>
                <w:szCs w:val="5"/>
                <w:color w:val="auto"/>
              </w:rPr>
            </w:pPr>
          </w:p>
        </w:tc>
        <w:tc>
          <w:tcPr>
            <w:tcW w:w="1140" w:type="dxa"/>
            <w:vAlign w:val="bottom"/>
            <w:shd w:val="clear" w:color="auto" w:fill="DED8EC"/>
          </w:tcPr>
          <w:p>
            <w:pPr>
              <w:spacing w:after="0"/>
              <w:rPr>
                <w:sz w:val="5"/>
                <w:szCs w:val="5"/>
                <w:color w:val="auto"/>
              </w:rPr>
            </w:pPr>
          </w:p>
        </w:tc>
        <w:tc>
          <w:tcPr>
            <w:tcW w:w="1260" w:type="dxa"/>
            <w:vAlign w:val="bottom"/>
            <w:shd w:val="clear" w:color="auto" w:fill="DED8EC"/>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010035"/>
              </w:rPr>
              <w:t>All employees, including officers who are not current executive</w:t>
            </w:r>
          </w:p>
        </w:tc>
        <w:tc>
          <w:tcPr>
            <w:tcW w:w="90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010035"/>
                <w:w w:val="92"/>
              </w:rPr>
              <w:t>6,967</w:t>
            </w:r>
            <w:r>
              <w:rPr>
                <w:rFonts w:ascii="Arial" w:cs="Arial" w:eastAsia="Arial" w:hAnsi="Arial"/>
                <w:sz w:val="23"/>
                <w:szCs w:val="23"/>
                <w:color w:val="010035"/>
                <w:w w:val="92"/>
                <w:vertAlign w:val="superscript"/>
              </w:rPr>
              <w:t>(2)</w:t>
            </w:r>
          </w:p>
        </w:tc>
        <w:tc>
          <w:tcPr>
            <w:tcW w:w="114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10035"/>
                <w:w w:val="96"/>
              </w:rPr>
              <w:t>5,513,121</w:t>
            </w:r>
            <w:r>
              <w:rPr>
                <w:rFonts w:ascii="Arial" w:cs="Arial" w:eastAsia="Arial" w:hAnsi="Arial"/>
                <w:sz w:val="23"/>
                <w:szCs w:val="23"/>
                <w:color w:val="010035"/>
                <w:w w:val="96"/>
                <w:vertAlign w:val="superscript"/>
              </w:rPr>
              <w:t>(3)</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010035"/>
                <w:w w:val="98"/>
              </w:rPr>
              <w:t>1,018,315</w:t>
            </w:r>
            <w:r>
              <w:rPr>
                <w:rFonts w:ascii="Arial" w:cs="Arial" w:eastAsia="Arial" w:hAnsi="Arial"/>
                <w:sz w:val="23"/>
                <w:szCs w:val="23"/>
                <w:color w:val="010035"/>
                <w:w w:val="98"/>
                <w:vertAlign w:val="superscript"/>
              </w:rPr>
              <w:t>(4)</w:t>
            </w:r>
          </w:p>
        </w:tc>
        <w:tc>
          <w:tcPr>
            <w:tcW w:w="0" w:type="dxa"/>
            <w:vAlign w:val="bottom"/>
          </w:tcPr>
          <w:p>
            <w:pPr>
              <w:spacing w:after="0"/>
              <w:rPr>
                <w:sz w:val="1"/>
                <w:szCs w:val="1"/>
                <w:color w:val="auto"/>
              </w:rPr>
            </w:pPr>
          </w:p>
        </w:tc>
      </w:tr>
      <w:tr>
        <w:trPr>
          <w:trHeight w:val="225"/>
        </w:trPr>
        <w:tc>
          <w:tcPr>
            <w:tcW w:w="40" w:type="dxa"/>
            <w:vAlign w:val="bottom"/>
            <w:tcBorders>
              <w:bottom w:val="single" w:sz="8" w:color="010035"/>
            </w:tcBorders>
          </w:tcPr>
          <w:p>
            <w:pPr>
              <w:spacing w:after="0"/>
              <w:rPr>
                <w:sz w:val="19"/>
                <w:szCs w:val="19"/>
                <w:color w:val="auto"/>
              </w:rPr>
            </w:pPr>
          </w:p>
        </w:tc>
        <w:tc>
          <w:tcPr>
            <w:tcW w:w="4160" w:type="dxa"/>
            <w:vAlign w:val="bottom"/>
            <w:tcBorders>
              <w:bottom w:val="single" w:sz="8" w:color="010035"/>
            </w:tcBorders>
          </w:tcPr>
          <w:p>
            <w:pPr>
              <w:ind w:left="40"/>
              <w:spacing w:after="0"/>
              <w:rPr>
                <w:sz w:val="20"/>
                <w:szCs w:val="20"/>
                <w:color w:val="auto"/>
              </w:rPr>
            </w:pPr>
            <w:r>
              <w:rPr>
                <w:rFonts w:ascii="Arial" w:cs="Arial" w:eastAsia="Arial" w:hAnsi="Arial"/>
                <w:sz w:val="14"/>
                <w:szCs w:val="14"/>
                <w:color w:val="010035"/>
              </w:rPr>
              <w:t>officers, as a group (621 persons)</w:t>
            </w:r>
          </w:p>
        </w:tc>
        <w:tc>
          <w:tcPr>
            <w:tcW w:w="900" w:type="dxa"/>
            <w:vAlign w:val="bottom"/>
            <w:tcBorders>
              <w:bottom w:val="single" w:sz="8" w:color="010035"/>
            </w:tcBorders>
          </w:tcPr>
          <w:p>
            <w:pPr>
              <w:jc w:val="center"/>
              <w:spacing w:after="0"/>
              <w:rPr>
                <w:sz w:val="20"/>
                <w:szCs w:val="20"/>
                <w:color w:val="auto"/>
              </w:rPr>
            </w:pPr>
            <w:r>
              <w:rPr>
                <w:rFonts w:ascii="Arial" w:cs="Arial" w:eastAsia="Arial" w:hAnsi="Arial"/>
                <w:sz w:val="14"/>
                <w:szCs w:val="14"/>
                <w:color w:val="010035"/>
              </w:rPr>
              <w:t>1,236,132</w:t>
            </w:r>
          </w:p>
        </w:tc>
        <w:tc>
          <w:tcPr>
            <w:tcW w:w="760" w:type="dxa"/>
            <w:vAlign w:val="bottom"/>
            <w:tcBorders>
              <w:bottom w:val="single" w:sz="8" w:color="010035"/>
            </w:tcBorders>
            <w:vMerge w:val="continue"/>
          </w:tcPr>
          <w:p>
            <w:pPr>
              <w:spacing w:after="0"/>
              <w:rPr>
                <w:sz w:val="19"/>
                <w:szCs w:val="19"/>
                <w:color w:val="auto"/>
              </w:rPr>
            </w:pPr>
          </w:p>
        </w:tc>
        <w:tc>
          <w:tcPr>
            <w:tcW w:w="1140" w:type="dxa"/>
            <w:vAlign w:val="bottom"/>
            <w:tcBorders>
              <w:bottom w:val="single" w:sz="8" w:color="010035"/>
            </w:tcBorders>
          </w:tcPr>
          <w:p>
            <w:pPr>
              <w:jc w:val="center"/>
              <w:spacing w:after="0"/>
              <w:rPr>
                <w:sz w:val="20"/>
                <w:szCs w:val="20"/>
                <w:color w:val="auto"/>
              </w:rPr>
            </w:pPr>
            <w:r>
              <w:rPr>
                <w:rFonts w:ascii="Arial" w:cs="Arial" w:eastAsia="Arial" w:hAnsi="Arial"/>
                <w:sz w:val="14"/>
                <w:szCs w:val="14"/>
                <w:color w:val="010035"/>
                <w:w w:val="99"/>
              </w:rPr>
              <w:t>—</w:t>
            </w:r>
          </w:p>
        </w:tc>
        <w:tc>
          <w:tcPr>
            <w:tcW w:w="1140" w:type="dxa"/>
            <w:vAlign w:val="bottom"/>
            <w:tcBorders>
              <w:bottom w:val="single" w:sz="8" w:color="010035"/>
            </w:tcBorders>
            <w:vMerge w:val="continue"/>
          </w:tcPr>
          <w:p>
            <w:pPr>
              <w:spacing w:after="0"/>
              <w:rPr>
                <w:sz w:val="19"/>
                <w:szCs w:val="19"/>
                <w:color w:val="auto"/>
              </w:rPr>
            </w:pPr>
          </w:p>
        </w:tc>
        <w:tc>
          <w:tcPr>
            <w:tcW w:w="1260" w:type="dxa"/>
            <w:vAlign w:val="bottom"/>
            <w:tcBorders>
              <w:bottom w:val="single" w:sz="8" w:color="010035"/>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80" w:hanging="174"/>
        <w:spacing w:after="0"/>
        <w:tabs>
          <w:tab w:leader="none" w:pos="180" w:val="left"/>
        </w:tabs>
        <w:numPr>
          <w:ilvl w:val="0"/>
          <w:numId w:val="8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Represents cash-settled units.</w:t>
      </w:r>
    </w:p>
    <w:p>
      <w:pPr>
        <w:spacing w:after="0" w:line="13"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8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Represents cash-settled SARs.</w:t>
      </w:r>
    </w:p>
    <w:p>
      <w:pPr>
        <w:spacing w:after="0" w:line="16"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8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24,428 units are/were cash-settled.</w:t>
      </w:r>
    </w:p>
    <w:p>
      <w:pPr>
        <w:spacing w:after="0" w:line="13" w:lineRule="exact"/>
        <w:rPr>
          <w:rFonts w:ascii="Times New Roman" w:cs="Times New Roman" w:eastAsia="Times New Roman" w:hAnsi="Times New Roman"/>
          <w:sz w:val="11"/>
          <w:szCs w:val="11"/>
          <w:color w:val="010035"/>
        </w:rPr>
      </w:pPr>
    </w:p>
    <w:p>
      <w:pPr>
        <w:ind w:left="180" w:hanging="174"/>
        <w:spacing w:after="0"/>
        <w:tabs>
          <w:tab w:leader="none" w:pos="180" w:val="left"/>
        </w:tabs>
        <w:numPr>
          <w:ilvl w:val="0"/>
          <w:numId w:val="86"/>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15,358 performance units were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106</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7372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271" w:lineRule="exact"/>
        <w:rPr>
          <w:sz w:val="20"/>
          <w:szCs w:val="20"/>
          <w:color w:val="auto"/>
        </w:rPr>
      </w:pPr>
    </w:p>
    <w:p>
      <w:pPr>
        <w:ind w:left="340" w:right="560"/>
        <w:spacing w:after="0" w:line="353" w:lineRule="auto"/>
        <w:rPr>
          <w:sz w:val="20"/>
          <w:szCs w:val="20"/>
          <w:color w:val="auto"/>
        </w:rPr>
      </w:pPr>
      <w:r>
        <w:rPr>
          <w:rFonts w:ascii="Arial" w:cs="Arial" w:eastAsia="Arial" w:hAnsi="Arial"/>
          <w:sz w:val="29"/>
          <w:szCs w:val="29"/>
          <w:b w:val="1"/>
          <w:bCs w:val="1"/>
          <w:color w:val="FFFFFF"/>
        </w:rPr>
        <w:t>PROPOSAL 4: APPROVAL OF THE THIRD AMENDMENT TO OUR 2022 LONG-TERM INCENTIVE COMPENSATION PLAN</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The following table summarizes certain information with respect to the Company’s compensation plans and individual compensation arrangements under which the Company’s equity securities have been authorized for issuance as of the fiscal year ended December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40" w:type="dxa"/>
            <w:vAlign w:val="bottom"/>
            <w:tcBorders>
              <w:top w:val="single" w:sz="8" w:color="69439A"/>
            </w:tcBorders>
            <w:shd w:val="clear" w:color="auto" w:fill="010035"/>
          </w:tcPr>
          <w:p>
            <w:pPr>
              <w:spacing w:after="0"/>
              <w:rPr>
                <w:sz w:val="24"/>
                <w:szCs w:val="24"/>
                <w:color w:val="auto"/>
              </w:rPr>
            </w:pPr>
          </w:p>
        </w:tc>
        <w:tc>
          <w:tcPr>
            <w:tcW w:w="2440" w:type="dxa"/>
            <w:vAlign w:val="bottom"/>
            <w:tcBorders>
              <w:top w:val="single" w:sz="8" w:color="69439A"/>
            </w:tcBorders>
            <w:shd w:val="clear" w:color="auto" w:fill="010035"/>
          </w:tcPr>
          <w:p>
            <w:pPr>
              <w:spacing w:after="0"/>
              <w:rPr>
                <w:sz w:val="24"/>
                <w:szCs w:val="24"/>
                <w:color w:val="auto"/>
              </w:rPr>
            </w:pPr>
          </w:p>
        </w:tc>
        <w:tc>
          <w:tcPr>
            <w:tcW w:w="2080" w:type="dxa"/>
            <w:vAlign w:val="bottom"/>
            <w:tcBorders>
              <w:top w:val="single" w:sz="8" w:color="69439A"/>
            </w:tcBorders>
            <w:shd w:val="clear" w:color="auto" w:fill="010035"/>
          </w:tcPr>
          <w:p>
            <w:pPr>
              <w:jc w:val="center"/>
              <w:spacing w:after="0"/>
              <w:rPr>
                <w:sz w:val="20"/>
                <w:szCs w:val="20"/>
                <w:color w:val="auto"/>
              </w:rPr>
            </w:pPr>
            <w:r>
              <w:rPr>
                <w:rFonts w:ascii="Arial" w:cs="Arial" w:eastAsia="Arial" w:hAnsi="Arial"/>
                <w:sz w:val="14"/>
                <w:szCs w:val="14"/>
                <w:b w:val="1"/>
                <w:bCs w:val="1"/>
                <w:color w:val="FFFFFF"/>
              </w:rPr>
              <w:t>(A)</w:t>
            </w:r>
          </w:p>
        </w:tc>
        <w:tc>
          <w:tcPr>
            <w:tcW w:w="1900" w:type="dxa"/>
            <w:vAlign w:val="bottom"/>
            <w:tcBorders>
              <w:top w:val="single" w:sz="8" w:color="69439A"/>
            </w:tcBorders>
            <w:shd w:val="clear" w:color="auto" w:fill="010035"/>
          </w:tcPr>
          <w:p>
            <w:pPr>
              <w:jc w:val="center"/>
              <w:ind w:left="28"/>
              <w:spacing w:after="0"/>
              <w:rPr>
                <w:sz w:val="20"/>
                <w:szCs w:val="20"/>
                <w:color w:val="auto"/>
              </w:rPr>
            </w:pPr>
            <w:r>
              <w:rPr>
                <w:rFonts w:ascii="Arial" w:cs="Arial" w:eastAsia="Arial" w:hAnsi="Arial"/>
                <w:sz w:val="14"/>
                <w:szCs w:val="14"/>
                <w:b w:val="1"/>
                <w:bCs w:val="1"/>
                <w:color w:val="FFFFFF"/>
              </w:rPr>
              <w:t>(B)</w:t>
            </w:r>
          </w:p>
        </w:tc>
        <w:tc>
          <w:tcPr>
            <w:tcW w:w="2940" w:type="dxa"/>
            <w:vAlign w:val="bottom"/>
            <w:tcBorders>
              <w:top w:val="single" w:sz="8" w:color="69439A"/>
            </w:tcBorders>
            <w:shd w:val="clear" w:color="auto" w:fill="010035"/>
          </w:tcPr>
          <w:p>
            <w:pPr>
              <w:jc w:val="center"/>
              <w:ind w:left="48"/>
              <w:spacing w:after="0"/>
              <w:rPr>
                <w:sz w:val="20"/>
                <w:szCs w:val="20"/>
                <w:color w:val="auto"/>
              </w:rPr>
            </w:pPr>
            <w:r>
              <w:rPr>
                <w:rFonts w:ascii="Arial" w:cs="Arial" w:eastAsia="Arial" w:hAnsi="Arial"/>
                <w:sz w:val="14"/>
                <w:szCs w:val="14"/>
                <w:b w:val="1"/>
                <w:bCs w:val="1"/>
                <w:color w:val="FFFFFF"/>
                <w:w w:val="92"/>
              </w:rPr>
              <w:t>(C)</w:t>
            </w:r>
          </w:p>
        </w:tc>
        <w:tc>
          <w:tcPr>
            <w:tcW w:w="0" w:type="dxa"/>
            <w:vAlign w:val="bottom"/>
          </w:tcPr>
          <w:p>
            <w:pPr>
              <w:spacing w:after="0"/>
              <w:rPr>
                <w:sz w:val="1"/>
                <w:szCs w:val="1"/>
                <w:color w:val="auto"/>
              </w:rPr>
            </w:pPr>
          </w:p>
        </w:tc>
      </w:tr>
      <w:tr>
        <w:trPr>
          <w:trHeight w:val="49"/>
        </w:trPr>
        <w:tc>
          <w:tcPr>
            <w:tcW w:w="40" w:type="dxa"/>
            <w:vAlign w:val="bottom"/>
            <w:shd w:val="clear" w:color="auto" w:fill="010035"/>
          </w:tcPr>
          <w:p>
            <w:pPr>
              <w:spacing w:after="0"/>
              <w:rPr>
                <w:sz w:val="4"/>
                <w:szCs w:val="4"/>
                <w:color w:val="auto"/>
              </w:rPr>
            </w:pPr>
          </w:p>
        </w:tc>
        <w:tc>
          <w:tcPr>
            <w:tcW w:w="2440" w:type="dxa"/>
            <w:vAlign w:val="bottom"/>
            <w:shd w:val="clear" w:color="auto" w:fill="010035"/>
          </w:tcPr>
          <w:p>
            <w:pPr>
              <w:spacing w:after="0"/>
              <w:rPr>
                <w:sz w:val="4"/>
                <w:szCs w:val="4"/>
                <w:color w:val="auto"/>
              </w:rPr>
            </w:pPr>
          </w:p>
        </w:tc>
        <w:tc>
          <w:tcPr>
            <w:tcW w:w="2080" w:type="dxa"/>
            <w:vAlign w:val="bottom"/>
            <w:shd w:val="clear" w:color="auto" w:fill="010035"/>
          </w:tcPr>
          <w:p>
            <w:pPr>
              <w:spacing w:after="0"/>
              <w:rPr>
                <w:sz w:val="4"/>
                <w:szCs w:val="4"/>
                <w:color w:val="auto"/>
              </w:rPr>
            </w:pPr>
          </w:p>
        </w:tc>
        <w:tc>
          <w:tcPr>
            <w:tcW w:w="1900" w:type="dxa"/>
            <w:vAlign w:val="bottom"/>
            <w:shd w:val="clear" w:color="auto" w:fill="010035"/>
          </w:tcPr>
          <w:p>
            <w:pPr>
              <w:spacing w:after="0"/>
              <w:rPr>
                <w:sz w:val="4"/>
                <w:szCs w:val="4"/>
                <w:color w:val="auto"/>
              </w:rPr>
            </w:pPr>
          </w:p>
        </w:tc>
        <w:tc>
          <w:tcPr>
            <w:tcW w:w="2940" w:type="dxa"/>
            <w:vAlign w:val="bottom"/>
            <w:shd w:val="clear" w:color="auto" w:fill="010035"/>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0" w:type="dxa"/>
            <w:vAlign w:val="bottom"/>
            <w:shd w:val="clear" w:color="auto" w:fill="010035"/>
          </w:tcPr>
          <w:p>
            <w:pPr>
              <w:spacing w:after="0"/>
              <w:rPr>
                <w:sz w:val="19"/>
                <w:szCs w:val="19"/>
                <w:color w:val="auto"/>
              </w:rPr>
            </w:pPr>
          </w:p>
        </w:tc>
        <w:tc>
          <w:tcPr>
            <w:tcW w:w="2440" w:type="dxa"/>
            <w:vAlign w:val="bottom"/>
            <w:shd w:val="clear" w:color="auto" w:fill="010035"/>
          </w:tcPr>
          <w:p>
            <w:pPr>
              <w:spacing w:after="0"/>
              <w:rPr>
                <w:sz w:val="19"/>
                <w:szCs w:val="19"/>
                <w:color w:val="auto"/>
              </w:rPr>
            </w:pPr>
          </w:p>
        </w:tc>
        <w:tc>
          <w:tcPr>
            <w:tcW w:w="20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NUMBER OF SECURITIES TO</w:t>
            </w:r>
          </w:p>
        </w:tc>
        <w:tc>
          <w:tcPr>
            <w:tcW w:w="1900" w:type="dxa"/>
            <w:vAlign w:val="bottom"/>
            <w:shd w:val="clear" w:color="auto" w:fill="010035"/>
          </w:tcPr>
          <w:p>
            <w:pPr>
              <w:spacing w:after="0"/>
              <w:rPr>
                <w:sz w:val="19"/>
                <w:szCs w:val="19"/>
                <w:color w:val="auto"/>
              </w:rPr>
            </w:pPr>
          </w:p>
        </w:tc>
        <w:tc>
          <w:tcPr>
            <w:tcW w:w="2940" w:type="dxa"/>
            <w:vAlign w:val="bottom"/>
            <w:shd w:val="clear" w:color="auto" w:fill="010035"/>
          </w:tcPr>
          <w:p>
            <w:pPr>
              <w:jc w:val="center"/>
              <w:ind w:left="48"/>
              <w:spacing w:after="0"/>
              <w:rPr>
                <w:sz w:val="20"/>
                <w:szCs w:val="20"/>
                <w:color w:val="auto"/>
              </w:rPr>
            </w:pPr>
            <w:r>
              <w:rPr>
                <w:rFonts w:ascii="Arial" w:cs="Arial" w:eastAsia="Arial" w:hAnsi="Arial"/>
                <w:sz w:val="14"/>
                <w:szCs w:val="14"/>
                <w:b w:val="1"/>
                <w:bCs w:val="1"/>
                <w:color w:val="FFFFFF"/>
                <w:w w:val="98"/>
              </w:rPr>
              <w:t>NUMBER OF SECURITIES REMAINING</w:t>
            </w: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2440" w:type="dxa"/>
            <w:vAlign w:val="bottom"/>
            <w:vMerge w:val="restart"/>
            <w:shd w:val="clear" w:color="auto" w:fill="010035"/>
          </w:tcPr>
          <w:p>
            <w:pPr>
              <w:ind w:left="600"/>
              <w:spacing w:after="0"/>
              <w:rPr>
                <w:sz w:val="20"/>
                <w:szCs w:val="20"/>
                <w:color w:val="auto"/>
              </w:rPr>
            </w:pPr>
            <w:r>
              <w:rPr>
                <w:rFonts w:ascii="Arial" w:cs="Arial" w:eastAsia="Arial" w:hAnsi="Arial"/>
                <w:sz w:val="14"/>
                <w:szCs w:val="14"/>
                <w:b w:val="1"/>
                <w:bCs w:val="1"/>
                <w:color w:val="FFFFFF"/>
              </w:rPr>
              <w:t>PLAN CATEGORY</w:t>
            </w:r>
          </w:p>
        </w:tc>
        <w:tc>
          <w:tcPr>
            <w:tcW w:w="2080" w:type="dxa"/>
            <w:vAlign w:val="bottom"/>
            <w:vMerge w:val="continue"/>
            <w:shd w:val="clear" w:color="auto" w:fill="010035"/>
          </w:tcPr>
          <w:p>
            <w:pPr>
              <w:spacing w:after="0"/>
              <w:rPr>
                <w:sz w:val="7"/>
                <w:szCs w:val="7"/>
                <w:color w:val="auto"/>
              </w:rPr>
            </w:pPr>
          </w:p>
        </w:tc>
        <w:tc>
          <w:tcPr>
            <w:tcW w:w="1900" w:type="dxa"/>
            <w:vAlign w:val="bottom"/>
            <w:vMerge w:val="restart"/>
            <w:shd w:val="clear" w:color="auto" w:fill="010035"/>
          </w:tcPr>
          <w:p>
            <w:pPr>
              <w:jc w:val="center"/>
              <w:ind w:left="48"/>
              <w:spacing w:after="0"/>
              <w:rPr>
                <w:sz w:val="20"/>
                <w:szCs w:val="20"/>
                <w:color w:val="auto"/>
              </w:rPr>
            </w:pPr>
            <w:r>
              <w:rPr>
                <w:rFonts w:ascii="Arial" w:cs="Arial" w:eastAsia="Arial" w:hAnsi="Arial"/>
                <w:sz w:val="14"/>
                <w:szCs w:val="14"/>
                <w:b w:val="1"/>
                <w:bCs w:val="1"/>
                <w:color w:val="FFFFFF"/>
                <w:w w:val="98"/>
              </w:rPr>
              <w:t>WEIGHTED AVERAGE</w:t>
            </w:r>
          </w:p>
        </w:tc>
        <w:tc>
          <w:tcPr>
            <w:tcW w:w="2940" w:type="dxa"/>
            <w:vAlign w:val="bottom"/>
            <w:vMerge w:val="restart"/>
            <w:shd w:val="clear" w:color="auto" w:fill="010035"/>
          </w:tcPr>
          <w:p>
            <w:pPr>
              <w:jc w:val="center"/>
              <w:ind w:left="48"/>
              <w:spacing w:after="0"/>
              <w:rPr>
                <w:sz w:val="20"/>
                <w:szCs w:val="20"/>
                <w:color w:val="auto"/>
              </w:rPr>
            </w:pPr>
            <w:r>
              <w:rPr>
                <w:rFonts w:ascii="Arial" w:cs="Arial" w:eastAsia="Arial" w:hAnsi="Arial"/>
                <w:sz w:val="14"/>
                <w:szCs w:val="14"/>
                <w:b w:val="1"/>
                <w:bCs w:val="1"/>
                <w:color w:val="FFFFFF"/>
                <w:w w:val="98"/>
              </w:rPr>
              <w:t>AVAILABLE FOR FUTURE ISSUANCE</w:t>
            </w: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2440" w:type="dxa"/>
            <w:vAlign w:val="bottom"/>
            <w:vMerge w:val="continue"/>
            <w:shd w:val="clear" w:color="auto" w:fill="010035"/>
          </w:tcPr>
          <w:p>
            <w:pPr>
              <w:spacing w:after="0"/>
              <w:rPr>
                <w:sz w:val="7"/>
                <w:szCs w:val="7"/>
                <w:color w:val="auto"/>
              </w:rPr>
            </w:pPr>
          </w:p>
        </w:tc>
        <w:tc>
          <w:tcPr>
            <w:tcW w:w="20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8"/>
              </w:rPr>
              <w:t>BE ISSUED UPON</w:t>
            </w:r>
          </w:p>
        </w:tc>
        <w:tc>
          <w:tcPr>
            <w:tcW w:w="1900" w:type="dxa"/>
            <w:vAlign w:val="bottom"/>
            <w:vMerge w:val="continue"/>
            <w:shd w:val="clear" w:color="auto" w:fill="010035"/>
          </w:tcPr>
          <w:p>
            <w:pPr>
              <w:spacing w:after="0"/>
              <w:rPr>
                <w:sz w:val="7"/>
                <w:szCs w:val="7"/>
                <w:color w:val="auto"/>
              </w:rPr>
            </w:pPr>
          </w:p>
        </w:tc>
        <w:tc>
          <w:tcPr>
            <w:tcW w:w="2940" w:type="dxa"/>
            <w:vAlign w:val="bottom"/>
            <w:vMerge w:val="continue"/>
            <w:shd w:val="clear" w:color="auto" w:fill="01003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2440" w:type="dxa"/>
            <w:vAlign w:val="bottom"/>
            <w:shd w:val="clear" w:color="auto" w:fill="010035"/>
          </w:tcPr>
          <w:p>
            <w:pPr>
              <w:spacing w:after="0"/>
              <w:rPr>
                <w:sz w:val="7"/>
                <w:szCs w:val="7"/>
                <w:color w:val="auto"/>
              </w:rPr>
            </w:pPr>
          </w:p>
        </w:tc>
        <w:tc>
          <w:tcPr>
            <w:tcW w:w="2080" w:type="dxa"/>
            <w:vAlign w:val="bottom"/>
            <w:vMerge w:val="continue"/>
            <w:shd w:val="clear" w:color="auto" w:fill="010035"/>
          </w:tcPr>
          <w:p>
            <w:pPr>
              <w:spacing w:after="0"/>
              <w:rPr>
                <w:sz w:val="7"/>
                <w:szCs w:val="7"/>
                <w:color w:val="auto"/>
              </w:rPr>
            </w:pPr>
          </w:p>
        </w:tc>
        <w:tc>
          <w:tcPr>
            <w:tcW w:w="1900" w:type="dxa"/>
            <w:vAlign w:val="bottom"/>
            <w:vMerge w:val="restart"/>
            <w:shd w:val="clear" w:color="auto" w:fill="010035"/>
          </w:tcPr>
          <w:p>
            <w:pPr>
              <w:jc w:val="center"/>
              <w:ind w:left="28"/>
              <w:spacing w:after="0"/>
              <w:rPr>
                <w:sz w:val="20"/>
                <w:szCs w:val="20"/>
                <w:color w:val="auto"/>
              </w:rPr>
            </w:pPr>
            <w:r>
              <w:rPr>
                <w:rFonts w:ascii="Arial" w:cs="Arial" w:eastAsia="Arial" w:hAnsi="Arial"/>
                <w:sz w:val="14"/>
                <w:szCs w:val="14"/>
                <w:b w:val="1"/>
                <w:bCs w:val="1"/>
                <w:color w:val="FFFFFF"/>
                <w:w w:val="99"/>
              </w:rPr>
              <w:t>EXERCISE PRICE OF</w:t>
            </w:r>
          </w:p>
        </w:tc>
        <w:tc>
          <w:tcPr>
            <w:tcW w:w="2940" w:type="dxa"/>
            <w:vAlign w:val="bottom"/>
            <w:vMerge w:val="restart"/>
            <w:shd w:val="clear" w:color="auto" w:fill="010035"/>
          </w:tcPr>
          <w:p>
            <w:pPr>
              <w:jc w:val="center"/>
              <w:ind w:left="48"/>
              <w:spacing w:after="0"/>
              <w:rPr>
                <w:sz w:val="20"/>
                <w:szCs w:val="20"/>
                <w:color w:val="auto"/>
              </w:rPr>
            </w:pPr>
            <w:r>
              <w:rPr>
                <w:rFonts w:ascii="Arial" w:cs="Arial" w:eastAsia="Arial" w:hAnsi="Arial"/>
                <w:sz w:val="14"/>
                <w:szCs w:val="14"/>
                <w:b w:val="1"/>
                <w:bCs w:val="1"/>
                <w:color w:val="FFFFFF"/>
                <w:w w:val="98"/>
              </w:rPr>
              <w:t>UNDER EQUITY COMPENSATION PLANS</w:t>
            </w: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2440" w:type="dxa"/>
            <w:vAlign w:val="bottom"/>
            <w:shd w:val="clear" w:color="auto" w:fill="010035"/>
          </w:tcPr>
          <w:p>
            <w:pPr>
              <w:spacing w:after="0"/>
              <w:rPr>
                <w:sz w:val="7"/>
                <w:szCs w:val="7"/>
                <w:color w:val="auto"/>
              </w:rPr>
            </w:pPr>
          </w:p>
        </w:tc>
        <w:tc>
          <w:tcPr>
            <w:tcW w:w="20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9"/>
              </w:rPr>
              <w:t>EXERCISE OF</w:t>
            </w:r>
          </w:p>
        </w:tc>
        <w:tc>
          <w:tcPr>
            <w:tcW w:w="1900" w:type="dxa"/>
            <w:vAlign w:val="bottom"/>
            <w:vMerge w:val="continue"/>
            <w:shd w:val="clear" w:color="auto" w:fill="010035"/>
          </w:tcPr>
          <w:p>
            <w:pPr>
              <w:spacing w:after="0"/>
              <w:rPr>
                <w:sz w:val="7"/>
                <w:szCs w:val="7"/>
                <w:color w:val="auto"/>
              </w:rPr>
            </w:pPr>
          </w:p>
        </w:tc>
        <w:tc>
          <w:tcPr>
            <w:tcW w:w="2940" w:type="dxa"/>
            <w:vAlign w:val="bottom"/>
            <w:vMerge w:val="continue"/>
            <w:shd w:val="clear" w:color="auto" w:fill="01003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2440" w:type="dxa"/>
            <w:vAlign w:val="bottom"/>
            <w:shd w:val="clear" w:color="auto" w:fill="010035"/>
          </w:tcPr>
          <w:p>
            <w:pPr>
              <w:spacing w:after="0"/>
              <w:rPr>
                <w:sz w:val="7"/>
                <w:szCs w:val="7"/>
                <w:color w:val="auto"/>
              </w:rPr>
            </w:pPr>
          </w:p>
        </w:tc>
        <w:tc>
          <w:tcPr>
            <w:tcW w:w="2080" w:type="dxa"/>
            <w:vAlign w:val="bottom"/>
            <w:vMerge w:val="continue"/>
            <w:shd w:val="clear" w:color="auto" w:fill="010035"/>
          </w:tcPr>
          <w:p>
            <w:pPr>
              <w:spacing w:after="0"/>
              <w:rPr>
                <w:sz w:val="7"/>
                <w:szCs w:val="7"/>
                <w:color w:val="auto"/>
              </w:rPr>
            </w:pPr>
          </w:p>
        </w:tc>
        <w:tc>
          <w:tcPr>
            <w:tcW w:w="4840" w:type="dxa"/>
            <w:vAlign w:val="bottom"/>
            <w:gridSpan w:val="2"/>
            <w:vMerge w:val="restart"/>
            <w:shd w:val="clear" w:color="auto" w:fill="010035"/>
          </w:tcPr>
          <w:p>
            <w:pPr>
              <w:ind w:left="60"/>
              <w:spacing w:after="0"/>
              <w:rPr>
                <w:sz w:val="20"/>
                <w:szCs w:val="20"/>
                <w:color w:val="auto"/>
              </w:rPr>
            </w:pPr>
            <w:r>
              <w:rPr>
                <w:rFonts w:ascii="Arial" w:cs="Arial" w:eastAsia="Arial" w:hAnsi="Arial"/>
                <w:sz w:val="14"/>
                <w:szCs w:val="14"/>
                <w:b w:val="1"/>
                <w:bCs w:val="1"/>
                <w:color w:val="FFFFFF"/>
              </w:rPr>
              <w:t>OUTSTANDING OPTIONS ($)  (EXCLUDING SECURITIES REFLECTED</w:t>
            </w:r>
          </w:p>
        </w:tc>
        <w:tc>
          <w:tcPr>
            <w:tcW w:w="0" w:type="dxa"/>
            <w:vAlign w:val="bottom"/>
          </w:tcPr>
          <w:p>
            <w:pPr>
              <w:spacing w:after="0"/>
              <w:rPr>
                <w:sz w:val="1"/>
                <w:szCs w:val="1"/>
                <w:color w:val="auto"/>
              </w:rPr>
            </w:pPr>
          </w:p>
        </w:tc>
      </w:tr>
      <w:tr>
        <w:trPr>
          <w:trHeight w:val="81"/>
        </w:trPr>
        <w:tc>
          <w:tcPr>
            <w:tcW w:w="40" w:type="dxa"/>
            <w:vAlign w:val="bottom"/>
            <w:shd w:val="clear" w:color="auto" w:fill="010035"/>
          </w:tcPr>
          <w:p>
            <w:pPr>
              <w:spacing w:after="0"/>
              <w:rPr>
                <w:sz w:val="7"/>
                <w:szCs w:val="7"/>
                <w:color w:val="auto"/>
              </w:rPr>
            </w:pPr>
          </w:p>
        </w:tc>
        <w:tc>
          <w:tcPr>
            <w:tcW w:w="2440" w:type="dxa"/>
            <w:vAlign w:val="bottom"/>
            <w:shd w:val="clear" w:color="auto" w:fill="010035"/>
          </w:tcPr>
          <w:p>
            <w:pPr>
              <w:spacing w:after="0"/>
              <w:rPr>
                <w:sz w:val="7"/>
                <w:szCs w:val="7"/>
                <w:color w:val="auto"/>
              </w:rPr>
            </w:pPr>
          </w:p>
        </w:tc>
        <w:tc>
          <w:tcPr>
            <w:tcW w:w="2080" w:type="dxa"/>
            <w:vAlign w:val="bottom"/>
            <w:vMerge w:val="restart"/>
            <w:shd w:val="clear" w:color="auto" w:fill="010035"/>
          </w:tcPr>
          <w:p>
            <w:pPr>
              <w:jc w:val="center"/>
              <w:spacing w:after="0"/>
              <w:rPr>
                <w:sz w:val="20"/>
                <w:szCs w:val="20"/>
                <w:color w:val="auto"/>
              </w:rPr>
            </w:pPr>
            <w:r>
              <w:rPr>
                <w:rFonts w:ascii="Arial" w:cs="Arial" w:eastAsia="Arial" w:hAnsi="Arial"/>
                <w:sz w:val="14"/>
                <w:szCs w:val="14"/>
                <w:b w:val="1"/>
                <w:bCs w:val="1"/>
                <w:color w:val="FFFFFF"/>
                <w:w w:val="97"/>
              </w:rPr>
              <w:t>OUTSTANDING OPTIONS</w:t>
            </w:r>
          </w:p>
        </w:tc>
        <w:tc>
          <w:tcPr>
            <w:tcW w:w="4840" w:type="dxa"/>
            <w:vAlign w:val="bottom"/>
            <w:gridSpan w:val="2"/>
            <w:vMerge w:val="continue"/>
            <w:shd w:val="clear" w:color="auto" w:fill="010035"/>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0" w:type="dxa"/>
            <w:vAlign w:val="bottom"/>
            <w:shd w:val="clear" w:color="auto" w:fill="010035"/>
          </w:tcPr>
          <w:p>
            <w:pPr>
              <w:spacing w:after="0"/>
              <w:rPr>
                <w:sz w:val="10"/>
                <w:szCs w:val="10"/>
                <w:color w:val="auto"/>
              </w:rPr>
            </w:pPr>
          </w:p>
        </w:tc>
        <w:tc>
          <w:tcPr>
            <w:tcW w:w="2440" w:type="dxa"/>
            <w:vAlign w:val="bottom"/>
            <w:shd w:val="clear" w:color="auto" w:fill="010035"/>
          </w:tcPr>
          <w:p>
            <w:pPr>
              <w:spacing w:after="0"/>
              <w:rPr>
                <w:sz w:val="10"/>
                <w:szCs w:val="10"/>
                <w:color w:val="auto"/>
              </w:rPr>
            </w:pPr>
          </w:p>
        </w:tc>
        <w:tc>
          <w:tcPr>
            <w:tcW w:w="2080" w:type="dxa"/>
            <w:vAlign w:val="bottom"/>
            <w:vMerge w:val="continue"/>
            <w:shd w:val="clear" w:color="auto" w:fill="010035"/>
          </w:tcPr>
          <w:p>
            <w:pPr>
              <w:spacing w:after="0"/>
              <w:rPr>
                <w:sz w:val="10"/>
                <w:szCs w:val="10"/>
                <w:color w:val="auto"/>
              </w:rPr>
            </w:pPr>
          </w:p>
        </w:tc>
        <w:tc>
          <w:tcPr>
            <w:tcW w:w="1900" w:type="dxa"/>
            <w:vAlign w:val="bottom"/>
            <w:shd w:val="clear" w:color="auto" w:fill="010035"/>
          </w:tcPr>
          <w:p>
            <w:pPr>
              <w:spacing w:after="0"/>
              <w:rPr>
                <w:sz w:val="10"/>
                <w:szCs w:val="10"/>
                <w:color w:val="auto"/>
              </w:rPr>
            </w:pPr>
          </w:p>
        </w:tc>
        <w:tc>
          <w:tcPr>
            <w:tcW w:w="2940" w:type="dxa"/>
            <w:vAlign w:val="bottom"/>
            <w:vMerge w:val="restart"/>
            <w:shd w:val="clear" w:color="auto" w:fill="010035"/>
          </w:tcPr>
          <w:p>
            <w:pPr>
              <w:jc w:val="center"/>
              <w:ind w:left="48"/>
              <w:spacing w:after="0"/>
              <w:rPr>
                <w:sz w:val="20"/>
                <w:szCs w:val="20"/>
                <w:color w:val="auto"/>
              </w:rPr>
            </w:pPr>
            <w:r>
              <w:rPr>
                <w:rFonts w:ascii="Arial" w:cs="Arial" w:eastAsia="Arial" w:hAnsi="Arial"/>
                <w:sz w:val="14"/>
                <w:szCs w:val="14"/>
                <w:b w:val="1"/>
                <w:bCs w:val="1"/>
                <w:color w:val="FFFFFF"/>
                <w:w w:val="98"/>
              </w:rPr>
              <w:t>IN COLUMN (A))</w:t>
            </w:r>
          </w:p>
        </w:tc>
        <w:tc>
          <w:tcPr>
            <w:tcW w:w="0" w:type="dxa"/>
            <w:vAlign w:val="bottom"/>
          </w:tcPr>
          <w:p>
            <w:pPr>
              <w:spacing w:after="0"/>
              <w:rPr>
                <w:sz w:val="1"/>
                <w:szCs w:val="1"/>
                <w:color w:val="auto"/>
              </w:rPr>
            </w:pPr>
          </w:p>
        </w:tc>
      </w:tr>
      <w:tr>
        <w:trPr>
          <w:trHeight w:val="103"/>
        </w:trPr>
        <w:tc>
          <w:tcPr>
            <w:tcW w:w="40" w:type="dxa"/>
            <w:vAlign w:val="bottom"/>
            <w:tcBorders>
              <w:bottom w:val="single" w:sz="8" w:color="010035"/>
            </w:tcBorders>
            <w:shd w:val="clear" w:color="auto" w:fill="010035"/>
          </w:tcPr>
          <w:p>
            <w:pPr>
              <w:spacing w:after="0"/>
              <w:rPr>
                <w:sz w:val="9"/>
                <w:szCs w:val="9"/>
                <w:color w:val="auto"/>
              </w:rPr>
            </w:pPr>
          </w:p>
        </w:tc>
        <w:tc>
          <w:tcPr>
            <w:tcW w:w="2440" w:type="dxa"/>
            <w:vAlign w:val="bottom"/>
            <w:tcBorders>
              <w:bottom w:val="single" w:sz="8" w:color="010035"/>
            </w:tcBorders>
            <w:shd w:val="clear" w:color="auto" w:fill="010035"/>
          </w:tcPr>
          <w:p>
            <w:pPr>
              <w:spacing w:after="0"/>
              <w:rPr>
                <w:sz w:val="9"/>
                <w:szCs w:val="9"/>
                <w:color w:val="auto"/>
              </w:rPr>
            </w:pPr>
          </w:p>
        </w:tc>
        <w:tc>
          <w:tcPr>
            <w:tcW w:w="2080" w:type="dxa"/>
            <w:vAlign w:val="bottom"/>
            <w:tcBorders>
              <w:bottom w:val="single" w:sz="8" w:color="010035"/>
            </w:tcBorders>
            <w:shd w:val="clear" w:color="auto" w:fill="010035"/>
          </w:tcPr>
          <w:p>
            <w:pPr>
              <w:spacing w:after="0"/>
              <w:rPr>
                <w:sz w:val="9"/>
                <w:szCs w:val="9"/>
                <w:color w:val="auto"/>
              </w:rPr>
            </w:pPr>
          </w:p>
        </w:tc>
        <w:tc>
          <w:tcPr>
            <w:tcW w:w="1900" w:type="dxa"/>
            <w:vAlign w:val="bottom"/>
            <w:tcBorders>
              <w:bottom w:val="single" w:sz="8" w:color="010035"/>
            </w:tcBorders>
            <w:shd w:val="clear" w:color="auto" w:fill="010035"/>
          </w:tcPr>
          <w:p>
            <w:pPr>
              <w:spacing w:after="0"/>
              <w:rPr>
                <w:sz w:val="9"/>
                <w:szCs w:val="9"/>
                <w:color w:val="auto"/>
              </w:rPr>
            </w:pPr>
          </w:p>
        </w:tc>
        <w:tc>
          <w:tcPr>
            <w:tcW w:w="2940" w:type="dxa"/>
            <w:vAlign w:val="bottom"/>
            <w:tcBorders>
              <w:bottom w:val="single" w:sz="8" w:color="010035"/>
            </w:tcBorders>
            <w:vMerge w:val="continue"/>
            <w:shd w:val="clear" w:color="auto" w:fill="010035"/>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40" w:type="dxa"/>
            <w:vAlign w:val="bottom"/>
          </w:tcPr>
          <w:p>
            <w:pPr>
              <w:ind w:left="40"/>
              <w:spacing w:after="0"/>
              <w:rPr>
                <w:sz w:val="20"/>
                <w:szCs w:val="20"/>
                <w:color w:val="auto"/>
              </w:rPr>
            </w:pPr>
            <w:r>
              <w:rPr>
                <w:rFonts w:ascii="Arial" w:cs="Arial" w:eastAsia="Arial" w:hAnsi="Arial"/>
                <w:sz w:val="14"/>
                <w:szCs w:val="14"/>
                <w:color w:val="010035"/>
              </w:rPr>
              <w:t>Equity compensation plans</w:t>
            </w:r>
          </w:p>
        </w:tc>
        <w:tc>
          <w:tcPr>
            <w:tcW w:w="2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40" w:type="dxa"/>
            <w:vAlign w:val="bottom"/>
            <w:vMerge w:val="restart"/>
          </w:tcPr>
          <w:p>
            <w:pPr>
              <w:jc w:val="center"/>
              <w:ind w:right="848"/>
              <w:spacing w:after="0"/>
              <w:rPr>
                <w:sz w:val="20"/>
                <w:szCs w:val="20"/>
                <w:color w:val="auto"/>
              </w:rPr>
            </w:pPr>
            <w:r>
              <w:rPr>
                <w:rFonts w:ascii="Arial" w:cs="Arial" w:eastAsia="Arial" w:hAnsi="Arial"/>
                <w:sz w:val="14"/>
                <w:szCs w:val="14"/>
                <w:color w:val="010035"/>
              </w:rPr>
              <w:t>9,309,563</w:t>
            </w:r>
            <w:r>
              <w:rPr>
                <w:rFonts w:ascii="Arial" w:cs="Arial" w:eastAsia="Arial" w:hAnsi="Arial"/>
                <w:sz w:val="23"/>
                <w:szCs w:val="23"/>
                <w:color w:val="010035"/>
                <w:vertAlign w:val="superscript"/>
              </w:rPr>
              <w:t>(1)(2)</w:t>
            </w: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2440" w:type="dxa"/>
            <w:vAlign w:val="bottom"/>
          </w:tcPr>
          <w:p>
            <w:pPr>
              <w:ind w:left="40"/>
              <w:spacing w:after="0"/>
              <w:rPr>
                <w:sz w:val="20"/>
                <w:szCs w:val="20"/>
                <w:color w:val="auto"/>
              </w:rPr>
            </w:pPr>
            <w:r>
              <w:rPr>
                <w:rFonts w:ascii="Arial" w:cs="Arial" w:eastAsia="Arial" w:hAnsi="Arial"/>
                <w:sz w:val="14"/>
                <w:szCs w:val="14"/>
                <w:color w:val="010035"/>
              </w:rPr>
              <w:t>approved by shareholders</w:t>
            </w:r>
          </w:p>
        </w:tc>
        <w:tc>
          <w:tcPr>
            <w:tcW w:w="2080" w:type="dxa"/>
            <w:vAlign w:val="bottom"/>
          </w:tcPr>
          <w:p>
            <w:pPr>
              <w:jc w:val="right"/>
              <w:ind w:right="648"/>
              <w:spacing w:after="0"/>
              <w:rPr>
                <w:sz w:val="20"/>
                <w:szCs w:val="20"/>
                <w:color w:val="auto"/>
              </w:rPr>
            </w:pPr>
            <w:r>
              <w:rPr>
                <w:rFonts w:ascii="Arial" w:cs="Arial" w:eastAsia="Arial" w:hAnsi="Arial"/>
                <w:sz w:val="14"/>
                <w:szCs w:val="14"/>
                <w:color w:val="010035"/>
              </w:rPr>
              <w:t>5,114,606</w:t>
            </w:r>
          </w:p>
        </w:tc>
        <w:tc>
          <w:tcPr>
            <w:tcW w:w="1900" w:type="dxa"/>
            <w:vAlign w:val="bottom"/>
          </w:tcPr>
          <w:p>
            <w:pPr>
              <w:jc w:val="center"/>
              <w:ind w:left="28"/>
              <w:spacing w:after="0"/>
              <w:rPr>
                <w:sz w:val="20"/>
                <w:szCs w:val="20"/>
                <w:color w:val="auto"/>
              </w:rPr>
            </w:pPr>
            <w:r>
              <w:rPr>
                <w:rFonts w:ascii="Arial" w:cs="Arial" w:eastAsia="Arial" w:hAnsi="Arial"/>
                <w:sz w:val="14"/>
                <w:szCs w:val="14"/>
                <w:color w:val="010035"/>
              </w:rPr>
              <w:t>$26.79</w:t>
            </w: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DED8EC"/>
          </w:tcPr>
          <w:p>
            <w:pPr>
              <w:spacing w:after="0"/>
              <w:rPr>
                <w:sz w:val="18"/>
                <w:szCs w:val="18"/>
                <w:color w:val="auto"/>
              </w:rPr>
            </w:pPr>
          </w:p>
        </w:tc>
        <w:tc>
          <w:tcPr>
            <w:tcW w:w="2440" w:type="dxa"/>
            <w:vAlign w:val="bottom"/>
            <w:shd w:val="clear" w:color="auto" w:fill="DED8EC"/>
          </w:tcPr>
          <w:p>
            <w:pPr>
              <w:ind w:left="40"/>
              <w:spacing w:after="0"/>
              <w:rPr>
                <w:sz w:val="20"/>
                <w:szCs w:val="20"/>
                <w:color w:val="auto"/>
              </w:rPr>
            </w:pPr>
            <w:r>
              <w:rPr>
                <w:rFonts w:ascii="Arial" w:cs="Arial" w:eastAsia="Arial" w:hAnsi="Arial"/>
                <w:sz w:val="14"/>
                <w:szCs w:val="14"/>
                <w:color w:val="010035"/>
              </w:rPr>
              <w:t>Equity compensation plans not</w:t>
            </w:r>
          </w:p>
        </w:tc>
        <w:tc>
          <w:tcPr>
            <w:tcW w:w="2080" w:type="dxa"/>
            <w:vAlign w:val="bottom"/>
            <w:shd w:val="clear" w:color="auto" w:fill="DED8EC"/>
          </w:tcPr>
          <w:p>
            <w:pPr>
              <w:spacing w:after="0"/>
              <w:rPr>
                <w:sz w:val="18"/>
                <w:szCs w:val="18"/>
                <w:color w:val="auto"/>
              </w:rPr>
            </w:pPr>
          </w:p>
        </w:tc>
        <w:tc>
          <w:tcPr>
            <w:tcW w:w="1900" w:type="dxa"/>
            <w:vAlign w:val="bottom"/>
            <w:shd w:val="clear" w:color="auto" w:fill="DED8EC"/>
          </w:tcPr>
          <w:p>
            <w:pPr>
              <w:spacing w:after="0"/>
              <w:rPr>
                <w:sz w:val="18"/>
                <w:szCs w:val="18"/>
                <w:color w:val="auto"/>
              </w:rPr>
            </w:pPr>
          </w:p>
        </w:tc>
        <w:tc>
          <w:tcPr>
            <w:tcW w:w="2940" w:type="dxa"/>
            <w:vAlign w:val="bottom"/>
            <w:shd w:val="clear" w:color="auto" w:fill="DED8E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bottom w:val="single" w:sz="8" w:color="DED8EC"/>
            </w:tcBorders>
            <w:shd w:val="clear" w:color="auto" w:fill="DED8EC"/>
          </w:tcPr>
          <w:p>
            <w:pPr>
              <w:spacing w:after="0"/>
              <w:rPr>
                <w:sz w:val="20"/>
                <w:szCs w:val="20"/>
                <w:color w:val="auto"/>
              </w:rPr>
            </w:pPr>
          </w:p>
        </w:tc>
        <w:tc>
          <w:tcPr>
            <w:tcW w:w="2440" w:type="dxa"/>
            <w:vAlign w:val="bottom"/>
            <w:tcBorders>
              <w:bottom w:val="single" w:sz="8" w:color="DED8EC"/>
            </w:tcBorders>
            <w:shd w:val="clear" w:color="auto" w:fill="DED8EC"/>
          </w:tcPr>
          <w:p>
            <w:pPr>
              <w:ind w:left="40"/>
              <w:spacing w:after="0" w:line="201" w:lineRule="exact"/>
              <w:rPr>
                <w:sz w:val="20"/>
                <w:szCs w:val="20"/>
                <w:color w:val="auto"/>
              </w:rPr>
            </w:pPr>
            <w:r>
              <w:rPr>
                <w:rFonts w:ascii="Arial" w:cs="Arial" w:eastAsia="Arial" w:hAnsi="Arial"/>
                <w:sz w:val="14"/>
                <w:szCs w:val="14"/>
                <w:color w:val="010035"/>
              </w:rPr>
              <w:t>approved by shareholders</w:t>
            </w:r>
            <w:r>
              <w:rPr>
                <w:rFonts w:ascii="Arial" w:cs="Arial" w:eastAsia="Arial" w:hAnsi="Arial"/>
                <w:sz w:val="23"/>
                <w:szCs w:val="23"/>
                <w:color w:val="010035"/>
                <w:vertAlign w:val="superscript"/>
              </w:rPr>
              <w:t>(3)</w:t>
            </w:r>
          </w:p>
        </w:tc>
        <w:tc>
          <w:tcPr>
            <w:tcW w:w="2080" w:type="dxa"/>
            <w:vAlign w:val="bottom"/>
            <w:tcBorders>
              <w:bottom w:val="single" w:sz="8" w:color="DED8EC"/>
            </w:tcBorders>
            <w:shd w:val="clear" w:color="auto" w:fill="DED8EC"/>
          </w:tcPr>
          <w:p>
            <w:pPr>
              <w:jc w:val="right"/>
              <w:ind w:right="748"/>
              <w:spacing w:after="0"/>
              <w:rPr>
                <w:sz w:val="20"/>
                <w:szCs w:val="20"/>
                <w:color w:val="auto"/>
              </w:rPr>
            </w:pPr>
            <w:r>
              <w:rPr>
                <w:rFonts w:ascii="Arial" w:cs="Arial" w:eastAsia="Arial" w:hAnsi="Arial"/>
                <w:sz w:val="14"/>
                <w:szCs w:val="14"/>
                <w:color w:val="010035"/>
              </w:rPr>
              <w:t>71,943</w:t>
            </w:r>
          </w:p>
        </w:tc>
        <w:tc>
          <w:tcPr>
            <w:tcW w:w="1900" w:type="dxa"/>
            <w:vAlign w:val="bottom"/>
            <w:tcBorders>
              <w:bottom w:val="single" w:sz="8" w:color="DED8EC"/>
            </w:tcBorders>
            <w:shd w:val="clear" w:color="auto" w:fill="DED8EC"/>
          </w:tcPr>
          <w:p>
            <w:pPr>
              <w:jc w:val="center"/>
              <w:ind w:left="28"/>
              <w:spacing w:after="0"/>
              <w:rPr>
                <w:sz w:val="20"/>
                <w:szCs w:val="20"/>
                <w:color w:val="auto"/>
              </w:rPr>
            </w:pPr>
            <w:r>
              <w:rPr>
                <w:rFonts w:ascii="Arial" w:cs="Arial" w:eastAsia="Arial" w:hAnsi="Arial"/>
                <w:sz w:val="14"/>
                <w:szCs w:val="14"/>
                <w:color w:val="010035"/>
              </w:rPr>
              <w:t>$20.60</w:t>
            </w:r>
          </w:p>
        </w:tc>
        <w:tc>
          <w:tcPr>
            <w:tcW w:w="2940" w:type="dxa"/>
            <w:vAlign w:val="bottom"/>
            <w:tcBorders>
              <w:bottom w:val="single" w:sz="8" w:color="DED8EC"/>
            </w:tcBorders>
            <w:shd w:val="clear" w:color="auto" w:fill="DED8EC"/>
          </w:tcPr>
          <w:p>
            <w:pPr>
              <w:jc w:val="right"/>
              <w:ind w:right="1068"/>
              <w:spacing w:after="0"/>
              <w:rPr>
                <w:sz w:val="20"/>
                <w:szCs w:val="20"/>
                <w:color w:val="auto"/>
              </w:rPr>
            </w:pPr>
            <w:r>
              <w:rPr>
                <w:rFonts w:ascii="Arial" w:cs="Arial" w:eastAsia="Arial" w:hAnsi="Arial"/>
                <w:sz w:val="14"/>
                <w:szCs w:val="14"/>
                <w:color w:val="010035"/>
              </w:rPr>
              <w:t>251,825</w:t>
            </w:r>
          </w:p>
        </w:tc>
        <w:tc>
          <w:tcPr>
            <w:tcW w:w="0" w:type="dxa"/>
            <w:vAlign w:val="bottom"/>
          </w:tcPr>
          <w:p>
            <w:pPr>
              <w:spacing w:after="0"/>
              <w:rPr>
                <w:sz w:val="1"/>
                <w:szCs w:val="1"/>
                <w:color w:val="auto"/>
              </w:rPr>
            </w:pPr>
          </w:p>
        </w:tc>
      </w:tr>
      <w:tr>
        <w:trPr>
          <w:trHeight w:val="20"/>
        </w:trPr>
        <w:tc>
          <w:tcPr>
            <w:tcW w:w="40" w:type="dxa"/>
            <w:vAlign w:val="bottom"/>
            <w:shd w:val="clear" w:color="auto" w:fill="010035"/>
          </w:tcPr>
          <w:p>
            <w:pPr>
              <w:spacing w:after="0" w:line="20" w:lineRule="exact"/>
              <w:rPr>
                <w:sz w:val="1"/>
                <w:szCs w:val="1"/>
                <w:color w:val="auto"/>
              </w:rPr>
            </w:pPr>
          </w:p>
        </w:tc>
        <w:tc>
          <w:tcPr>
            <w:tcW w:w="2440" w:type="dxa"/>
            <w:vAlign w:val="bottom"/>
            <w:shd w:val="clear" w:color="auto" w:fill="010035"/>
          </w:tcPr>
          <w:p>
            <w:pPr>
              <w:spacing w:after="0" w:line="20" w:lineRule="exact"/>
              <w:rPr>
                <w:sz w:val="1"/>
                <w:szCs w:val="1"/>
                <w:color w:val="auto"/>
              </w:rPr>
            </w:pPr>
          </w:p>
        </w:tc>
        <w:tc>
          <w:tcPr>
            <w:tcW w:w="2080" w:type="dxa"/>
            <w:vAlign w:val="bottom"/>
            <w:shd w:val="clear" w:color="auto" w:fill="010035"/>
          </w:tcPr>
          <w:p>
            <w:pPr>
              <w:spacing w:after="0" w:line="20" w:lineRule="exact"/>
              <w:rPr>
                <w:sz w:val="1"/>
                <w:szCs w:val="1"/>
                <w:color w:val="auto"/>
              </w:rPr>
            </w:pPr>
          </w:p>
        </w:tc>
        <w:tc>
          <w:tcPr>
            <w:tcW w:w="1900" w:type="dxa"/>
            <w:vAlign w:val="bottom"/>
            <w:shd w:val="clear" w:color="auto" w:fill="010035"/>
          </w:tcPr>
          <w:p>
            <w:pPr>
              <w:spacing w:after="0" w:line="20" w:lineRule="exact"/>
              <w:rPr>
                <w:sz w:val="1"/>
                <w:szCs w:val="1"/>
                <w:color w:val="auto"/>
              </w:rPr>
            </w:pPr>
          </w:p>
        </w:tc>
        <w:tc>
          <w:tcPr>
            <w:tcW w:w="2940" w:type="dxa"/>
            <w:vAlign w:val="bottom"/>
            <w:shd w:val="clear" w:color="auto" w:fill="0100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180" w:right="60" w:hanging="174"/>
        <w:spacing w:after="0" w:line="273" w:lineRule="auto"/>
        <w:tabs>
          <w:tab w:leader="none" w:pos="180" w:val="left"/>
        </w:tabs>
        <w:numPr>
          <w:ilvl w:val="0"/>
          <w:numId w:val="87"/>
        </w:numPr>
        <w:rPr>
          <w:rFonts w:ascii="Times New Roman" w:cs="Times New Roman" w:eastAsia="Times New Roman" w:hAnsi="Times New Roman"/>
          <w:sz w:val="10"/>
          <w:szCs w:val="10"/>
          <w:color w:val="010035"/>
        </w:rPr>
      </w:pPr>
      <w:r>
        <w:rPr>
          <w:rFonts w:ascii="Times New Roman" w:cs="Times New Roman" w:eastAsia="Times New Roman" w:hAnsi="Times New Roman"/>
          <w:sz w:val="10"/>
          <w:szCs w:val="10"/>
          <w:color w:val="010035"/>
        </w:rPr>
        <w:t>Includes 5,683,696 shares reserved at maximum in connection with performance-based restricted stock units granted under performance-based equity plans adopted under the 2022 Plan; and 315,324 stock settled restricted units with performance-based vesting conditions that are dependent on the achievement of certain milestones. The weighted-average exercise price in column (b) does not take these awards into account.</w:t>
      </w:r>
    </w:p>
    <w:p>
      <w:pPr>
        <w:ind w:left="180" w:right="80" w:hanging="174"/>
        <w:spacing w:after="0" w:line="276" w:lineRule="auto"/>
        <w:tabs>
          <w:tab w:leader="none" w:pos="180" w:val="left"/>
        </w:tabs>
        <w:numPr>
          <w:ilvl w:val="0"/>
          <w:numId w:val="87"/>
        </w:numPr>
        <w:rPr>
          <w:rFonts w:ascii="Times New Roman" w:cs="Times New Roman" w:eastAsia="Times New Roman" w:hAnsi="Times New Roman"/>
          <w:sz w:val="10"/>
          <w:szCs w:val="10"/>
          <w:color w:val="010035"/>
        </w:rPr>
      </w:pPr>
      <w:r>
        <w:rPr>
          <w:rFonts w:ascii="Times New Roman" w:cs="Times New Roman" w:eastAsia="Times New Roman" w:hAnsi="Times New Roman"/>
          <w:sz w:val="10"/>
          <w:szCs w:val="10"/>
          <w:color w:val="010035"/>
        </w:rPr>
        <w:t>The 2022 Plan provides that, while awards of stock options, stock appreciation rights, and awards of restricted stock, or shares issued pursuant to any other full value awards are counted as one share of common stock granted under such plan, for purposes of determining the number of shares available for issuance. Awards that are settled in cash rather than shares of stock are not counted against the limit in the 2022 Plan.</w:t>
      </w:r>
    </w:p>
    <w:p>
      <w:pPr>
        <w:ind w:left="180" w:right="80" w:hanging="174"/>
        <w:spacing w:after="0" w:line="237" w:lineRule="auto"/>
        <w:tabs>
          <w:tab w:leader="none" w:pos="180" w:val="left"/>
        </w:tabs>
        <w:numPr>
          <w:ilvl w:val="0"/>
          <w:numId w:val="8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In connection with our October 19, 2021 acquisition of theScore, we assumed the Score Media and Gaming Inc. Second Amended and Restated Stock Option and Restricted Stock Unit Plan (the “Score Media Plan”). Upon the assumption of the Score Media Plan, the remaining share reserve thereunder was converted into a share reserve relating to shares of Company common stock based on the equity award exchange ratio applicable to outstanding equity awards of theScore. The Score Media Plan was approved by the Score Media and Gaming Inc. security holders prior to the acquisition but has not been approved by our shareholders. The Score Media Plan permits grants of stock options and restricted share units to directors, officers, employees of theScore at the time of the acquisition (“eligible persons”) (or wholly-owned corporations of such eligible persons). No future awards will be granted under the Score Media Plan.</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Registration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jc w:val="both"/>
        <w:ind w:right="200"/>
        <w:spacing w:after="0" w:line="263" w:lineRule="auto"/>
        <w:rPr>
          <w:sz w:val="20"/>
          <w:szCs w:val="20"/>
          <w:color w:val="auto"/>
        </w:rPr>
      </w:pPr>
      <w:r>
        <w:rPr>
          <w:rFonts w:ascii="Arial" w:cs="Arial" w:eastAsia="Arial" w:hAnsi="Arial"/>
          <w:sz w:val="14"/>
          <w:szCs w:val="14"/>
          <w:color w:val="auto"/>
        </w:rPr>
        <w:t>If the amendment described in this Proposal 4 is approved by shareholders, the Company will file a Registration Statement on Form S-8 with the SEC with respect to the shares of the Company’s Common Stock to be registered pursuant to this third amendment to the 2022 Plan, as soon as reasonably practicable following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5966460" cy="13716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8905" cy="352425"/>
            <wp:effectExtent l="0" t="0" r="0"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8905" cy="352425"/>
                    </a:xfrm>
                    <a:prstGeom prst="rect">
                      <a:avLst/>
                    </a:prstGeom>
                    <a:noFill/>
                    <a:ln>
                      <a:noFill/>
                    </a:ln>
                  </pic:spPr>
                </pic:pic>
              </a:graphicData>
            </a:graphic>
          </wp:inline>
        </w:drawing>
      </w:r>
      <w:r>
        <w:rPr>
          <w:rFonts w:ascii="Arial" w:cs="Arial" w:eastAsia="Arial" w:hAnsi="Arial"/>
          <w:sz w:val="22"/>
          <w:szCs w:val="22"/>
          <w:b w:val="1"/>
          <w:bCs w:val="1"/>
          <w:color w:val="010035"/>
        </w:rPr>
        <w:t xml:space="preserve">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7200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5966460" cy="720090"/>
                    </a:xfrm>
                    <a:prstGeom prst="rect">
                      <a:avLst/>
                    </a:prstGeom>
                    <a:noFill/>
                  </pic:spPr>
                </pic:pic>
              </a:graphicData>
            </a:graphic>
          </wp:anchor>
        </w:drawing>
      </w:r>
    </w:p>
    <w:p>
      <w:pPr>
        <w:spacing w:after="0" w:line="186" w:lineRule="exact"/>
        <w:rPr>
          <w:sz w:val="20"/>
          <w:szCs w:val="20"/>
          <w:color w:val="auto"/>
        </w:rPr>
      </w:pPr>
    </w:p>
    <w:p>
      <w:pPr>
        <w:ind w:left="960" w:right="980"/>
        <w:spacing w:after="0" w:line="294" w:lineRule="auto"/>
        <w:rPr>
          <w:sz w:val="20"/>
          <w:szCs w:val="20"/>
          <w:color w:val="auto"/>
        </w:rPr>
      </w:pPr>
      <w:r>
        <w:rPr>
          <w:rFonts w:ascii="Arial" w:cs="Arial" w:eastAsia="Arial" w:hAnsi="Arial"/>
          <w:sz w:val="14"/>
          <w:szCs w:val="14"/>
          <w:b w:val="1"/>
          <w:bCs w:val="1"/>
          <w:color w:val="FFFFFF"/>
        </w:rPr>
        <w:t>OUR BOARD OF DIRECTORS UNANIMOUSLY RECOMMENDS A VOTE “FOR” THE APPROVAL OF THE THIRD AMENDMENT TO OUR 2022 LONG-TERM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235585</wp:posOffset>
            </wp:positionV>
            <wp:extent cx="6995160"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102870</wp:posOffset>
            </wp:positionV>
            <wp:extent cx="4414520" cy="13716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auto"/>
        </w:rPr>
        <w:t>PROXY STATEMENT - 2026</w:t>
        <w:tab/>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160655</wp:posOffset>
            </wp:positionV>
            <wp:extent cx="2571750" cy="822071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571750" cy="822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320"/>
        <w:spacing w:after="0"/>
        <w:rPr>
          <w:sz w:val="20"/>
          <w:szCs w:val="20"/>
          <w:color w:val="auto"/>
        </w:rPr>
      </w:pPr>
      <w:r>
        <w:rPr>
          <w:rFonts w:ascii="Arial" w:cs="Arial" w:eastAsia="Arial" w:hAnsi="Arial"/>
          <w:sz w:val="41"/>
          <w:szCs w:val="41"/>
          <w:b w:val="1"/>
          <w:bCs w:val="1"/>
          <w:color w:val="010035"/>
        </w:rPr>
        <w:t>PROPOSAL 5:</w:t>
      </w:r>
    </w:p>
    <w:p>
      <w:pPr>
        <w:spacing w:after="0" w:line="93" w:lineRule="exact"/>
        <w:rPr>
          <w:sz w:val="20"/>
          <w:szCs w:val="20"/>
          <w:color w:val="auto"/>
        </w:rPr>
      </w:pPr>
    </w:p>
    <w:p>
      <w:pPr>
        <w:ind w:left="4320" w:right="240"/>
        <w:spacing w:after="0" w:line="257" w:lineRule="auto"/>
        <w:rPr>
          <w:sz w:val="20"/>
          <w:szCs w:val="20"/>
          <w:color w:val="auto"/>
        </w:rPr>
      </w:pPr>
      <w:r>
        <w:rPr>
          <w:rFonts w:ascii="Arial" w:cs="Arial" w:eastAsia="Arial" w:hAnsi="Arial"/>
          <w:sz w:val="59"/>
          <w:szCs w:val="59"/>
          <w:b w:val="1"/>
          <w:bCs w:val="1"/>
          <w:color w:val="010035"/>
        </w:rPr>
        <w:t>SHAREHOLDER PROPOSAL REQUESTING ANNUAL ELECTION OF DIRECTORS</w:t>
      </w:r>
    </w:p>
    <w:p>
      <w:pPr>
        <w:spacing w:after="0" w:line="166" w:lineRule="exact"/>
        <w:rPr>
          <w:sz w:val="20"/>
          <w:szCs w:val="20"/>
          <w:color w:val="auto"/>
        </w:rPr>
      </w:pPr>
    </w:p>
    <w:p>
      <w:pPr>
        <w:ind w:left="4320" w:right="160"/>
        <w:spacing w:after="0" w:line="252" w:lineRule="auto"/>
        <w:rPr>
          <w:sz w:val="20"/>
          <w:szCs w:val="20"/>
          <w:color w:val="auto"/>
        </w:rPr>
      </w:pPr>
      <w:r>
        <w:rPr>
          <w:rFonts w:ascii="Arial" w:cs="Arial" w:eastAsia="Arial" w:hAnsi="Arial"/>
          <w:sz w:val="14"/>
          <w:szCs w:val="14"/>
          <w:color w:val="auto"/>
        </w:rPr>
        <w:t>Unite Here (the “proponent”), which was the beneficial owner of 469 shares of the Company’s common stock as of December 29, 2025, has notified the Company that it intends to present the following proposal for consideration at the Annual Meeting. The proponent has presented the proposal and supporting statements set forth below, and we are presenting the proposals and the supporting statements as they were submitted to us.</w:t>
      </w:r>
    </w:p>
    <w:p>
      <w:pPr>
        <w:spacing w:after="0" w:line="73" w:lineRule="exact"/>
        <w:rPr>
          <w:sz w:val="20"/>
          <w:szCs w:val="20"/>
          <w:color w:val="auto"/>
        </w:rPr>
      </w:pPr>
    </w:p>
    <w:p>
      <w:pPr>
        <w:ind w:left="4320" w:right="60"/>
        <w:spacing w:after="0" w:line="252" w:lineRule="auto"/>
        <w:rPr>
          <w:sz w:val="20"/>
          <w:szCs w:val="20"/>
          <w:color w:val="auto"/>
        </w:rPr>
      </w:pPr>
      <w:r>
        <w:rPr>
          <w:rFonts w:ascii="Arial" w:cs="Arial" w:eastAsia="Arial" w:hAnsi="Arial"/>
          <w:sz w:val="14"/>
          <w:szCs w:val="14"/>
          <w:color w:val="auto"/>
        </w:rPr>
        <w:t>Although we do not support certain of the statements contained in the proposal and the supporting statements, we have limited our response to the most important points and have not attempted to address all the statements with which we disagree. The address and stock ownership of the proponent will be furnished by the Company’s Secretary to any person, orally or in writing as requested, promptly upon receipt of any oral or written request.</w:t>
      </w:r>
    </w:p>
    <w:p>
      <w:pPr>
        <w:spacing w:after="0" w:line="194"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RESOLVED:</w:t>
      </w:r>
    </w:p>
    <w:p>
      <w:pPr>
        <w:spacing w:after="0" w:line="15" w:lineRule="exact"/>
        <w:rPr>
          <w:sz w:val="20"/>
          <w:szCs w:val="20"/>
          <w:color w:val="auto"/>
        </w:rPr>
      </w:pPr>
    </w:p>
    <w:p>
      <w:pPr>
        <w:ind w:left="4320" w:right="100"/>
        <w:spacing w:after="0" w:line="245" w:lineRule="auto"/>
        <w:rPr>
          <w:sz w:val="20"/>
          <w:szCs w:val="20"/>
          <w:color w:val="auto"/>
        </w:rPr>
      </w:pPr>
      <w:r>
        <w:rPr>
          <w:rFonts w:ascii="Arial" w:cs="Arial" w:eastAsia="Arial" w:hAnsi="Arial"/>
          <w:sz w:val="14"/>
          <w:szCs w:val="14"/>
          <w:color w:val="auto"/>
        </w:rPr>
        <w:t>Shareholders of PENN Entertainment, Inc. (the "Company") request that the Board of Directors take all necessary steps, promptly and in accordance with Pennsylvania law, the Company's governing documents, and all applicable gaming regulatory requirements, to eliminate the classification of the Board of Directors and transition to the annual election of all directors, with each director elected to a one-year term. The declassification should be implemented in a manner that does not affect the unexpired terms of directors elected prior to the effectiveness of such action.</w:t>
      </w:r>
    </w:p>
    <w:p>
      <w:pPr>
        <w:spacing w:after="0" w:line="199"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WHEREAS:</w:t>
      </w:r>
    </w:p>
    <w:p>
      <w:pPr>
        <w:spacing w:after="0" w:line="15" w:lineRule="exact"/>
        <w:rPr>
          <w:sz w:val="20"/>
          <w:szCs w:val="20"/>
          <w:color w:val="auto"/>
        </w:rPr>
      </w:pPr>
    </w:p>
    <w:p>
      <w:pPr>
        <w:ind w:left="4320" w:right="100"/>
        <w:spacing w:after="0" w:line="247" w:lineRule="auto"/>
        <w:rPr>
          <w:sz w:val="20"/>
          <w:szCs w:val="20"/>
          <w:color w:val="auto"/>
        </w:rPr>
      </w:pPr>
      <w:r>
        <w:rPr>
          <w:rFonts w:ascii="Arial" w:cs="Arial" w:eastAsia="Arial" w:hAnsi="Arial"/>
          <w:sz w:val="14"/>
          <w:szCs w:val="14"/>
          <w:color w:val="auto"/>
        </w:rPr>
        <w:t>The annual election of all directors is widely recognized as a leading corporate governance practice that enhances director accountability and aligns the board more closely with shareholders' long-term interests. Annual elections are the prevailing standard of good corporate governance across the majority of companies in the S&amp;P 500 and the Russell 3000.</w:t>
      </w:r>
    </w:p>
    <w:p>
      <w:pPr>
        <w:spacing w:after="0" w:line="76" w:lineRule="exact"/>
        <w:rPr>
          <w:sz w:val="20"/>
          <w:szCs w:val="20"/>
          <w:color w:val="auto"/>
        </w:rPr>
      </w:pPr>
    </w:p>
    <w:p>
      <w:pPr>
        <w:ind w:left="4320" w:right="160"/>
        <w:spacing w:after="0" w:line="245" w:lineRule="auto"/>
        <w:rPr>
          <w:sz w:val="20"/>
          <w:szCs w:val="20"/>
          <w:color w:val="auto"/>
        </w:rPr>
      </w:pPr>
      <w:r>
        <w:rPr>
          <w:rFonts w:ascii="Arial" w:cs="Arial" w:eastAsia="Arial" w:hAnsi="Arial"/>
          <w:sz w:val="14"/>
          <w:szCs w:val="14"/>
          <w:color w:val="auto"/>
        </w:rPr>
        <w:t>Our Company currently maintains a classified board in which directors serve staggered three-year terms. While historically common, classified boards are increasingly viewed as limiting shareholders' ability to provide timely feedback on board performance and composition. Academic research has suggested that classified boards are associated with lower firm value, reduced market discipline, and increased entrenchment risk (Faleye,</w:t>
      </w:r>
    </w:p>
    <w:p>
      <w:pPr>
        <w:spacing w:after="0" w:line="2" w:lineRule="exact"/>
        <w:rPr>
          <w:sz w:val="20"/>
          <w:szCs w:val="20"/>
          <w:color w:val="auto"/>
        </w:rPr>
      </w:pPr>
    </w:p>
    <w:p>
      <w:pPr>
        <w:ind w:left="4320" w:right="40"/>
        <w:spacing w:after="0" w:line="252" w:lineRule="auto"/>
        <w:rPr>
          <w:sz w:val="20"/>
          <w:szCs w:val="20"/>
          <w:color w:val="auto"/>
        </w:rPr>
      </w:pPr>
      <w:r>
        <w:rPr>
          <w:rFonts w:ascii="Arial" w:cs="Arial" w:eastAsia="Arial" w:hAnsi="Arial"/>
          <w:sz w:val="14"/>
          <w:szCs w:val="14"/>
          <w:color w:val="auto"/>
        </w:rPr>
        <w:t>2007). In the 2025 proxy season, proposals in favor of declassification of boards of directors had an average support of 77.9% (The Harvard Law School Forum on Corporate Governance, 2025).</w:t>
      </w:r>
    </w:p>
    <w:p>
      <w:pPr>
        <w:spacing w:after="0" w:line="73" w:lineRule="exact"/>
        <w:rPr>
          <w:sz w:val="20"/>
          <w:szCs w:val="20"/>
          <w:color w:val="auto"/>
        </w:rPr>
      </w:pPr>
    </w:p>
    <w:p>
      <w:pPr>
        <w:ind w:left="4320"/>
        <w:spacing w:after="0" w:line="247" w:lineRule="auto"/>
        <w:rPr>
          <w:sz w:val="20"/>
          <w:szCs w:val="20"/>
          <w:color w:val="auto"/>
        </w:rPr>
      </w:pPr>
      <w:r>
        <w:rPr>
          <w:rFonts w:ascii="Arial" w:cs="Arial" w:eastAsia="Arial" w:hAnsi="Arial"/>
          <w:sz w:val="14"/>
          <w:szCs w:val="14"/>
          <w:color w:val="auto"/>
        </w:rPr>
        <w:t>A transition to annual elections is both overdue and essential. For more than a decade, the Company's board has chosen to maintain a classified structure in contradiction to shareholders' 2010 majority vote in favor of declassification. Corporate governance standards and investor expectations have since shifted in greater favor of annual elections, and renewed shareholder action is appropriate as our Company continues to face a dynamic competitive landscape and ongoing technological change in the industry. Annual elections would strengthen board accountability and improve the Board's responsiveness to these challenges.</w:t>
      </w:r>
    </w:p>
    <w:p>
      <w:pPr>
        <w:sectPr>
          <w:pgSz w:w="11900" w:h="16838" w:orient="portrait"/>
          <w:cols w:equalWidth="0" w:num="1">
            <w:col w:w="10200"/>
          </w:cols>
          <w:pgMar w:left="840" w:top="114"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6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191135</wp:posOffset>
            </wp:positionV>
            <wp:extent cx="6995160" cy="171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200"/>
          </w:cols>
          <w:pgMar w:left="840" w:top="114" w:right="85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108</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PROPOSAL 5: ANNUAL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A transition to annual elections would:</w:t>
      </w:r>
    </w:p>
    <w:p>
      <w:pPr>
        <w:spacing w:after="0" w:line="42" w:lineRule="exact"/>
        <w:rPr>
          <w:sz w:val="20"/>
          <w:szCs w:val="20"/>
          <w:color w:val="auto"/>
        </w:rPr>
      </w:pPr>
    </w:p>
    <w:p>
      <w:pPr>
        <w:ind w:left="300" w:hanging="78"/>
        <w:spacing w:after="0"/>
        <w:tabs>
          <w:tab w:leader="none" w:pos="300"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 xml:space="preserve">Improve accountability, </w:t>
      </w:r>
      <w:r>
        <w:rPr>
          <w:rFonts w:ascii="Arial" w:cs="Arial" w:eastAsia="Arial" w:hAnsi="Arial"/>
          <w:sz w:val="14"/>
          <w:szCs w:val="14"/>
          <w:color w:val="auto"/>
        </w:rPr>
        <w:t>ensuring each director is evaluated by shareholders every year</w:t>
      </w:r>
    </w:p>
    <w:p>
      <w:pPr>
        <w:spacing w:after="0" w:line="41" w:lineRule="exact"/>
        <w:rPr>
          <w:rFonts w:ascii="Arial" w:cs="Arial" w:eastAsia="Arial" w:hAnsi="Arial"/>
          <w:sz w:val="14"/>
          <w:szCs w:val="14"/>
          <w:color w:val="auto"/>
        </w:rPr>
      </w:pPr>
    </w:p>
    <w:p>
      <w:pPr>
        <w:ind w:left="300" w:hanging="78"/>
        <w:spacing w:after="0"/>
        <w:tabs>
          <w:tab w:leader="none" w:pos="300"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 xml:space="preserve">Promote Long-term value creation </w:t>
      </w:r>
      <w:r>
        <w:rPr>
          <w:rFonts w:ascii="Arial" w:cs="Arial" w:eastAsia="Arial" w:hAnsi="Arial"/>
          <w:sz w:val="14"/>
          <w:szCs w:val="14"/>
          <w:color w:val="auto"/>
        </w:rPr>
        <w:t>by ensuring the board remains adaptable and responsive</w:t>
      </w:r>
    </w:p>
    <w:p>
      <w:pPr>
        <w:spacing w:after="0" w:line="35" w:lineRule="exact"/>
        <w:rPr>
          <w:rFonts w:ascii="Arial" w:cs="Arial" w:eastAsia="Arial" w:hAnsi="Arial"/>
          <w:sz w:val="14"/>
          <w:szCs w:val="14"/>
          <w:color w:val="auto"/>
        </w:rPr>
      </w:pPr>
    </w:p>
    <w:p>
      <w:pPr>
        <w:ind w:left="300" w:hanging="78"/>
        <w:spacing w:after="0"/>
        <w:tabs>
          <w:tab w:leader="none" w:pos="300"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 xml:space="preserve">Enhance oversight </w:t>
      </w:r>
      <w:r>
        <w:rPr>
          <w:rFonts w:ascii="Arial" w:cs="Arial" w:eastAsia="Arial" w:hAnsi="Arial"/>
          <w:sz w:val="14"/>
          <w:szCs w:val="14"/>
          <w:color w:val="auto"/>
        </w:rPr>
        <w:t>during periods of strategic transition or operational underperformance</w:t>
      </w:r>
    </w:p>
    <w:p>
      <w:pPr>
        <w:spacing w:after="0" w:line="34" w:lineRule="exact"/>
        <w:rPr>
          <w:rFonts w:ascii="Arial" w:cs="Arial" w:eastAsia="Arial" w:hAnsi="Arial"/>
          <w:sz w:val="14"/>
          <w:szCs w:val="14"/>
          <w:color w:val="auto"/>
        </w:rPr>
      </w:pPr>
    </w:p>
    <w:p>
      <w:pPr>
        <w:ind w:left="300" w:right="240" w:hanging="78"/>
        <w:spacing w:after="0" w:line="271" w:lineRule="auto"/>
        <w:tabs>
          <w:tab w:leader="none" w:pos="300"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 xml:space="preserve">Reduce entrenchment risk </w:t>
      </w:r>
      <w:r>
        <w:rPr>
          <w:rFonts w:ascii="Arial" w:cs="Arial" w:eastAsia="Arial" w:hAnsi="Arial"/>
          <w:sz w:val="14"/>
          <w:szCs w:val="14"/>
          <w:color w:val="auto"/>
        </w:rPr>
        <w:t>and align our Company with governance norms embraced by leading gaming peers, including MGM Resorts</w:t>
      </w:r>
      <w:r>
        <w:rPr>
          <w:rFonts w:ascii="Arial" w:cs="Arial" w:eastAsia="Arial" w:hAnsi="Arial"/>
          <w:sz w:val="14"/>
          <w:szCs w:val="14"/>
          <w:b w:val="1"/>
          <w:bCs w:val="1"/>
          <w:color w:val="auto"/>
        </w:rPr>
        <w:t xml:space="preserve"> </w:t>
      </w:r>
      <w:r>
        <w:rPr>
          <w:rFonts w:ascii="Arial" w:cs="Arial" w:eastAsia="Arial" w:hAnsi="Arial"/>
          <w:sz w:val="14"/>
          <w:szCs w:val="14"/>
          <w:color w:val="auto"/>
        </w:rPr>
        <w:t>International and Caesars Entertainment</w:t>
      </w:r>
    </w:p>
    <w:p>
      <w:pPr>
        <w:ind w:left="300" w:hanging="78"/>
        <w:spacing w:after="0"/>
        <w:tabs>
          <w:tab w:leader="none" w:pos="300"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 xml:space="preserve">Improve shareholder confidence, </w:t>
      </w:r>
      <w:r>
        <w:rPr>
          <w:rFonts w:ascii="Arial" w:cs="Arial" w:eastAsia="Arial" w:hAnsi="Arial"/>
          <w:sz w:val="14"/>
          <w:szCs w:val="14"/>
          <w:color w:val="auto"/>
        </w:rPr>
        <w:t>supporting long-term value creation</w:t>
      </w:r>
    </w:p>
    <w:p>
      <w:pPr>
        <w:spacing w:after="0" w:line="109" w:lineRule="exact"/>
        <w:rPr>
          <w:sz w:val="20"/>
          <w:szCs w:val="20"/>
          <w:color w:val="auto"/>
        </w:rPr>
      </w:pPr>
    </w:p>
    <w:p>
      <w:pPr>
        <w:jc w:val="both"/>
        <w:ind w:right="320"/>
        <w:spacing w:after="0" w:line="263" w:lineRule="auto"/>
        <w:rPr>
          <w:sz w:val="20"/>
          <w:szCs w:val="20"/>
          <w:color w:val="auto"/>
        </w:rPr>
      </w:pPr>
      <w:r>
        <w:rPr>
          <w:rFonts w:ascii="Arial" w:cs="Arial" w:eastAsia="Arial" w:hAnsi="Arial"/>
          <w:sz w:val="14"/>
          <w:szCs w:val="14"/>
          <w:color w:val="auto"/>
        </w:rPr>
        <w:t>This proposal is precatory only, and does not mandate that the Board take any particular action with respect to its subject matter. Rather, we envision (and expect) that the Board will exercise its discretion to adopt changes approved by the majority of shareholders because doing so supports sound governance and confidence in Board leadership.</w:t>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Nothing in this proposal conflicts with the Company's obligations under gaming laws, its gaming licenses, or the authority of any gaming regulator. The Board retains full discretion to sequence any implementation in a manner consistent with applicable suitability requirements while ensuring shareholders receive the annual accountability that is now standard market practice.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urge shareholders to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240" w:top="114" w:right="13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140" w:val="left"/>
        </w:tabs>
        <w:rPr>
          <w:sz w:val="20"/>
          <w:szCs w:val="20"/>
          <w:color w:val="auto"/>
        </w:rPr>
      </w:pPr>
      <w:r>
        <w:rPr>
          <w:rFonts w:ascii="Arial" w:cs="Arial" w:eastAsia="Arial" w:hAnsi="Arial"/>
          <w:sz w:val="14"/>
          <w:szCs w:val="14"/>
          <w:color w:val="auto"/>
        </w:rPr>
        <w:t>PROXY STATEMENT - 2026</w:t>
        <w:tab/>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PROPOSAL 5: ANNUAL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829300" cy="3003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137795</wp:posOffset>
            </wp:positionV>
            <wp:extent cx="5966460" cy="916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596646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2680" w:type="dxa"/>
            <w:vAlign w:val="bottom"/>
          </w:tcPr>
          <w:p>
            <w:pPr>
              <w:spacing w:after="0"/>
              <w:rPr>
                <w:sz w:val="20"/>
                <w:szCs w:val="20"/>
                <w:color w:val="auto"/>
              </w:rPr>
            </w:pPr>
            <w:r>
              <w:rPr>
                <w:rFonts w:ascii="Arial" w:cs="Arial" w:eastAsia="Arial" w:hAnsi="Arial"/>
                <w:sz w:val="22"/>
                <w:szCs w:val="22"/>
                <w:b w:val="1"/>
                <w:bCs w:val="1"/>
                <w:color w:val="010035"/>
              </w:rPr>
              <w:t>Board</w:t>
            </w:r>
          </w:p>
        </w:tc>
        <w:tc>
          <w:tcPr>
            <w:tcW w:w="5660" w:type="dxa"/>
            <w:vAlign w:val="bottom"/>
          </w:tcPr>
          <w:p>
            <w:pPr>
              <w:ind w:left="880"/>
              <w:spacing w:after="0"/>
              <w:rPr>
                <w:sz w:val="20"/>
                <w:szCs w:val="20"/>
                <w:color w:val="auto"/>
              </w:rPr>
            </w:pPr>
            <w:r>
              <w:rPr>
                <w:rFonts w:ascii="Arial" w:cs="Arial" w:eastAsia="Arial" w:hAnsi="Arial"/>
                <w:sz w:val="14"/>
                <w:szCs w:val="14"/>
                <w:b w:val="1"/>
                <w:bCs w:val="1"/>
                <w:color w:val="FFFFFF"/>
              </w:rPr>
              <w:t>OUR BOARD OF DIRECTORS UNANIMOUSLY RECOMMENDS A VOTE</w:t>
            </w:r>
          </w:p>
        </w:tc>
      </w:tr>
      <w:tr>
        <w:trPr>
          <w:trHeight w:val="256"/>
        </w:trPr>
        <w:tc>
          <w:tcPr>
            <w:tcW w:w="2680" w:type="dxa"/>
            <w:vAlign w:val="bottom"/>
          </w:tcPr>
          <w:p>
            <w:pPr>
              <w:spacing w:after="0"/>
              <w:rPr>
                <w:sz w:val="20"/>
                <w:szCs w:val="20"/>
                <w:color w:val="auto"/>
              </w:rPr>
            </w:pPr>
            <w:r>
              <w:rPr>
                <w:rFonts w:ascii="Arial" w:cs="Arial" w:eastAsia="Arial" w:hAnsi="Arial"/>
                <w:sz w:val="22"/>
                <w:szCs w:val="22"/>
                <w:b w:val="1"/>
                <w:bCs w:val="1"/>
                <w:color w:val="010035"/>
              </w:rPr>
              <w:t>Recommendation</w:t>
            </w:r>
          </w:p>
        </w:tc>
        <w:tc>
          <w:tcPr>
            <w:tcW w:w="5660" w:type="dxa"/>
            <w:vAlign w:val="bottom"/>
          </w:tcPr>
          <w:p>
            <w:pPr>
              <w:ind w:left="880"/>
              <w:spacing w:after="0"/>
              <w:rPr>
                <w:sz w:val="20"/>
                <w:szCs w:val="20"/>
                <w:color w:val="auto"/>
              </w:rPr>
            </w:pPr>
            <w:r>
              <w:rPr>
                <w:rFonts w:ascii="Arial" w:cs="Arial" w:eastAsia="Arial" w:hAnsi="Arial"/>
                <w:sz w:val="14"/>
                <w:szCs w:val="14"/>
                <w:b w:val="1"/>
                <w:bCs w:val="1"/>
                <w:color w:val="FFFFFF"/>
              </w:rPr>
              <w:t>“AGAINST” THIS SHAREHOLDER PROPOSAL.</w:t>
            </w:r>
          </w:p>
        </w:tc>
      </w:tr>
    </w:tbl>
    <w:p>
      <w:pPr>
        <w:ind w:left="3040"/>
        <w:spacing w:after="0"/>
        <w:rPr>
          <w:sz w:val="20"/>
          <w:szCs w:val="20"/>
          <w:color w:val="auto"/>
        </w:rPr>
      </w:pPr>
      <w:r>
        <w:rPr>
          <w:rFonts w:ascii="Arial" w:cs="Arial" w:eastAsia="Arial" w:hAnsi="Arial"/>
          <w:sz w:val="18"/>
          <w:szCs w:val="18"/>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237490</wp:posOffset>
            </wp:positionV>
            <wp:extent cx="5966460" cy="1054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966460" cy="105410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60" w:right="220"/>
        <w:spacing w:after="0" w:line="251" w:lineRule="auto"/>
        <w:rPr>
          <w:sz w:val="20"/>
          <w:szCs w:val="20"/>
          <w:color w:val="auto"/>
        </w:rPr>
      </w:pPr>
      <w:r>
        <w:rPr>
          <w:rFonts w:ascii="Arial" w:cs="Arial" w:eastAsia="Arial" w:hAnsi="Arial"/>
          <w:sz w:val="14"/>
          <w:szCs w:val="14"/>
          <w:b w:val="1"/>
          <w:bCs w:val="1"/>
          <w:color w:val="auto"/>
        </w:rPr>
        <w:t>The Board recommends shareholders vote AGAINST this proposal. We believe the classified Board structure is in the best interests of PENN and its shareholders for the following reasons:</w:t>
      </w:r>
    </w:p>
    <w:p>
      <w:pPr>
        <w:sectPr>
          <w:pgSz w:w="11900" w:h="16838" w:orient="portrait"/>
          <w:cols w:equalWidth="0" w:num="1">
            <w:col w:w="9400"/>
          </w:cols>
          <w:pgMar w:left="1240" w:top="114" w:right="1259" w:bottom="1440" w:gutter="0" w:footer="0" w:header="0"/>
        </w:sectPr>
      </w:pPr>
    </w:p>
    <w:p>
      <w:pPr>
        <w:spacing w:after="0" w:line="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vertAlign w:val="superscript"/>
        </w:rPr>
        <w:t xml:space="preserve"> </w:t>
      </w:r>
      <w:r>
        <w:rPr>
          <w:rFonts w:ascii="Arial" w:cs="Arial" w:eastAsia="Arial" w:hAnsi="Arial"/>
          <w:sz w:val="14"/>
          <w:szCs w:val="14"/>
          <w:b w:val="1"/>
          <w:bCs w:val="1"/>
          <w:color w:val="auto"/>
        </w:rPr>
        <w:t xml:space="preserve">   • </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w:t>
      </w:r>
    </w:p>
    <w:p>
      <w:pPr>
        <w:ind w:left="160"/>
        <w:spacing w:after="0"/>
        <w:rPr>
          <w:sz w:val="20"/>
          <w:szCs w:val="20"/>
          <w:color w:val="auto"/>
        </w:rPr>
      </w:pPr>
      <w:r>
        <w:rPr>
          <w:rFonts w:ascii="Arial" w:cs="Arial" w:eastAsia="Arial" w:hAnsi="Arial"/>
          <w:sz w:val="12"/>
          <w:szCs w:val="12"/>
          <w:b w:val="1"/>
          <w:bCs w:val="1"/>
          <w:color w:val="auto"/>
        </w:rPr>
        <w:t xml:space="preserve">   • </w:t>
      </w:r>
    </w:p>
    <w:p>
      <w:pPr>
        <w:ind w:left="160"/>
        <w:spacing w:after="0" w:line="190" w:lineRule="auto"/>
        <w:rPr>
          <w:sz w:val="20"/>
          <w:szCs w:val="20"/>
          <w:color w:val="auto"/>
        </w:rPr>
      </w:pPr>
      <w:r>
        <w:rPr>
          <w:rFonts w:ascii="Arial" w:cs="Arial" w:eastAsia="Arial" w:hAnsi="Arial"/>
          <w:sz w:val="13"/>
          <w:szCs w:val="13"/>
          <w:b w:val="1"/>
          <w:bCs w:val="1"/>
          <w:color w:val="auto"/>
        </w:rPr>
        <w:t> </w:t>
      </w:r>
    </w:p>
    <w:p>
      <w:pPr>
        <w:ind w:left="160"/>
        <w:spacing w:after="0"/>
        <w:rPr>
          <w:sz w:val="20"/>
          <w:szCs w:val="20"/>
          <w:color w:val="auto"/>
        </w:rPr>
      </w:pPr>
      <w:r>
        <w:rPr>
          <w:rFonts w:ascii="Arial" w:cs="Arial" w:eastAsia="Arial" w:hAnsi="Arial"/>
          <w:sz w:val="8"/>
          <w:szCs w:val="8"/>
          <w:b w:val="1"/>
          <w:bCs w:val="1"/>
          <w:color w:val="auto"/>
        </w:rPr>
        <w:t>   • </w:t>
      </w:r>
    </w:p>
    <w:p>
      <w:pPr>
        <w:ind w:left="160"/>
        <w:spacing w:after="0" w:line="233" w:lineRule="auto"/>
        <w:rPr>
          <w:sz w:val="20"/>
          <w:szCs w:val="20"/>
          <w:color w:val="auto"/>
        </w:rPr>
      </w:pPr>
      <w:r>
        <w:rPr>
          <w:rFonts w:ascii="Arial" w:cs="Arial" w:eastAsia="Arial" w:hAnsi="Arial"/>
          <w:sz w:val="29"/>
          <w:szCs w:val="29"/>
          <w:b w:val="1"/>
          <w:bCs w:val="1"/>
          <w:color w:val="auto"/>
          <w:vertAlign w:val="superscript"/>
        </w:rPr>
        <w:t> </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500"/>
        <w:spacing w:after="0" w:line="294" w:lineRule="auto"/>
        <w:rPr>
          <w:sz w:val="20"/>
          <w:szCs w:val="20"/>
          <w:color w:val="auto"/>
        </w:rPr>
      </w:pPr>
      <w:r>
        <w:rPr>
          <w:rFonts w:ascii="Arial" w:cs="Arial" w:eastAsia="Arial" w:hAnsi="Arial"/>
          <w:sz w:val="14"/>
          <w:szCs w:val="14"/>
          <w:b w:val="1"/>
          <w:bCs w:val="1"/>
          <w:color w:val="auto"/>
        </w:rPr>
        <w:t>PENN operates in a highly regulated industry, and, given our extensive regional footprint, some jurisdictions restrict Board members from voting until they are fully licensed – a process that has historically taken a year or longer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rapidly changing industry requires a deep understanding of our business and a long-term strategic focus</w:t>
      </w:r>
    </w:p>
    <w:p>
      <w:pPr>
        <w:spacing w:after="0" w:line="96" w:lineRule="exact"/>
        <w:rPr>
          <w:sz w:val="20"/>
          <w:szCs w:val="20"/>
          <w:color w:val="auto"/>
        </w:rPr>
      </w:pPr>
    </w:p>
    <w:p>
      <w:pPr>
        <w:ind w:right="120"/>
        <w:spacing w:after="0" w:line="414" w:lineRule="auto"/>
        <w:rPr>
          <w:sz w:val="20"/>
          <w:szCs w:val="20"/>
          <w:color w:val="auto"/>
        </w:rPr>
      </w:pPr>
      <w:r>
        <w:rPr>
          <w:rFonts w:ascii="Arial" w:cs="Arial" w:eastAsia="Arial" w:hAnsi="Arial"/>
          <w:sz w:val="14"/>
          <w:szCs w:val="14"/>
          <w:b w:val="1"/>
          <w:bCs w:val="1"/>
          <w:color w:val="auto"/>
        </w:rPr>
        <w:t>Six of our eleven directors have been on the Board for less than four years, underscoring our commitment to Board refreshment PENN maintains a comprehensive shareholder engagement program with a robust track record of responsiveness</w:t>
      </w:r>
    </w:p>
    <w:p>
      <w:pPr>
        <w:spacing w:after="0" w:line="133" w:lineRule="exact"/>
        <w:rPr>
          <w:sz w:val="20"/>
          <w:szCs w:val="20"/>
          <w:color w:val="auto"/>
        </w:rPr>
      </w:pPr>
    </w:p>
    <w:p>
      <w:pPr>
        <w:sectPr>
          <w:pgSz w:w="11900" w:h="16838" w:orient="portrait"/>
          <w:cols w:equalWidth="0" w:num="2">
            <w:col w:w="400" w:space="100"/>
            <w:col w:w="8900"/>
          </w:cols>
          <w:pgMar w:left="1240" w:top="114" w:right="1259" w:bottom="1440" w:gutter="0" w:footer="0" w:header="0"/>
          <w:type w:val="continuous"/>
        </w:sectPr>
      </w:pPr>
    </w:p>
    <w:p>
      <w:pPr>
        <w:ind w:right="80"/>
        <w:spacing w:after="0" w:line="256" w:lineRule="auto"/>
        <w:rPr>
          <w:sz w:val="20"/>
          <w:szCs w:val="20"/>
          <w:color w:val="auto"/>
        </w:rPr>
      </w:pPr>
      <w:r>
        <w:rPr>
          <w:rFonts w:ascii="Arial" w:cs="Arial" w:eastAsia="Arial" w:hAnsi="Arial"/>
          <w:sz w:val="14"/>
          <w:szCs w:val="14"/>
          <w:color w:val="auto"/>
        </w:rPr>
        <w:t>The Board considered this proposal and has determined that it would not serve the best interests of the Company or its shareholders. The Board continues to believe that maintaining a classified Board structure is appropriate for the reasons set forth below. The Board periodically reviews the Company’s governance framework and believes that the existing structure appropriately balances director accountability to shareholders with the stability required to effectively mitigate potential risks in the context of our highly regulated operating environment and long-term strategic priorities.</w:t>
      </w:r>
    </w:p>
    <w:p>
      <w:pPr>
        <w:spacing w:after="0" w:line="69" w:lineRule="exact"/>
        <w:rPr>
          <w:sz w:val="20"/>
          <w:szCs w:val="20"/>
          <w:color w:val="auto"/>
        </w:rPr>
      </w:pPr>
    </w:p>
    <w:p>
      <w:pPr>
        <w:ind w:right="340"/>
        <w:spacing w:after="0" w:line="294" w:lineRule="auto"/>
        <w:rPr>
          <w:sz w:val="20"/>
          <w:szCs w:val="20"/>
          <w:color w:val="auto"/>
        </w:rPr>
      </w:pPr>
      <w:r>
        <w:rPr>
          <w:rFonts w:ascii="Arial" w:cs="Arial" w:eastAsia="Arial" w:hAnsi="Arial"/>
          <w:sz w:val="14"/>
          <w:szCs w:val="14"/>
          <w:b w:val="1"/>
          <w:bCs w:val="1"/>
          <w:color w:val="auto"/>
        </w:rPr>
        <w:t>PENN operates in a highly regulated industry and, given our extensive regional footprint, some jurisdictions restrict Board members from voting until they are fully licensed – a process that has historically taken a year or longer</w:t>
      </w:r>
    </w:p>
    <w:p>
      <w:pPr>
        <w:spacing w:after="0" w:line="3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PENN has the largest regional footprint in the industry and operates in multiple jurisdictions that require extensive regulatory review and licensing of directors. These processes are highly comprehensive and involve detailed background investigations into all aspects of the director’s financial and personal matters.</w:t>
      </w:r>
    </w:p>
    <w:p>
      <w:pPr>
        <w:spacing w:after="0" w:line="65" w:lineRule="exact"/>
        <w:rPr>
          <w:sz w:val="20"/>
          <w:szCs w:val="20"/>
          <w:color w:val="auto"/>
        </w:rPr>
      </w:pPr>
    </w:p>
    <w:p>
      <w:pPr>
        <w:ind w:right="440"/>
        <w:spacing w:after="0" w:line="285" w:lineRule="auto"/>
        <w:rPr>
          <w:sz w:val="20"/>
          <w:szCs w:val="20"/>
          <w:color w:val="auto"/>
        </w:rPr>
      </w:pPr>
      <w:r>
        <w:rPr>
          <w:rFonts w:ascii="Arial" w:cs="Arial" w:eastAsia="Arial" w:hAnsi="Arial"/>
          <w:sz w:val="14"/>
          <w:szCs w:val="14"/>
          <w:color w:val="auto"/>
        </w:rPr>
        <w:t>The licensing requirements, which are unique to the gaming industry, can hinder our ability to attract talented director candidates. Our current structure helps mitigate the significant time commitment required for licensure by providing for an initial term of three years.</w:t>
      </w:r>
    </w:p>
    <w:p>
      <w:pPr>
        <w:spacing w:after="0" w:line="50"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More significantly, certain of our jurisdictions, each of which is important to our operations, require directors to obtain licensure before they are permitted to vote on Board matters. The licensing process is extremely time intensive and historically has taken a year or longer to complete. In a scenario in which a majority of new directors are added to the Board in a single year, these new directors would be unable to vote for an extended period of time due to licensing restrictions, creating a significant risk that Board and committee functions could be seriously impaired by failure to achieve necessary quorums required for Board and/or committee actions. The Board believes that the Company’s current classified structure effectively mitigates these risks by supporting continuity in Board composition while newly elected directors complete required licensing processes.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rapidly changing industry requires a deep understanding of our business and a long-term strategic focus</w:t>
      </w:r>
    </w:p>
    <w:p>
      <w:pPr>
        <w:spacing w:after="0" w:line="109"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Our industry is entering a period of significant change, with the introduction of new forms of gaming, including legalized sports betting and iCasino and the proliferation of grey market or illegal offerings, such as skill-based games, sweepstakes and prediction markets. Against this backdrop, it is imperative that PENN’s Board is comprised of experienced directors with deep industry and institutional knowledge of our business to help support decision-making that reflects current competitive dynamics. In addition, many of our strategic initiatives require years of thoughtful long-term planning, such as greenfield development opportunities and our investments in technology. Our current Board structure is aligned with long-term value creation by encouraging a highly informed and long-term outlook and reducing susceptibility to short-term market pressures or special interests that seek out short-term returns. As a result, our current Board structure has facilitated a number of key decisions focused on maximizing the interests of the Company and our shareholders over the long-term, including the decision to invest in high-return growth projects in our retail portfolio and the repositioning of our interactive strategy to focus on our growing iCasino and Canadian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100330</wp:posOffset>
            </wp:positionV>
            <wp:extent cx="6995160"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110</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PROPOSAL 5: ANNUAL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of our eleven directors have been on the Board for less than four years, highlighting our commitment to Board refreshment</w:t>
      </w:r>
    </w:p>
    <w:p>
      <w:pPr>
        <w:spacing w:after="0" w:line="109" w:lineRule="exact"/>
        <w:rPr>
          <w:sz w:val="20"/>
          <w:szCs w:val="20"/>
          <w:color w:val="auto"/>
        </w:rPr>
      </w:pPr>
    </w:p>
    <w:p>
      <w:pPr>
        <w:ind w:right="440"/>
        <w:spacing w:after="0" w:line="263" w:lineRule="auto"/>
        <w:rPr>
          <w:sz w:val="20"/>
          <w:szCs w:val="20"/>
          <w:color w:val="auto"/>
        </w:rPr>
      </w:pPr>
      <w:r>
        <w:rPr>
          <w:rFonts w:ascii="Arial" w:cs="Arial" w:eastAsia="Arial" w:hAnsi="Arial"/>
          <w:sz w:val="14"/>
          <w:szCs w:val="14"/>
          <w:color w:val="auto"/>
        </w:rPr>
        <w:t>The Board has approached refreshment in a thoughtful manner to preserve essential long-term knowledge and minimize disruption on Board functions while enhancing the Board’s skills and expertise in the gaming industry, capital allocation and transformative omnichannel growth strategies.</w:t>
      </w:r>
    </w:p>
    <w:p>
      <w:pPr>
        <w:spacing w:after="0" w:line="65"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The Board remains committed to Board refreshment and to regularly evaluating its composition and ensuring that it is comprised of directors with the experience and expertise necessary to oversee the Company’s strategy and to manage evolving risks in our rapidly changing industry.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 maintains a comprehensive shareholder engagement program with a robust track record of responsiveness</w:t>
      </w:r>
    </w:p>
    <w:p>
      <w:pPr>
        <w:spacing w:after="0" w:line="109" w:lineRule="exact"/>
        <w:rPr>
          <w:sz w:val="20"/>
          <w:szCs w:val="20"/>
          <w:color w:val="auto"/>
        </w:rPr>
      </w:pPr>
    </w:p>
    <w:p>
      <w:pPr>
        <w:ind w:right="320"/>
        <w:spacing w:after="0" w:line="263" w:lineRule="auto"/>
        <w:rPr>
          <w:sz w:val="20"/>
          <w:szCs w:val="20"/>
          <w:color w:val="auto"/>
        </w:rPr>
      </w:pPr>
      <w:r>
        <w:rPr>
          <w:rFonts w:ascii="Arial" w:cs="Arial" w:eastAsia="Arial" w:hAnsi="Arial"/>
          <w:sz w:val="14"/>
          <w:szCs w:val="14"/>
          <w:color w:val="auto"/>
        </w:rPr>
        <w:t>The Board recognizes the importance of maintaining a governance framework that promotes accountability to shareholders. PENN has a long-standing commitment to a semi-annual shareholder engagement process – both in the Spring and Fall, which is overseen and led by our independent Board members. The Board’s shareholder engagement practices include:</w:t>
      </w:r>
    </w:p>
    <w:p>
      <w:pPr>
        <w:spacing w:after="0" w:line="65" w:lineRule="exact"/>
        <w:rPr>
          <w:sz w:val="20"/>
          <w:szCs w:val="20"/>
          <w:color w:val="auto"/>
        </w:rPr>
      </w:pPr>
    </w:p>
    <w:p>
      <w:pPr>
        <w:ind w:left="440" w:right="1000" w:hanging="74"/>
        <w:spacing w:after="0" w:line="285"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regularly engaging with its shareholders and proxy advisory firms regarding business performance, strategy, governance and compensation matters;</w:t>
      </w:r>
    </w:p>
    <w:p>
      <w:pPr>
        <w:spacing w:after="0" w:line="49" w:lineRule="exact"/>
        <w:rPr>
          <w:rFonts w:ascii="Arial" w:cs="Arial" w:eastAsia="Arial" w:hAnsi="Arial"/>
          <w:sz w:val="14"/>
          <w:szCs w:val="14"/>
          <w:color w:val="auto"/>
        </w:rPr>
      </w:pPr>
    </w:p>
    <w:p>
      <w:pPr>
        <w:ind w:left="440" w:hanging="74"/>
        <w:spacing w:after="0"/>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implementing meaningful changes to executive compensation and governance practices in response to shareholder feedback; and</w:t>
      </w:r>
    </w:p>
    <w:p>
      <w:pPr>
        <w:spacing w:after="0" w:line="109" w:lineRule="exact"/>
        <w:rPr>
          <w:rFonts w:ascii="Arial" w:cs="Arial" w:eastAsia="Arial" w:hAnsi="Arial"/>
          <w:sz w:val="14"/>
          <w:szCs w:val="14"/>
          <w:color w:val="auto"/>
        </w:rPr>
      </w:pPr>
    </w:p>
    <w:p>
      <w:pPr>
        <w:ind w:left="440" w:hanging="74"/>
        <w:spacing w:after="0"/>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continually reviewing our governance policies and practices to ensure they remain aligned with shareholder interests.</w:t>
      </w:r>
    </w:p>
    <w:p>
      <w:pPr>
        <w:spacing w:after="0" w:line="109" w:lineRule="exact"/>
        <w:rPr>
          <w:sz w:val="20"/>
          <w:szCs w:val="20"/>
          <w:color w:val="auto"/>
        </w:rPr>
      </w:pPr>
    </w:p>
    <w:p>
      <w:pPr>
        <w:ind w:right="360"/>
        <w:spacing w:after="0" w:line="263" w:lineRule="auto"/>
        <w:rPr>
          <w:sz w:val="20"/>
          <w:szCs w:val="20"/>
          <w:color w:val="auto"/>
        </w:rPr>
      </w:pPr>
      <w:r>
        <w:rPr>
          <w:rFonts w:ascii="Arial" w:cs="Arial" w:eastAsia="Arial" w:hAnsi="Arial"/>
          <w:sz w:val="14"/>
          <w:szCs w:val="14"/>
          <w:color w:val="auto"/>
        </w:rPr>
        <w:t>As demonstrated in this Proxy Statement, we have adopted a range of actions in response to shareholder feedback, underscoring the Board’s commitment to ongoing shareholder dialogue and evolving our strategic focus, governance and executive compensation programs to reflect shareholder priorities.</w:t>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Board regularly reviews the Company’s corporate governance framework, including the classified Board structure, and will continue to do so as part of its ongoing governance oversight. At this time, maintaining the current structure best supports the Company’s regulatory obligations and ability to execute on our long-term strategic priorities.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Recommendation</w:t>
      </w:r>
    </w:p>
    <w:p>
      <w:pPr>
        <w:spacing w:after="0" w:line="109" w:lineRule="exact"/>
        <w:rPr>
          <w:sz w:val="20"/>
          <w:szCs w:val="20"/>
          <w:color w:val="auto"/>
        </w:rPr>
      </w:pPr>
    </w:p>
    <w:p>
      <w:pPr>
        <w:ind w:right="820"/>
        <w:spacing w:after="0" w:line="294" w:lineRule="auto"/>
        <w:rPr>
          <w:sz w:val="20"/>
          <w:szCs w:val="20"/>
          <w:color w:val="auto"/>
        </w:rPr>
      </w:pPr>
      <w:r>
        <w:rPr>
          <w:rFonts w:ascii="Arial" w:cs="Arial" w:eastAsia="Arial" w:hAnsi="Arial"/>
          <w:sz w:val="14"/>
          <w:szCs w:val="14"/>
          <w:color w:val="auto"/>
        </w:rPr>
        <w:t xml:space="preserve">For these reasons, we believe that the proposal is not in the best interests of the Company or our shareholders. Accordingly, the Board unanimously recommends that shareholders vote </w:t>
      </w:r>
      <w:r>
        <w:rPr>
          <w:rFonts w:ascii="Arial" w:cs="Arial" w:eastAsia="Arial" w:hAnsi="Arial"/>
          <w:sz w:val="14"/>
          <w:szCs w:val="14"/>
          <w:b w:val="1"/>
          <w:bCs w:val="1"/>
          <w:color w:val="auto"/>
        </w:rPr>
        <w:t>“AGAINST”</w:t>
      </w:r>
      <w:r>
        <w:rPr>
          <w:rFonts w:ascii="Arial" w:cs="Arial" w:eastAsia="Arial" w:hAnsi="Arial"/>
          <w:sz w:val="14"/>
          <w:szCs w:val="14"/>
          <w:color w:val="auto"/>
        </w:rPr>
        <w:t xml:space="preserve"> the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966460" cy="9175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5966460" cy="91757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2680" w:type="dxa"/>
            <w:vAlign w:val="bottom"/>
          </w:tcPr>
          <w:p>
            <w:pPr>
              <w:spacing w:after="0"/>
              <w:rPr>
                <w:sz w:val="20"/>
                <w:szCs w:val="20"/>
                <w:color w:val="auto"/>
              </w:rPr>
            </w:pPr>
            <w:r>
              <w:rPr>
                <w:rFonts w:ascii="Arial" w:cs="Arial" w:eastAsia="Arial" w:hAnsi="Arial"/>
                <w:sz w:val="22"/>
                <w:szCs w:val="22"/>
                <w:b w:val="1"/>
                <w:bCs w:val="1"/>
                <w:color w:val="010035"/>
              </w:rPr>
              <w:t>Board</w:t>
            </w:r>
          </w:p>
        </w:tc>
        <w:tc>
          <w:tcPr>
            <w:tcW w:w="5660" w:type="dxa"/>
            <w:vAlign w:val="bottom"/>
          </w:tcPr>
          <w:p>
            <w:pPr>
              <w:ind w:left="880"/>
              <w:spacing w:after="0"/>
              <w:rPr>
                <w:sz w:val="20"/>
                <w:szCs w:val="20"/>
                <w:color w:val="auto"/>
              </w:rPr>
            </w:pPr>
            <w:r>
              <w:rPr>
                <w:rFonts w:ascii="Arial" w:cs="Arial" w:eastAsia="Arial" w:hAnsi="Arial"/>
                <w:sz w:val="14"/>
                <w:szCs w:val="14"/>
                <w:b w:val="1"/>
                <w:bCs w:val="1"/>
                <w:color w:val="FFFFFF"/>
              </w:rPr>
              <w:t>OUR BOARD OF DIRECTORS UNANIMOUSLY RECOMMENDS A VOTE</w:t>
            </w:r>
          </w:p>
        </w:tc>
      </w:tr>
      <w:tr>
        <w:trPr>
          <w:trHeight w:val="256"/>
        </w:trPr>
        <w:tc>
          <w:tcPr>
            <w:tcW w:w="2680" w:type="dxa"/>
            <w:vAlign w:val="bottom"/>
          </w:tcPr>
          <w:p>
            <w:pPr>
              <w:spacing w:after="0"/>
              <w:rPr>
                <w:sz w:val="20"/>
                <w:szCs w:val="20"/>
                <w:color w:val="auto"/>
              </w:rPr>
            </w:pPr>
            <w:r>
              <w:rPr>
                <w:rFonts w:ascii="Arial" w:cs="Arial" w:eastAsia="Arial" w:hAnsi="Arial"/>
                <w:sz w:val="22"/>
                <w:szCs w:val="22"/>
                <w:b w:val="1"/>
                <w:bCs w:val="1"/>
                <w:color w:val="010035"/>
              </w:rPr>
              <w:t>Recommendation</w:t>
            </w:r>
          </w:p>
        </w:tc>
        <w:tc>
          <w:tcPr>
            <w:tcW w:w="5660" w:type="dxa"/>
            <w:vAlign w:val="bottom"/>
          </w:tcPr>
          <w:p>
            <w:pPr>
              <w:ind w:left="880"/>
              <w:spacing w:after="0"/>
              <w:rPr>
                <w:sz w:val="20"/>
                <w:szCs w:val="20"/>
                <w:color w:val="auto"/>
              </w:rPr>
            </w:pPr>
            <w:r>
              <w:rPr>
                <w:rFonts w:ascii="Arial" w:cs="Arial" w:eastAsia="Arial" w:hAnsi="Arial"/>
                <w:sz w:val="14"/>
                <w:szCs w:val="14"/>
                <w:b w:val="1"/>
                <w:bCs w:val="1"/>
                <w:color w:val="FFFFFF"/>
              </w:rPr>
              <w:t>“AGAINST” THIS SHAREHOLDER PROPOSAL.</w:t>
            </w:r>
          </w:p>
        </w:tc>
      </w:tr>
    </w:tbl>
    <w:p>
      <w:pPr>
        <w:ind w:left="3040"/>
        <w:spacing w:after="0"/>
        <w:rPr>
          <w:sz w:val="20"/>
          <w:szCs w:val="20"/>
          <w:color w:val="auto"/>
        </w:rPr>
      </w:pPr>
      <w:r>
        <w:rPr>
          <w:rFonts w:ascii="Arial" w:cs="Arial" w:eastAsia="Arial" w:hAnsi="Arial"/>
          <w:sz w:val="18"/>
          <w:szCs w:val="18"/>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280670</wp:posOffset>
            </wp:positionV>
            <wp:extent cx="6995160"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74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Registered and “street-name” shareholders who reside at a single address receive only one annual report and proxy statement at that address unless a shareholder provides contrary instructions. This practice is known as “householding” and is designed to reduce duplicate printing and postage costs. However, if a shareholder wishes in the future to receive a separate annual report or proxy statement, he or she may contact Broadridge Financial Solutions at 1-866-540-7095, or in writing at Broadridge Financial Solutions, 51 Mercedes Way, Edgewood, NY 11717. In any event, if you did not receive an individual copy of this Proxy Statement or our 2025 Annual Report, we will send a copy to you promptly if you address your written request to the Secretary, PENN Entertainment, Inc., 825 Berkshire Boulevard, Suite 200, Wyomissing, Pennsylvania 19610. Shareholders can request householding if they receive multiple copies of the annual report and proxy statement by contacting Broadridge Financial Solutions at the address above.</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Advance Notice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2"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Under the Company’s bylaws, no business may be brought before an annual meeting unless it is specified in the notice of the meeting or is otherwise brought before the meeting by or at the direction of the Board or by a shareholder present in person at the meeting who (i) was a shareholder of record at the time of giving notice and, at the time of the annual meeting is entitled to vote at the meeting, and (ii) has owned beneficially at least 1% of the Company’s common stock for a continuous period of not less than 12 months prior to making the proposal and who has delivered proper written notice to the Company’s Secretary (containing certain information specified in the bylaws about the shareholder and the proposed action) not less than 120 nor more than 150 days prior to the first anniversary of the preceding year’s annual meeting. Accordingly, proposals with respect to the 2027 annual meeting of shareholders must be delivered between January 17, 2027 and February 16, 2027. These requirements are separate from the SEC’s requirements that a shareholder must meet in order to have a shareholder proposal included in the Company’s proxy statement pursuant to Rule 14a-8 promulgated under the Exchange Act. In addition, shareholders who intend to solicit proxies in support of director nominees other than the Company’s nominees must comply with the additional requirements of Rule 14a-19(b).</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Shareholder Proposals under Rule 14a-8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Shareholders interested in submitting a proposal for inclusion in the proxy materials for the annual meeting of shareholders in 2027 may do so by following the procedures prescribed in Rule 14a-8 promulgated under the Exchange Act. To be eligible for inclusion, shareholder proposals must be received by the Company’s Secretary no later than December 28, 2026. Proposals should be sent to the Company’s principal executive office, 825 Berkshire Boulevard, Suite 200, Wyomissing, Pennsylvania 19610, directed to the attention of the Secretary.</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Director Nominations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Shareholders present in person at the meeting who (i) were shareholders of record at the time of giving notice and, at the time of the Annual Meeting are entitled to vote at the meeting, (ii) will not, or will not reasonably be expected to, violate, or cause the Company or any affiliated company to violate, any provision of any gaming law or gaming license of the Company or any affiliated company (including any limitation, condition, obligation or restriction placed thereon by a gaming authority) at the time of giving the nomination notice or at the time of the shareholder meeting as a result of such recommendation of any nominee, and (iii) who have beneficially owned at least 1% of the Company’s common stock for a continuous period of not less than 12 months before making such recommendation may submit director nominations to the Nominating and Corporate Governance Committee for consideration. To be timely, a shareholder’s notice to the Secretary must be hand delivered to or mailed (certified or registered mail, return receipt requested) and received by the Company Secretary at the principal executive offices of the Company not less than 120 nor more than 150 days prior to the anniversary date of the immediately preceding annual meeting of shareholders. In addition, each shareholder (and related beneficial owner) making a recommendation for director nominations, or giving notice thereof, must also comply with all applicable requirements of the Exchange Act and the rules and regulations thereunder, including Rule 14a-19 of the Exchange Act, with respect to any such recommendation.</w:t>
      </w:r>
    </w:p>
    <w:p>
      <w:pPr>
        <w:spacing w:after="0" w:line="244" w:lineRule="exact"/>
        <w:rPr>
          <w:sz w:val="20"/>
          <w:szCs w:val="20"/>
          <w:color w:val="auto"/>
        </w:rPr>
      </w:pPr>
    </w:p>
    <w:p>
      <w:pPr>
        <w:ind w:right="320"/>
        <w:spacing w:after="0" w:line="285" w:lineRule="auto"/>
        <w:rPr>
          <w:sz w:val="20"/>
          <w:szCs w:val="20"/>
          <w:color w:val="auto"/>
        </w:rPr>
      </w:pPr>
      <w:r>
        <w:rPr>
          <w:rFonts w:ascii="Arial" w:cs="Arial" w:eastAsia="Arial" w:hAnsi="Arial"/>
          <w:sz w:val="14"/>
          <w:szCs w:val="14"/>
          <w:color w:val="auto"/>
        </w:rPr>
        <w:t>To be in proper written form, a shareholder’s notice must contain with respect to each nominee: (i) all information relating to such person that is required to be disclosed in a proxy statement or other filing required to be made in connection with solicitations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88900</wp:posOffset>
            </wp:positionV>
            <wp:extent cx="6995160"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112</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685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Director Nominations by Shareholders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proxies for election of directors in a contested election, or otherwise required by Section 14 of the Exchange Act and the rules and regulations promulgated thereunder; (ii) a description of all direct and indirect compensation, economic interests and other material monetary agreements, arrangements and understandings during the past three years between or among such shareholder and beneficial owner, if any, and their respective affiliates and associates; (iii) a description of all relationships, agreements, arrangements and understandings between the proposed nominee and the recommending shareholder and the beneficial owner, if any; (iv) a description of all relationships between the recommended nominee and any of the Company’s competitors, customers, suppliers, labor unions or other related parties; (v) a representation of the recommended nominee that, to the best of such recommended nominee’s knowledge after due inquiry, the recommendation for nomination of such person will not, and will not reasonably be expected to, violate, or cause the Company or any affiliated company to violate, any provision of any gaming law or gaming license of the Company or any affiliated company (including any limitation, condition, obligation or restriction placed thereon by a gaming authority); and (vi) a completed and signed questionnaire, representations, consent and agreement as required by the Company’s bylaws.</w:t>
      </w:r>
    </w:p>
    <w:p>
      <w:pPr>
        <w:spacing w:after="0" w:line="247"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A shareholder’s notice must also contain certain other information regarding the shareholder giving the notice and the beneficial owner, if any, on whose behalf the recommendation for nomination or proposal is made, including: (i) the name, address and telephone number of such shareholder and the name, address and telephone number of such beneficial owner, if any; (ii) the class or series and number of shares and any other securities of the Company which are owned of record by such shareholder and beneficially by such beneficial owner, and the time period such shares have been held; (iii) any material pending or threatened legal proceeding in which such shareholder or beneficial owner is a party or material participant involving the Company or any of its officers or directors, or any affiliate of the Company, and any direct or indirect material interest in any material contract or agreement of such shareholder or beneficial owner with the Company, any affiliate of the Company or any principal competitor of the Company; (iv) if such shareholder, any beneficial owner or any of their respective affiliates or associates, or others acting in concert therewith, intend to engage in a solicitation, a statement disclosing the name of each participant in such solicitation (as defined in Item 4 of Schedule 14A under the Exchange Act, and if involving a recommendation for nomination, a representation that such shareholder, such beneficial or any of their respective affiliates or associates, or others acting in concert therewith, intend to deliver a proxy statement and form of proxy to holders of at least sixty-seven percent (67%) of the voting power of the Company’s shares entitled to vote on the election of directors; (v) a representation that such shareholder and beneficial owner, if any, intend to be present in person at the meeting; (vi) a representation that such shareholder and such beneficial owner, if any, intend to continue to hold the reported securities through the date of the Company’s next annual meeting of shareholders;</w:t>
      </w:r>
    </w:p>
    <w:p>
      <w:pPr>
        <w:spacing w:after="0" w:line="9" w:lineRule="exact"/>
        <w:rPr>
          <w:sz w:val="20"/>
          <w:szCs w:val="20"/>
          <w:color w:val="auto"/>
        </w:rPr>
      </w:pPr>
    </w:p>
    <w:p>
      <w:pPr>
        <w:ind w:right="20" w:firstLine="6"/>
        <w:spacing w:after="0" w:line="247" w:lineRule="auto"/>
        <w:tabs>
          <w:tab w:leader="none" w:pos="272" w:val="left"/>
        </w:tabs>
        <w:numPr>
          <w:ilvl w:val="0"/>
          <w:numId w:val="90"/>
        </w:numPr>
        <w:rPr>
          <w:rFonts w:ascii="Arial" w:cs="Arial" w:eastAsia="Arial" w:hAnsi="Arial"/>
          <w:sz w:val="14"/>
          <w:szCs w:val="14"/>
          <w:color w:val="auto"/>
        </w:rPr>
      </w:pPr>
      <w:r>
        <w:rPr>
          <w:rFonts w:ascii="Arial" w:cs="Arial" w:eastAsia="Arial" w:hAnsi="Arial"/>
          <w:sz w:val="14"/>
          <w:szCs w:val="14"/>
          <w:color w:val="auto"/>
        </w:rPr>
        <w:t>a representation of such shareholder and such beneficial owner, if any, that, to the best of such shareholder’s and such beneficial owner’s knowledge after due inquiry, the recommendation for nomination of such person and the shareholder’s proposal of such business, as applicable, will not, and will not reasonably be expected to, violate, or cause the Company or any affiliated company to violate, any provision of any gaming law or gaming license of the Company or any affiliated company (including any limitation, condition, obligation or restriction placed thereon by a gaming authority); and (viii) a completed and signed questionnaire, representations, consent and agreement as required by the Company’s bylaws.</w:t>
      </w:r>
    </w:p>
    <w:p>
      <w:pPr>
        <w:spacing w:after="0" w:line="76"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notice shall be accompanied by a written consent of each recommended nominee to provide (i) all information necessary to enable the Company to respond fully to any suitability inquiry conducted under the executive, administrative, judicial and/or legislative rules, regulations, laws and orders of any jurisdiction to which the Company is then subject; (ii) a multi-jurisdictional personal disclosure form in the form customarily submitted by officers and directors of the Company; (iii) such additional information concerning the recommended nominee as may reasonably be required by the Nominating and Corporate Governance Committee and/or Board to determine the eligibility of such recommended nominee to serve as an independent director of the Company, that could be material to a reasonable shareholder’s understanding of the independence, or lack thereof, of such proposed nominee, and to evaluate whether the recommended nominee is an unsuitable person; and (iv) a background check to confirm the qualifications and character of the recommended nominee, to evaluate whether the nominee is an unsuitable person, and to make such other determinations as the Nominating and Corporate Governance Committee or the Board may deem appropriate or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100330</wp:posOffset>
            </wp:positionV>
            <wp:extent cx="6995160"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Director Nominations by Shareholders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96646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6"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Section 4.02(a) of the Company’s bylaws also includes director qualification requirements relating to suitability with respect to licensure and related gaming regulatory matters, and Article VII of the Company’s bylaws prohibits recommendations of nominees for election to the Board by Company shareholders who will, or will reasonably be expected to, violate, or cause the Company to violate, any provision of any gaming law or gaming license of the Company as a result of such recommendation for nomination of such person.</w:t>
      </w:r>
    </w:p>
    <w:p>
      <w:pPr>
        <w:spacing w:after="0" w:line="69" w:lineRule="exact"/>
        <w:rPr>
          <w:sz w:val="20"/>
          <w:szCs w:val="20"/>
          <w:color w:val="auto"/>
        </w:rPr>
      </w:pPr>
    </w:p>
    <w:p>
      <w:pPr>
        <w:ind w:right="420"/>
        <w:spacing w:after="0" w:line="285" w:lineRule="auto"/>
        <w:rPr>
          <w:sz w:val="20"/>
          <w:szCs w:val="20"/>
          <w:color w:val="auto"/>
        </w:rPr>
      </w:pPr>
      <w:r>
        <w:rPr>
          <w:rFonts w:ascii="Arial" w:cs="Arial" w:eastAsia="Arial" w:hAnsi="Arial"/>
          <w:sz w:val="14"/>
          <w:szCs w:val="14"/>
          <w:color w:val="auto"/>
        </w:rPr>
        <w:t>The foregoing is a summary of the requirements to properly nominate an individual for election to the Board. For further information regarding director nominations by shareholders, please see Section 4.02(a) and Article VII of the Company’s bylaws.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Other Matters to Come Before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color w:val="auto"/>
        </w:rPr>
        <w:t>Our Board of Directors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80010</wp:posOffset>
            </wp:positionV>
            <wp:extent cx="6995160" cy="171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114</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ABOUT THE MEETING: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2997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5829300" cy="2997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Why Am I Receiving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This Proxy Statement is furnished in connection with the solicitation of proxies for use at the Annual Meeting to be held for the purposes stated in the accompanying Notice of Annual Meeting of Shareholders. This solicitation is made by PENN Entertainment on behalf of our Board of Directors. This Proxy Statement, the enclosed Proxy Card and our 2025 Annual Report are first being mailed to shareholders beginning on or about April 27, 2026.</w:t>
      </w:r>
    </w:p>
    <w:p>
      <w:pPr>
        <w:spacing w:after="0" w:line="200" w:lineRule="exact"/>
        <w:rPr>
          <w:sz w:val="20"/>
          <w:szCs w:val="20"/>
          <w:color w:val="auto"/>
        </w:rPr>
      </w:pPr>
    </w:p>
    <w:p>
      <w:pPr>
        <w:spacing w:after="0" w:line="234" w:lineRule="exact"/>
        <w:rPr>
          <w:sz w:val="20"/>
          <w:szCs w:val="20"/>
          <w:color w:val="auto"/>
        </w:rPr>
      </w:pPr>
    </w:p>
    <w:p>
      <w:pPr>
        <w:ind w:right="1020"/>
        <w:spacing w:after="0" w:line="272" w:lineRule="auto"/>
        <w:rPr>
          <w:sz w:val="20"/>
          <w:szCs w:val="20"/>
          <w:color w:val="auto"/>
        </w:rPr>
      </w:pPr>
      <w:r>
        <w:rPr>
          <w:rFonts w:ascii="Arial" w:cs="Arial" w:eastAsia="Arial" w:hAnsi="Arial"/>
          <w:sz w:val="22"/>
          <w:szCs w:val="22"/>
          <w:b w:val="1"/>
          <w:bCs w:val="1"/>
          <w:color w:val="69439A"/>
        </w:rPr>
        <w:t>What Am I Being Asked To Vote On, And What Are The Board Of Directors’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596646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498"/>
        </w:trPr>
        <w:tc>
          <w:tcPr>
            <w:tcW w:w="80" w:type="dxa"/>
            <w:vAlign w:val="bottom"/>
            <w:tcBorders>
              <w:top w:val="single" w:sz="8" w:color="69439A"/>
            </w:tcBorders>
            <w:shd w:val="clear" w:color="auto" w:fill="010035"/>
          </w:tcPr>
          <w:p>
            <w:pPr>
              <w:spacing w:after="0"/>
              <w:rPr>
                <w:sz w:val="24"/>
                <w:szCs w:val="24"/>
                <w:color w:val="auto"/>
              </w:rPr>
            </w:pPr>
          </w:p>
        </w:tc>
        <w:tc>
          <w:tcPr>
            <w:tcW w:w="5600" w:type="dxa"/>
            <w:vAlign w:val="bottom"/>
            <w:tcBorders>
              <w:top w:val="single" w:sz="8" w:color="69439A"/>
            </w:tcBorders>
            <w:gridSpan w:val="2"/>
            <w:shd w:val="clear" w:color="auto" w:fill="010035"/>
          </w:tcPr>
          <w:p>
            <w:pPr>
              <w:ind w:left="40"/>
              <w:spacing w:after="0"/>
              <w:rPr>
                <w:sz w:val="20"/>
                <w:szCs w:val="20"/>
                <w:color w:val="auto"/>
              </w:rPr>
            </w:pPr>
            <w:r>
              <w:rPr>
                <w:rFonts w:ascii="Arial" w:cs="Arial" w:eastAsia="Arial" w:hAnsi="Arial"/>
                <w:sz w:val="18"/>
                <w:szCs w:val="18"/>
                <w:b w:val="1"/>
                <w:bCs w:val="1"/>
                <w:color w:val="FFFFFF"/>
              </w:rPr>
              <w:t>PROPOSAL</w:t>
            </w:r>
          </w:p>
        </w:tc>
        <w:tc>
          <w:tcPr>
            <w:tcW w:w="3020" w:type="dxa"/>
            <w:vAlign w:val="bottom"/>
            <w:tcBorders>
              <w:top w:val="single" w:sz="8" w:color="69439A"/>
            </w:tcBorders>
            <w:gridSpan w:val="2"/>
            <w:shd w:val="clear" w:color="auto" w:fill="010035"/>
          </w:tcPr>
          <w:p>
            <w:pPr>
              <w:ind w:left="220"/>
              <w:spacing w:after="0"/>
              <w:rPr>
                <w:sz w:val="20"/>
                <w:szCs w:val="20"/>
                <w:color w:val="auto"/>
              </w:rPr>
            </w:pPr>
            <w:r>
              <w:rPr>
                <w:rFonts w:ascii="Arial" w:cs="Arial" w:eastAsia="Arial" w:hAnsi="Arial"/>
                <w:sz w:val="18"/>
                <w:szCs w:val="18"/>
                <w:b w:val="1"/>
                <w:bCs w:val="1"/>
                <w:color w:val="FFFFFF"/>
                <w:w w:val="92"/>
              </w:rPr>
              <w:t>BOARD VOTE RECOMMENDATION</w:t>
            </w:r>
          </w:p>
        </w:tc>
        <w:tc>
          <w:tcPr>
            <w:tcW w:w="700" w:type="dxa"/>
            <w:vAlign w:val="bottom"/>
            <w:tcBorders>
              <w:top w:val="single" w:sz="8" w:color="69439A"/>
            </w:tcBorders>
            <w:gridSpan w:val="5"/>
            <w:shd w:val="clear" w:color="auto" w:fill="010035"/>
          </w:tcPr>
          <w:p>
            <w:pPr>
              <w:jc w:val="center"/>
              <w:spacing w:after="0"/>
              <w:rPr>
                <w:sz w:val="20"/>
                <w:szCs w:val="20"/>
                <w:color w:val="auto"/>
              </w:rPr>
            </w:pPr>
            <w:r>
              <w:rPr>
                <w:rFonts w:ascii="Arial" w:cs="Arial" w:eastAsia="Arial" w:hAnsi="Arial"/>
                <w:sz w:val="18"/>
                <w:szCs w:val="18"/>
                <w:b w:val="1"/>
                <w:bCs w:val="1"/>
                <w:color w:val="FFFFFF"/>
                <w:w w:val="90"/>
              </w:rPr>
              <w:t>PAGE</w:t>
            </w:r>
          </w:p>
        </w:tc>
        <w:tc>
          <w:tcPr>
            <w:tcW w:w="0" w:type="dxa"/>
            <w:vAlign w:val="bottom"/>
          </w:tcPr>
          <w:p>
            <w:pPr>
              <w:spacing w:after="0"/>
              <w:rPr>
                <w:sz w:val="1"/>
                <w:szCs w:val="1"/>
                <w:color w:val="auto"/>
              </w:rPr>
            </w:pPr>
          </w:p>
        </w:tc>
      </w:tr>
      <w:tr>
        <w:trPr>
          <w:trHeight w:val="96"/>
        </w:trPr>
        <w:tc>
          <w:tcPr>
            <w:tcW w:w="80" w:type="dxa"/>
            <w:vAlign w:val="bottom"/>
            <w:shd w:val="clear" w:color="auto" w:fill="010035"/>
          </w:tcPr>
          <w:p>
            <w:pPr>
              <w:spacing w:after="0"/>
              <w:rPr>
                <w:sz w:val="8"/>
                <w:szCs w:val="8"/>
                <w:color w:val="auto"/>
              </w:rPr>
            </w:pPr>
          </w:p>
        </w:tc>
        <w:tc>
          <w:tcPr>
            <w:tcW w:w="5600" w:type="dxa"/>
            <w:vAlign w:val="bottom"/>
            <w:gridSpan w:val="2"/>
            <w:shd w:val="clear" w:color="auto" w:fill="010035"/>
          </w:tcPr>
          <w:p>
            <w:pPr>
              <w:spacing w:after="0"/>
              <w:rPr>
                <w:sz w:val="8"/>
                <w:szCs w:val="8"/>
                <w:color w:val="auto"/>
              </w:rPr>
            </w:pPr>
          </w:p>
        </w:tc>
        <w:tc>
          <w:tcPr>
            <w:tcW w:w="540" w:type="dxa"/>
            <w:vAlign w:val="bottom"/>
            <w:shd w:val="clear" w:color="auto" w:fill="010035"/>
          </w:tcPr>
          <w:p>
            <w:pPr>
              <w:spacing w:after="0"/>
              <w:rPr>
                <w:sz w:val="8"/>
                <w:szCs w:val="8"/>
                <w:color w:val="auto"/>
              </w:rPr>
            </w:pPr>
          </w:p>
        </w:tc>
        <w:tc>
          <w:tcPr>
            <w:tcW w:w="2480" w:type="dxa"/>
            <w:vAlign w:val="bottom"/>
            <w:shd w:val="clear" w:color="auto" w:fill="010035"/>
          </w:tcPr>
          <w:p>
            <w:pPr>
              <w:spacing w:after="0"/>
              <w:rPr>
                <w:sz w:val="8"/>
                <w:szCs w:val="8"/>
                <w:color w:val="auto"/>
              </w:rPr>
            </w:pPr>
          </w:p>
        </w:tc>
        <w:tc>
          <w:tcPr>
            <w:tcW w:w="260" w:type="dxa"/>
            <w:vAlign w:val="bottom"/>
            <w:shd w:val="clear" w:color="auto" w:fill="010035"/>
          </w:tcPr>
          <w:p>
            <w:pPr>
              <w:spacing w:after="0"/>
              <w:rPr>
                <w:sz w:val="8"/>
                <w:szCs w:val="8"/>
                <w:color w:val="auto"/>
              </w:rPr>
            </w:pPr>
          </w:p>
        </w:tc>
        <w:tc>
          <w:tcPr>
            <w:tcW w:w="40" w:type="dxa"/>
            <w:vAlign w:val="bottom"/>
            <w:shd w:val="clear" w:color="auto" w:fill="010035"/>
          </w:tcPr>
          <w:p>
            <w:pPr>
              <w:spacing w:after="0"/>
              <w:rPr>
                <w:sz w:val="8"/>
                <w:szCs w:val="8"/>
                <w:color w:val="auto"/>
              </w:rPr>
            </w:pPr>
          </w:p>
        </w:tc>
        <w:tc>
          <w:tcPr>
            <w:tcW w:w="160" w:type="dxa"/>
            <w:vAlign w:val="bottom"/>
            <w:shd w:val="clear" w:color="auto" w:fill="010035"/>
          </w:tcPr>
          <w:p>
            <w:pPr>
              <w:spacing w:after="0"/>
              <w:rPr>
                <w:sz w:val="8"/>
                <w:szCs w:val="8"/>
                <w:color w:val="auto"/>
              </w:rPr>
            </w:pPr>
          </w:p>
        </w:tc>
        <w:tc>
          <w:tcPr>
            <w:tcW w:w="40" w:type="dxa"/>
            <w:vAlign w:val="bottom"/>
            <w:shd w:val="clear" w:color="auto" w:fill="010035"/>
          </w:tcPr>
          <w:p>
            <w:pPr>
              <w:spacing w:after="0"/>
              <w:rPr>
                <w:sz w:val="8"/>
                <w:szCs w:val="8"/>
                <w:color w:val="auto"/>
              </w:rPr>
            </w:pPr>
          </w:p>
        </w:tc>
        <w:tc>
          <w:tcPr>
            <w:tcW w:w="200" w:type="dxa"/>
            <w:vAlign w:val="bottom"/>
            <w:shd w:val="clear" w:color="auto" w:fill="010035"/>
          </w:tcPr>
          <w:p>
            <w:pPr>
              <w:spacing w:after="0"/>
              <w:rPr>
                <w:sz w:val="8"/>
                <w:szCs w:val="8"/>
                <w:color w:val="auto"/>
              </w:rPr>
            </w:pP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5600" w:type="dxa"/>
            <w:vAlign w:val="bottom"/>
            <w:gridSpan w:val="2"/>
            <w:vMerge w:val="restart"/>
          </w:tcPr>
          <w:p>
            <w:pPr>
              <w:ind w:left="40"/>
              <w:spacing w:after="0"/>
              <w:rPr>
                <w:sz w:val="20"/>
                <w:szCs w:val="20"/>
                <w:color w:val="auto"/>
              </w:rPr>
            </w:pPr>
            <w:r>
              <w:rPr>
                <w:rFonts w:ascii="Arial" w:cs="Arial" w:eastAsia="Arial" w:hAnsi="Arial"/>
                <w:sz w:val="47"/>
                <w:szCs w:val="47"/>
                <w:b w:val="1"/>
                <w:bCs w:val="1"/>
                <w:color w:val="69439A"/>
              </w:rPr>
              <w:t xml:space="preserve">1 </w:t>
            </w:r>
            <w:r>
              <w:rPr>
                <w:rFonts w:ascii="Arial" w:cs="Arial" w:eastAsia="Arial" w:hAnsi="Arial"/>
                <w:sz w:val="14"/>
                <w:szCs w:val="14"/>
                <w:color w:val="000000"/>
              </w:rPr>
              <w:t>Election of Class III Directors</w:t>
            </w:r>
          </w:p>
        </w:tc>
        <w:tc>
          <w:tcPr>
            <w:tcW w:w="540" w:type="dxa"/>
            <w:vAlign w:val="bottom"/>
          </w:tcPr>
          <w:p>
            <w:pPr>
              <w:spacing w:after="0"/>
              <w:rPr>
                <w:sz w:val="24"/>
                <w:szCs w:val="24"/>
                <w:color w:val="auto"/>
              </w:rPr>
            </w:pPr>
          </w:p>
        </w:tc>
        <w:tc>
          <w:tcPr>
            <w:tcW w:w="2480" w:type="dxa"/>
            <w:vAlign w:val="bottom"/>
            <w:vMerge w:val="restart"/>
          </w:tcPr>
          <w:p>
            <w:pPr>
              <w:ind w:left="260"/>
              <w:spacing w:after="0"/>
              <w:rPr>
                <w:sz w:val="20"/>
                <w:szCs w:val="20"/>
                <w:color w:val="auto"/>
              </w:rPr>
            </w:pPr>
            <w:r>
              <w:rPr>
                <w:rFonts w:ascii="Arial" w:cs="Arial" w:eastAsia="Arial" w:hAnsi="Arial"/>
                <w:sz w:val="14"/>
                <w:szCs w:val="14"/>
                <w:color w:val="auto"/>
              </w:rPr>
              <w:t>FOR each nominee</w:t>
            </w:r>
          </w:p>
        </w:tc>
        <w:tc>
          <w:tcPr>
            <w:tcW w:w="26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89"/>
              </w:rPr>
              <w:t>12</w:t>
            </w:r>
          </w:p>
        </w:tc>
        <w:tc>
          <w:tcPr>
            <w:tcW w:w="4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5600" w:type="dxa"/>
            <w:vAlign w:val="bottom"/>
            <w:gridSpan w:val="2"/>
            <w:vMerge w:val="continue"/>
          </w:tcPr>
          <w:p>
            <w:pPr>
              <w:spacing w:after="0"/>
              <w:rPr>
                <w:sz w:val="22"/>
                <w:szCs w:val="22"/>
                <w:color w:val="auto"/>
              </w:rPr>
            </w:pPr>
          </w:p>
        </w:tc>
        <w:tc>
          <w:tcPr>
            <w:tcW w:w="540" w:type="dxa"/>
            <w:vAlign w:val="bottom"/>
          </w:tcPr>
          <w:p>
            <w:pPr>
              <w:ind w:left="220"/>
              <w:spacing w:after="0"/>
              <w:rPr>
                <w:sz w:val="20"/>
                <w:szCs w:val="20"/>
                <w:color w:val="auto"/>
              </w:rPr>
            </w:pPr>
            <w:r>
              <w:rPr>
                <w:rFonts w:ascii="Arial" w:cs="Arial" w:eastAsia="Arial" w:hAnsi="Arial"/>
                <w:sz w:val="14"/>
                <w:szCs w:val="14"/>
                <w:color w:val="auto"/>
              </w:rPr>
              <w:t xml:space="preserve">  </w:t>
            </w:r>
          </w:p>
        </w:tc>
        <w:tc>
          <w:tcPr>
            <w:tcW w:w="248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gridSpan w:val="2"/>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93"/>
        </w:trPr>
        <w:tc>
          <w:tcPr>
            <w:tcW w:w="80" w:type="dxa"/>
            <w:vAlign w:val="bottom"/>
          </w:tcPr>
          <w:p>
            <w:pPr>
              <w:spacing w:after="0"/>
              <w:rPr>
                <w:sz w:val="24"/>
                <w:szCs w:val="24"/>
                <w:color w:val="auto"/>
              </w:rPr>
            </w:pPr>
          </w:p>
        </w:tc>
        <w:tc>
          <w:tcPr>
            <w:tcW w:w="5600" w:type="dxa"/>
            <w:vAlign w:val="bottom"/>
            <w:gridSpan w:val="2"/>
            <w:vMerge w:val="restart"/>
          </w:tcPr>
          <w:p>
            <w:pPr>
              <w:ind w:left="40"/>
              <w:spacing w:after="0"/>
              <w:rPr>
                <w:sz w:val="20"/>
                <w:szCs w:val="20"/>
                <w:color w:val="auto"/>
              </w:rPr>
            </w:pPr>
            <w:r>
              <w:rPr>
                <w:rFonts w:ascii="Arial" w:cs="Arial" w:eastAsia="Arial" w:hAnsi="Arial"/>
                <w:sz w:val="47"/>
                <w:szCs w:val="47"/>
                <w:b w:val="1"/>
                <w:bCs w:val="1"/>
                <w:color w:val="69439A"/>
              </w:rPr>
              <w:t xml:space="preserve">2 </w:t>
            </w:r>
            <w:r>
              <w:rPr>
                <w:rFonts w:ascii="Arial" w:cs="Arial" w:eastAsia="Arial" w:hAnsi="Arial"/>
                <w:sz w:val="14"/>
                <w:szCs w:val="14"/>
                <w:color w:val="000000"/>
              </w:rPr>
              <w:t>Ratification of Appointment of Independent Registered Public Accounting Firm</w:t>
            </w:r>
          </w:p>
        </w:tc>
        <w:tc>
          <w:tcPr>
            <w:tcW w:w="540" w:type="dxa"/>
            <w:vAlign w:val="bottom"/>
          </w:tcPr>
          <w:p>
            <w:pPr>
              <w:spacing w:after="0"/>
              <w:rPr>
                <w:sz w:val="24"/>
                <w:szCs w:val="24"/>
                <w:color w:val="auto"/>
              </w:rPr>
            </w:pPr>
          </w:p>
        </w:tc>
        <w:tc>
          <w:tcPr>
            <w:tcW w:w="2480" w:type="dxa"/>
            <w:vAlign w:val="bottom"/>
            <w:vMerge w:val="restart"/>
          </w:tcPr>
          <w:p>
            <w:pPr>
              <w:ind w:left="260"/>
              <w:spacing w:after="0"/>
              <w:rPr>
                <w:sz w:val="20"/>
                <w:szCs w:val="20"/>
                <w:color w:val="auto"/>
              </w:rPr>
            </w:pPr>
            <w:r>
              <w:rPr>
                <w:rFonts w:ascii="Arial" w:cs="Arial" w:eastAsia="Arial" w:hAnsi="Arial"/>
                <w:sz w:val="14"/>
                <w:szCs w:val="14"/>
                <w:color w:val="auto"/>
              </w:rPr>
              <w:t>FOR</w:t>
            </w:r>
          </w:p>
        </w:tc>
        <w:tc>
          <w:tcPr>
            <w:tcW w:w="26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89"/>
              </w:rPr>
              <w:t>47</w:t>
            </w:r>
          </w:p>
        </w:tc>
        <w:tc>
          <w:tcPr>
            <w:tcW w:w="4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5600" w:type="dxa"/>
            <w:vAlign w:val="bottom"/>
            <w:gridSpan w:val="2"/>
            <w:vMerge w:val="continue"/>
          </w:tcPr>
          <w:p>
            <w:pPr>
              <w:spacing w:after="0"/>
              <w:rPr>
                <w:sz w:val="22"/>
                <w:szCs w:val="22"/>
                <w:color w:val="auto"/>
              </w:rPr>
            </w:pPr>
          </w:p>
        </w:tc>
        <w:tc>
          <w:tcPr>
            <w:tcW w:w="540" w:type="dxa"/>
            <w:vAlign w:val="bottom"/>
          </w:tcPr>
          <w:p>
            <w:pPr>
              <w:ind w:left="220"/>
              <w:spacing w:after="0"/>
              <w:rPr>
                <w:sz w:val="20"/>
                <w:szCs w:val="20"/>
                <w:color w:val="auto"/>
              </w:rPr>
            </w:pPr>
            <w:r>
              <w:rPr>
                <w:rFonts w:ascii="Arial" w:cs="Arial" w:eastAsia="Arial" w:hAnsi="Arial"/>
                <w:sz w:val="14"/>
                <w:szCs w:val="14"/>
                <w:color w:val="auto"/>
              </w:rPr>
              <w:t> </w:t>
            </w:r>
          </w:p>
        </w:tc>
        <w:tc>
          <w:tcPr>
            <w:tcW w:w="248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gridSpan w:val="2"/>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93"/>
        </w:trPr>
        <w:tc>
          <w:tcPr>
            <w:tcW w:w="80" w:type="dxa"/>
            <w:vAlign w:val="bottom"/>
          </w:tcPr>
          <w:p>
            <w:pPr>
              <w:spacing w:after="0"/>
              <w:rPr>
                <w:sz w:val="24"/>
                <w:szCs w:val="24"/>
                <w:color w:val="auto"/>
              </w:rPr>
            </w:pPr>
          </w:p>
        </w:tc>
        <w:tc>
          <w:tcPr>
            <w:tcW w:w="5600" w:type="dxa"/>
            <w:vAlign w:val="bottom"/>
            <w:gridSpan w:val="2"/>
            <w:vMerge w:val="restart"/>
          </w:tcPr>
          <w:p>
            <w:pPr>
              <w:ind w:left="40"/>
              <w:spacing w:after="0"/>
              <w:rPr>
                <w:sz w:val="20"/>
                <w:szCs w:val="20"/>
                <w:color w:val="auto"/>
              </w:rPr>
            </w:pPr>
            <w:r>
              <w:rPr>
                <w:rFonts w:ascii="Arial" w:cs="Arial" w:eastAsia="Arial" w:hAnsi="Arial"/>
                <w:sz w:val="47"/>
                <w:szCs w:val="47"/>
                <w:b w:val="1"/>
                <w:bCs w:val="1"/>
                <w:color w:val="69439A"/>
              </w:rPr>
              <w:t xml:space="preserve">3 </w:t>
            </w:r>
            <w:r>
              <w:rPr>
                <w:rFonts w:ascii="Arial" w:cs="Arial" w:eastAsia="Arial" w:hAnsi="Arial"/>
                <w:sz w:val="14"/>
                <w:szCs w:val="14"/>
                <w:color w:val="000000"/>
              </w:rPr>
              <w:t>Advisory Vote to Approve the Compensation of Named Executive Officers</w:t>
            </w:r>
          </w:p>
        </w:tc>
        <w:tc>
          <w:tcPr>
            <w:tcW w:w="540" w:type="dxa"/>
            <w:vAlign w:val="bottom"/>
          </w:tcPr>
          <w:p>
            <w:pPr>
              <w:spacing w:after="0"/>
              <w:rPr>
                <w:sz w:val="24"/>
                <w:szCs w:val="24"/>
                <w:color w:val="auto"/>
              </w:rPr>
            </w:pPr>
          </w:p>
        </w:tc>
        <w:tc>
          <w:tcPr>
            <w:tcW w:w="2480" w:type="dxa"/>
            <w:vAlign w:val="bottom"/>
            <w:vMerge w:val="restart"/>
          </w:tcPr>
          <w:p>
            <w:pPr>
              <w:ind w:left="260"/>
              <w:spacing w:after="0"/>
              <w:rPr>
                <w:sz w:val="20"/>
                <w:szCs w:val="20"/>
                <w:color w:val="auto"/>
              </w:rPr>
            </w:pPr>
            <w:r>
              <w:rPr>
                <w:rFonts w:ascii="Arial" w:cs="Arial" w:eastAsia="Arial" w:hAnsi="Arial"/>
                <w:sz w:val="14"/>
                <w:szCs w:val="14"/>
                <w:color w:val="auto"/>
              </w:rPr>
              <w:t>FOR</w:t>
            </w:r>
          </w:p>
        </w:tc>
        <w:tc>
          <w:tcPr>
            <w:tcW w:w="26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89"/>
              </w:rPr>
              <w:t>50</w:t>
            </w:r>
          </w:p>
        </w:tc>
        <w:tc>
          <w:tcPr>
            <w:tcW w:w="4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5600" w:type="dxa"/>
            <w:vAlign w:val="bottom"/>
            <w:gridSpan w:val="2"/>
            <w:vMerge w:val="continue"/>
          </w:tcPr>
          <w:p>
            <w:pPr>
              <w:spacing w:after="0"/>
              <w:rPr>
                <w:sz w:val="22"/>
                <w:szCs w:val="22"/>
                <w:color w:val="auto"/>
              </w:rPr>
            </w:pPr>
          </w:p>
        </w:tc>
        <w:tc>
          <w:tcPr>
            <w:tcW w:w="540" w:type="dxa"/>
            <w:vAlign w:val="bottom"/>
          </w:tcPr>
          <w:p>
            <w:pPr>
              <w:ind w:left="220"/>
              <w:spacing w:after="0"/>
              <w:rPr>
                <w:sz w:val="20"/>
                <w:szCs w:val="20"/>
                <w:color w:val="auto"/>
              </w:rPr>
            </w:pPr>
            <w:r>
              <w:rPr>
                <w:rFonts w:ascii="Arial" w:cs="Arial" w:eastAsia="Arial" w:hAnsi="Arial"/>
                <w:sz w:val="14"/>
                <w:szCs w:val="14"/>
                <w:color w:val="auto"/>
              </w:rPr>
              <w:t> </w:t>
            </w:r>
          </w:p>
        </w:tc>
        <w:tc>
          <w:tcPr>
            <w:tcW w:w="248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auto"/>
            </w:tcBorders>
            <w:gridSpan w:val="2"/>
          </w:tcPr>
          <w:p>
            <w:pPr>
              <w:spacing w:after="0"/>
              <w:rPr>
                <w:sz w:val="7"/>
                <w:szCs w:val="7"/>
                <w:color w:val="auto"/>
              </w:rPr>
            </w:pPr>
          </w:p>
        </w:tc>
        <w:tc>
          <w:tcPr>
            <w:tcW w:w="52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440" w:type="dxa"/>
            <w:vAlign w:val="bottom"/>
            <w:gridSpan w:val="2"/>
          </w:tcPr>
          <w:p>
            <w:pPr>
              <w:ind w:left="120"/>
              <w:spacing w:after="0" w:line="404" w:lineRule="exact"/>
              <w:rPr>
                <w:sz w:val="20"/>
                <w:szCs w:val="20"/>
                <w:color w:val="auto"/>
              </w:rPr>
            </w:pPr>
            <w:r>
              <w:rPr>
                <w:rFonts w:ascii="Arial" w:cs="Arial" w:eastAsia="Arial" w:hAnsi="Arial"/>
                <w:sz w:val="46"/>
                <w:szCs w:val="46"/>
                <w:b w:val="1"/>
                <w:bCs w:val="1"/>
                <w:color w:val="69439A"/>
              </w:rPr>
              <w:t>4</w:t>
            </w:r>
          </w:p>
        </w:tc>
        <w:tc>
          <w:tcPr>
            <w:tcW w:w="5240" w:type="dxa"/>
            <w:vAlign w:val="bottom"/>
          </w:tcPr>
          <w:p>
            <w:pPr>
              <w:ind w:left="60"/>
              <w:spacing w:after="0"/>
              <w:rPr>
                <w:sz w:val="20"/>
                <w:szCs w:val="20"/>
                <w:color w:val="auto"/>
              </w:rPr>
            </w:pPr>
            <w:r>
              <w:rPr>
                <w:rFonts w:ascii="Arial" w:cs="Arial" w:eastAsia="Arial" w:hAnsi="Arial"/>
                <w:sz w:val="14"/>
                <w:szCs w:val="14"/>
                <w:color w:val="auto"/>
              </w:rPr>
              <w:t>Approval of the Third Amendment to our 2022 Long-Term Incentive</w:t>
            </w:r>
          </w:p>
        </w:tc>
        <w:tc>
          <w:tcPr>
            <w:tcW w:w="540" w:type="dxa"/>
            <w:vAlign w:val="bottom"/>
          </w:tcPr>
          <w:p>
            <w:pPr>
              <w:ind w:left="220"/>
              <w:spacing w:after="0"/>
              <w:rPr>
                <w:sz w:val="20"/>
                <w:szCs w:val="20"/>
                <w:color w:val="auto"/>
              </w:rPr>
            </w:pPr>
            <w:r>
              <w:rPr>
                <w:rFonts w:ascii="Arial" w:cs="Arial" w:eastAsia="Arial" w:hAnsi="Arial"/>
                <w:sz w:val="14"/>
                <w:szCs w:val="14"/>
                <w:color w:val="auto"/>
              </w:rPr>
              <w:t> </w:t>
            </w:r>
          </w:p>
        </w:tc>
        <w:tc>
          <w:tcPr>
            <w:tcW w:w="2480" w:type="dxa"/>
            <w:vAlign w:val="bottom"/>
            <w:vMerge w:val="restart"/>
          </w:tcPr>
          <w:p>
            <w:pPr>
              <w:ind w:left="260"/>
              <w:spacing w:after="0"/>
              <w:rPr>
                <w:sz w:val="20"/>
                <w:szCs w:val="20"/>
                <w:color w:val="auto"/>
              </w:rPr>
            </w:pPr>
            <w:r>
              <w:rPr>
                <w:rFonts w:ascii="Arial" w:cs="Arial" w:eastAsia="Arial" w:hAnsi="Arial"/>
                <w:sz w:val="14"/>
                <w:szCs w:val="14"/>
                <w:color w:val="auto"/>
              </w:rPr>
              <w:t>FOR</w:t>
            </w:r>
          </w:p>
        </w:tc>
        <w:tc>
          <w:tcPr>
            <w:tcW w:w="500" w:type="dxa"/>
            <w:vAlign w:val="bottom"/>
            <w:gridSpan w:val="4"/>
            <w:vMerge w:val="restart"/>
          </w:tcPr>
          <w:p>
            <w:pPr>
              <w:jc w:val="right"/>
              <w:ind w:right="40"/>
              <w:spacing w:after="0"/>
              <w:rPr>
                <w:sz w:val="20"/>
                <w:szCs w:val="20"/>
                <w:color w:val="auto"/>
              </w:rPr>
            </w:pPr>
            <w:r>
              <w:rPr>
                <w:rFonts w:ascii="Arial" w:cs="Arial" w:eastAsia="Arial" w:hAnsi="Arial"/>
                <w:sz w:val="14"/>
                <w:szCs w:val="14"/>
                <w:color w:val="0000EE"/>
              </w:rPr>
              <w:t>93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40" w:type="dxa"/>
            <w:vAlign w:val="bottom"/>
            <w:vMerge w:val="restart"/>
          </w:tcPr>
          <w:p>
            <w:pPr>
              <w:ind w:left="60"/>
              <w:spacing w:after="0"/>
              <w:rPr>
                <w:sz w:val="20"/>
                <w:szCs w:val="20"/>
                <w:color w:val="auto"/>
              </w:rPr>
            </w:pPr>
            <w:r>
              <w:rPr>
                <w:rFonts w:ascii="Arial" w:cs="Arial" w:eastAsia="Arial" w:hAnsi="Arial"/>
                <w:sz w:val="14"/>
                <w:szCs w:val="14"/>
                <w:color w:val="auto"/>
              </w:rPr>
              <w:t>Compensation Plan</w:t>
            </w:r>
          </w:p>
        </w:tc>
        <w:tc>
          <w:tcPr>
            <w:tcW w:w="54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50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440" w:type="dxa"/>
            <w:vAlign w:val="bottom"/>
            <w:tcBorders>
              <w:bottom w:val="single" w:sz="8" w:color="auto"/>
            </w:tcBorders>
            <w:gridSpan w:val="2"/>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70"/>
        </w:trPr>
        <w:tc>
          <w:tcPr>
            <w:tcW w:w="440" w:type="dxa"/>
            <w:vAlign w:val="bottom"/>
            <w:gridSpan w:val="2"/>
          </w:tcPr>
          <w:p>
            <w:pPr>
              <w:ind w:left="120"/>
              <w:spacing w:after="0" w:line="458" w:lineRule="exact"/>
              <w:rPr>
                <w:sz w:val="20"/>
                <w:szCs w:val="20"/>
                <w:color w:val="auto"/>
              </w:rPr>
            </w:pPr>
            <w:r>
              <w:rPr>
                <w:rFonts w:ascii="Arial" w:cs="Arial" w:eastAsia="Arial" w:hAnsi="Arial"/>
                <w:sz w:val="47"/>
                <w:szCs w:val="47"/>
                <w:b w:val="1"/>
                <w:bCs w:val="1"/>
                <w:color w:val="69439A"/>
              </w:rPr>
              <w:t>5</w:t>
            </w:r>
          </w:p>
        </w:tc>
        <w:tc>
          <w:tcPr>
            <w:tcW w:w="5240" w:type="dxa"/>
            <w:vAlign w:val="bottom"/>
          </w:tcPr>
          <w:p>
            <w:pPr>
              <w:ind w:left="60"/>
              <w:spacing w:after="0"/>
              <w:rPr>
                <w:sz w:val="20"/>
                <w:szCs w:val="20"/>
                <w:color w:val="auto"/>
              </w:rPr>
            </w:pPr>
            <w:r>
              <w:rPr>
                <w:rFonts w:ascii="Arial" w:cs="Arial" w:eastAsia="Arial" w:hAnsi="Arial"/>
                <w:sz w:val="14"/>
                <w:szCs w:val="14"/>
                <w:color w:val="auto"/>
              </w:rPr>
              <w:t>Advisory Vote on a Shareholder Proposal Requesting the Annual Election of</w:t>
            </w:r>
          </w:p>
        </w:tc>
        <w:tc>
          <w:tcPr>
            <w:tcW w:w="540" w:type="dxa"/>
            <w:vAlign w:val="bottom"/>
          </w:tcPr>
          <w:p>
            <w:pPr>
              <w:ind w:left="220"/>
              <w:spacing w:after="0"/>
              <w:rPr>
                <w:sz w:val="20"/>
                <w:szCs w:val="20"/>
                <w:color w:val="auto"/>
              </w:rPr>
            </w:pPr>
            <w:r>
              <w:rPr>
                <w:rFonts w:ascii="Arial" w:cs="Arial" w:eastAsia="Arial" w:hAnsi="Arial"/>
                <w:sz w:val="14"/>
                <w:szCs w:val="14"/>
                <w:color w:val="auto"/>
              </w:rPr>
              <w:t> </w:t>
            </w:r>
          </w:p>
        </w:tc>
        <w:tc>
          <w:tcPr>
            <w:tcW w:w="2480" w:type="dxa"/>
            <w:vAlign w:val="bottom"/>
            <w:vMerge w:val="restart"/>
          </w:tcPr>
          <w:p>
            <w:pPr>
              <w:ind w:left="260"/>
              <w:spacing w:after="0"/>
              <w:rPr>
                <w:sz w:val="20"/>
                <w:szCs w:val="20"/>
                <w:color w:val="auto"/>
              </w:rPr>
            </w:pPr>
            <w:r>
              <w:rPr>
                <w:rFonts w:ascii="Arial" w:cs="Arial" w:eastAsia="Arial" w:hAnsi="Arial"/>
                <w:sz w:val="14"/>
                <w:szCs w:val="14"/>
                <w:color w:val="auto"/>
              </w:rPr>
              <w:t>AGAINST</w:t>
            </w:r>
          </w:p>
        </w:tc>
        <w:tc>
          <w:tcPr>
            <w:tcW w:w="700" w:type="dxa"/>
            <w:vAlign w:val="bottom"/>
            <w:gridSpan w:val="5"/>
            <w:vMerge w:val="restart"/>
          </w:tcPr>
          <w:p>
            <w:pPr>
              <w:jc w:val="right"/>
              <w:ind w:right="200"/>
              <w:spacing w:after="0"/>
              <w:rPr>
                <w:sz w:val="20"/>
                <w:szCs w:val="20"/>
                <w:color w:val="auto"/>
              </w:rPr>
            </w:pPr>
            <w:r>
              <w:rPr>
                <w:rFonts w:ascii="Arial" w:cs="Arial" w:eastAsia="Arial" w:hAnsi="Arial"/>
                <w:sz w:val="14"/>
                <w:szCs w:val="14"/>
                <w:color w:val="0000EE"/>
              </w:rPr>
              <w:t>107</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40" w:type="dxa"/>
            <w:vAlign w:val="bottom"/>
            <w:vMerge w:val="restart"/>
          </w:tcPr>
          <w:p>
            <w:pPr>
              <w:ind w:left="60"/>
              <w:spacing w:after="0"/>
              <w:rPr>
                <w:sz w:val="20"/>
                <w:szCs w:val="20"/>
                <w:color w:val="auto"/>
              </w:rPr>
            </w:pPr>
            <w:r>
              <w:rPr>
                <w:rFonts w:ascii="Arial" w:cs="Arial" w:eastAsia="Arial" w:hAnsi="Arial"/>
                <w:sz w:val="14"/>
                <w:szCs w:val="14"/>
                <w:color w:val="auto"/>
              </w:rPr>
              <w:t>Directors, if Properly Presented</w:t>
            </w:r>
          </w:p>
        </w:tc>
        <w:tc>
          <w:tcPr>
            <w:tcW w:w="54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7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80" w:type="dxa"/>
            <w:vAlign w:val="bottom"/>
            <w:tcBorders>
              <w:bottom w:val="single" w:sz="8" w:color="69439A"/>
            </w:tcBorders>
          </w:tcPr>
          <w:p>
            <w:pPr>
              <w:spacing w:after="0"/>
              <w:rPr>
                <w:sz w:val="20"/>
                <w:szCs w:val="20"/>
                <w:color w:val="auto"/>
              </w:rPr>
            </w:pPr>
          </w:p>
        </w:tc>
        <w:tc>
          <w:tcPr>
            <w:tcW w:w="360" w:type="dxa"/>
            <w:vAlign w:val="bottom"/>
            <w:tcBorders>
              <w:bottom w:val="single" w:sz="8" w:color="69439A"/>
            </w:tcBorders>
          </w:tcPr>
          <w:p>
            <w:pPr>
              <w:spacing w:after="0"/>
              <w:rPr>
                <w:sz w:val="20"/>
                <w:szCs w:val="20"/>
                <w:color w:val="auto"/>
              </w:rPr>
            </w:pPr>
          </w:p>
        </w:tc>
        <w:tc>
          <w:tcPr>
            <w:tcW w:w="5240" w:type="dxa"/>
            <w:vAlign w:val="bottom"/>
            <w:tcBorders>
              <w:bottom w:val="single" w:sz="8" w:color="69439A"/>
            </w:tcBorders>
          </w:tcPr>
          <w:p>
            <w:pPr>
              <w:spacing w:after="0"/>
              <w:rPr>
                <w:sz w:val="20"/>
                <w:szCs w:val="20"/>
                <w:color w:val="auto"/>
              </w:rPr>
            </w:pPr>
          </w:p>
        </w:tc>
        <w:tc>
          <w:tcPr>
            <w:tcW w:w="540" w:type="dxa"/>
            <w:vAlign w:val="bottom"/>
            <w:tcBorders>
              <w:bottom w:val="single" w:sz="8" w:color="69439A"/>
            </w:tcBorders>
          </w:tcPr>
          <w:p>
            <w:pPr>
              <w:spacing w:after="0"/>
              <w:rPr>
                <w:sz w:val="20"/>
                <w:szCs w:val="20"/>
                <w:color w:val="auto"/>
              </w:rPr>
            </w:pPr>
          </w:p>
        </w:tc>
        <w:tc>
          <w:tcPr>
            <w:tcW w:w="2480" w:type="dxa"/>
            <w:vAlign w:val="bottom"/>
            <w:tcBorders>
              <w:bottom w:val="single" w:sz="8" w:color="69439A"/>
            </w:tcBorders>
          </w:tcPr>
          <w:p>
            <w:pPr>
              <w:spacing w:after="0"/>
              <w:rPr>
                <w:sz w:val="20"/>
                <w:szCs w:val="20"/>
                <w:color w:val="auto"/>
              </w:rPr>
            </w:pPr>
          </w:p>
        </w:tc>
        <w:tc>
          <w:tcPr>
            <w:tcW w:w="260" w:type="dxa"/>
            <w:vAlign w:val="bottom"/>
            <w:tcBorders>
              <w:bottom w:val="single" w:sz="8" w:color="69439A"/>
            </w:tcBorders>
          </w:tcPr>
          <w:p>
            <w:pPr>
              <w:spacing w:after="0"/>
              <w:rPr>
                <w:sz w:val="20"/>
                <w:szCs w:val="20"/>
                <w:color w:val="auto"/>
              </w:rPr>
            </w:pPr>
          </w:p>
        </w:tc>
        <w:tc>
          <w:tcPr>
            <w:tcW w:w="40" w:type="dxa"/>
            <w:vAlign w:val="bottom"/>
            <w:tcBorders>
              <w:bottom w:val="single" w:sz="8" w:color="69439A"/>
            </w:tcBorders>
          </w:tcPr>
          <w:p>
            <w:pPr>
              <w:spacing w:after="0"/>
              <w:rPr>
                <w:sz w:val="20"/>
                <w:szCs w:val="20"/>
                <w:color w:val="auto"/>
              </w:rPr>
            </w:pPr>
          </w:p>
        </w:tc>
        <w:tc>
          <w:tcPr>
            <w:tcW w:w="160" w:type="dxa"/>
            <w:vAlign w:val="bottom"/>
            <w:tcBorders>
              <w:bottom w:val="single" w:sz="8" w:color="69439A"/>
            </w:tcBorders>
          </w:tcPr>
          <w:p>
            <w:pPr>
              <w:spacing w:after="0"/>
              <w:rPr>
                <w:sz w:val="20"/>
                <w:szCs w:val="20"/>
                <w:color w:val="auto"/>
              </w:rPr>
            </w:pPr>
          </w:p>
        </w:tc>
        <w:tc>
          <w:tcPr>
            <w:tcW w:w="40" w:type="dxa"/>
            <w:vAlign w:val="bottom"/>
            <w:tcBorders>
              <w:bottom w:val="single" w:sz="8" w:color="69439A"/>
            </w:tcBorders>
          </w:tcPr>
          <w:p>
            <w:pPr>
              <w:spacing w:after="0"/>
              <w:rPr>
                <w:sz w:val="20"/>
                <w:szCs w:val="20"/>
                <w:color w:val="auto"/>
              </w:rPr>
            </w:pPr>
          </w:p>
        </w:tc>
        <w:tc>
          <w:tcPr>
            <w:tcW w:w="200" w:type="dxa"/>
            <w:vAlign w:val="bottom"/>
            <w:tcBorders>
              <w:bottom w:val="single" w:sz="8" w:color="6943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-2665730</wp:posOffset>
            </wp:positionV>
            <wp:extent cx="231140" cy="23114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-2108200</wp:posOffset>
            </wp:positionV>
            <wp:extent cx="231140" cy="23114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-1551305</wp:posOffset>
            </wp:positionV>
            <wp:extent cx="231140" cy="23114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-993775</wp:posOffset>
            </wp:positionV>
            <wp:extent cx="231140" cy="23177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31140" cy="2317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-410845</wp:posOffset>
            </wp:positionV>
            <wp:extent cx="231140" cy="23177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Will Any Other Matters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2" w:lineRule="exact"/>
        <w:rPr>
          <w:sz w:val="20"/>
          <w:szCs w:val="20"/>
          <w:color w:val="auto"/>
        </w:rPr>
      </w:pPr>
    </w:p>
    <w:p>
      <w:pPr>
        <w:jc w:val="both"/>
        <w:ind w:right="220"/>
        <w:spacing w:after="0" w:line="263" w:lineRule="auto"/>
        <w:rPr>
          <w:sz w:val="20"/>
          <w:szCs w:val="20"/>
          <w:color w:val="auto"/>
        </w:rPr>
      </w:pPr>
      <w:r>
        <w:rPr>
          <w:rFonts w:ascii="Arial" w:cs="Arial" w:eastAsia="Arial" w:hAnsi="Arial"/>
          <w:sz w:val="14"/>
          <w:szCs w:val="14"/>
          <w:color w:val="auto"/>
        </w:rPr>
        <w:t>The proposals set forth in this Proxy Statement constitute the only business that the Board of Directors intends to present at the Annual Meeting. The proxy does, however, confer discretionary authority upon the persons designated as proxy holders on the Proxy Card, or their substitutes, to vote on any other business that may properly come before the meeting.</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Only holders of record of our common stock, or their duly appointed proxies, as of the close of business on March 27, 2026, the Record Date for the Annual Meeting, are entitled to receive notice of and to vote at the Annual Meeting and all postponements or adjournments thereof. Our common stock constitutes the only class of securities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16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ABOUT THE MEETING: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What Are The Voting Rights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460"/>
        <w:spacing w:after="0" w:line="285" w:lineRule="auto"/>
        <w:rPr>
          <w:sz w:val="20"/>
          <w:szCs w:val="20"/>
          <w:color w:val="auto"/>
        </w:rPr>
      </w:pPr>
      <w:r>
        <w:rPr>
          <w:rFonts w:ascii="Arial" w:cs="Arial" w:eastAsia="Arial" w:hAnsi="Arial"/>
          <w:sz w:val="14"/>
          <w:szCs w:val="14"/>
          <w:color w:val="auto"/>
        </w:rPr>
        <w:t>Each share of common stock outstanding on the Record Date entitles its holder to cast one vote on each matter to be voted on at the Annual Meeting.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498"/>
        </w:trPr>
        <w:tc>
          <w:tcPr>
            <w:tcW w:w="4160" w:type="dxa"/>
            <w:vAlign w:val="bottom"/>
            <w:tcBorders>
              <w:top w:val="single" w:sz="8" w:color="69439A"/>
            </w:tcBorders>
            <w:gridSpan w:val="2"/>
            <w:shd w:val="clear" w:color="auto" w:fill="010035"/>
          </w:tcPr>
          <w:p>
            <w:pPr>
              <w:ind w:left="140"/>
              <w:spacing w:after="0"/>
              <w:rPr>
                <w:sz w:val="20"/>
                <w:szCs w:val="20"/>
                <w:color w:val="auto"/>
              </w:rPr>
            </w:pPr>
            <w:r>
              <w:rPr>
                <w:rFonts w:ascii="Arial" w:cs="Arial" w:eastAsia="Arial" w:hAnsi="Arial"/>
                <w:sz w:val="18"/>
                <w:szCs w:val="18"/>
                <w:b w:val="1"/>
                <w:bCs w:val="1"/>
                <w:color w:val="FFFFFF"/>
              </w:rPr>
              <w:t>PROPOSAL</w:t>
            </w:r>
          </w:p>
        </w:tc>
        <w:tc>
          <w:tcPr>
            <w:tcW w:w="1860" w:type="dxa"/>
            <w:vAlign w:val="bottom"/>
            <w:tcBorders>
              <w:top w:val="single" w:sz="8" w:color="69439A"/>
            </w:tcBorders>
            <w:shd w:val="clear" w:color="auto" w:fill="010035"/>
          </w:tcPr>
          <w:p>
            <w:pPr>
              <w:ind w:left="160"/>
              <w:spacing w:after="0"/>
              <w:rPr>
                <w:sz w:val="20"/>
                <w:szCs w:val="20"/>
                <w:color w:val="auto"/>
              </w:rPr>
            </w:pPr>
            <w:r>
              <w:rPr>
                <w:rFonts w:ascii="Arial" w:cs="Arial" w:eastAsia="Arial" w:hAnsi="Arial"/>
                <w:sz w:val="18"/>
                <w:szCs w:val="18"/>
                <w:b w:val="1"/>
                <w:bCs w:val="1"/>
                <w:color w:val="FFFFFF"/>
              </w:rPr>
              <w:t>VOTE REQUIRED</w:t>
            </w:r>
          </w:p>
        </w:tc>
        <w:tc>
          <w:tcPr>
            <w:tcW w:w="3380" w:type="dxa"/>
            <w:vAlign w:val="bottom"/>
            <w:tcBorders>
              <w:top w:val="single" w:sz="8" w:color="69439A"/>
            </w:tcBorders>
            <w:shd w:val="clear" w:color="auto" w:fill="010035"/>
          </w:tcPr>
          <w:p>
            <w:pPr>
              <w:ind w:left="300"/>
              <w:spacing w:after="0"/>
              <w:rPr>
                <w:sz w:val="20"/>
                <w:szCs w:val="20"/>
                <w:color w:val="auto"/>
              </w:rPr>
            </w:pPr>
            <w:r>
              <w:rPr>
                <w:rFonts w:ascii="Arial" w:cs="Arial" w:eastAsia="Arial" w:hAnsi="Arial"/>
                <w:sz w:val="18"/>
                <w:szCs w:val="18"/>
                <w:b w:val="1"/>
                <w:bCs w:val="1"/>
                <w:color w:val="FFFFFF"/>
                <w:w w:val="90"/>
              </w:rPr>
              <w:t>BROKER DISCRETIONARY ALLOWED?</w:t>
            </w:r>
          </w:p>
        </w:tc>
        <w:tc>
          <w:tcPr>
            <w:tcW w:w="0" w:type="dxa"/>
            <w:vAlign w:val="bottom"/>
          </w:tcPr>
          <w:p>
            <w:pPr>
              <w:spacing w:after="0"/>
              <w:rPr>
                <w:sz w:val="1"/>
                <w:szCs w:val="1"/>
                <w:color w:val="auto"/>
              </w:rPr>
            </w:pPr>
          </w:p>
        </w:tc>
      </w:tr>
      <w:tr>
        <w:trPr>
          <w:trHeight w:val="96"/>
        </w:trPr>
        <w:tc>
          <w:tcPr>
            <w:tcW w:w="4160" w:type="dxa"/>
            <w:vAlign w:val="bottom"/>
            <w:gridSpan w:val="2"/>
            <w:shd w:val="clear" w:color="auto" w:fill="010035"/>
          </w:tcPr>
          <w:p>
            <w:pPr>
              <w:spacing w:after="0"/>
              <w:rPr>
                <w:sz w:val="8"/>
                <w:szCs w:val="8"/>
                <w:color w:val="auto"/>
              </w:rPr>
            </w:pPr>
          </w:p>
        </w:tc>
        <w:tc>
          <w:tcPr>
            <w:tcW w:w="1860" w:type="dxa"/>
            <w:vAlign w:val="bottom"/>
            <w:shd w:val="clear" w:color="auto" w:fill="010035"/>
          </w:tcPr>
          <w:p>
            <w:pPr>
              <w:spacing w:after="0"/>
              <w:rPr>
                <w:sz w:val="8"/>
                <w:szCs w:val="8"/>
                <w:color w:val="auto"/>
              </w:rPr>
            </w:pPr>
          </w:p>
        </w:tc>
        <w:tc>
          <w:tcPr>
            <w:tcW w:w="3380" w:type="dxa"/>
            <w:vAlign w:val="bottom"/>
            <w:shd w:val="clear" w:color="auto" w:fill="010035"/>
          </w:tcPr>
          <w:p>
            <w:pPr>
              <w:spacing w:after="0"/>
              <w:rPr>
                <w:sz w:val="8"/>
                <w:szCs w:val="8"/>
                <w:color w:val="auto"/>
              </w:rPr>
            </w:pPr>
          </w:p>
        </w:tc>
        <w:tc>
          <w:tcPr>
            <w:tcW w:w="0" w:type="dxa"/>
            <w:vAlign w:val="bottom"/>
          </w:tcPr>
          <w:p>
            <w:pPr>
              <w:spacing w:after="0"/>
              <w:rPr>
                <w:sz w:val="1"/>
                <w:szCs w:val="1"/>
                <w:color w:val="auto"/>
              </w:rPr>
            </w:pPr>
          </w:p>
        </w:tc>
      </w:tr>
      <w:tr>
        <w:trPr>
          <w:trHeight w:val="701"/>
        </w:trPr>
        <w:tc>
          <w:tcPr>
            <w:tcW w:w="4160" w:type="dxa"/>
            <w:vAlign w:val="bottom"/>
            <w:gridSpan w:val="2"/>
          </w:tcPr>
          <w:p>
            <w:pPr>
              <w:ind w:left="140"/>
              <w:spacing w:after="0"/>
              <w:rPr>
                <w:sz w:val="20"/>
                <w:szCs w:val="20"/>
                <w:color w:val="auto"/>
              </w:rPr>
            </w:pPr>
            <w:r>
              <w:rPr>
                <w:rFonts w:ascii="Arial" w:cs="Arial" w:eastAsia="Arial" w:hAnsi="Arial"/>
                <w:sz w:val="47"/>
                <w:szCs w:val="47"/>
                <w:b w:val="1"/>
                <w:bCs w:val="1"/>
                <w:color w:val="69439A"/>
              </w:rPr>
              <w:t xml:space="preserve">1 </w:t>
            </w:r>
            <w:r>
              <w:rPr>
                <w:rFonts w:ascii="Arial" w:cs="Arial" w:eastAsia="Arial" w:hAnsi="Arial"/>
                <w:sz w:val="14"/>
                <w:szCs w:val="14"/>
                <w:color w:val="000000"/>
              </w:rPr>
              <w:t>Election of Class III Directors</w:t>
            </w:r>
          </w:p>
        </w:tc>
        <w:tc>
          <w:tcPr>
            <w:tcW w:w="1860" w:type="dxa"/>
            <w:vAlign w:val="bottom"/>
          </w:tcPr>
          <w:p>
            <w:pPr>
              <w:ind w:left="160"/>
              <w:spacing w:after="0"/>
              <w:rPr>
                <w:sz w:val="20"/>
                <w:szCs w:val="20"/>
                <w:color w:val="auto"/>
              </w:rPr>
            </w:pPr>
            <w:r>
              <w:rPr>
                <w:rFonts w:ascii="Arial" w:cs="Arial" w:eastAsia="Arial" w:hAnsi="Arial"/>
                <w:sz w:val="14"/>
                <w:szCs w:val="14"/>
                <w:color w:val="auto"/>
              </w:rPr>
              <w:t>Plurality of Votes Cast</w:t>
            </w:r>
          </w:p>
        </w:tc>
        <w:tc>
          <w:tcPr>
            <w:tcW w:w="3380" w:type="dxa"/>
            <w:vAlign w:val="bottom"/>
          </w:tcPr>
          <w:p>
            <w:pPr>
              <w:ind w:left="30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09"/>
        </w:trPr>
        <w:tc>
          <w:tcPr>
            <w:tcW w:w="46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460" w:type="dxa"/>
            <w:vAlign w:val="bottom"/>
          </w:tcPr>
          <w:p>
            <w:pPr>
              <w:ind w:left="140"/>
              <w:spacing w:after="0" w:line="404" w:lineRule="exact"/>
              <w:rPr>
                <w:sz w:val="20"/>
                <w:szCs w:val="20"/>
                <w:color w:val="auto"/>
              </w:rPr>
            </w:pPr>
            <w:r>
              <w:rPr>
                <w:rFonts w:ascii="Arial" w:cs="Arial" w:eastAsia="Arial" w:hAnsi="Arial"/>
                <w:sz w:val="46"/>
                <w:szCs w:val="46"/>
                <w:b w:val="1"/>
                <w:bCs w:val="1"/>
                <w:color w:val="69439A"/>
              </w:rPr>
              <w:t>2</w:t>
            </w:r>
          </w:p>
        </w:tc>
        <w:tc>
          <w:tcPr>
            <w:tcW w:w="3700" w:type="dxa"/>
            <w:vAlign w:val="bottom"/>
          </w:tcPr>
          <w:p>
            <w:pPr>
              <w:ind w:left="60"/>
              <w:spacing w:after="0"/>
              <w:rPr>
                <w:sz w:val="20"/>
                <w:szCs w:val="20"/>
                <w:color w:val="auto"/>
              </w:rPr>
            </w:pPr>
            <w:r>
              <w:rPr>
                <w:rFonts w:ascii="Arial" w:cs="Arial" w:eastAsia="Arial" w:hAnsi="Arial"/>
                <w:sz w:val="14"/>
                <w:szCs w:val="14"/>
                <w:color w:val="auto"/>
              </w:rPr>
              <w:t>Ratification of Appointment of Independent Registered</w:t>
            </w:r>
          </w:p>
        </w:tc>
        <w:tc>
          <w:tcPr>
            <w:tcW w:w="1860" w:type="dxa"/>
            <w:vAlign w:val="bottom"/>
            <w:vMerge w:val="restart"/>
          </w:tcPr>
          <w:p>
            <w:pPr>
              <w:ind w:left="160"/>
              <w:spacing w:after="0"/>
              <w:rPr>
                <w:sz w:val="20"/>
                <w:szCs w:val="20"/>
                <w:color w:val="auto"/>
              </w:rPr>
            </w:pPr>
            <w:r>
              <w:rPr>
                <w:rFonts w:ascii="Arial" w:cs="Arial" w:eastAsia="Arial" w:hAnsi="Arial"/>
                <w:sz w:val="14"/>
                <w:szCs w:val="14"/>
                <w:color w:val="auto"/>
              </w:rPr>
              <w:t>Majority of Votes Cast</w:t>
            </w:r>
          </w:p>
        </w:tc>
        <w:tc>
          <w:tcPr>
            <w:tcW w:w="3380" w:type="dxa"/>
            <w:vAlign w:val="bottom"/>
            <w:vMerge w:val="restart"/>
          </w:tcPr>
          <w:p>
            <w:pPr>
              <w:ind w:left="300"/>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109"/>
        </w:trPr>
        <w:tc>
          <w:tcPr>
            <w:tcW w:w="460" w:type="dxa"/>
            <w:vAlign w:val="bottom"/>
          </w:tcPr>
          <w:p>
            <w:pPr>
              <w:spacing w:after="0"/>
              <w:rPr>
                <w:sz w:val="9"/>
                <w:szCs w:val="9"/>
                <w:color w:val="auto"/>
              </w:rPr>
            </w:pPr>
          </w:p>
        </w:tc>
        <w:tc>
          <w:tcPr>
            <w:tcW w:w="3700" w:type="dxa"/>
            <w:vAlign w:val="bottom"/>
            <w:vMerge w:val="restart"/>
          </w:tcPr>
          <w:p>
            <w:pPr>
              <w:ind w:left="60"/>
              <w:spacing w:after="0"/>
              <w:rPr>
                <w:sz w:val="20"/>
                <w:szCs w:val="20"/>
                <w:color w:val="auto"/>
              </w:rPr>
            </w:pPr>
            <w:r>
              <w:rPr>
                <w:rFonts w:ascii="Arial" w:cs="Arial" w:eastAsia="Arial" w:hAnsi="Arial"/>
                <w:sz w:val="14"/>
                <w:szCs w:val="14"/>
                <w:color w:val="auto"/>
              </w:rPr>
              <w:t>Public Accounting Firm</w:t>
            </w:r>
          </w:p>
        </w:tc>
        <w:tc>
          <w:tcPr>
            <w:tcW w:w="1860" w:type="dxa"/>
            <w:vAlign w:val="bottom"/>
            <w:vMerge w:val="continue"/>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46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460" w:type="dxa"/>
            <w:vAlign w:val="bottom"/>
          </w:tcPr>
          <w:p>
            <w:pPr>
              <w:ind w:left="140"/>
              <w:spacing w:after="0" w:line="404" w:lineRule="exact"/>
              <w:rPr>
                <w:sz w:val="20"/>
                <w:szCs w:val="20"/>
                <w:color w:val="auto"/>
              </w:rPr>
            </w:pPr>
            <w:r>
              <w:rPr>
                <w:rFonts w:ascii="Arial" w:cs="Arial" w:eastAsia="Arial" w:hAnsi="Arial"/>
                <w:sz w:val="46"/>
                <w:szCs w:val="46"/>
                <w:b w:val="1"/>
                <w:bCs w:val="1"/>
                <w:color w:val="69439A"/>
              </w:rPr>
              <w:t>3</w:t>
            </w:r>
          </w:p>
        </w:tc>
        <w:tc>
          <w:tcPr>
            <w:tcW w:w="3700" w:type="dxa"/>
            <w:vAlign w:val="bottom"/>
          </w:tcPr>
          <w:p>
            <w:pPr>
              <w:ind w:left="60"/>
              <w:spacing w:after="0"/>
              <w:rPr>
                <w:sz w:val="20"/>
                <w:szCs w:val="20"/>
                <w:color w:val="auto"/>
              </w:rPr>
            </w:pPr>
            <w:r>
              <w:rPr>
                <w:rFonts w:ascii="Arial" w:cs="Arial" w:eastAsia="Arial" w:hAnsi="Arial"/>
                <w:sz w:val="14"/>
                <w:szCs w:val="14"/>
                <w:color w:val="auto"/>
              </w:rPr>
              <w:t>Advisory Vote to Approve the Compensation of Named</w:t>
            </w:r>
          </w:p>
        </w:tc>
        <w:tc>
          <w:tcPr>
            <w:tcW w:w="1860" w:type="dxa"/>
            <w:vAlign w:val="bottom"/>
            <w:vMerge w:val="restart"/>
          </w:tcPr>
          <w:p>
            <w:pPr>
              <w:ind w:left="160"/>
              <w:spacing w:after="0"/>
              <w:rPr>
                <w:sz w:val="20"/>
                <w:szCs w:val="20"/>
                <w:color w:val="auto"/>
              </w:rPr>
            </w:pPr>
            <w:r>
              <w:rPr>
                <w:rFonts w:ascii="Arial" w:cs="Arial" w:eastAsia="Arial" w:hAnsi="Arial"/>
                <w:sz w:val="14"/>
                <w:szCs w:val="14"/>
                <w:color w:val="auto"/>
              </w:rPr>
              <w:t>Majority of Votes Cast</w:t>
            </w:r>
          </w:p>
        </w:tc>
        <w:tc>
          <w:tcPr>
            <w:tcW w:w="3380" w:type="dxa"/>
            <w:vAlign w:val="bottom"/>
            <w:vMerge w:val="restart"/>
          </w:tcPr>
          <w:p>
            <w:pPr>
              <w:ind w:left="30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09"/>
        </w:trPr>
        <w:tc>
          <w:tcPr>
            <w:tcW w:w="460" w:type="dxa"/>
            <w:vAlign w:val="bottom"/>
          </w:tcPr>
          <w:p>
            <w:pPr>
              <w:spacing w:after="0"/>
              <w:rPr>
                <w:sz w:val="9"/>
                <w:szCs w:val="9"/>
                <w:color w:val="auto"/>
              </w:rPr>
            </w:pPr>
          </w:p>
        </w:tc>
        <w:tc>
          <w:tcPr>
            <w:tcW w:w="3700" w:type="dxa"/>
            <w:vAlign w:val="bottom"/>
            <w:vMerge w:val="restart"/>
          </w:tcPr>
          <w:p>
            <w:pPr>
              <w:ind w:left="60"/>
              <w:spacing w:after="0"/>
              <w:rPr>
                <w:sz w:val="20"/>
                <w:szCs w:val="20"/>
                <w:color w:val="auto"/>
              </w:rPr>
            </w:pPr>
            <w:r>
              <w:rPr>
                <w:rFonts w:ascii="Arial" w:cs="Arial" w:eastAsia="Arial" w:hAnsi="Arial"/>
                <w:sz w:val="14"/>
                <w:szCs w:val="14"/>
                <w:color w:val="auto"/>
              </w:rPr>
              <w:t>Executive Officers</w:t>
            </w:r>
          </w:p>
        </w:tc>
        <w:tc>
          <w:tcPr>
            <w:tcW w:w="1860" w:type="dxa"/>
            <w:vAlign w:val="bottom"/>
            <w:vMerge w:val="continue"/>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46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460" w:type="dxa"/>
            <w:vAlign w:val="bottom"/>
          </w:tcPr>
          <w:p>
            <w:pPr>
              <w:ind w:left="140"/>
              <w:spacing w:after="0" w:line="404" w:lineRule="exact"/>
              <w:rPr>
                <w:sz w:val="20"/>
                <w:szCs w:val="20"/>
                <w:color w:val="auto"/>
              </w:rPr>
            </w:pPr>
            <w:r>
              <w:rPr>
                <w:rFonts w:ascii="Arial" w:cs="Arial" w:eastAsia="Arial" w:hAnsi="Arial"/>
                <w:sz w:val="46"/>
                <w:szCs w:val="46"/>
                <w:b w:val="1"/>
                <w:bCs w:val="1"/>
                <w:color w:val="69439A"/>
              </w:rPr>
              <w:t>4</w:t>
            </w:r>
          </w:p>
        </w:tc>
        <w:tc>
          <w:tcPr>
            <w:tcW w:w="3700" w:type="dxa"/>
            <w:vAlign w:val="bottom"/>
          </w:tcPr>
          <w:p>
            <w:pPr>
              <w:ind w:left="60"/>
              <w:spacing w:after="0"/>
              <w:rPr>
                <w:sz w:val="20"/>
                <w:szCs w:val="20"/>
                <w:color w:val="auto"/>
              </w:rPr>
            </w:pPr>
            <w:r>
              <w:rPr>
                <w:rFonts w:ascii="Arial" w:cs="Arial" w:eastAsia="Arial" w:hAnsi="Arial"/>
                <w:sz w:val="14"/>
                <w:szCs w:val="14"/>
                <w:color w:val="auto"/>
              </w:rPr>
              <w:t>Approval of the Third Amendment to our 2022</w:t>
            </w:r>
          </w:p>
        </w:tc>
        <w:tc>
          <w:tcPr>
            <w:tcW w:w="1860" w:type="dxa"/>
            <w:vAlign w:val="bottom"/>
            <w:vMerge w:val="restart"/>
          </w:tcPr>
          <w:p>
            <w:pPr>
              <w:ind w:left="160"/>
              <w:spacing w:after="0"/>
              <w:rPr>
                <w:sz w:val="20"/>
                <w:szCs w:val="20"/>
                <w:color w:val="auto"/>
              </w:rPr>
            </w:pPr>
            <w:r>
              <w:rPr>
                <w:rFonts w:ascii="Arial" w:cs="Arial" w:eastAsia="Arial" w:hAnsi="Arial"/>
                <w:sz w:val="14"/>
                <w:szCs w:val="14"/>
                <w:color w:val="auto"/>
              </w:rPr>
              <w:t>Majority of Votes Cast</w:t>
            </w:r>
          </w:p>
        </w:tc>
        <w:tc>
          <w:tcPr>
            <w:tcW w:w="3380" w:type="dxa"/>
            <w:vAlign w:val="bottom"/>
            <w:vMerge w:val="restart"/>
          </w:tcPr>
          <w:p>
            <w:pPr>
              <w:ind w:left="30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09"/>
        </w:trPr>
        <w:tc>
          <w:tcPr>
            <w:tcW w:w="460" w:type="dxa"/>
            <w:vAlign w:val="bottom"/>
          </w:tcPr>
          <w:p>
            <w:pPr>
              <w:spacing w:after="0"/>
              <w:rPr>
                <w:sz w:val="9"/>
                <w:szCs w:val="9"/>
                <w:color w:val="auto"/>
              </w:rPr>
            </w:pPr>
          </w:p>
        </w:tc>
        <w:tc>
          <w:tcPr>
            <w:tcW w:w="3700" w:type="dxa"/>
            <w:vAlign w:val="bottom"/>
            <w:vMerge w:val="restart"/>
          </w:tcPr>
          <w:p>
            <w:pPr>
              <w:ind w:left="60"/>
              <w:spacing w:after="0"/>
              <w:rPr>
                <w:sz w:val="20"/>
                <w:szCs w:val="20"/>
                <w:color w:val="auto"/>
              </w:rPr>
            </w:pPr>
            <w:r>
              <w:rPr>
                <w:rFonts w:ascii="Arial" w:cs="Arial" w:eastAsia="Arial" w:hAnsi="Arial"/>
                <w:sz w:val="14"/>
                <w:szCs w:val="14"/>
                <w:color w:val="auto"/>
              </w:rPr>
              <w:t>Long-Term Incentive Compensation Plan</w:t>
            </w:r>
          </w:p>
        </w:tc>
        <w:tc>
          <w:tcPr>
            <w:tcW w:w="1860" w:type="dxa"/>
            <w:vAlign w:val="bottom"/>
            <w:vMerge w:val="continue"/>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46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460" w:type="dxa"/>
            <w:vAlign w:val="bottom"/>
          </w:tcPr>
          <w:p>
            <w:pPr>
              <w:ind w:left="140"/>
              <w:spacing w:after="0" w:line="404" w:lineRule="exact"/>
              <w:rPr>
                <w:sz w:val="20"/>
                <w:szCs w:val="20"/>
                <w:color w:val="auto"/>
              </w:rPr>
            </w:pPr>
            <w:r>
              <w:rPr>
                <w:rFonts w:ascii="Arial" w:cs="Arial" w:eastAsia="Arial" w:hAnsi="Arial"/>
                <w:sz w:val="46"/>
                <w:szCs w:val="46"/>
                <w:b w:val="1"/>
                <w:bCs w:val="1"/>
                <w:color w:val="69439A"/>
              </w:rPr>
              <w:t>5</w:t>
            </w:r>
          </w:p>
        </w:tc>
        <w:tc>
          <w:tcPr>
            <w:tcW w:w="3700" w:type="dxa"/>
            <w:vAlign w:val="bottom"/>
          </w:tcPr>
          <w:p>
            <w:pPr>
              <w:ind w:left="60"/>
              <w:spacing w:after="0"/>
              <w:rPr>
                <w:sz w:val="20"/>
                <w:szCs w:val="20"/>
                <w:color w:val="auto"/>
              </w:rPr>
            </w:pPr>
            <w:r>
              <w:rPr>
                <w:rFonts w:ascii="Arial" w:cs="Arial" w:eastAsia="Arial" w:hAnsi="Arial"/>
                <w:sz w:val="14"/>
                <w:szCs w:val="14"/>
                <w:color w:val="auto"/>
              </w:rPr>
              <w:t>Advisory Vote on a Shareholder Proposal Requesting</w:t>
            </w:r>
          </w:p>
        </w:tc>
        <w:tc>
          <w:tcPr>
            <w:tcW w:w="1860" w:type="dxa"/>
            <w:vAlign w:val="bottom"/>
            <w:vMerge w:val="restart"/>
          </w:tcPr>
          <w:p>
            <w:pPr>
              <w:ind w:left="160"/>
              <w:spacing w:after="0"/>
              <w:rPr>
                <w:sz w:val="20"/>
                <w:szCs w:val="20"/>
                <w:color w:val="auto"/>
              </w:rPr>
            </w:pPr>
            <w:r>
              <w:rPr>
                <w:rFonts w:ascii="Arial" w:cs="Arial" w:eastAsia="Arial" w:hAnsi="Arial"/>
                <w:sz w:val="14"/>
                <w:szCs w:val="14"/>
                <w:color w:val="auto"/>
              </w:rPr>
              <w:t>Majority of Votes Cast</w:t>
            </w:r>
          </w:p>
        </w:tc>
        <w:tc>
          <w:tcPr>
            <w:tcW w:w="3380" w:type="dxa"/>
            <w:vAlign w:val="bottom"/>
            <w:vMerge w:val="restart"/>
          </w:tcPr>
          <w:p>
            <w:pPr>
              <w:ind w:left="30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09"/>
        </w:trPr>
        <w:tc>
          <w:tcPr>
            <w:tcW w:w="460" w:type="dxa"/>
            <w:vAlign w:val="bottom"/>
          </w:tcPr>
          <w:p>
            <w:pPr>
              <w:spacing w:after="0"/>
              <w:rPr>
                <w:sz w:val="9"/>
                <w:szCs w:val="9"/>
                <w:color w:val="auto"/>
              </w:rPr>
            </w:pPr>
          </w:p>
        </w:tc>
        <w:tc>
          <w:tcPr>
            <w:tcW w:w="3700" w:type="dxa"/>
            <w:vAlign w:val="bottom"/>
            <w:vMerge w:val="restart"/>
          </w:tcPr>
          <w:p>
            <w:pPr>
              <w:ind w:left="60"/>
              <w:spacing w:after="0"/>
              <w:rPr>
                <w:sz w:val="20"/>
                <w:szCs w:val="20"/>
                <w:color w:val="auto"/>
              </w:rPr>
            </w:pPr>
            <w:r>
              <w:rPr>
                <w:rFonts w:ascii="Arial" w:cs="Arial" w:eastAsia="Arial" w:hAnsi="Arial"/>
                <w:sz w:val="14"/>
                <w:szCs w:val="14"/>
                <w:color w:val="auto"/>
              </w:rPr>
              <w:t>Annual Election of Directors, if Properly Presented</w:t>
            </w:r>
          </w:p>
        </w:tc>
        <w:tc>
          <w:tcPr>
            <w:tcW w:w="1860" w:type="dxa"/>
            <w:vAlign w:val="bottom"/>
            <w:vMerge w:val="continue"/>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Borders>
              <w:bottom w:val="single" w:sz="8" w:color="69439A"/>
            </w:tcBorders>
          </w:tcPr>
          <w:p>
            <w:pPr>
              <w:spacing w:after="0"/>
              <w:rPr>
                <w:sz w:val="15"/>
                <w:szCs w:val="15"/>
                <w:color w:val="auto"/>
              </w:rPr>
            </w:pPr>
          </w:p>
        </w:tc>
        <w:tc>
          <w:tcPr>
            <w:tcW w:w="3700" w:type="dxa"/>
            <w:vAlign w:val="bottom"/>
            <w:tcBorders>
              <w:bottom w:val="single" w:sz="8" w:color="69439A"/>
            </w:tcBorders>
          </w:tcPr>
          <w:p>
            <w:pPr>
              <w:spacing w:after="0"/>
              <w:rPr>
                <w:sz w:val="15"/>
                <w:szCs w:val="15"/>
                <w:color w:val="auto"/>
              </w:rPr>
            </w:pPr>
          </w:p>
        </w:tc>
        <w:tc>
          <w:tcPr>
            <w:tcW w:w="1860" w:type="dxa"/>
            <w:vAlign w:val="bottom"/>
            <w:tcBorders>
              <w:bottom w:val="single" w:sz="8" w:color="69439A"/>
            </w:tcBorders>
          </w:tcPr>
          <w:p>
            <w:pPr>
              <w:spacing w:after="0"/>
              <w:rPr>
                <w:sz w:val="15"/>
                <w:szCs w:val="15"/>
                <w:color w:val="auto"/>
              </w:rPr>
            </w:pPr>
          </w:p>
        </w:tc>
        <w:tc>
          <w:tcPr>
            <w:tcW w:w="3380" w:type="dxa"/>
            <w:vAlign w:val="bottom"/>
            <w:tcBorders>
              <w:bottom w:val="single" w:sz="8" w:color="6943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420"/>
        <w:spacing w:after="0" w:line="285" w:lineRule="auto"/>
        <w:rPr>
          <w:sz w:val="20"/>
          <w:szCs w:val="20"/>
          <w:color w:val="auto"/>
        </w:rPr>
      </w:pPr>
      <w:r>
        <w:rPr>
          <w:rFonts w:ascii="Arial" w:cs="Arial" w:eastAsia="Arial" w:hAnsi="Arial"/>
          <w:sz w:val="14"/>
          <w:szCs w:val="14"/>
          <w:color w:val="auto"/>
        </w:rPr>
        <w:t>In accordance with the voting standards set forth above, withheld votes, abstentions and broker non-votes have no effect on any of the above proposals.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How Can I Attend And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The Annual Meeting will be held virtually; you will not be able to attend the Annual Meeting in person. You are entitled to participate in the Annual Meeting if you were a shareholder as of the close of business on March 27, 2026, the Record Date for the Annual Meeting.</w:t>
      </w:r>
    </w:p>
    <w:p>
      <w:pPr>
        <w:spacing w:after="0" w:line="1" w:lineRule="exact"/>
        <w:rPr>
          <w:sz w:val="20"/>
          <w:szCs w:val="20"/>
          <w:color w:val="auto"/>
        </w:rPr>
      </w:pPr>
    </w:p>
    <w:p>
      <w:pPr>
        <w:ind w:left="300" w:right="480" w:hanging="78"/>
        <w:spacing w:after="0" w:line="270" w:lineRule="auto"/>
        <w:tabs>
          <w:tab w:leader="none" w:pos="30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 xml:space="preserve">Attending the Annual Meeting: </w:t>
      </w:r>
      <w:r>
        <w:rPr>
          <w:rFonts w:ascii="Arial" w:cs="Arial" w:eastAsia="Arial" w:hAnsi="Arial"/>
          <w:sz w:val="14"/>
          <w:szCs w:val="14"/>
          <w:color w:val="auto"/>
        </w:rPr>
        <w:t>To attend the Annual Meeting, visit www.virtualshareholdermeeting.com/PENN2026. You will be asked</w:t>
      </w:r>
      <w:r>
        <w:rPr>
          <w:rFonts w:ascii="Arial" w:cs="Arial" w:eastAsia="Arial" w:hAnsi="Arial"/>
          <w:sz w:val="14"/>
          <w:szCs w:val="14"/>
          <w:b w:val="1"/>
          <w:bCs w:val="1"/>
          <w:color w:val="auto"/>
        </w:rPr>
        <w:t xml:space="preserve"> </w:t>
      </w:r>
      <w:r>
        <w:rPr>
          <w:rFonts w:ascii="Arial" w:cs="Arial" w:eastAsia="Arial" w:hAnsi="Arial"/>
          <w:sz w:val="14"/>
          <w:szCs w:val="14"/>
          <w:color w:val="auto"/>
        </w:rPr>
        <w:t>to enter the 16-digit control number found on the proxy card or the voting instruction form that accompanied your proxy materials.</w:t>
      </w:r>
    </w:p>
    <w:p>
      <w:pPr>
        <w:spacing w:after="0" w:line="1" w:lineRule="exact"/>
        <w:rPr>
          <w:rFonts w:ascii="Arial" w:cs="Arial" w:eastAsia="Arial" w:hAnsi="Arial"/>
          <w:sz w:val="14"/>
          <w:szCs w:val="14"/>
          <w:color w:val="auto"/>
        </w:rPr>
      </w:pPr>
    </w:p>
    <w:p>
      <w:pPr>
        <w:ind w:left="300" w:right="900" w:hanging="78"/>
        <w:spacing w:after="0" w:line="271" w:lineRule="auto"/>
        <w:tabs>
          <w:tab w:leader="none" w:pos="30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 xml:space="preserve">Voting During the Annual Meeting: </w:t>
      </w:r>
      <w:r>
        <w:rPr>
          <w:rFonts w:ascii="Arial" w:cs="Arial" w:eastAsia="Arial" w:hAnsi="Arial"/>
          <w:sz w:val="14"/>
          <w:szCs w:val="14"/>
          <w:color w:val="auto"/>
        </w:rPr>
        <w:t>If you are a shareholder as of the Record Date, you may vote during the Annual Meeting by</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the instructions available on the meeting website during the meeting.</w:t>
      </w:r>
    </w:p>
    <w:p>
      <w:pPr>
        <w:ind w:left="300" w:right="520" w:hanging="78"/>
        <w:spacing w:after="0" w:line="285" w:lineRule="auto"/>
        <w:tabs>
          <w:tab w:leader="none" w:pos="30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 xml:space="preserve">Technical Support for the Annual Meeting: </w:t>
      </w:r>
      <w:r>
        <w:rPr>
          <w:rFonts w:ascii="Arial" w:cs="Arial" w:eastAsia="Arial" w:hAnsi="Arial"/>
          <w:sz w:val="14"/>
          <w:szCs w:val="14"/>
          <w:color w:val="auto"/>
        </w:rPr>
        <w:t>If you have difficulty accessing the virtual Annual Meeting, technicians will be available to</w:t>
      </w:r>
      <w:r>
        <w:rPr>
          <w:rFonts w:ascii="Arial" w:cs="Arial" w:eastAsia="Arial" w:hAnsi="Arial"/>
          <w:sz w:val="14"/>
          <w:szCs w:val="14"/>
          <w:b w:val="1"/>
          <w:bCs w:val="1"/>
          <w:color w:val="auto"/>
        </w:rPr>
        <w:t xml:space="preserve"> </w:t>
      </w:r>
      <w:r>
        <w:rPr>
          <w:rFonts w:ascii="Arial" w:cs="Arial" w:eastAsia="Arial" w:hAnsi="Arial"/>
          <w:sz w:val="14"/>
          <w:szCs w:val="14"/>
          <w:color w:val="auto"/>
        </w:rPr>
        <w:t>assist you via the toll-free phone number listed at www.virtualshareholdermeeting.com/PENN2026.</w:t>
      </w:r>
    </w:p>
    <w:p>
      <w:pPr>
        <w:spacing w:after="0" w:line="50"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color w:val="auto"/>
        </w:rPr>
        <w:t>Whether or not you plan to attend the Annual Meeting, we urge you to vote and submit your proxy in advance of the meeting. For information on how to vote prior to the Annual Meeting, see “How Do I Vote Without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80010</wp:posOffset>
            </wp:positionV>
            <wp:extent cx="6995160" cy="171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76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4423410"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116</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ABOUT THE MEETING: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How Do I Vote Without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b w:val="1"/>
          <w:bCs w:val="1"/>
          <w:color w:val="auto"/>
        </w:rPr>
        <w:t xml:space="preserve">Voting by Proxy for Shares Registered Directly in the Name of the Shareholder. </w:t>
      </w:r>
      <w:r>
        <w:rPr>
          <w:rFonts w:ascii="Arial" w:cs="Arial" w:eastAsia="Arial" w:hAnsi="Arial"/>
          <w:sz w:val="14"/>
          <w:szCs w:val="14"/>
          <w:color w:val="auto"/>
        </w:rPr>
        <w:t>If you are a shareholder of record, you may instruct the proxy</w:t>
      </w:r>
      <w:r>
        <w:rPr>
          <w:rFonts w:ascii="Arial" w:cs="Arial" w:eastAsia="Arial" w:hAnsi="Arial"/>
          <w:sz w:val="14"/>
          <w:szCs w:val="14"/>
          <w:b w:val="1"/>
          <w:bCs w:val="1"/>
          <w:color w:val="auto"/>
        </w:rPr>
        <w:t xml:space="preserve"> </w:t>
      </w:r>
      <w:r>
        <w:rPr>
          <w:rFonts w:ascii="Arial" w:cs="Arial" w:eastAsia="Arial" w:hAnsi="Arial"/>
          <w:sz w:val="14"/>
          <w:szCs w:val="14"/>
          <w:color w:val="auto"/>
        </w:rPr>
        <w:t>holders named in the Proxy Card how to vote your shares of common stock in one of the following ways:</w:t>
      </w:r>
    </w:p>
    <w:p>
      <w:pPr>
        <w:spacing w:after="0" w:line="1" w:lineRule="exact"/>
        <w:rPr>
          <w:sz w:val="20"/>
          <w:szCs w:val="20"/>
          <w:color w:val="auto"/>
        </w:rPr>
      </w:pPr>
    </w:p>
    <w:p>
      <w:pPr>
        <w:ind w:left="300" w:right="320" w:hanging="78"/>
        <w:spacing w:after="0" w:line="271" w:lineRule="auto"/>
        <w:tabs>
          <w:tab w:leader="none" w:pos="300" w:val="left"/>
        </w:tabs>
        <w:numPr>
          <w:ilvl w:val="0"/>
          <w:numId w:val="92"/>
        </w:numPr>
        <w:rPr>
          <w:rFonts w:ascii="Arial" w:cs="Arial" w:eastAsia="Arial" w:hAnsi="Arial"/>
          <w:sz w:val="14"/>
          <w:szCs w:val="14"/>
          <w:color w:val="auto"/>
        </w:rPr>
      </w:pPr>
      <w:r>
        <w:rPr>
          <w:rFonts w:ascii="Arial" w:cs="Arial" w:eastAsia="Arial" w:hAnsi="Arial"/>
          <w:sz w:val="14"/>
          <w:szCs w:val="14"/>
          <w:b w:val="1"/>
          <w:bCs w:val="1"/>
          <w:color w:val="auto"/>
        </w:rPr>
        <w:t xml:space="preserve">Vote by Internet. </w:t>
      </w:r>
      <w:r>
        <w:rPr>
          <w:rFonts w:ascii="Arial" w:cs="Arial" w:eastAsia="Arial" w:hAnsi="Arial"/>
          <w:sz w:val="14"/>
          <w:szCs w:val="14"/>
          <w:color w:val="auto"/>
        </w:rPr>
        <w:t>To vote on the Internet, you must go to www.proxyvote.com, have your Proxy Card in hand and follow the instructions. If</w:t>
      </w:r>
      <w:r>
        <w:rPr>
          <w:rFonts w:ascii="Arial" w:cs="Arial" w:eastAsia="Arial" w:hAnsi="Arial"/>
          <w:sz w:val="14"/>
          <w:szCs w:val="14"/>
          <w:b w:val="1"/>
          <w:bCs w:val="1"/>
          <w:color w:val="auto"/>
        </w:rPr>
        <w:t xml:space="preserve"> </w:t>
      </w:r>
      <w:r>
        <w:rPr>
          <w:rFonts w:ascii="Arial" w:cs="Arial" w:eastAsia="Arial" w:hAnsi="Arial"/>
          <w:sz w:val="14"/>
          <w:szCs w:val="14"/>
          <w:color w:val="auto"/>
        </w:rPr>
        <w:t>you vote via the Internet, you do not need to return your Proxy Card.</w:t>
      </w:r>
    </w:p>
    <w:p>
      <w:pPr>
        <w:ind w:left="300" w:right="400" w:hanging="78"/>
        <w:spacing w:after="0" w:line="262" w:lineRule="auto"/>
        <w:tabs>
          <w:tab w:leader="none" w:pos="300" w:val="left"/>
        </w:tabs>
        <w:numPr>
          <w:ilvl w:val="0"/>
          <w:numId w:val="92"/>
        </w:numPr>
        <w:rPr>
          <w:rFonts w:ascii="Arial" w:cs="Arial" w:eastAsia="Arial" w:hAnsi="Arial"/>
          <w:sz w:val="14"/>
          <w:szCs w:val="14"/>
          <w:color w:val="auto"/>
        </w:rPr>
      </w:pPr>
      <w:r>
        <w:rPr>
          <w:rFonts w:ascii="Arial" w:cs="Arial" w:eastAsia="Arial" w:hAnsi="Arial"/>
          <w:sz w:val="14"/>
          <w:szCs w:val="14"/>
          <w:b w:val="1"/>
          <w:bCs w:val="1"/>
          <w:color w:val="auto"/>
        </w:rPr>
        <w:t xml:space="preserve">Vote by Phone. </w:t>
      </w:r>
      <w:r>
        <w:rPr>
          <w:rFonts w:ascii="Arial" w:cs="Arial" w:eastAsia="Arial" w:hAnsi="Arial"/>
          <w:sz w:val="14"/>
          <w:szCs w:val="14"/>
          <w:color w:val="auto"/>
        </w:rPr>
        <w:t>To vote by telephone, you must call the toll-free number listed on your Proxy Card and follow the instructions. If you vote</w:t>
      </w:r>
      <w:r>
        <w:rPr>
          <w:rFonts w:ascii="Arial" w:cs="Arial" w:eastAsia="Arial" w:hAnsi="Arial"/>
          <w:sz w:val="14"/>
          <w:szCs w:val="14"/>
          <w:b w:val="1"/>
          <w:bCs w:val="1"/>
          <w:color w:val="auto"/>
        </w:rPr>
        <w:t xml:space="preserve"> </w:t>
      </w:r>
      <w:r>
        <w:rPr>
          <w:rFonts w:ascii="Arial" w:cs="Arial" w:eastAsia="Arial" w:hAnsi="Arial"/>
          <w:sz w:val="14"/>
          <w:szCs w:val="14"/>
          <w:color w:val="auto"/>
        </w:rPr>
        <w:t>by telephone, you do not need to return your Proxy Card.</w:t>
      </w:r>
    </w:p>
    <w:p>
      <w:pPr>
        <w:ind w:left="300" w:right="380" w:hanging="78"/>
        <w:spacing w:after="0" w:line="262" w:lineRule="auto"/>
        <w:tabs>
          <w:tab w:leader="none" w:pos="300" w:val="left"/>
        </w:tabs>
        <w:numPr>
          <w:ilvl w:val="0"/>
          <w:numId w:val="92"/>
        </w:numPr>
        <w:rPr>
          <w:rFonts w:ascii="Arial" w:cs="Arial" w:eastAsia="Arial" w:hAnsi="Arial"/>
          <w:sz w:val="14"/>
          <w:szCs w:val="14"/>
          <w:color w:val="auto"/>
        </w:rPr>
      </w:pPr>
      <w:r>
        <w:rPr>
          <w:rFonts w:ascii="Arial" w:cs="Arial" w:eastAsia="Arial" w:hAnsi="Arial"/>
          <w:sz w:val="14"/>
          <w:szCs w:val="14"/>
          <w:b w:val="1"/>
          <w:bCs w:val="1"/>
          <w:color w:val="auto"/>
        </w:rPr>
        <w:t xml:space="preserve">Vote by Mail. </w:t>
      </w:r>
      <w:r>
        <w:rPr>
          <w:rFonts w:ascii="Arial" w:cs="Arial" w:eastAsia="Arial" w:hAnsi="Arial"/>
          <w:sz w:val="14"/>
          <w:szCs w:val="14"/>
          <w:color w:val="auto"/>
        </w:rPr>
        <w:t>To vote by mail, if you have not already received one, you may request a Proxy Card from us and sign, date and mail the</w:t>
      </w:r>
      <w:r>
        <w:rPr>
          <w:rFonts w:ascii="Arial" w:cs="Arial" w:eastAsia="Arial" w:hAnsi="Arial"/>
          <w:sz w:val="14"/>
          <w:szCs w:val="14"/>
          <w:b w:val="1"/>
          <w:bCs w:val="1"/>
          <w:color w:val="auto"/>
        </w:rPr>
        <w:t xml:space="preserve"> </w:t>
      </w:r>
      <w:r>
        <w:rPr>
          <w:rFonts w:ascii="Arial" w:cs="Arial" w:eastAsia="Arial" w:hAnsi="Arial"/>
          <w:sz w:val="14"/>
          <w:szCs w:val="14"/>
          <w:color w:val="auto"/>
        </w:rPr>
        <w:t>Proxy Card in the postage-paid envelope provided. Properly signed and returned proxies will be voted in accordance with the instructions contained therein.</w:t>
      </w:r>
    </w:p>
    <w:p>
      <w:pPr>
        <w:spacing w:after="0" w:line="66"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color w:val="auto"/>
        </w:rPr>
        <w:t xml:space="preserve">Voting by Proxy for Shares Held in Street Name. </w:t>
      </w:r>
      <w:r>
        <w:rPr>
          <w:rFonts w:ascii="Arial" w:cs="Arial" w:eastAsia="Arial" w:hAnsi="Arial"/>
          <w:sz w:val="14"/>
          <w:szCs w:val="14"/>
          <w:color w:val="auto"/>
        </w:rPr>
        <w:t>If you are the beneficial owner of shares of common stock held in “street name” (that is,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a bank, broker or other nominee), then you should follow the instructions provided to you by your broker, bank or other nominee.</w:t>
      </w:r>
    </w:p>
    <w:p>
      <w:pPr>
        <w:spacing w:after="0" w:line="246" w:lineRule="exact"/>
        <w:rPr>
          <w:sz w:val="20"/>
          <w:szCs w:val="20"/>
          <w:color w:val="auto"/>
        </w:rPr>
      </w:pPr>
    </w:p>
    <w:p>
      <w:pPr>
        <w:ind w:right="280"/>
        <w:spacing w:after="0" w:line="272" w:lineRule="auto"/>
        <w:rPr>
          <w:sz w:val="20"/>
          <w:szCs w:val="20"/>
          <w:color w:val="auto"/>
        </w:rPr>
      </w:pPr>
      <w:r>
        <w:rPr>
          <w:rFonts w:ascii="Arial" w:cs="Arial" w:eastAsia="Arial" w:hAnsi="Arial"/>
          <w:sz w:val="22"/>
          <w:szCs w:val="22"/>
          <w:b w:val="1"/>
          <w:bCs w:val="1"/>
          <w:color w:val="69439A"/>
        </w:rPr>
        <w:t>Will I Be Able To Participate In The Virtual Annual Meeting In The Same Way That I Would Be Able To Participate In An In-Person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596646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14" w:lineRule="exact"/>
        <w:rPr>
          <w:sz w:val="20"/>
          <w:szCs w:val="20"/>
          <w:color w:val="auto"/>
        </w:rPr>
      </w:pPr>
    </w:p>
    <w:p>
      <w:pPr>
        <w:ind w:right="400"/>
        <w:spacing w:after="0" w:line="263" w:lineRule="auto"/>
        <w:rPr>
          <w:sz w:val="20"/>
          <w:szCs w:val="20"/>
          <w:color w:val="auto"/>
        </w:rPr>
      </w:pPr>
      <w:r>
        <w:rPr>
          <w:rFonts w:ascii="Arial" w:cs="Arial" w:eastAsia="Arial" w:hAnsi="Arial"/>
          <w:sz w:val="14"/>
          <w:szCs w:val="14"/>
          <w:color w:val="auto"/>
        </w:rPr>
        <w:t>Yes. We have taken steps to ensure that the format of the virtual Annual Meeting affords shareholders the same rights and opportunities to participate as they would at an in-person meeting. We have also enhanced shareholder access, participation and communication by providing shareholders the ability to submit questions in advance of the meeting.</w:t>
      </w:r>
    </w:p>
    <w:p>
      <w:pPr>
        <w:spacing w:after="0" w:line="65"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You may submit a question in advance of the meeting at www.proxyvote.com after logging in with your control number found on your Proxy Card or voting instruction form. Questions may also be submitted during the Annual Meeting through www.virtualshareholdermeeting.com/PENN2026. The Company will respond to as many inquiries at the Annual Meeting as time allows, although questions may be limited on a per shareholder basis due to time constraints. Off-topic, personal or other inappropriate questions will not be answered.</w:t>
      </w:r>
    </w:p>
    <w:p>
      <w:pPr>
        <w:spacing w:after="0" w:line="69"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 replay of the meeting, as well as any appropriate questions pertinent to meeting matters and management’s answers that could not be answered during the meeting due to time constraints, will be made publicly available through our investor relations website promptly after the virtual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What Will Constitute A Quorum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The presence in person (virtually) or by proxy of shareholders entitled to cast a majority of all the votes entitled to be cast on any matter at the Annual Meeting as of March 27, 2026 will constitute a quorum, permitting the shareholders to conduct business at the Annual Meeting. As of the Record Date of March 27, 2026, there were 133,705,284 shares of common stock outstanding. If you have returned valid proxy instructions or if you hold your shares of common stock in your own name as a holder of record and attend the Annual Meeting (virtually), your shares will be counted for the purpose of determining whether there is a quorum. We will include abstentions and “broker non-votes” in the calculation of the number of shares of common stock considered to be present at the meeting for purposes of determining the presence of a quorum at the meeting. If a quorum is not present, we may propose to adjourn the Annual Meeting and reconvene the Annual Meeting at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97790</wp:posOffset>
            </wp:positionV>
            <wp:extent cx="6995160"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ind w:left="7120"/>
        <w:spacing w:after="0"/>
        <w:tabs>
          <w:tab w:leader="none" w:pos="916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9685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85775"/>
            <wp:effectExtent l="0" t="0" r="0" b="0"/>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37160" cy="485775"/>
                    </a:xfrm>
                    <a:prstGeom prst="rect">
                      <a:avLst/>
                    </a:prstGeom>
                    <a:noFill/>
                    <a:ln>
                      <a:noFill/>
                    </a:ln>
                  </pic:spPr>
                </pic:pic>
              </a:graphicData>
            </a:graphic>
          </wp:inline>
        </w:drawing>
      </w:r>
      <w:r>
        <w:rPr>
          <w:rFonts w:ascii="Arial" w:cs="Arial" w:eastAsia="Arial" w:hAnsi="Arial"/>
          <w:sz w:val="32"/>
          <w:szCs w:val="32"/>
          <w:b w:val="1"/>
          <w:bCs w:val="1"/>
          <w:color w:val="FFFFFF"/>
        </w:rPr>
        <w:t xml:space="preserve"> ABOUT THE MEETING: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-299085</wp:posOffset>
            </wp:positionV>
            <wp:extent cx="5829300" cy="3003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What Are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A broker non-vote occurs when a broker, bank, or other nominee holding shares on behalf of a beneficial owner is prohibited from exercising discretionary voting authority for a beneficial owner who has not provided voting instructions. Brokers, banks, and other nominees may vote without instruction only on “routine” proposals. On “non-routine” proposals, nominees cannot vote without instructions from the beneficial owner, resulting in so called “broker non-votes.”</w:t>
      </w:r>
    </w:p>
    <w:p>
      <w:pPr>
        <w:spacing w:after="0" w:line="69"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Proposal 2, the ratification of the selection of PricewaterhouseCoopers LLP as the Company’s independent registered public accounting firm, is the only proposal on the ballot for the Annual Meeting that is considered routine. All other proposals are non-routine. If you hold your shares with a broker, bank, or other nominee, they will not be voted on non-routine proposals unless you give voting instructions to such nominee.</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How Are The Proxy Card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If the accompanying Proxy Card is properly completed, signed and returned to us, and not subsequently revoked, the shares represented by your proxy will be voted as directed by you. If the Proxy Card is submitted, but voting instructions are not provided, the shares represented by your proxy will be voted in accordance with the Board’s recommendation for each proposal herein and as recommended by our Board of Directors with regard to any other matters that may properly come before the Annual Meeting, if no such recommendation is given, in the discretion of the proxy holders.</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May I Change My Vote After I Submit My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Yes. You may revoke a previously granted proxy at any time before it is exercised by any of the following actions:</w:t>
      </w:r>
    </w:p>
    <w:p>
      <w:pPr>
        <w:spacing w:after="0" w:line="29" w:lineRule="exact"/>
        <w:rPr>
          <w:sz w:val="20"/>
          <w:szCs w:val="20"/>
          <w:color w:val="auto"/>
        </w:rPr>
      </w:pPr>
    </w:p>
    <w:p>
      <w:pPr>
        <w:ind w:left="300" w:hanging="78"/>
        <w:spacing w:after="0"/>
        <w:tabs>
          <w:tab w:leader="none" w:pos="3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Delivering a new, validly completed, later-dated proxy card or submitting new voting instructions over the internet;</w:t>
      </w:r>
    </w:p>
    <w:p>
      <w:pPr>
        <w:spacing w:after="0" w:line="40" w:lineRule="exact"/>
        <w:rPr>
          <w:rFonts w:ascii="Arial" w:cs="Arial" w:eastAsia="Arial" w:hAnsi="Arial"/>
          <w:sz w:val="14"/>
          <w:szCs w:val="14"/>
          <w:color w:val="auto"/>
        </w:rPr>
      </w:pPr>
    </w:p>
    <w:p>
      <w:pPr>
        <w:ind w:left="300" w:hanging="78"/>
        <w:spacing w:after="0"/>
        <w:tabs>
          <w:tab w:leader="none" w:pos="3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notifying our Secretary in writing that you would like to revoke your proxy; or</w:t>
      </w:r>
    </w:p>
    <w:p>
      <w:pPr>
        <w:spacing w:after="0" w:line="41" w:lineRule="exact"/>
        <w:rPr>
          <w:rFonts w:ascii="Arial" w:cs="Arial" w:eastAsia="Arial" w:hAnsi="Arial"/>
          <w:sz w:val="14"/>
          <w:szCs w:val="14"/>
          <w:color w:val="auto"/>
        </w:rPr>
      </w:pPr>
    </w:p>
    <w:p>
      <w:pPr>
        <w:ind w:left="300" w:hanging="78"/>
        <w:spacing w:after="0"/>
        <w:tabs>
          <w:tab w:leader="none" w:pos="3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attending our Annual Meeting (virtually) and following the instructions available on the meeting website during the meeting.</w:t>
      </w:r>
    </w:p>
    <w:p>
      <w:pPr>
        <w:spacing w:after="0" w:line="109" w:lineRule="exact"/>
        <w:rPr>
          <w:sz w:val="20"/>
          <w:szCs w:val="20"/>
          <w:color w:val="auto"/>
        </w:rPr>
      </w:pPr>
    </w:p>
    <w:p>
      <w:pPr>
        <w:ind w:right="380"/>
        <w:spacing w:after="0" w:line="285" w:lineRule="auto"/>
        <w:rPr>
          <w:sz w:val="20"/>
          <w:szCs w:val="20"/>
          <w:color w:val="auto"/>
        </w:rPr>
      </w:pPr>
      <w:r>
        <w:rPr>
          <w:rFonts w:ascii="Arial" w:cs="Arial" w:eastAsia="Arial" w:hAnsi="Arial"/>
          <w:sz w:val="14"/>
          <w:szCs w:val="14"/>
          <w:color w:val="auto"/>
        </w:rPr>
        <w:t>If your shares of common stock are held in “street name” on your behalf by a broker, bank or other nominee, you must contact them to receive instructions as to how you may change your voting instructions.</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Who Pays The Costs Of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8"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We will pay the cost of solicitation of proxies. In addition to the solicitation of proxies through the Internet or by mail, our directors, officers and employees may also solicit proxies in person, by telephone, electronically, by mail or other means, but they will not be specifically compensated for these services. We will also request persons, firms and corporations holding shares in their names or in the names of their nominees, which are beneficially owned by others, to send proxy materials to, and obtain proxies from, such beneficial owners.</w:t>
      </w:r>
    </w:p>
    <w:p>
      <w:pPr>
        <w:spacing w:after="0" w:line="69" w:lineRule="exact"/>
        <w:rPr>
          <w:sz w:val="20"/>
          <w:szCs w:val="20"/>
          <w:color w:val="auto"/>
        </w:rPr>
      </w:pPr>
    </w:p>
    <w:p>
      <w:pPr>
        <w:ind w:right="180"/>
        <w:spacing w:after="0" w:line="256" w:lineRule="auto"/>
        <w:rPr>
          <w:sz w:val="20"/>
          <w:szCs w:val="20"/>
          <w:color w:val="auto"/>
        </w:rPr>
      </w:pPr>
      <w:r>
        <w:rPr>
          <w:rFonts w:ascii="Arial" w:cs="Arial" w:eastAsia="Arial" w:hAnsi="Arial"/>
          <w:sz w:val="14"/>
          <w:szCs w:val="14"/>
          <w:color w:val="auto"/>
        </w:rPr>
        <w:t>We have engaged the proxy solicitation firm of Innisfree M&amp;A Incorporated (“Innisfree”) to solicit proxies from shareholders in connection with the Annual Meeting. For services related to the Annual Meeting, we will pay Innisfree a fee not to exceed approximately $25,000 plus costs and expenses. In addition, Innisfree and certain related persons will be indemnified against certain liabilities arising out of or in connection with the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100965</wp:posOffset>
            </wp:positionV>
            <wp:extent cx="6995160"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102870</wp:posOffset>
            </wp:positionV>
            <wp:extent cx="4423410" cy="11112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4423410"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118</w:t>
        <w:tab/>
        <w:t>PROXY STATEMENT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19748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37160" cy="457200"/>
            <wp:effectExtent l="0" t="0" r="0" b="0"/>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37160" cy="457200"/>
                    </a:xfrm>
                    <a:prstGeom prst="rect">
                      <a:avLst/>
                    </a:prstGeom>
                    <a:noFill/>
                    <a:ln>
                      <a:noFill/>
                    </a:ln>
                  </pic:spPr>
                </pic:pic>
              </a:graphicData>
            </a:graphic>
          </wp:inline>
        </w:drawing>
      </w:r>
      <w:r>
        <w:rPr>
          <w:rFonts w:ascii="Arial" w:cs="Arial" w:eastAsia="Arial" w:hAnsi="Arial"/>
          <w:sz w:val="32"/>
          <w:szCs w:val="32"/>
          <w:b w:val="1"/>
          <w:bCs w:val="1"/>
          <w:color w:val="FFFFFF"/>
        </w:rPr>
        <w:t xml:space="preserve"> ABOUT THE MEETING: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-295910</wp:posOffset>
            </wp:positionV>
            <wp:extent cx="5829300" cy="3003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5829300" cy="300355"/>
                    </a:xfrm>
                    <a:prstGeom prst="rect">
                      <a:avLst/>
                    </a:prstGeom>
                    <a:noFill/>
                  </pic:spPr>
                </pic:pic>
              </a:graphicData>
            </a:graphic>
          </wp:anchor>
        </w:drawing>
      </w:r>
    </w:p>
    <w:p>
      <w:pPr>
        <w:spacing w:after="0" w:line="173" w:lineRule="exact"/>
        <w:rPr>
          <w:sz w:val="20"/>
          <w:szCs w:val="20"/>
          <w:color w:val="auto"/>
        </w:rPr>
      </w:pPr>
    </w:p>
    <w:p>
      <w:pPr>
        <w:ind w:right="2440"/>
        <w:spacing w:after="0" w:line="375" w:lineRule="auto"/>
        <w:rPr>
          <w:sz w:val="20"/>
          <w:szCs w:val="20"/>
          <w:color w:val="auto"/>
        </w:rPr>
      </w:pPr>
      <w:r>
        <w:rPr>
          <w:rFonts w:ascii="Arial" w:cs="Arial" w:eastAsia="Arial" w:hAnsi="Arial"/>
          <w:sz w:val="22"/>
          <w:szCs w:val="22"/>
          <w:b w:val="1"/>
          <w:bCs w:val="1"/>
          <w:color w:val="69439A"/>
        </w:rPr>
        <w:t>What Should I Do If I Received More Than One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596646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ind w:right="280"/>
        <w:spacing w:after="0" w:line="256" w:lineRule="auto"/>
        <w:rPr>
          <w:sz w:val="20"/>
          <w:szCs w:val="20"/>
          <w:color w:val="auto"/>
        </w:rPr>
      </w:pPr>
      <w:r>
        <w:rPr>
          <w:rFonts w:ascii="Arial" w:cs="Arial" w:eastAsia="Arial" w:hAnsi="Arial"/>
          <w:sz w:val="14"/>
          <w:szCs w:val="14"/>
          <w:color w:val="auto"/>
        </w:rPr>
        <w:t>There are circumstances under which you may receive more than one Proxy Card. For example, if you hold your shares in more than one brokerage account, you may receive a separate voting instruction card for each such brokerage account. In addition, if you are a shareholder of record and your shares are registered in more than one name, you will receive more than one Proxy Card. Please authorize your proxy in accordance with the instructions of each Proxy Card separately, since each one represents different shares that you own.</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You should rely only on the information provided in this Proxy Statement. No person is authorized to give any information or to make any representation not contained in this Proxy Statement and, if given or made, you should not rely on that information or representation as having been authorized by us. You should not assume that the information in this Proxy Statement is accurate as of any date other than the date of this Proxy Statement or, where information relates to another date set forth in this Proxy Statement, then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95885</wp:posOffset>
            </wp:positionV>
            <wp:extent cx="6995160" cy="171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PROXY STATEMENT - 2026</w:t>
        <w:tab/>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7372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311" w:lineRule="exact"/>
        <w:rPr>
          <w:sz w:val="20"/>
          <w:szCs w:val="20"/>
          <w:color w:val="auto"/>
        </w:rPr>
      </w:pPr>
    </w:p>
    <w:p>
      <w:pPr>
        <w:ind w:left="340" w:right="300"/>
        <w:spacing w:after="0" w:line="298" w:lineRule="auto"/>
        <w:rPr>
          <w:sz w:val="20"/>
          <w:szCs w:val="20"/>
          <w:color w:val="auto"/>
        </w:rPr>
      </w:pPr>
      <w:r>
        <w:rPr>
          <w:rFonts w:ascii="Arial" w:cs="Arial" w:eastAsia="Arial" w:hAnsi="Arial"/>
          <w:sz w:val="32"/>
          <w:szCs w:val="32"/>
          <w:b w:val="1"/>
          <w:bCs w:val="1"/>
          <w:color w:val="FFFFFF"/>
        </w:rPr>
        <w:t>APPENDIX A: 2022 LONG 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line="265" w:lineRule="auto"/>
        <w:rPr>
          <w:sz w:val="20"/>
          <w:szCs w:val="20"/>
          <w:color w:val="auto"/>
        </w:rPr>
      </w:pPr>
      <w:r>
        <w:rPr>
          <w:rFonts w:ascii="Arial" w:cs="Arial" w:eastAsia="Arial" w:hAnsi="Arial"/>
          <w:sz w:val="47"/>
          <w:szCs w:val="47"/>
          <w:b w:val="1"/>
          <w:bCs w:val="1"/>
          <w:color w:val="010035"/>
        </w:rPr>
        <w:t>PENN ENTERTAINMENT, INC. 2022 LONG TERM INCENTIVE COMPENSATION PLAN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50"/>
          <w:szCs w:val="50"/>
          <w:b w:val="1"/>
          <w:bCs w:val="1"/>
          <w:color w:val="010035"/>
        </w:rPr>
        <w:t>As Amended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2290445</wp:posOffset>
            </wp:positionV>
            <wp:extent cx="6995160" cy="171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A-2</w:t>
        <w:tab/>
        <w:t>PROXY STATEMENT - 2026</w:t>
      </w:r>
    </w:p>
    <w:p>
      <w:pPr>
        <w:spacing w:after="0" w:line="216" w:lineRule="exact"/>
        <w:rPr>
          <w:sz w:val="20"/>
          <w:szCs w:val="20"/>
          <w:color w:val="auto"/>
        </w:rPr>
      </w:pPr>
    </w:p>
    <w:p>
      <w:pPr>
        <w:spacing w:after="0"/>
        <w:rPr>
          <w:sz w:val="20"/>
          <w:szCs w:val="20"/>
          <w:color w:val="auto"/>
        </w:rPr>
      </w:pPr>
      <w:r>
        <w:rPr>
          <w:rFonts w:ascii="Arial" w:cs="Arial" w:eastAsia="Arial" w:hAnsi="Arial"/>
          <w:sz w:val="36"/>
          <w:szCs w:val="36"/>
          <w:b w:val="1"/>
          <w:bCs w:val="1"/>
          <w:color w:val="010035"/>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ARTICLE I PURPOSE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ARTICLE II DEFINITIONS AND CONSTRUCTION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2.1 Definitions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2.2 Construction</w:t>
      </w:r>
    </w:p>
    <w:p>
      <w:pPr>
        <w:spacing w:after="0" w:line="82" w:lineRule="exact"/>
        <w:rPr>
          <w:sz w:val="20"/>
          <w:szCs w:val="20"/>
          <w:color w:val="auto"/>
        </w:rPr>
      </w:pPr>
    </w:p>
    <w:p>
      <w:pPr>
        <w:ind w:right="1040"/>
        <w:spacing w:after="0" w:line="362" w:lineRule="auto"/>
        <w:rPr>
          <w:sz w:val="20"/>
          <w:szCs w:val="20"/>
          <w:color w:val="auto"/>
        </w:rPr>
      </w:pPr>
      <w:r>
        <w:rPr>
          <w:rFonts w:ascii="Arial" w:cs="Arial" w:eastAsia="Arial" w:hAnsi="Arial"/>
          <w:sz w:val="14"/>
          <w:szCs w:val="14"/>
          <w:u w:val="single" w:color="auto"/>
          <w:color w:val="0000EE"/>
        </w:rPr>
        <w:t>ARTICLE III STOCK AVAILABLE FOR AWARDS Section 3.1 Common Stock</w:t>
      </w:r>
    </w:p>
    <w:p>
      <w:pPr>
        <w:ind w:right="1460"/>
        <w:spacing w:after="0" w:line="362" w:lineRule="auto"/>
        <w:rPr>
          <w:sz w:val="20"/>
          <w:szCs w:val="20"/>
          <w:color w:val="auto"/>
        </w:rPr>
      </w:pPr>
      <w:r>
        <w:rPr>
          <w:rFonts w:ascii="Arial" w:cs="Arial" w:eastAsia="Arial" w:hAnsi="Arial"/>
          <w:sz w:val="14"/>
          <w:szCs w:val="14"/>
          <w:u w:val="single" w:color="auto"/>
          <w:color w:val="0000EE"/>
        </w:rPr>
        <w:t>Section 3.2 Number of Shares Deliverable Section 3.3 Reusable Shares</w:t>
      </w:r>
    </w:p>
    <w:p>
      <w:pPr>
        <w:spacing w:after="0"/>
        <w:rPr>
          <w:sz w:val="20"/>
          <w:szCs w:val="20"/>
          <w:color w:val="auto"/>
        </w:rPr>
      </w:pPr>
      <w:r>
        <w:rPr>
          <w:rFonts w:ascii="Arial" w:cs="Arial" w:eastAsia="Arial" w:hAnsi="Arial"/>
          <w:sz w:val="14"/>
          <w:szCs w:val="14"/>
          <w:u w:val="single" w:color="auto"/>
          <w:color w:val="0000EE"/>
        </w:rPr>
        <w:t>ARTICLE IV AWARDS AND AWARD AGREEMENTS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4.1 General</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4.2 Eligibility</w:t>
      </w:r>
    </w:p>
    <w:p>
      <w:pPr>
        <w:spacing w:after="0" w:line="82" w:lineRule="exact"/>
        <w:rPr>
          <w:sz w:val="20"/>
          <w:szCs w:val="20"/>
          <w:color w:val="auto"/>
        </w:rPr>
      </w:pPr>
    </w:p>
    <w:p>
      <w:pPr>
        <w:ind w:right="700"/>
        <w:spacing w:after="0" w:line="362" w:lineRule="auto"/>
        <w:rPr>
          <w:sz w:val="20"/>
          <w:szCs w:val="20"/>
          <w:color w:val="auto"/>
        </w:rPr>
      </w:pPr>
      <w:r>
        <w:rPr>
          <w:rFonts w:ascii="Arial" w:cs="Arial" w:eastAsia="Arial" w:hAnsi="Arial"/>
          <w:sz w:val="14"/>
          <w:szCs w:val="14"/>
          <w:u w:val="single" w:color="auto"/>
          <w:color w:val="0000EE"/>
        </w:rPr>
        <w:t>Section 4.3 Terms and Conditions; Award Agreements Section 4.4 Award Limits for Directors ARTICLE V OPTIONS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5.1 Award of Options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5.2 Option Price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5.3 Option Periods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5.4 Exercisability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5.5 Time and Method of Payment for Options</w:t>
      </w:r>
    </w:p>
    <w:p>
      <w:pPr>
        <w:spacing w:after="0" w:line="82" w:lineRule="exact"/>
        <w:rPr>
          <w:sz w:val="20"/>
          <w:szCs w:val="20"/>
          <w:color w:val="auto"/>
        </w:rPr>
      </w:pPr>
    </w:p>
    <w:p>
      <w:pPr>
        <w:ind w:right="840"/>
        <w:spacing w:after="0" w:line="285" w:lineRule="auto"/>
        <w:rPr>
          <w:sz w:val="20"/>
          <w:szCs w:val="20"/>
          <w:color w:val="auto"/>
        </w:rPr>
      </w:pPr>
      <w:r>
        <w:rPr>
          <w:rFonts w:ascii="Arial" w:cs="Arial" w:eastAsia="Arial" w:hAnsi="Arial"/>
          <w:sz w:val="14"/>
          <w:szCs w:val="14"/>
          <w:u w:val="single" w:color="auto"/>
          <w:color w:val="0000EE"/>
        </w:rPr>
        <w:t>Section 5.6 Delivery of Shares Pursuant to Exercise of Option</w:t>
      </w:r>
    </w:p>
    <w:p>
      <w:pPr>
        <w:spacing w:after="0" w:line="23" w:lineRule="exact"/>
        <w:rPr>
          <w:sz w:val="20"/>
          <w:szCs w:val="20"/>
          <w:color w:val="auto"/>
        </w:rPr>
      </w:pPr>
    </w:p>
    <w:p>
      <w:pPr>
        <w:ind w:right="1140"/>
        <w:spacing w:after="0" w:line="362" w:lineRule="auto"/>
        <w:rPr>
          <w:sz w:val="20"/>
          <w:szCs w:val="20"/>
          <w:color w:val="auto"/>
        </w:rPr>
      </w:pPr>
      <w:r>
        <w:rPr>
          <w:rFonts w:ascii="Arial" w:cs="Arial" w:eastAsia="Arial" w:hAnsi="Arial"/>
          <w:sz w:val="14"/>
          <w:szCs w:val="14"/>
          <w:u w:val="single" w:color="auto"/>
          <w:color w:val="0000EE"/>
        </w:rPr>
        <w:t>ARTICLE VI STOCK APPRECIATION RIGHTS Section 6.1 Award of SARs Section 6.2 SAR Periods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6.3 Exercisability</w:t>
      </w:r>
    </w:p>
    <w:p>
      <w:pPr>
        <w:spacing w:after="0" w:line="82" w:lineRule="exact"/>
        <w:rPr>
          <w:sz w:val="20"/>
          <w:szCs w:val="20"/>
          <w:color w:val="auto"/>
        </w:rPr>
      </w:pPr>
    </w:p>
    <w:p>
      <w:pPr>
        <w:spacing w:after="0" w:line="285" w:lineRule="auto"/>
        <w:rPr>
          <w:sz w:val="20"/>
          <w:szCs w:val="20"/>
          <w:color w:val="auto"/>
        </w:rPr>
      </w:pPr>
      <w:r>
        <w:rPr>
          <w:rFonts w:ascii="Arial" w:cs="Arial" w:eastAsia="Arial" w:hAnsi="Arial"/>
          <w:sz w:val="14"/>
          <w:szCs w:val="14"/>
          <w:u w:val="single" w:color="auto"/>
          <w:color w:val="0000EE"/>
        </w:rPr>
        <w:t>Section 6.4 Payment Amount, Time and Method of Payment With Respect to SARs</w:t>
      </w:r>
    </w:p>
    <w:p>
      <w:pPr>
        <w:spacing w:after="0" w:line="23" w:lineRule="exact"/>
        <w:rPr>
          <w:sz w:val="20"/>
          <w:szCs w:val="20"/>
          <w:color w:val="auto"/>
        </w:rPr>
      </w:pPr>
    </w:p>
    <w:p>
      <w:pPr>
        <w:ind w:right="1160"/>
        <w:spacing w:after="0" w:line="362" w:lineRule="auto"/>
        <w:rPr>
          <w:sz w:val="20"/>
          <w:szCs w:val="20"/>
          <w:color w:val="auto"/>
        </w:rPr>
      </w:pPr>
      <w:r>
        <w:rPr>
          <w:rFonts w:ascii="Arial" w:cs="Arial" w:eastAsia="Arial" w:hAnsi="Arial"/>
          <w:sz w:val="14"/>
          <w:szCs w:val="14"/>
          <w:u w:val="single" w:color="auto"/>
          <w:color w:val="0000EE"/>
        </w:rPr>
        <w:t>ARTICLE VII RESTRICTED STOCK AWARDS Section 7.1 Grants</w:t>
      </w:r>
    </w:p>
    <w:p>
      <w:pPr>
        <w:spacing w:after="0"/>
        <w:rPr>
          <w:sz w:val="20"/>
          <w:szCs w:val="20"/>
          <w:color w:val="auto"/>
        </w:rPr>
      </w:pPr>
      <w:r>
        <w:rPr>
          <w:rFonts w:ascii="Arial" w:cs="Arial" w:eastAsia="Arial" w:hAnsi="Arial"/>
          <w:sz w:val="14"/>
          <w:szCs w:val="14"/>
          <w:u w:val="single" w:color="auto"/>
          <w:color w:val="0000EE"/>
        </w:rPr>
        <w:t>Section 7.2 Restricted Period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7.3 Restrictions and Forfeiture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7.4 Issuance of Stock and Stock Certificate(s)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7.5 Shareholder Rights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7.6 Delivery of Shares</w:t>
      </w:r>
    </w:p>
    <w:p>
      <w:pPr>
        <w:spacing w:after="0" w:line="82" w:lineRule="exact"/>
        <w:rPr>
          <w:sz w:val="20"/>
          <w:szCs w:val="20"/>
          <w:color w:val="auto"/>
        </w:rPr>
      </w:pPr>
    </w:p>
    <w:p>
      <w:pPr>
        <w:ind w:right="760"/>
        <w:spacing w:after="0" w:line="362" w:lineRule="auto"/>
        <w:rPr>
          <w:sz w:val="20"/>
          <w:szCs w:val="20"/>
          <w:color w:val="auto"/>
        </w:rPr>
      </w:pPr>
      <w:r>
        <w:rPr>
          <w:rFonts w:ascii="Arial" w:cs="Arial" w:eastAsia="Arial" w:hAnsi="Arial"/>
          <w:sz w:val="14"/>
          <w:szCs w:val="14"/>
          <w:u w:val="single" w:color="auto"/>
          <w:color w:val="0000EE"/>
        </w:rPr>
        <w:t>ARTICLE VIII RESTRICTED STOCK UNIT AWARDS Section 8.1 Grants</w:t>
      </w:r>
    </w:p>
    <w:p>
      <w:pPr>
        <w:ind w:right="640"/>
        <w:spacing w:after="0" w:line="362" w:lineRule="auto"/>
        <w:rPr>
          <w:sz w:val="20"/>
          <w:szCs w:val="20"/>
          <w:color w:val="auto"/>
        </w:rPr>
      </w:pPr>
      <w:r>
        <w:rPr>
          <w:rFonts w:ascii="Arial" w:cs="Arial" w:eastAsia="Arial" w:hAnsi="Arial"/>
          <w:sz w:val="14"/>
          <w:szCs w:val="14"/>
          <w:u w:val="single" w:color="auto"/>
          <w:color w:val="0000EE"/>
        </w:rPr>
        <w:t>Section 8.2 Vesting of Restricted Stock Unit Awards Section 8.3 Settlement of Restricted Stock Unit Awards Section 8.4 Time of Payment/Issuance of Shares ARTICLE IX OTHER AWARDS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9.1 Grants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Section 9.2 Description of Other Awards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ARTICLE X PERFORMANCE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Section 10.1 General</w:t>
            </w:r>
          </w:p>
        </w:tc>
        <w:tc>
          <w:tcPr>
            <w:tcW w:w="2800" w:type="dxa"/>
            <w:vAlign w:val="bottom"/>
            <w:gridSpan w:val="38"/>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4"/>
                <w:szCs w:val="14"/>
                <w:color w:val="0000EE"/>
              </w:rPr>
              <w:t>A-13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0000EE"/>
              </w:rPr>
              <w:t>A-3</w:t>
            </w:r>
          </w:p>
        </w:tc>
        <w:tc>
          <w:tcPr>
            <w:tcW w:w="80" w:type="dxa"/>
            <w:vAlign w:val="bottom"/>
          </w:tcPr>
          <w:p>
            <w:pPr>
              <w:spacing w:after="0"/>
              <w:rPr>
                <w:sz w:val="19"/>
                <w:szCs w:val="19"/>
                <w:color w:val="auto"/>
              </w:rPr>
            </w:pPr>
          </w:p>
        </w:tc>
        <w:tc>
          <w:tcPr>
            <w:tcW w:w="2920" w:type="dxa"/>
            <w:vAlign w:val="bottom"/>
            <w:tcBorders>
              <w:bottom w:val="single" w:sz="8" w:color="0000EE"/>
            </w:tcBorders>
            <w:gridSpan w:val="26"/>
          </w:tcPr>
          <w:p>
            <w:pPr>
              <w:spacing w:after="0"/>
              <w:rPr>
                <w:sz w:val="20"/>
                <w:szCs w:val="20"/>
                <w:color w:val="auto"/>
              </w:rPr>
            </w:pPr>
            <w:r>
              <w:rPr>
                <w:rFonts w:ascii="Arial" w:cs="Arial" w:eastAsia="Arial" w:hAnsi="Arial"/>
                <w:sz w:val="14"/>
                <w:szCs w:val="14"/>
                <w:color w:val="0000EE"/>
              </w:rPr>
              <w:t>Section 10.2 Performance Award Agreements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4"/>
                <w:szCs w:val="14"/>
                <w:color w:val="0000EE"/>
              </w:rPr>
              <w:t>A-13</w:t>
            </w: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160" w:type="dxa"/>
            <w:vAlign w:val="bottom"/>
            <w:gridSpan w:val="41"/>
            <w:vMerge w:val="restart"/>
          </w:tcPr>
          <w:p>
            <w:pPr>
              <w:spacing w:after="0"/>
              <w:rPr>
                <w:sz w:val="20"/>
                <w:szCs w:val="20"/>
                <w:color w:val="auto"/>
              </w:rPr>
            </w:pPr>
            <w:r>
              <w:rPr>
                <w:rFonts w:ascii="Arial" w:cs="Arial" w:eastAsia="Arial" w:hAnsi="Arial"/>
                <w:sz w:val="14"/>
                <w:szCs w:val="14"/>
                <w:color w:val="0000EE"/>
              </w:rPr>
              <w:t>Section 10.3 Determination of Performance Goal Achievement</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00" w:type="dxa"/>
            <w:vAlign w:val="bottom"/>
            <w:tcBorders>
              <w:top w:val="single" w:sz="8" w:color="0000EE"/>
            </w:tcBorders>
            <w:vMerge w:val="restart"/>
          </w:tcPr>
          <w:p>
            <w:pPr>
              <w:jc w:val="center"/>
              <w:spacing w:after="0"/>
              <w:rPr>
                <w:sz w:val="20"/>
                <w:szCs w:val="20"/>
                <w:color w:val="auto"/>
              </w:rPr>
            </w:pPr>
            <w:r>
              <w:rPr>
                <w:rFonts w:ascii="Arial" w:cs="Arial" w:eastAsia="Arial" w:hAnsi="Arial"/>
                <w:sz w:val="14"/>
                <w:szCs w:val="14"/>
                <w:color w:val="0000EE"/>
              </w:rPr>
              <w:t>A-3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160" w:type="dxa"/>
            <w:vAlign w:val="bottom"/>
            <w:gridSpan w:val="41"/>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A-13</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7"/>
                <w:szCs w:val="7"/>
                <w:color w:val="auto"/>
              </w:rPr>
            </w:pPr>
          </w:p>
        </w:tc>
        <w:tc>
          <w:tcPr>
            <w:tcW w:w="200" w:type="dxa"/>
            <w:vAlign w:val="bottom"/>
            <w:tcBorders>
              <w:top w:val="single" w:sz="8" w:color="0000EE"/>
              <w:bottom w:val="single" w:sz="8" w:color="0000EE"/>
            </w:tcBorders>
            <w:vMerge w:val="continue"/>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2520" w:type="dxa"/>
            <w:vAlign w:val="bottom"/>
            <w:tcBorders>
              <w:top w:val="single" w:sz="8" w:color="0000EE"/>
              <w:bottom w:val="single" w:sz="8" w:color="0000EE"/>
            </w:tcBorders>
            <w:gridSpan w:val="19"/>
            <w:vMerge w:val="restart"/>
          </w:tcPr>
          <w:p>
            <w:pPr>
              <w:spacing w:after="0" w:line="142" w:lineRule="exact"/>
              <w:rPr>
                <w:sz w:val="20"/>
                <w:szCs w:val="20"/>
                <w:color w:val="auto"/>
              </w:rPr>
            </w:pPr>
            <w:r>
              <w:rPr>
                <w:rFonts w:ascii="Arial" w:cs="Arial" w:eastAsia="Arial" w:hAnsi="Arial"/>
                <w:sz w:val="14"/>
                <w:szCs w:val="14"/>
                <w:color w:val="0000EE"/>
              </w:rPr>
              <w:t>and Settlement of Performance Awards</w:t>
            </w:r>
          </w:p>
        </w:tc>
        <w:tc>
          <w:tcPr>
            <w:tcW w:w="1460" w:type="dxa"/>
            <w:vAlign w:val="bottom"/>
            <w:tcBorders>
              <w:top w:val="single" w:sz="8" w:color="0000EE"/>
              <w:bottom w:val="single" w:sz="8" w:color="0000EE"/>
            </w:tcBorders>
            <w:gridSpan w:val="21"/>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200" w:type="dxa"/>
            <w:vAlign w:val="bottom"/>
            <w:vMerge w:val="restart"/>
          </w:tcPr>
          <w:p>
            <w:pPr>
              <w:jc w:val="center"/>
              <w:spacing w:after="0"/>
              <w:rPr>
                <w:sz w:val="20"/>
                <w:szCs w:val="20"/>
                <w:color w:val="auto"/>
              </w:rPr>
            </w:pPr>
            <w:r>
              <w:rPr>
                <w:rFonts w:ascii="Arial" w:cs="Arial" w:eastAsia="Arial" w:hAnsi="Arial"/>
                <w:sz w:val="14"/>
                <w:szCs w:val="14"/>
                <w:color w:val="0000EE"/>
              </w:rPr>
              <w:t>A-3</w:t>
            </w: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520" w:type="dxa"/>
            <w:vAlign w:val="bottom"/>
            <w:tcBorders>
              <w:bottom w:val="single" w:sz="8" w:color="0000EE"/>
            </w:tcBorders>
            <w:gridSpan w:val="19"/>
            <w:vMerge w:val="continue"/>
          </w:tcPr>
          <w:p>
            <w:pPr>
              <w:spacing w:after="0"/>
              <w:rPr>
                <w:sz w:val="2"/>
                <w:szCs w:val="2"/>
                <w:color w:val="auto"/>
              </w:rPr>
            </w:pPr>
          </w:p>
        </w:tc>
        <w:tc>
          <w:tcPr>
            <w:tcW w:w="1460" w:type="dxa"/>
            <w:vAlign w:val="bottom"/>
            <w:gridSpan w:val="21"/>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00" w:type="dxa"/>
            <w:vAlign w:val="bottom"/>
            <w:tcBorders>
              <w:bottom w:val="single" w:sz="8" w:color="0000EE"/>
            </w:tcBorders>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200" w:type="dxa"/>
            <w:vAlign w:val="bottom"/>
            <w:tcBorders>
              <w:bottom w:val="single" w:sz="8" w:color="0000EE"/>
            </w:tcBorders>
            <w:vMerge w:val="continue"/>
          </w:tcPr>
          <w:p>
            <w:pPr>
              <w:spacing w:after="0"/>
              <w:rPr>
                <w:sz w:val="14"/>
                <w:szCs w:val="14"/>
                <w:color w:val="auto"/>
              </w:rPr>
            </w:pPr>
          </w:p>
        </w:tc>
        <w:tc>
          <w:tcPr>
            <w:tcW w:w="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4160" w:type="dxa"/>
            <w:vAlign w:val="bottom"/>
            <w:gridSpan w:val="41"/>
            <w:vMerge w:val="restart"/>
          </w:tcPr>
          <w:p>
            <w:pPr>
              <w:spacing w:after="0"/>
              <w:rPr>
                <w:sz w:val="20"/>
                <w:szCs w:val="20"/>
                <w:color w:val="auto"/>
              </w:rPr>
            </w:pPr>
            <w:r>
              <w:rPr>
                <w:rFonts w:ascii="Arial" w:cs="Arial" w:eastAsia="Arial" w:hAnsi="Arial"/>
                <w:sz w:val="14"/>
                <w:szCs w:val="14"/>
                <w:color w:val="0000EE"/>
              </w:rPr>
              <w:t>Section 10.4 Continued Eligibility for and Forfeiture of</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160" w:type="dxa"/>
            <w:vAlign w:val="bottom"/>
            <w:gridSpan w:val="41"/>
            <w:vMerge w:val="continue"/>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80" w:type="dxa"/>
            <w:vAlign w:val="bottom"/>
            <w:gridSpan w:val="2"/>
          </w:tcPr>
          <w:p>
            <w:pPr>
              <w:jc w:val="center"/>
              <w:ind w:right="60"/>
              <w:spacing w:after="0" w:line="142" w:lineRule="exact"/>
              <w:rPr>
                <w:sz w:val="20"/>
                <w:szCs w:val="20"/>
                <w:color w:val="auto"/>
              </w:rPr>
            </w:pPr>
            <w:r>
              <w:rPr>
                <w:rFonts w:ascii="Arial" w:cs="Arial" w:eastAsia="Arial" w:hAnsi="Arial"/>
                <w:sz w:val="14"/>
                <w:szCs w:val="14"/>
                <w:color w:val="0000EE"/>
              </w:rPr>
              <w:t>A-7</w:t>
            </w:r>
          </w:p>
        </w:tc>
        <w:tc>
          <w:tcPr>
            <w:tcW w:w="80" w:type="dxa"/>
            <w:vAlign w:val="bottom"/>
          </w:tcPr>
          <w:p>
            <w:pPr>
              <w:spacing w:after="0"/>
              <w:rPr>
                <w:sz w:val="12"/>
                <w:szCs w:val="12"/>
                <w:color w:val="auto"/>
              </w:rPr>
            </w:pPr>
          </w:p>
        </w:tc>
        <w:tc>
          <w:tcPr>
            <w:tcW w:w="1340" w:type="dxa"/>
            <w:vAlign w:val="bottom"/>
            <w:tcBorders>
              <w:top w:val="single" w:sz="8" w:color="0000EE"/>
              <w:bottom w:val="single" w:sz="8" w:color="0000EE"/>
            </w:tcBorders>
            <w:gridSpan w:val="2"/>
          </w:tcPr>
          <w:p>
            <w:pPr>
              <w:spacing w:after="0" w:line="129" w:lineRule="exact"/>
              <w:rPr>
                <w:sz w:val="20"/>
                <w:szCs w:val="20"/>
                <w:color w:val="auto"/>
              </w:rPr>
            </w:pPr>
            <w:r>
              <w:rPr>
                <w:rFonts w:ascii="Arial" w:cs="Arial" w:eastAsia="Arial" w:hAnsi="Arial"/>
                <w:sz w:val="14"/>
                <w:szCs w:val="14"/>
                <w:color w:val="0000EE"/>
              </w:rPr>
              <w:t>Performance Awards</w:t>
            </w:r>
          </w:p>
        </w:tc>
        <w:tc>
          <w:tcPr>
            <w:tcW w:w="160" w:type="dxa"/>
            <w:vAlign w:val="bottom"/>
            <w:tcBorders>
              <w:top w:val="single" w:sz="8" w:color="0000EE"/>
              <w:bottom w:val="single" w:sz="8" w:color="0000EE"/>
            </w:tcBorders>
            <w:gridSpan w:val="2"/>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12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100" w:type="dxa"/>
            <w:vAlign w:val="bottom"/>
            <w:tcBorders>
              <w:top w:val="single" w:sz="8" w:color="0000EE"/>
              <w:bottom w:val="single" w:sz="8" w:color="0000EE"/>
            </w:tcBorders>
          </w:tcPr>
          <w:p>
            <w:pPr>
              <w:spacing w:after="0"/>
              <w:rPr>
                <w:sz w:val="12"/>
                <w:szCs w:val="12"/>
                <w:color w:val="auto"/>
              </w:rPr>
            </w:pPr>
          </w:p>
        </w:tc>
        <w:tc>
          <w:tcPr>
            <w:tcW w:w="10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8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80" w:type="dxa"/>
            <w:vAlign w:val="bottom"/>
            <w:tcBorders>
              <w:top w:val="single" w:sz="8" w:color="0000EE"/>
              <w:bottom w:val="single" w:sz="8" w:color="0000EE"/>
            </w:tcBorders>
          </w:tcPr>
          <w:p>
            <w:pPr>
              <w:spacing w:after="0"/>
              <w:rPr>
                <w:sz w:val="12"/>
                <w:szCs w:val="12"/>
                <w:color w:val="auto"/>
              </w:rPr>
            </w:pPr>
          </w:p>
        </w:tc>
        <w:tc>
          <w:tcPr>
            <w:tcW w:w="180" w:type="dxa"/>
            <w:vAlign w:val="bottom"/>
            <w:tcBorders>
              <w:top w:val="single" w:sz="8" w:color="0000EE"/>
              <w:bottom w:val="single" w:sz="8" w:color="0000EE"/>
            </w:tcBorders>
          </w:tcPr>
          <w:p>
            <w:pPr>
              <w:spacing w:after="0"/>
              <w:rPr>
                <w:sz w:val="12"/>
                <w:szCs w:val="12"/>
                <w:color w:val="auto"/>
              </w:rPr>
            </w:pPr>
          </w:p>
        </w:tc>
        <w:tc>
          <w:tcPr>
            <w:tcW w:w="80" w:type="dxa"/>
            <w:vAlign w:val="bottom"/>
            <w:tcBorders>
              <w:top w:val="single" w:sz="8" w:color="0000EE"/>
              <w:bottom w:val="single" w:sz="8" w:color="0000EE"/>
            </w:tcBorders>
          </w:tcPr>
          <w:p>
            <w:pPr>
              <w:spacing w:after="0"/>
              <w:rPr>
                <w:sz w:val="12"/>
                <w:szCs w:val="12"/>
                <w:color w:val="auto"/>
              </w:rPr>
            </w:pPr>
          </w:p>
        </w:tc>
        <w:tc>
          <w:tcPr>
            <w:tcW w:w="10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220" w:type="dxa"/>
            <w:vAlign w:val="bottom"/>
            <w:tcBorders>
              <w:top w:val="single" w:sz="8" w:color="0000EE"/>
              <w:bottom w:val="single" w:sz="8" w:color="0000EE"/>
            </w:tcBorders>
          </w:tcPr>
          <w:p>
            <w:pPr>
              <w:spacing w:after="0"/>
              <w:rPr>
                <w:sz w:val="12"/>
                <w:szCs w:val="12"/>
                <w:color w:val="auto"/>
              </w:rPr>
            </w:pPr>
          </w:p>
        </w:tc>
        <w:tc>
          <w:tcPr>
            <w:tcW w:w="80" w:type="dxa"/>
            <w:vAlign w:val="bottom"/>
            <w:tcBorders>
              <w:top w:val="single" w:sz="8" w:color="0000EE"/>
              <w:bottom w:val="single" w:sz="8" w:color="0000EE"/>
            </w:tcBorders>
            <w:gridSpan w:val="2"/>
          </w:tcPr>
          <w:p>
            <w:pPr>
              <w:spacing w:after="0"/>
              <w:rPr>
                <w:sz w:val="12"/>
                <w:szCs w:val="12"/>
                <w:color w:val="auto"/>
              </w:rPr>
            </w:pPr>
          </w:p>
        </w:tc>
        <w:tc>
          <w:tcPr>
            <w:tcW w:w="60" w:type="dxa"/>
            <w:vAlign w:val="bottom"/>
            <w:tcBorders>
              <w:top w:val="single" w:sz="8" w:color="0000EE"/>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8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12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0000EE"/>
            </w:tcBorders>
            <w:gridSpan w:val="2"/>
          </w:tcPr>
          <w:p>
            <w:pPr>
              <w:jc w:val="center"/>
              <w:spacing w:after="0" w:line="122" w:lineRule="exact"/>
              <w:rPr>
                <w:sz w:val="20"/>
                <w:szCs w:val="20"/>
                <w:color w:val="auto"/>
              </w:rPr>
            </w:pPr>
            <w:r>
              <w:rPr>
                <w:rFonts w:ascii="Arial" w:cs="Arial" w:eastAsia="Arial" w:hAnsi="Arial"/>
                <w:sz w:val="14"/>
                <w:szCs w:val="14"/>
                <w:color w:val="0000EE"/>
              </w:rPr>
              <w:t>A-13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32"/>
            <w:vMerge w:val="restart"/>
          </w:tcPr>
          <w:p>
            <w:pPr>
              <w:spacing w:after="0"/>
              <w:rPr>
                <w:sz w:val="20"/>
                <w:szCs w:val="20"/>
                <w:color w:val="auto"/>
              </w:rPr>
            </w:pPr>
            <w:r>
              <w:rPr>
                <w:rFonts w:ascii="Arial" w:cs="Arial" w:eastAsia="Arial" w:hAnsi="Arial"/>
                <w:sz w:val="14"/>
                <w:szCs w:val="14"/>
                <w:color w:val="0000EE"/>
              </w:rPr>
              <w:t>ARTICLE XI CERTAIN TERMS APPLICABLE TO</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5"/>
                <w:szCs w:val="15"/>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14"/>
                <w:szCs w:val="14"/>
                <w:color w:val="0000EE"/>
              </w:rPr>
              <w:t>A-7</w:t>
            </w:r>
          </w:p>
        </w:tc>
        <w:tc>
          <w:tcPr>
            <w:tcW w:w="80" w:type="dxa"/>
            <w:vAlign w:val="bottom"/>
          </w:tcPr>
          <w:p>
            <w:pPr>
              <w:spacing w:after="0"/>
              <w:rPr>
                <w:sz w:val="15"/>
                <w:szCs w:val="15"/>
                <w:color w:val="auto"/>
              </w:rPr>
            </w:pPr>
          </w:p>
        </w:tc>
        <w:tc>
          <w:tcPr>
            <w:tcW w:w="3180" w:type="dxa"/>
            <w:vAlign w:val="bottom"/>
            <w:tcBorders>
              <w:bottom w:val="single" w:sz="8" w:color="0000EE"/>
            </w:tcBorders>
            <w:gridSpan w:val="3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20" w:type="dxa"/>
            <w:vAlign w:val="bottom"/>
            <w:vMerge w:val="restart"/>
          </w:tcPr>
          <w:p>
            <w:pPr>
              <w:spacing w:after="0" w:line="129" w:lineRule="exact"/>
              <w:rPr>
                <w:sz w:val="20"/>
                <w:szCs w:val="20"/>
                <w:color w:val="auto"/>
              </w:rPr>
            </w:pPr>
            <w:r>
              <w:rPr>
                <w:rFonts w:ascii="Arial" w:cs="Arial" w:eastAsia="Arial" w:hAnsi="Arial"/>
                <w:sz w:val="14"/>
                <w:szCs w:val="14"/>
                <w:color w:val="0000EE"/>
                <w:w w:val="99"/>
              </w:rPr>
              <w:t>ALL AWARDS</w:t>
            </w:r>
          </w:p>
        </w:tc>
        <w:tc>
          <w:tcPr>
            <w:tcW w:w="58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restart"/>
          </w:tcPr>
          <w:p>
            <w:pPr>
              <w:jc w:val="center"/>
              <w:spacing w:after="0" w:line="129" w:lineRule="exact"/>
              <w:rPr>
                <w:sz w:val="20"/>
                <w:szCs w:val="20"/>
                <w:color w:val="auto"/>
              </w:rPr>
            </w:pPr>
            <w:r>
              <w:rPr>
                <w:rFonts w:ascii="Arial" w:cs="Arial" w:eastAsia="Arial" w:hAnsi="Arial"/>
                <w:sz w:val="14"/>
                <w:szCs w:val="14"/>
                <w:color w:val="0000EE"/>
              </w:rPr>
              <w:t>A-14</w:t>
            </w: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0" w:type="dxa"/>
            <w:vAlign w:val="bottom"/>
          </w:tcPr>
          <w:p>
            <w:pPr>
              <w:spacing w:after="0"/>
              <w:rPr>
                <w:sz w:val="8"/>
                <w:szCs w:val="8"/>
                <w:color w:val="auto"/>
              </w:rPr>
            </w:pPr>
          </w:p>
        </w:tc>
        <w:tc>
          <w:tcPr>
            <w:tcW w:w="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0000EE"/>
              </w:rPr>
              <w:t>A-7</w:t>
            </w:r>
          </w:p>
        </w:tc>
        <w:tc>
          <w:tcPr>
            <w:tcW w:w="80" w:type="dxa"/>
            <w:vAlign w:val="bottom"/>
            <w:vMerge w:val="continue"/>
          </w:tcPr>
          <w:p>
            <w:pPr>
              <w:spacing w:after="0"/>
              <w:rPr>
                <w:sz w:val="8"/>
                <w:szCs w:val="8"/>
                <w:color w:val="auto"/>
              </w:rPr>
            </w:pPr>
          </w:p>
        </w:tc>
        <w:tc>
          <w:tcPr>
            <w:tcW w:w="920" w:type="dxa"/>
            <w:vAlign w:val="bottom"/>
            <w:tcBorders>
              <w:bottom w:val="single" w:sz="8" w:color="0000EE"/>
            </w:tcBorders>
            <w:vMerge w:val="continue"/>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300" w:type="dxa"/>
            <w:vAlign w:val="bottom"/>
            <w:tcBorders>
              <w:bottom w:val="single" w:sz="8" w:color="0000EE"/>
            </w:tcBorders>
            <w:gridSpan w:val="2"/>
            <w:vMerge w:val="continue"/>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gridSpan w:val="12"/>
            <w:vMerge w:val="restart"/>
          </w:tcPr>
          <w:p>
            <w:pPr>
              <w:spacing w:after="0"/>
              <w:rPr>
                <w:sz w:val="20"/>
                <w:szCs w:val="20"/>
                <w:color w:val="auto"/>
              </w:rPr>
            </w:pPr>
            <w:r>
              <w:rPr>
                <w:rFonts w:ascii="Arial" w:cs="Arial" w:eastAsia="Arial" w:hAnsi="Arial"/>
                <w:sz w:val="14"/>
                <w:szCs w:val="14"/>
                <w:color w:val="0000EE"/>
              </w:rPr>
              <w:t>Section 11.1 Withholding Taxes</w:t>
            </w: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A-14</w:t>
            </w: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0" w:type="dxa"/>
            <w:vAlign w:val="bottom"/>
            <w:gridSpan w:val="12"/>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0000EE"/>
              </w:rPr>
              <w:t>A-7</w:t>
            </w:r>
          </w:p>
        </w:tc>
        <w:tc>
          <w:tcPr>
            <w:tcW w:w="80" w:type="dxa"/>
            <w:vAlign w:val="bottom"/>
            <w:vMerge w:val="continue"/>
          </w:tcPr>
          <w:p>
            <w:pPr>
              <w:spacing w:after="0"/>
              <w:rPr>
                <w:sz w:val="10"/>
                <w:szCs w:val="10"/>
                <w:color w:val="auto"/>
              </w:rPr>
            </w:pPr>
          </w:p>
        </w:tc>
        <w:tc>
          <w:tcPr>
            <w:tcW w:w="2000" w:type="dxa"/>
            <w:vAlign w:val="bottom"/>
            <w:tcBorders>
              <w:bottom w:val="single" w:sz="8" w:color="0000EE"/>
            </w:tcBorders>
            <w:gridSpan w:val="1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36"/>
            <w:vMerge w:val="restart"/>
          </w:tcPr>
          <w:p>
            <w:pPr>
              <w:spacing w:after="0"/>
              <w:rPr>
                <w:sz w:val="20"/>
                <w:szCs w:val="20"/>
                <w:color w:val="auto"/>
              </w:rPr>
            </w:pPr>
            <w:r>
              <w:rPr>
                <w:rFonts w:ascii="Arial" w:cs="Arial" w:eastAsia="Arial" w:hAnsi="Arial"/>
                <w:sz w:val="14"/>
                <w:szCs w:val="14"/>
                <w:color w:val="0000EE"/>
              </w:rPr>
              <w:t>Section 11.2 Adjustments to Reflect Capital Changes</w:t>
            </w:r>
          </w:p>
        </w:tc>
        <w:tc>
          <w:tcPr>
            <w:tcW w:w="26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A-14</w:t>
            </w: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360" w:type="dxa"/>
            <w:vAlign w:val="bottom"/>
            <w:gridSpan w:val="36"/>
            <w:vMerge w:val="continue"/>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0000EE"/>
              </w:rPr>
              <w:t>A-7</w:t>
            </w:r>
          </w:p>
        </w:tc>
        <w:tc>
          <w:tcPr>
            <w:tcW w:w="80" w:type="dxa"/>
            <w:vAlign w:val="bottom"/>
            <w:vMerge w:val="continue"/>
          </w:tcPr>
          <w:p>
            <w:pPr>
              <w:spacing w:after="0"/>
              <w:rPr>
                <w:sz w:val="10"/>
                <w:szCs w:val="10"/>
                <w:color w:val="auto"/>
              </w:rPr>
            </w:pPr>
          </w:p>
        </w:tc>
        <w:tc>
          <w:tcPr>
            <w:tcW w:w="3360" w:type="dxa"/>
            <w:vAlign w:val="bottom"/>
            <w:tcBorders>
              <w:bottom w:val="single" w:sz="8" w:color="0000EE"/>
            </w:tcBorders>
            <w:gridSpan w:val="36"/>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4"/>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300" w:type="dxa"/>
            <w:vAlign w:val="bottom"/>
            <w:gridSpan w:val="2"/>
          </w:tcPr>
          <w:p>
            <w:pPr>
              <w:spacing w:after="0"/>
              <w:rPr>
                <w:sz w:val="6"/>
                <w:szCs w:val="6"/>
                <w:color w:val="auto"/>
              </w:rPr>
            </w:pPr>
          </w:p>
        </w:tc>
        <w:tc>
          <w:tcPr>
            <w:tcW w:w="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940" w:type="dxa"/>
            <w:vAlign w:val="bottom"/>
            <w:gridSpan w:val="27"/>
            <w:vMerge w:val="restart"/>
          </w:tcPr>
          <w:p>
            <w:pPr>
              <w:spacing w:after="0" w:line="129" w:lineRule="exact"/>
              <w:rPr>
                <w:sz w:val="20"/>
                <w:szCs w:val="20"/>
                <w:color w:val="auto"/>
              </w:rPr>
            </w:pPr>
            <w:r>
              <w:rPr>
                <w:rFonts w:ascii="Arial" w:cs="Arial" w:eastAsia="Arial" w:hAnsi="Arial"/>
                <w:sz w:val="14"/>
                <w:szCs w:val="14"/>
                <w:color w:val="0000EE"/>
              </w:rPr>
              <w:t>Section 11.3 Regulatory Approvals and Listing</w:t>
            </w:r>
          </w:p>
        </w:tc>
        <w:tc>
          <w:tcPr>
            <w:tcW w:w="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80" w:type="dxa"/>
            <w:vAlign w:val="bottom"/>
            <w:gridSpan w:val="3"/>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60" w:type="dxa"/>
            <w:vAlign w:val="bottom"/>
            <w:gridSpan w:val="2"/>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00" w:type="dxa"/>
            <w:vAlign w:val="bottom"/>
            <w:gridSpan w:val="2"/>
            <w:vMerge w:val="restart"/>
          </w:tcPr>
          <w:p>
            <w:pPr>
              <w:jc w:val="center"/>
              <w:spacing w:after="0" w:line="129" w:lineRule="exact"/>
              <w:rPr>
                <w:sz w:val="20"/>
                <w:szCs w:val="20"/>
                <w:color w:val="auto"/>
              </w:rPr>
            </w:pPr>
            <w:r>
              <w:rPr>
                <w:rFonts w:ascii="Arial" w:cs="Arial" w:eastAsia="Arial" w:hAnsi="Arial"/>
                <w:sz w:val="14"/>
                <w:szCs w:val="14"/>
                <w:color w:val="0000EE"/>
              </w:rPr>
              <w:t>A-15</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0" w:type="dxa"/>
            <w:vAlign w:val="bottom"/>
          </w:tcPr>
          <w:p>
            <w:pPr>
              <w:spacing w:after="0"/>
              <w:rPr>
                <w:sz w:val="10"/>
                <w:szCs w:val="10"/>
                <w:color w:val="auto"/>
              </w:rPr>
            </w:pPr>
          </w:p>
        </w:tc>
        <w:tc>
          <w:tcPr>
            <w:tcW w:w="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0000EE"/>
              </w:rPr>
              <w:t>A-7</w:t>
            </w:r>
          </w:p>
        </w:tc>
        <w:tc>
          <w:tcPr>
            <w:tcW w:w="80" w:type="dxa"/>
            <w:vAlign w:val="bottom"/>
            <w:vMerge w:val="continue"/>
          </w:tcPr>
          <w:p>
            <w:pPr>
              <w:spacing w:after="0"/>
              <w:rPr>
                <w:sz w:val="10"/>
                <w:szCs w:val="10"/>
                <w:color w:val="auto"/>
              </w:rPr>
            </w:pPr>
          </w:p>
        </w:tc>
        <w:tc>
          <w:tcPr>
            <w:tcW w:w="2940" w:type="dxa"/>
            <w:vAlign w:val="bottom"/>
            <w:tcBorders>
              <w:bottom w:val="single" w:sz="8" w:color="0000EE"/>
            </w:tcBorders>
            <w:gridSpan w:val="27"/>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gridSpan w:val="28"/>
            <w:vMerge w:val="restart"/>
          </w:tcPr>
          <w:p>
            <w:pPr>
              <w:spacing w:after="0"/>
              <w:rPr>
                <w:sz w:val="20"/>
                <w:szCs w:val="20"/>
                <w:color w:val="auto"/>
              </w:rPr>
            </w:pPr>
            <w:r>
              <w:rPr>
                <w:rFonts w:ascii="Arial" w:cs="Arial" w:eastAsia="Arial" w:hAnsi="Arial"/>
                <w:sz w:val="14"/>
                <w:szCs w:val="14"/>
                <w:color w:val="0000EE"/>
              </w:rPr>
              <w:t>Section 11.4 Restrictions Upon Resale of Stock</w:t>
            </w: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A-15</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0" w:type="dxa"/>
            <w:vAlign w:val="bottom"/>
            <w:gridSpan w:val="28"/>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0000EE"/>
              </w:rPr>
              <w:t>A-7</w:t>
            </w:r>
          </w:p>
        </w:tc>
        <w:tc>
          <w:tcPr>
            <w:tcW w:w="80" w:type="dxa"/>
            <w:vAlign w:val="bottom"/>
            <w:vMerge w:val="continue"/>
          </w:tcPr>
          <w:p>
            <w:pPr>
              <w:spacing w:after="0"/>
              <w:rPr>
                <w:sz w:val="10"/>
                <w:szCs w:val="10"/>
                <w:color w:val="auto"/>
              </w:rPr>
            </w:pPr>
          </w:p>
        </w:tc>
        <w:tc>
          <w:tcPr>
            <w:tcW w:w="3000" w:type="dxa"/>
            <w:vAlign w:val="bottom"/>
            <w:tcBorders>
              <w:bottom w:val="single" w:sz="8" w:color="0000EE"/>
            </w:tcBorders>
            <w:gridSpan w:val="28"/>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600" w:type="dxa"/>
            <w:vAlign w:val="bottom"/>
            <w:gridSpan w:val="23"/>
            <w:vMerge w:val="restart"/>
          </w:tcPr>
          <w:p>
            <w:pPr>
              <w:spacing w:after="0"/>
              <w:rPr>
                <w:sz w:val="20"/>
                <w:szCs w:val="20"/>
                <w:color w:val="auto"/>
              </w:rPr>
            </w:pPr>
            <w:r>
              <w:rPr>
                <w:rFonts w:ascii="Arial" w:cs="Arial" w:eastAsia="Arial" w:hAnsi="Arial"/>
                <w:sz w:val="14"/>
                <w:szCs w:val="14"/>
                <w:color w:val="0000EE"/>
              </w:rPr>
              <w:t>Section 11.5 Reporting Person Limitation</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gridSpan w:val="3"/>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A-15</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0" w:type="dxa"/>
            <w:vAlign w:val="bottom"/>
            <w:gridSpan w:val="23"/>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0000EE"/>
                <w:w w:val="91"/>
              </w:rPr>
              <w:t>A-8</w:t>
            </w:r>
          </w:p>
        </w:tc>
        <w:tc>
          <w:tcPr>
            <w:tcW w:w="80" w:type="dxa"/>
            <w:vAlign w:val="bottom"/>
            <w:vMerge w:val="continue"/>
          </w:tcPr>
          <w:p>
            <w:pPr>
              <w:spacing w:after="0"/>
              <w:rPr>
                <w:sz w:val="10"/>
                <w:szCs w:val="10"/>
                <w:color w:val="auto"/>
              </w:rPr>
            </w:pPr>
          </w:p>
        </w:tc>
        <w:tc>
          <w:tcPr>
            <w:tcW w:w="2600" w:type="dxa"/>
            <w:vAlign w:val="bottom"/>
            <w:tcBorders>
              <w:bottom w:val="single" w:sz="8" w:color="0000EE"/>
            </w:tcBorders>
            <w:gridSpan w:val="23"/>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80" w:type="dxa"/>
            <w:vAlign w:val="bottom"/>
            <w:gridSpan w:val="4"/>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30"/>
            <w:vMerge w:val="restart"/>
          </w:tcPr>
          <w:p>
            <w:pPr>
              <w:spacing w:after="0"/>
              <w:rPr>
                <w:sz w:val="20"/>
                <w:szCs w:val="20"/>
                <w:color w:val="auto"/>
              </w:rPr>
            </w:pPr>
            <w:r>
              <w:rPr>
                <w:rFonts w:ascii="Arial" w:cs="Arial" w:eastAsia="Arial" w:hAnsi="Arial"/>
                <w:sz w:val="14"/>
                <w:szCs w:val="14"/>
                <w:color w:val="0000EE"/>
              </w:rPr>
              <w:t>ARTICLE XII ADMINISTRATION OF THE PLAN</w:t>
            </w:r>
          </w:p>
        </w:tc>
        <w:tc>
          <w:tcPr>
            <w:tcW w:w="40" w:type="dxa"/>
            <w:vAlign w:val="bottom"/>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A-15</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60" w:type="dxa"/>
            <w:vAlign w:val="bottom"/>
            <w:gridSpan w:val="30"/>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0000EE"/>
                <w:w w:val="91"/>
              </w:rPr>
              <w:t>A-8</w:t>
            </w:r>
          </w:p>
        </w:tc>
        <w:tc>
          <w:tcPr>
            <w:tcW w:w="80" w:type="dxa"/>
            <w:vAlign w:val="bottom"/>
            <w:vMerge w:val="continue"/>
          </w:tcPr>
          <w:p>
            <w:pPr>
              <w:spacing w:after="0"/>
              <w:rPr>
                <w:sz w:val="10"/>
                <w:szCs w:val="10"/>
                <w:color w:val="auto"/>
              </w:rPr>
            </w:pPr>
          </w:p>
        </w:tc>
        <w:tc>
          <w:tcPr>
            <w:tcW w:w="3060" w:type="dxa"/>
            <w:vAlign w:val="bottom"/>
            <w:tcBorders>
              <w:bottom w:val="single" w:sz="8" w:color="0000EE"/>
            </w:tcBorders>
            <w:gridSpan w:val="30"/>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gridSpan w:val="5"/>
            <w:vMerge w:val="restart"/>
          </w:tcPr>
          <w:p>
            <w:pPr>
              <w:spacing w:after="0"/>
              <w:rPr>
                <w:sz w:val="20"/>
                <w:szCs w:val="20"/>
                <w:color w:val="auto"/>
              </w:rPr>
            </w:pPr>
            <w:r>
              <w:rPr>
                <w:rFonts w:ascii="Arial" w:cs="Arial" w:eastAsia="Arial" w:hAnsi="Arial"/>
                <w:sz w:val="14"/>
                <w:szCs w:val="14"/>
                <w:color w:val="0000EE"/>
              </w:rPr>
              <w:t>Section 12.1 Committee</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A-15</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0000EE"/>
              </w:rPr>
              <w:t>A-9</w:t>
            </w:r>
          </w:p>
        </w:tc>
        <w:tc>
          <w:tcPr>
            <w:tcW w:w="80" w:type="dxa"/>
            <w:vAlign w:val="bottom"/>
            <w:vMerge w:val="continue"/>
          </w:tcPr>
          <w:p>
            <w:pPr>
              <w:spacing w:after="0"/>
              <w:rPr>
                <w:sz w:val="10"/>
                <w:szCs w:val="10"/>
                <w:color w:val="auto"/>
              </w:rPr>
            </w:pPr>
          </w:p>
        </w:tc>
        <w:tc>
          <w:tcPr>
            <w:tcW w:w="1540" w:type="dxa"/>
            <w:vAlign w:val="bottom"/>
            <w:tcBorders>
              <w:bottom w:val="single" w:sz="8" w:color="0000EE"/>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80" w:type="dxa"/>
            <w:vAlign w:val="bottom"/>
            <w:gridSpan w:val="4"/>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60" w:type="dxa"/>
            <w:vAlign w:val="bottom"/>
            <w:gridSpan w:val="14"/>
            <w:vMerge w:val="restart"/>
          </w:tcPr>
          <w:p>
            <w:pPr>
              <w:spacing w:after="0"/>
              <w:rPr>
                <w:sz w:val="20"/>
                <w:szCs w:val="20"/>
                <w:color w:val="auto"/>
              </w:rPr>
            </w:pPr>
            <w:r>
              <w:rPr>
                <w:rFonts w:ascii="Arial" w:cs="Arial" w:eastAsia="Arial" w:hAnsi="Arial"/>
                <w:sz w:val="14"/>
                <w:szCs w:val="14"/>
                <w:color w:val="0000EE"/>
              </w:rPr>
              <w:t>Section 12.2 Committee Actions</w:t>
            </w:r>
          </w:p>
        </w:tc>
        <w:tc>
          <w:tcPr>
            <w:tcW w:w="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gridSpan w:val="4"/>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A-15</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60" w:type="dxa"/>
            <w:vAlign w:val="bottom"/>
            <w:gridSpan w:val="14"/>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0000EE"/>
              </w:rPr>
              <w:t>A-9</w:t>
            </w:r>
          </w:p>
        </w:tc>
        <w:tc>
          <w:tcPr>
            <w:tcW w:w="80" w:type="dxa"/>
            <w:vAlign w:val="bottom"/>
            <w:vMerge w:val="continue"/>
          </w:tcPr>
          <w:p>
            <w:pPr>
              <w:spacing w:after="0"/>
              <w:rPr>
                <w:sz w:val="10"/>
                <w:szCs w:val="10"/>
                <w:color w:val="auto"/>
              </w:rPr>
            </w:pPr>
          </w:p>
        </w:tc>
        <w:tc>
          <w:tcPr>
            <w:tcW w:w="2060" w:type="dxa"/>
            <w:vAlign w:val="bottom"/>
            <w:tcBorders>
              <w:bottom w:val="single" w:sz="8" w:color="0000EE"/>
            </w:tcBorders>
            <w:gridSpan w:val="1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80" w:type="dxa"/>
            <w:vAlign w:val="bottom"/>
            <w:gridSpan w:val="4"/>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19"/>
            <w:vMerge w:val="restart"/>
          </w:tcPr>
          <w:p>
            <w:pPr>
              <w:spacing w:after="0"/>
              <w:rPr>
                <w:sz w:val="20"/>
                <w:szCs w:val="20"/>
                <w:color w:val="auto"/>
              </w:rPr>
            </w:pPr>
            <w:r>
              <w:rPr>
                <w:rFonts w:ascii="Arial" w:cs="Arial" w:eastAsia="Arial" w:hAnsi="Arial"/>
                <w:sz w:val="14"/>
                <w:szCs w:val="14"/>
                <w:color w:val="0000EE"/>
              </w:rPr>
              <w:t>Section 12.3 Designation of Beneficiary</w:t>
            </w: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gridSpan w:val="4"/>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A-15</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520" w:type="dxa"/>
            <w:vAlign w:val="bottom"/>
            <w:gridSpan w:val="19"/>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0000EE"/>
              </w:rPr>
              <w:t>A-9</w:t>
            </w:r>
          </w:p>
        </w:tc>
        <w:tc>
          <w:tcPr>
            <w:tcW w:w="80" w:type="dxa"/>
            <w:vAlign w:val="bottom"/>
            <w:vMerge w:val="continue"/>
          </w:tcPr>
          <w:p>
            <w:pPr>
              <w:spacing w:after="0"/>
              <w:rPr>
                <w:sz w:val="10"/>
                <w:szCs w:val="10"/>
                <w:color w:val="auto"/>
              </w:rPr>
            </w:pPr>
          </w:p>
        </w:tc>
        <w:tc>
          <w:tcPr>
            <w:tcW w:w="2520" w:type="dxa"/>
            <w:vAlign w:val="bottom"/>
            <w:tcBorders>
              <w:bottom w:val="single" w:sz="8" w:color="0000EE"/>
            </w:tcBorders>
            <w:gridSpan w:val="19"/>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80" w:type="dxa"/>
            <w:vAlign w:val="bottom"/>
            <w:gridSpan w:val="4"/>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160" w:type="dxa"/>
            <w:vAlign w:val="bottom"/>
            <w:gridSpan w:val="41"/>
            <w:vMerge w:val="restart"/>
          </w:tcPr>
          <w:p>
            <w:pPr>
              <w:spacing w:after="0"/>
              <w:rPr>
                <w:sz w:val="20"/>
                <w:szCs w:val="20"/>
                <w:color w:val="auto"/>
              </w:rPr>
            </w:pPr>
            <w:r>
              <w:rPr>
                <w:rFonts w:ascii="Arial" w:cs="Arial" w:eastAsia="Arial" w:hAnsi="Arial"/>
                <w:sz w:val="14"/>
                <w:szCs w:val="14"/>
                <w:color w:val="0000EE"/>
              </w:rPr>
              <w:t>Section 12.4 No Right to an Award or to</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00" w:type="dxa"/>
            <w:vAlign w:val="bottom"/>
            <w:tcBorders>
              <w:top w:val="single" w:sz="8" w:color="0000EE"/>
            </w:tcBorders>
            <w:vMerge w:val="restart"/>
          </w:tcPr>
          <w:p>
            <w:pPr>
              <w:jc w:val="center"/>
              <w:spacing w:after="0"/>
              <w:rPr>
                <w:sz w:val="20"/>
                <w:szCs w:val="20"/>
                <w:color w:val="auto"/>
              </w:rPr>
            </w:pPr>
            <w:r>
              <w:rPr>
                <w:rFonts w:ascii="Arial" w:cs="Arial" w:eastAsia="Arial" w:hAnsi="Arial"/>
                <w:sz w:val="14"/>
                <w:szCs w:val="14"/>
                <w:color w:val="0000EE"/>
              </w:rPr>
              <w:t>A-9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160" w:type="dxa"/>
            <w:vAlign w:val="bottom"/>
            <w:gridSpan w:val="41"/>
            <w:vMerge w:val="continue"/>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5"/>
            <w:vMerge w:val="restart"/>
          </w:tcPr>
          <w:p>
            <w:pPr>
              <w:jc w:val="center"/>
              <w:ind w:right="20"/>
              <w:spacing w:after="0"/>
              <w:rPr>
                <w:sz w:val="20"/>
                <w:szCs w:val="20"/>
                <w:color w:val="auto"/>
              </w:rPr>
            </w:pPr>
            <w:r>
              <w:rPr>
                <w:rFonts w:ascii="Arial" w:cs="Arial" w:eastAsia="Arial" w:hAnsi="Arial"/>
                <w:sz w:val="14"/>
                <w:szCs w:val="14"/>
                <w:color w:val="0000EE"/>
              </w:rPr>
              <w:t>A-16</w:t>
            </w:r>
          </w:p>
        </w:tc>
        <w:tc>
          <w:tcPr>
            <w:tcW w:w="0" w:type="dxa"/>
            <w:vAlign w:val="bottom"/>
          </w:tcPr>
          <w:p>
            <w:pPr>
              <w:spacing w:after="0"/>
              <w:rPr>
                <w:sz w:val="1"/>
                <w:szCs w:val="1"/>
                <w:color w:val="auto"/>
              </w:rPr>
            </w:pPr>
          </w:p>
        </w:tc>
      </w:tr>
      <w:tr>
        <w:trPr>
          <w:trHeight w:val="93"/>
        </w:trPr>
        <w:tc>
          <w:tcPr>
            <w:tcW w:w="60" w:type="dxa"/>
            <w:vAlign w:val="bottom"/>
          </w:tcPr>
          <w:p>
            <w:pPr>
              <w:spacing w:after="0"/>
              <w:rPr>
                <w:sz w:val="7"/>
                <w:szCs w:val="7"/>
                <w:color w:val="auto"/>
              </w:rPr>
            </w:pPr>
          </w:p>
        </w:tc>
        <w:tc>
          <w:tcPr>
            <w:tcW w:w="200" w:type="dxa"/>
            <w:vAlign w:val="bottom"/>
            <w:tcBorders>
              <w:top w:val="single" w:sz="8" w:color="0000EE"/>
              <w:bottom w:val="single" w:sz="8" w:color="0000EE"/>
            </w:tcBorders>
            <w:vMerge w:val="continue"/>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500" w:type="dxa"/>
            <w:vAlign w:val="bottom"/>
            <w:tcBorders>
              <w:top w:val="single" w:sz="8" w:color="0000EE"/>
              <w:bottom w:val="single" w:sz="8" w:color="0000EE"/>
            </w:tcBorders>
            <w:gridSpan w:val="4"/>
            <w:vMerge w:val="restart"/>
          </w:tcPr>
          <w:p>
            <w:pPr>
              <w:spacing w:after="0" w:line="142" w:lineRule="exact"/>
              <w:rPr>
                <w:sz w:val="20"/>
                <w:szCs w:val="20"/>
                <w:color w:val="auto"/>
              </w:rPr>
            </w:pPr>
            <w:r>
              <w:rPr>
                <w:rFonts w:ascii="Arial" w:cs="Arial" w:eastAsia="Arial" w:hAnsi="Arial"/>
                <w:sz w:val="14"/>
                <w:szCs w:val="14"/>
                <w:color w:val="0000EE"/>
              </w:rPr>
              <w:t>Continued Employment</w:t>
            </w:r>
          </w:p>
        </w:tc>
        <w:tc>
          <w:tcPr>
            <w:tcW w:w="1080" w:type="dxa"/>
            <w:vAlign w:val="bottom"/>
            <w:tcBorders>
              <w:top w:val="single" w:sz="8" w:color="0000EE"/>
              <w:bottom w:val="single" w:sz="8" w:color="0000EE"/>
            </w:tcBorders>
            <w:gridSpan w:val="18"/>
            <w:vMerge w:val="restart"/>
          </w:tcPr>
          <w:p>
            <w:pPr>
              <w:spacing w:after="0"/>
              <w:rPr>
                <w:sz w:val="7"/>
                <w:szCs w:val="7"/>
                <w:color w:val="auto"/>
              </w:rPr>
            </w:pPr>
          </w:p>
        </w:tc>
        <w:tc>
          <w:tcPr>
            <w:tcW w:w="60" w:type="dxa"/>
            <w:vAlign w:val="bottom"/>
            <w:gridSpan w:val="2"/>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180" w:type="dxa"/>
            <w:vAlign w:val="bottom"/>
            <w:gridSpan w:val="4"/>
            <w:vMerge w:val="restart"/>
          </w:tcPr>
          <w:p>
            <w:pPr>
              <w:spacing w:after="0"/>
              <w:rPr>
                <w:sz w:val="7"/>
                <w:szCs w:val="7"/>
                <w:color w:val="auto"/>
              </w:rPr>
            </w:pPr>
          </w:p>
        </w:tc>
        <w:tc>
          <w:tcPr>
            <w:tcW w:w="60" w:type="dxa"/>
            <w:vAlign w:val="bottom"/>
            <w:gridSpan w:val="2"/>
            <w:vMerge w:val="restart"/>
          </w:tcPr>
          <w:p>
            <w:pPr>
              <w:spacing w:after="0"/>
              <w:rPr>
                <w:sz w:val="7"/>
                <w:szCs w:val="7"/>
                <w:color w:val="auto"/>
              </w:rPr>
            </w:pPr>
          </w:p>
        </w:tc>
        <w:tc>
          <w:tcPr>
            <w:tcW w:w="100" w:type="dxa"/>
            <w:vAlign w:val="bottom"/>
            <w:gridSpan w:val="2"/>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280" w:type="dxa"/>
            <w:vAlign w:val="bottom"/>
            <w:gridSpan w:val="3"/>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260" w:type="dxa"/>
            <w:vAlign w:val="bottom"/>
            <w:gridSpan w:val="2"/>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3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200" w:type="dxa"/>
            <w:vAlign w:val="bottom"/>
            <w:vMerge w:val="restart"/>
          </w:tcPr>
          <w:p>
            <w:pPr>
              <w:jc w:val="center"/>
              <w:spacing w:after="0"/>
              <w:rPr>
                <w:sz w:val="20"/>
                <w:szCs w:val="20"/>
                <w:color w:val="auto"/>
              </w:rPr>
            </w:pPr>
            <w:r>
              <w:rPr>
                <w:rFonts w:ascii="Arial" w:cs="Arial" w:eastAsia="Arial" w:hAnsi="Arial"/>
                <w:sz w:val="14"/>
                <w:szCs w:val="14"/>
                <w:color w:val="0000EE"/>
              </w:rPr>
              <w:t>A-9</w:t>
            </w: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80" w:type="dxa"/>
            <w:vAlign w:val="bottom"/>
            <w:gridSpan w:val="18"/>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80" w:type="dxa"/>
            <w:vAlign w:val="bottom"/>
            <w:gridSpan w:val="3"/>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3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 w:type="dxa"/>
            <w:vAlign w:val="bottom"/>
          </w:tcPr>
          <w:p>
            <w:pPr>
              <w:spacing w:after="0"/>
              <w:rPr>
                <w:sz w:val="14"/>
                <w:szCs w:val="14"/>
                <w:color w:val="auto"/>
              </w:rPr>
            </w:pPr>
          </w:p>
        </w:tc>
        <w:tc>
          <w:tcPr>
            <w:tcW w:w="200" w:type="dxa"/>
            <w:vAlign w:val="bottom"/>
            <w:tcBorders>
              <w:bottom w:val="single" w:sz="8" w:color="0000EE"/>
            </w:tcBorders>
            <w:vMerge w:val="continue"/>
          </w:tcPr>
          <w:p>
            <w:pPr>
              <w:spacing w:after="0"/>
              <w:rPr>
                <w:sz w:val="14"/>
                <w:szCs w:val="14"/>
                <w:color w:val="auto"/>
              </w:rPr>
            </w:pPr>
          </w:p>
        </w:tc>
        <w:tc>
          <w:tcPr>
            <w:tcW w:w="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4160" w:type="dxa"/>
            <w:vAlign w:val="bottom"/>
            <w:gridSpan w:val="41"/>
            <w:vMerge w:val="restart"/>
          </w:tcPr>
          <w:p>
            <w:pPr>
              <w:spacing w:after="0"/>
              <w:rPr>
                <w:sz w:val="20"/>
                <w:szCs w:val="20"/>
                <w:color w:val="auto"/>
              </w:rPr>
            </w:pPr>
            <w:r>
              <w:rPr>
                <w:rFonts w:ascii="Arial" w:cs="Arial" w:eastAsia="Arial" w:hAnsi="Arial"/>
                <w:sz w:val="14"/>
                <w:szCs w:val="14"/>
                <w:color w:val="0000EE"/>
              </w:rPr>
              <w:t>Section 12.5 Discretion of the Grantor</w:t>
            </w:r>
          </w:p>
        </w:tc>
        <w:tc>
          <w:tcPr>
            <w:tcW w:w="180" w:type="dxa"/>
            <w:vAlign w:val="bottom"/>
            <w:vMerge w:val="restart"/>
          </w:tcPr>
          <w:p>
            <w:pPr>
              <w:spacing w:after="0"/>
              <w:rPr>
                <w:sz w:val="14"/>
                <w:szCs w:val="14"/>
                <w:color w:val="auto"/>
              </w:rPr>
            </w:pPr>
          </w:p>
        </w:tc>
        <w:tc>
          <w:tcPr>
            <w:tcW w:w="360" w:type="dxa"/>
            <w:vAlign w:val="bottom"/>
            <w:gridSpan w:val="5"/>
            <w:vMerge w:val="restart"/>
          </w:tcPr>
          <w:p>
            <w:pPr>
              <w:jc w:val="center"/>
              <w:ind w:right="20"/>
              <w:spacing w:after="0"/>
              <w:rPr>
                <w:sz w:val="20"/>
                <w:szCs w:val="20"/>
                <w:color w:val="auto"/>
              </w:rPr>
            </w:pPr>
            <w:r>
              <w:rPr>
                <w:rFonts w:ascii="Arial" w:cs="Arial" w:eastAsia="Arial" w:hAnsi="Arial"/>
                <w:sz w:val="14"/>
                <w:szCs w:val="14"/>
                <w:color w:val="0000EE"/>
              </w:rPr>
              <w:t>A-16</w:t>
            </w:r>
          </w:p>
        </w:tc>
        <w:tc>
          <w:tcPr>
            <w:tcW w:w="0" w:type="dxa"/>
            <w:vAlign w:val="bottom"/>
          </w:tcPr>
          <w:p>
            <w:pPr>
              <w:spacing w:after="0"/>
              <w:rPr>
                <w:sz w:val="1"/>
                <w:szCs w:val="1"/>
                <w:color w:val="auto"/>
              </w:rPr>
            </w:pPr>
          </w:p>
        </w:tc>
      </w:tr>
      <w:tr>
        <w:trPr>
          <w:trHeight w:val="34"/>
        </w:trPr>
        <w:tc>
          <w:tcPr>
            <w:tcW w:w="26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A-10</w:t>
            </w: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160" w:type="dxa"/>
            <w:vAlign w:val="bottom"/>
            <w:gridSpan w:val="41"/>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3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 w:type="dxa"/>
            <w:vAlign w:val="bottom"/>
            <w:tcBorders>
              <w:bottom w:val="single" w:sz="8" w:color="0000EE"/>
            </w:tcBorders>
            <w:gridSpan w:val="2"/>
            <w:vMerge w:val="continue"/>
          </w:tcPr>
          <w:p>
            <w:pPr>
              <w:spacing w:after="0"/>
              <w:rPr>
                <w:sz w:val="14"/>
                <w:szCs w:val="14"/>
                <w:color w:val="auto"/>
              </w:rPr>
            </w:pPr>
          </w:p>
        </w:tc>
        <w:tc>
          <w:tcPr>
            <w:tcW w:w="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4160" w:type="dxa"/>
            <w:vAlign w:val="bottom"/>
            <w:gridSpan w:val="41"/>
            <w:vMerge w:val="restart"/>
          </w:tcPr>
          <w:p>
            <w:pPr>
              <w:spacing w:after="0"/>
              <w:rPr>
                <w:sz w:val="20"/>
                <w:szCs w:val="20"/>
                <w:color w:val="auto"/>
              </w:rPr>
            </w:pPr>
            <w:r>
              <w:rPr>
                <w:rFonts w:ascii="Arial" w:cs="Arial" w:eastAsia="Arial" w:hAnsi="Arial"/>
                <w:sz w:val="14"/>
                <w:szCs w:val="14"/>
                <w:color w:val="0000EE"/>
              </w:rPr>
              <w:t>Section 12.6 Indemnification and Exculpation</w:t>
            </w:r>
          </w:p>
        </w:tc>
        <w:tc>
          <w:tcPr>
            <w:tcW w:w="180" w:type="dxa"/>
            <w:vAlign w:val="bottom"/>
            <w:vMerge w:val="restart"/>
          </w:tcPr>
          <w:p>
            <w:pPr>
              <w:spacing w:after="0"/>
              <w:rPr>
                <w:sz w:val="14"/>
                <w:szCs w:val="14"/>
                <w:color w:val="auto"/>
              </w:rPr>
            </w:pPr>
          </w:p>
        </w:tc>
        <w:tc>
          <w:tcPr>
            <w:tcW w:w="360" w:type="dxa"/>
            <w:vAlign w:val="bottom"/>
            <w:gridSpan w:val="5"/>
            <w:vMerge w:val="restart"/>
          </w:tcPr>
          <w:p>
            <w:pPr>
              <w:jc w:val="center"/>
              <w:ind w:right="20"/>
              <w:spacing w:after="0"/>
              <w:rPr>
                <w:sz w:val="20"/>
                <w:szCs w:val="20"/>
                <w:color w:val="auto"/>
              </w:rPr>
            </w:pPr>
            <w:r>
              <w:rPr>
                <w:rFonts w:ascii="Arial" w:cs="Arial" w:eastAsia="Arial" w:hAnsi="Arial"/>
                <w:sz w:val="14"/>
                <w:szCs w:val="14"/>
                <w:color w:val="0000EE"/>
              </w:rPr>
              <w:t>A-16</w:t>
            </w:r>
          </w:p>
        </w:tc>
        <w:tc>
          <w:tcPr>
            <w:tcW w:w="0" w:type="dxa"/>
            <w:vAlign w:val="bottom"/>
          </w:tcPr>
          <w:p>
            <w:pPr>
              <w:spacing w:after="0"/>
              <w:rPr>
                <w:sz w:val="1"/>
                <w:szCs w:val="1"/>
                <w:color w:val="auto"/>
              </w:rPr>
            </w:pPr>
          </w:p>
        </w:tc>
      </w:tr>
      <w:tr>
        <w:trPr>
          <w:trHeight w:val="34"/>
        </w:trPr>
        <w:tc>
          <w:tcPr>
            <w:tcW w:w="26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A-10</w:t>
            </w: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160" w:type="dxa"/>
            <w:vAlign w:val="bottom"/>
            <w:gridSpan w:val="41"/>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3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 w:type="dxa"/>
            <w:vAlign w:val="bottom"/>
            <w:tcBorders>
              <w:bottom w:val="single" w:sz="8" w:color="0000EE"/>
            </w:tcBorders>
            <w:gridSpan w:val="2"/>
            <w:vMerge w:val="continue"/>
          </w:tcPr>
          <w:p>
            <w:pPr>
              <w:spacing w:after="0"/>
              <w:rPr>
                <w:sz w:val="14"/>
                <w:szCs w:val="14"/>
                <w:color w:val="auto"/>
              </w:rPr>
            </w:pPr>
          </w:p>
        </w:tc>
        <w:tc>
          <w:tcPr>
            <w:tcW w:w="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2860" w:type="dxa"/>
            <w:vAlign w:val="bottom"/>
            <w:gridSpan w:val="25"/>
            <w:vMerge w:val="restart"/>
          </w:tcPr>
          <w:p>
            <w:pPr>
              <w:spacing w:after="0"/>
              <w:rPr>
                <w:sz w:val="20"/>
                <w:szCs w:val="20"/>
                <w:color w:val="auto"/>
              </w:rPr>
            </w:pPr>
            <w:r>
              <w:rPr>
                <w:rFonts w:ascii="Arial" w:cs="Arial" w:eastAsia="Arial" w:hAnsi="Arial"/>
                <w:sz w:val="14"/>
                <w:szCs w:val="14"/>
                <w:color w:val="0000EE"/>
              </w:rPr>
              <w:t>Section 12.7 Unfunded Plan</w:t>
            </w:r>
          </w:p>
        </w:tc>
        <w:tc>
          <w:tcPr>
            <w:tcW w:w="1300" w:type="dxa"/>
            <w:vAlign w:val="bottom"/>
            <w:gridSpan w:val="16"/>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360" w:type="dxa"/>
            <w:vAlign w:val="bottom"/>
            <w:gridSpan w:val="5"/>
            <w:vMerge w:val="restart"/>
          </w:tcPr>
          <w:p>
            <w:pPr>
              <w:jc w:val="center"/>
              <w:ind w:right="20"/>
              <w:spacing w:after="0"/>
              <w:rPr>
                <w:sz w:val="20"/>
                <w:szCs w:val="20"/>
                <w:color w:val="auto"/>
              </w:rPr>
            </w:pPr>
            <w:r>
              <w:rPr>
                <w:rFonts w:ascii="Arial" w:cs="Arial" w:eastAsia="Arial" w:hAnsi="Arial"/>
                <w:sz w:val="14"/>
                <w:szCs w:val="14"/>
                <w:color w:val="0000EE"/>
              </w:rPr>
              <w:t>A-16</w:t>
            </w:r>
          </w:p>
        </w:tc>
        <w:tc>
          <w:tcPr>
            <w:tcW w:w="0" w:type="dxa"/>
            <w:vAlign w:val="bottom"/>
          </w:tcPr>
          <w:p>
            <w:pPr>
              <w:spacing w:after="0"/>
              <w:rPr>
                <w:sz w:val="1"/>
                <w:szCs w:val="1"/>
                <w:color w:val="auto"/>
              </w:rPr>
            </w:pPr>
          </w:p>
        </w:tc>
      </w:tr>
      <w:tr>
        <w:trPr>
          <w:trHeight w:val="34"/>
        </w:trPr>
        <w:tc>
          <w:tcPr>
            <w:tcW w:w="260" w:type="dxa"/>
            <w:vAlign w:val="bottom"/>
            <w:gridSpan w:val="2"/>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860" w:type="dxa"/>
            <w:vAlign w:val="bottom"/>
            <w:gridSpan w:val="25"/>
            <w:vMerge w:val="continue"/>
          </w:tcPr>
          <w:p>
            <w:pPr>
              <w:spacing w:after="0"/>
              <w:rPr>
                <w:sz w:val="2"/>
                <w:szCs w:val="2"/>
                <w:color w:val="auto"/>
              </w:rPr>
            </w:pPr>
          </w:p>
        </w:tc>
        <w:tc>
          <w:tcPr>
            <w:tcW w:w="1300" w:type="dxa"/>
            <w:vAlign w:val="bottom"/>
            <w:gridSpan w:val="16"/>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3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3"/>
            <w:vMerge w:val="restart"/>
          </w:tcPr>
          <w:p>
            <w:pPr>
              <w:jc w:val="center"/>
              <w:ind w:right="40"/>
              <w:spacing w:after="0"/>
              <w:rPr>
                <w:sz w:val="20"/>
                <w:szCs w:val="20"/>
                <w:color w:val="auto"/>
              </w:rPr>
            </w:pPr>
            <w:r>
              <w:rPr>
                <w:rFonts w:ascii="Arial" w:cs="Arial" w:eastAsia="Arial" w:hAnsi="Arial"/>
                <w:sz w:val="14"/>
                <w:szCs w:val="14"/>
                <w:color w:val="0000EE"/>
              </w:rPr>
              <w:t>A-10</w:t>
            </w:r>
          </w:p>
        </w:tc>
        <w:tc>
          <w:tcPr>
            <w:tcW w:w="80" w:type="dxa"/>
            <w:vAlign w:val="bottom"/>
          </w:tcPr>
          <w:p>
            <w:pPr>
              <w:spacing w:after="0"/>
              <w:rPr>
                <w:sz w:val="19"/>
                <w:szCs w:val="19"/>
                <w:color w:val="auto"/>
              </w:rPr>
            </w:pPr>
          </w:p>
        </w:tc>
        <w:tc>
          <w:tcPr>
            <w:tcW w:w="3100" w:type="dxa"/>
            <w:vAlign w:val="bottom"/>
            <w:tcBorders>
              <w:bottom w:val="single" w:sz="8" w:color="0000EE"/>
            </w:tcBorders>
            <w:gridSpan w:val="31"/>
          </w:tcPr>
          <w:p>
            <w:pPr>
              <w:spacing w:after="0"/>
              <w:rPr>
                <w:sz w:val="20"/>
                <w:szCs w:val="20"/>
                <w:color w:val="auto"/>
              </w:rPr>
            </w:pPr>
            <w:r>
              <w:rPr>
                <w:rFonts w:ascii="Arial" w:cs="Arial" w:eastAsia="Arial" w:hAnsi="Arial"/>
                <w:sz w:val="14"/>
                <w:szCs w:val="14"/>
                <w:color w:val="0000EE"/>
              </w:rPr>
              <w:t>Section 12.8 Inalienability of Rights and Interests</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spacing w:after="0"/>
              <w:rPr>
                <w:sz w:val="19"/>
                <w:szCs w:val="19"/>
                <w:color w:val="auto"/>
              </w:rPr>
            </w:pPr>
          </w:p>
        </w:tc>
        <w:tc>
          <w:tcPr>
            <w:tcW w:w="280" w:type="dxa"/>
            <w:vAlign w:val="bottom"/>
            <w:vMerge w:val="restart"/>
          </w:tcPr>
          <w:p>
            <w:pPr>
              <w:spacing w:after="0"/>
              <w:rPr>
                <w:sz w:val="19"/>
                <w:szCs w:val="19"/>
                <w:color w:val="auto"/>
              </w:rPr>
            </w:pPr>
          </w:p>
        </w:tc>
        <w:tc>
          <w:tcPr>
            <w:tcW w:w="260" w:type="dxa"/>
            <w:vAlign w:val="bottom"/>
            <w:gridSpan w:val="2"/>
            <w:vMerge w:val="restart"/>
          </w:tcPr>
          <w:p>
            <w:pPr>
              <w:spacing w:after="0"/>
              <w:rPr>
                <w:sz w:val="19"/>
                <w:szCs w:val="19"/>
                <w:color w:val="auto"/>
              </w:rPr>
            </w:pPr>
          </w:p>
        </w:tc>
        <w:tc>
          <w:tcPr>
            <w:tcW w:w="1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4"/>
                <w:szCs w:val="14"/>
                <w:color w:val="0000EE"/>
              </w:rPr>
              <w:t>A-17</w:t>
            </w:r>
          </w:p>
        </w:tc>
        <w:tc>
          <w:tcPr>
            <w:tcW w:w="4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620" w:type="dxa"/>
            <w:vAlign w:val="bottom"/>
            <w:gridSpan w:val="38"/>
            <w:vMerge w:val="restart"/>
          </w:tcPr>
          <w:p>
            <w:pPr>
              <w:spacing w:after="0"/>
              <w:rPr>
                <w:sz w:val="20"/>
                <w:szCs w:val="20"/>
                <w:color w:val="auto"/>
              </w:rPr>
            </w:pPr>
            <w:r>
              <w:rPr>
                <w:rFonts w:ascii="Arial" w:cs="Arial" w:eastAsia="Arial" w:hAnsi="Arial"/>
                <w:sz w:val="14"/>
                <w:szCs w:val="14"/>
                <w:color w:val="0000EE"/>
              </w:rPr>
              <w:t>Section 12.9 Awards Not Includable for Benefit Purposes</w:t>
            </w: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A-17</w:t>
            </w: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20" w:type="dxa"/>
            <w:vAlign w:val="bottom"/>
            <w:gridSpan w:val="38"/>
            <w:vMerge w:val="continue"/>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40" w:type="dxa"/>
            <w:vAlign w:val="bottom"/>
            <w:gridSpan w:val="3"/>
            <w:vMerge w:val="restart"/>
          </w:tcPr>
          <w:p>
            <w:pPr>
              <w:jc w:val="center"/>
              <w:ind w:right="40"/>
              <w:spacing w:after="0"/>
              <w:rPr>
                <w:sz w:val="20"/>
                <w:szCs w:val="20"/>
                <w:color w:val="auto"/>
              </w:rPr>
            </w:pPr>
            <w:r>
              <w:rPr>
                <w:rFonts w:ascii="Arial" w:cs="Arial" w:eastAsia="Arial" w:hAnsi="Arial"/>
                <w:sz w:val="14"/>
                <w:szCs w:val="14"/>
                <w:color w:val="0000EE"/>
              </w:rPr>
              <w:t>A-10</w:t>
            </w:r>
          </w:p>
        </w:tc>
        <w:tc>
          <w:tcPr>
            <w:tcW w:w="80" w:type="dxa"/>
            <w:vAlign w:val="bottom"/>
            <w:vMerge w:val="continue"/>
          </w:tcPr>
          <w:p>
            <w:pPr>
              <w:spacing w:after="0"/>
              <w:rPr>
                <w:sz w:val="10"/>
                <w:szCs w:val="10"/>
                <w:color w:val="auto"/>
              </w:rPr>
            </w:pPr>
          </w:p>
        </w:tc>
        <w:tc>
          <w:tcPr>
            <w:tcW w:w="3620" w:type="dxa"/>
            <w:vAlign w:val="bottom"/>
            <w:tcBorders>
              <w:bottom w:val="single" w:sz="8" w:color="0000EE"/>
            </w:tcBorders>
            <w:gridSpan w:val="38"/>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040" w:type="dxa"/>
            <w:vAlign w:val="bottom"/>
            <w:gridSpan w:val="29"/>
            <w:vMerge w:val="restart"/>
          </w:tcPr>
          <w:p>
            <w:pPr>
              <w:spacing w:after="0"/>
              <w:rPr>
                <w:sz w:val="20"/>
                <w:szCs w:val="20"/>
                <w:color w:val="auto"/>
              </w:rPr>
            </w:pPr>
            <w:r>
              <w:rPr>
                <w:rFonts w:ascii="Arial" w:cs="Arial" w:eastAsia="Arial" w:hAnsi="Arial"/>
                <w:sz w:val="14"/>
                <w:szCs w:val="14"/>
                <w:color w:val="0000EE"/>
              </w:rPr>
              <w:t>Section 12.10 No Issuance of Fractional Shares</w:t>
            </w:r>
          </w:p>
        </w:tc>
        <w:tc>
          <w:tcPr>
            <w:tcW w:w="16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gridSpan w:val="3"/>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A-17</w:t>
            </w: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40" w:type="dxa"/>
            <w:vAlign w:val="bottom"/>
            <w:gridSpan w:val="29"/>
            <w:vMerge w:val="continue"/>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gridSpan w:val="4"/>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40" w:type="dxa"/>
            <w:vAlign w:val="bottom"/>
            <w:gridSpan w:val="3"/>
            <w:vMerge w:val="restart"/>
          </w:tcPr>
          <w:p>
            <w:pPr>
              <w:jc w:val="center"/>
              <w:ind w:right="40"/>
              <w:spacing w:after="0"/>
              <w:rPr>
                <w:sz w:val="20"/>
                <w:szCs w:val="20"/>
                <w:color w:val="auto"/>
              </w:rPr>
            </w:pPr>
            <w:r>
              <w:rPr>
                <w:rFonts w:ascii="Arial" w:cs="Arial" w:eastAsia="Arial" w:hAnsi="Arial"/>
                <w:sz w:val="14"/>
                <w:szCs w:val="14"/>
                <w:color w:val="0000EE"/>
              </w:rPr>
              <w:t>A-10</w:t>
            </w:r>
          </w:p>
        </w:tc>
        <w:tc>
          <w:tcPr>
            <w:tcW w:w="80" w:type="dxa"/>
            <w:vAlign w:val="bottom"/>
            <w:vMerge w:val="continue"/>
          </w:tcPr>
          <w:p>
            <w:pPr>
              <w:spacing w:after="0"/>
              <w:rPr>
                <w:sz w:val="10"/>
                <w:szCs w:val="10"/>
                <w:color w:val="auto"/>
              </w:rPr>
            </w:pPr>
          </w:p>
        </w:tc>
        <w:tc>
          <w:tcPr>
            <w:tcW w:w="3040" w:type="dxa"/>
            <w:vAlign w:val="bottom"/>
            <w:tcBorders>
              <w:bottom w:val="single" w:sz="8" w:color="0000EE"/>
            </w:tcBorders>
            <w:gridSpan w:val="29"/>
            <w:vMerge w:val="continue"/>
          </w:tcPr>
          <w:p>
            <w:pPr>
              <w:spacing w:after="0"/>
              <w:rPr>
                <w:sz w:val="10"/>
                <w:szCs w:val="10"/>
                <w:color w:val="auto"/>
              </w:rPr>
            </w:pPr>
          </w:p>
        </w:tc>
        <w:tc>
          <w:tcPr>
            <w:tcW w:w="160" w:type="dxa"/>
            <w:vAlign w:val="bottom"/>
            <w:gridSpan w:val="4"/>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340" w:type="dxa"/>
            <w:vAlign w:val="bottom"/>
            <w:gridSpan w:val="35"/>
            <w:vMerge w:val="restart"/>
          </w:tcPr>
          <w:p>
            <w:pPr>
              <w:spacing w:after="0"/>
              <w:rPr>
                <w:sz w:val="20"/>
                <w:szCs w:val="20"/>
                <w:color w:val="auto"/>
              </w:rPr>
            </w:pPr>
            <w:r>
              <w:rPr>
                <w:rFonts w:ascii="Arial" w:cs="Arial" w:eastAsia="Arial" w:hAnsi="Arial"/>
                <w:sz w:val="14"/>
                <w:szCs w:val="14"/>
                <w:color w:val="0000EE"/>
              </w:rPr>
              <w:t>Section 12.11 Modification for International Grantees</w:t>
            </w:r>
          </w:p>
        </w:tc>
        <w:tc>
          <w:tcPr>
            <w:tcW w:w="560" w:type="dxa"/>
            <w:vAlign w:val="bottom"/>
            <w:gridSpan w:val="4"/>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A-17</w:t>
            </w: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340" w:type="dxa"/>
            <w:vAlign w:val="bottom"/>
            <w:gridSpan w:val="35"/>
            <w:vMerge w:val="continue"/>
          </w:tcPr>
          <w:p>
            <w:pPr>
              <w:spacing w:after="0" w:line="20" w:lineRule="exact"/>
              <w:rPr>
                <w:sz w:val="1"/>
                <w:szCs w:val="1"/>
                <w:color w:val="auto"/>
              </w:rPr>
            </w:pPr>
          </w:p>
        </w:tc>
        <w:tc>
          <w:tcPr>
            <w:tcW w:w="560" w:type="dxa"/>
            <w:vAlign w:val="bottom"/>
            <w:gridSpan w:val="4"/>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40" w:type="dxa"/>
            <w:vAlign w:val="bottom"/>
            <w:gridSpan w:val="3"/>
            <w:vMerge w:val="restart"/>
          </w:tcPr>
          <w:p>
            <w:pPr>
              <w:jc w:val="center"/>
              <w:ind w:right="40"/>
              <w:spacing w:after="0"/>
              <w:rPr>
                <w:sz w:val="20"/>
                <w:szCs w:val="20"/>
                <w:color w:val="auto"/>
              </w:rPr>
            </w:pPr>
            <w:r>
              <w:rPr>
                <w:rFonts w:ascii="Arial" w:cs="Arial" w:eastAsia="Arial" w:hAnsi="Arial"/>
                <w:sz w:val="14"/>
                <w:szCs w:val="14"/>
                <w:color w:val="0000EE"/>
              </w:rPr>
              <w:t>A-10</w:t>
            </w:r>
          </w:p>
        </w:tc>
        <w:tc>
          <w:tcPr>
            <w:tcW w:w="80" w:type="dxa"/>
            <w:vAlign w:val="bottom"/>
            <w:vMerge w:val="continue"/>
          </w:tcPr>
          <w:p>
            <w:pPr>
              <w:spacing w:after="0"/>
              <w:rPr>
                <w:sz w:val="10"/>
                <w:szCs w:val="10"/>
                <w:color w:val="auto"/>
              </w:rPr>
            </w:pPr>
          </w:p>
        </w:tc>
        <w:tc>
          <w:tcPr>
            <w:tcW w:w="3340" w:type="dxa"/>
            <w:vAlign w:val="bottom"/>
            <w:tcBorders>
              <w:bottom w:val="single" w:sz="8" w:color="0000EE"/>
            </w:tcBorders>
            <w:gridSpan w:val="35"/>
            <w:vMerge w:val="continue"/>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gridSpan w:val="15"/>
            <w:vMerge w:val="restart"/>
          </w:tcPr>
          <w:p>
            <w:pPr>
              <w:spacing w:after="0"/>
              <w:rPr>
                <w:sz w:val="20"/>
                <w:szCs w:val="20"/>
                <w:color w:val="auto"/>
              </w:rPr>
            </w:pPr>
            <w:r>
              <w:rPr>
                <w:rFonts w:ascii="Arial" w:cs="Arial" w:eastAsia="Arial" w:hAnsi="Arial"/>
                <w:sz w:val="14"/>
                <w:szCs w:val="14"/>
                <w:color w:val="0000EE"/>
              </w:rPr>
              <w:t>Section 12.12 Leaves of Absence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3"/>
          </w:tcPr>
          <w:p>
            <w:pPr>
              <w:spacing w:after="0"/>
              <w:rPr>
                <w:sz w:val="7"/>
                <w:szCs w:val="7"/>
                <w:color w:val="auto"/>
              </w:rPr>
            </w:pPr>
          </w:p>
        </w:tc>
        <w:tc>
          <w:tcPr>
            <w:tcW w:w="560" w:type="dxa"/>
            <w:vAlign w:val="bottom"/>
            <w:gridSpan w:val="9"/>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4"/>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A-17</w:t>
            </w: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140" w:type="dxa"/>
            <w:vAlign w:val="bottom"/>
            <w:gridSpan w:val="1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560" w:type="dxa"/>
            <w:vAlign w:val="bottom"/>
            <w:gridSpan w:val="9"/>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gridSpan w:val="5"/>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color w:val="0000EE"/>
                <w:w w:val="87"/>
              </w:rPr>
              <w:t>A-11</w:t>
            </w:r>
          </w:p>
        </w:tc>
        <w:tc>
          <w:tcPr>
            <w:tcW w:w="80" w:type="dxa"/>
            <w:vAlign w:val="bottom"/>
            <w:vMerge w:val="continue"/>
          </w:tcPr>
          <w:p>
            <w:pPr>
              <w:spacing w:after="0"/>
              <w:rPr>
                <w:sz w:val="10"/>
                <w:szCs w:val="10"/>
                <w:color w:val="auto"/>
              </w:rPr>
            </w:pPr>
          </w:p>
        </w:tc>
        <w:tc>
          <w:tcPr>
            <w:tcW w:w="2140" w:type="dxa"/>
            <w:vAlign w:val="bottom"/>
            <w:tcBorders>
              <w:bottom w:val="single" w:sz="8" w:color="0000EE"/>
            </w:tcBorders>
            <w:gridSpan w:val="15"/>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gridSpan w:val="3"/>
            <w:vMerge w:val="continue"/>
          </w:tcPr>
          <w:p>
            <w:pPr>
              <w:spacing w:after="0"/>
              <w:rPr>
                <w:sz w:val="10"/>
                <w:szCs w:val="10"/>
                <w:color w:val="auto"/>
              </w:rPr>
            </w:pPr>
          </w:p>
        </w:tc>
        <w:tc>
          <w:tcPr>
            <w:tcW w:w="560" w:type="dxa"/>
            <w:vAlign w:val="bottom"/>
            <w:gridSpan w:val="9"/>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80" w:type="dxa"/>
            <w:vAlign w:val="bottom"/>
            <w:gridSpan w:val="5"/>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 w:type="dxa"/>
            <w:vAlign w:val="bottom"/>
            <w:tcBorders>
              <w:bottom w:val="single" w:sz="8" w:color="0000EE"/>
            </w:tcBorders>
            <w:gridSpan w:val="2"/>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7"/>
                <w:szCs w:val="7"/>
                <w:color w:val="auto"/>
              </w:rPr>
            </w:pPr>
          </w:p>
        </w:tc>
        <w:tc>
          <w:tcPr>
            <w:tcW w:w="280" w:type="dxa"/>
            <w:vAlign w:val="bottom"/>
            <w:tcBorders>
              <w:bottom w:val="single" w:sz="8" w:color="0000EE"/>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160" w:type="dxa"/>
            <w:vAlign w:val="bottom"/>
            <w:gridSpan w:val="41"/>
            <w:vMerge w:val="restart"/>
          </w:tcPr>
          <w:p>
            <w:pPr>
              <w:spacing w:after="0"/>
              <w:rPr>
                <w:sz w:val="20"/>
                <w:szCs w:val="20"/>
                <w:color w:val="auto"/>
              </w:rPr>
            </w:pPr>
            <w:r>
              <w:rPr>
                <w:rFonts w:ascii="Arial" w:cs="Arial" w:eastAsia="Arial" w:hAnsi="Arial"/>
                <w:sz w:val="14"/>
                <w:szCs w:val="14"/>
                <w:color w:val="0000EE"/>
              </w:rPr>
              <w:t>Section 12.13 Communications</w:t>
            </w:r>
          </w:p>
        </w:tc>
        <w:tc>
          <w:tcPr>
            <w:tcW w:w="180" w:type="dxa"/>
            <w:vAlign w:val="bottom"/>
            <w:vMerge w:val="continue"/>
          </w:tcPr>
          <w:p>
            <w:pPr>
              <w:spacing w:after="0"/>
              <w:rPr>
                <w:sz w:val="7"/>
                <w:szCs w:val="7"/>
                <w:color w:val="auto"/>
              </w:rPr>
            </w:pPr>
          </w:p>
        </w:tc>
        <w:tc>
          <w:tcPr>
            <w:tcW w:w="360" w:type="dxa"/>
            <w:vAlign w:val="bottom"/>
            <w:gridSpan w:val="5"/>
            <w:vMerge w:val="restart"/>
          </w:tcPr>
          <w:p>
            <w:pPr>
              <w:jc w:val="center"/>
              <w:ind w:right="20"/>
              <w:spacing w:after="0"/>
              <w:rPr>
                <w:sz w:val="20"/>
                <w:szCs w:val="20"/>
                <w:color w:val="auto"/>
              </w:rPr>
            </w:pPr>
            <w:r>
              <w:rPr>
                <w:rFonts w:ascii="Arial" w:cs="Arial" w:eastAsia="Arial" w:hAnsi="Arial"/>
                <w:sz w:val="14"/>
                <w:szCs w:val="14"/>
                <w:color w:val="0000EE"/>
              </w:rPr>
              <w:t>A-17</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160" w:type="dxa"/>
            <w:vAlign w:val="bottom"/>
            <w:gridSpan w:val="41"/>
            <w:vMerge w:val="continue"/>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0000EE"/>
                <w:w w:val="87"/>
              </w:rPr>
              <w:t>A-11</w:t>
            </w:r>
          </w:p>
        </w:tc>
        <w:tc>
          <w:tcPr>
            <w:tcW w:w="80" w:type="dxa"/>
            <w:vAlign w:val="bottom"/>
          </w:tcPr>
          <w:p>
            <w:pPr>
              <w:spacing w:after="0"/>
              <w:rPr>
                <w:sz w:val="19"/>
                <w:szCs w:val="19"/>
                <w:color w:val="auto"/>
              </w:rPr>
            </w:pPr>
          </w:p>
        </w:tc>
        <w:tc>
          <w:tcPr>
            <w:tcW w:w="204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rPr>
              <w:t>Section 12.14 Parties in Interest</w:t>
            </w:r>
          </w:p>
        </w:tc>
        <w:tc>
          <w:tcPr>
            <w:tcW w:w="2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56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5"/>
          </w:tcPr>
          <w:p>
            <w:pPr>
              <w:spacing w:after="0"/>
              <w:rPr>
                <w:sz w:val="19"/>
                <w:szCs w:val="19"/>
                <w:color w:val="auto"/>
              </w:rPr>
            </w:pP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4"/>
                <w:szCs w:val="14"/>
                <w:color w:val="0000EE"/>
              </w:rPr>
              <w:t>A-18</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6"/>
            <w:vMerge w:val="restart"/>
          </w:tcPr>
          <w:p>
            <w:pPr>
              <w:spacing w:after="0"/>
              <w:rPr>
                <w:sz w:val="20"/>
                <w:szCs w:val="20"/>
                <w:color w:val="auto"/>
              </w:rPr>
            </w:pPr>
            <w:r>
              <w:rPr>
                <w:rFonts w:ascii="Arial" w:cs="Arial" w:eastAsia="Arial" w:hAnsi="Arial"/>
                <w:sz w:val="14"/>
                <w:szCs w:val="14"/>
                <w:color w:val="0000EE"/>
              </w:rPr>
              <w:t>Section 12.15 Severability</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0000EE"/>
                <w:w w:val="87"/>
              </w:rPr>
              <w:t>A-11</w:t>
            </w:r>
          </w:p>
        </w:tc>
        <w:tc>
          <w:tcPr>
            <w:tcW w:w="80" w:type="dxa"/>
            <w:vAlign w:val="bottom"/>
          </w:tcPr>
          <w:p>
            <w:pPr>
              <w:spacing w:after="0"/>
              <w:rPr>
                <w:sz w:val="15"/>
                <w:szCs w:val="15"/>
                <w:color w:val="auto"/>
              </w:rPr>
            </w:pPr>
          </w:p>
        </w:tc>
        <w:tc>
          <w:tcPr>
            <w:tcW w:w="1660" w:type="dxa"/>
            <w:vAlign w:val="bottom"/>
            <w:tcBorders>
              <w:bottom w:val="single" w:sz="8" w:color="0000EE"/>
            </w:tcBorders>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5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17"/>
            <w:vMerge w:val="restart"/>
          </w:tcPr>
          <w:p>
            <w:pPr>
              <w:spacing w:after="0"/>
              <w:rPr>
                <w:sz w:val="20"/>
                <w:szCs w:val="20"/>
                <w:color w:val="auto"/>
              </w:rPr>
            </w:pPr>
            <w:r>
              <w:rPr>
                <w:rFonts w:ascii="Arial" w:cs="Arial" w:eastAsia="Arial" w:hAnsi="Arial"/>
                <w:sz w:val="14"/>
                <w:szCs w:val="14"/>
                <w:color w:val="0000EE"/>
              </w:rPr>
              <w:t>Section 12.16 Compliance with Laws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0000EE"/>
                <w:w w:val="87"/>
              </w:rPr>
              <w:t>A-11</w:t>
            </w:r>
          </w:p>
        </w:tc>
        <w:tc>
          <w:tcPr>
            <w:tcW w:w="80" w:type="dxa"/>
            <w:vAlign w:val="bottom"/>
          </w:tcPr>
          <w:p>
            <w:pPr>
              <w:spacing w:after="0"/>
              <w:rPr>
                <w:sz w:val="15"/>
                <w:szCs w:val="15"/>
                <w:color w:val="auto"/>
              </w:rPr>
            </w:pPr>
          </w:p>
        </w:tc>
        <w:tc>
          <w:tcPr>
            <w:tcW w:w="2400" w:type="dxa"/>
            <w:vAlign w:val="bottom"/>
            <w:tcBorders>
              <w:bottom w:val="single" w:sz="8" w:color="0000EE"/>
            </w:tcBorders>
            <w:gridSpan w:val="17"/>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5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gridSpan w:val="16"/>
            <w:vMerge w:val="restart"/>
          </w:tcPr>
          <w:p>
            <w:pPr>
              <w:spacing w:after="0"/>
              <w:rPr>
                <w:sz w:val="20"/>
                <w:szCs w:val="20"/>
                <w:color w:val="auto"/>
              </w:rPr>
            </w:pPr>
            <w:r>
              <w:rPr>
                <w:rFonts w:ascii="Arial" w:cs="Arial" w:eastAsia="Arial" w:hAnsi="Arial"/>
                <w:sz w:val="14"/>
                <w:szCs w:val="14"/>
                <w:color w:val="0000EE"/>
              </w:rPr>
              <w:t>Section 12.17 No Strict Construction</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0000EE"/>
                <w:w w:val="87"/>
              </w:rPr>
              <w:t>A-11</w:t>
            </w:r>
          </w:p>
        </w:tc>
        <w:tc>
          <w:tcPr>
            <w:tcW w:w="80" w:type="dxa"/>
            <w:vAlign w:val="bottom"/>
          </w:tcPr>
          <w:p>
            <w:pPr>
              <w:spacing w:after="0"/>
              <w:rPr>
                <w:sz w:val="15"/>
                <w:szCs w:val="15"/>
                <w:color w:val="auto"/>
              </w:rPr>
            </w:pPr>
          </w:p>
        </w:tc>
        <w:tc>
          <w:tcPr>
            <w:tcW w:w="2320" w:type="dxa"/>
            <w:vAlign w:val="bottom"/>
            <w:tcBorders>
              <w:bottom w:val="single" w:sz="8" w:color="0000EE"/>
            </w:tcBorders>
            <w:gridSpan w:val="16"/>
            <w:vMerge w:val="continue"/>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5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7"/>
            <w:vMerge w:val="restart"/>
          </w:tcPr>
          <w:p>
            <w:pPr>
              <w:spacing w:after="0"/>
              <w:rPr>
                <w:sz w:val="20"/>
                <w:szCs w:val="20"/>
                <w:color w:val="auto"/>
              </w:rPr>
            </w:pPr>
            <w:r>
              <w:rPr>
                <w:rFonts w:ascii="Arial" w:cs="Arial" w:eastAsia="Arial" w:hAnsi="Arial"/>
                <w:sz w:val="14"/>
                <w:szCs w:val="14"/>
                <w:color w:val="0000EE"/>
              </w:rPr>
              <w:t>Section 12.18 Modification</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0000EE"/>
                <w:w w:val="87"/>
              </w:rPr>
              <w:t>A-11</w:t>
            </w:r>
          </w:p>
        </w:tc>
        <w:tc>
          <w:tcPr>
            <w:tcW w:w="80" w:type="dxa"/>
            <w:vAlign w:val="bottom"/>
          </w:tcPr>
          <w:p>
            <w:pPr>
              <w:spacing w:after="0"/>
              <w:rPr>
                <w:sz w:val="15"/>
                <w:szCs w:val="15"/>
                <w:color w:val="auto"/>
              </w:rPr>
            </w:pPr>
          </w:p>
        </w:tc>
        <w:tc>
          <w:tcPr>
            <w:tcW w:w="1680" w:type="dxa"/>
            <w:vAlign w:val="bottom"/>
            <w:tcBorders>
              <w:bottom w:val="single" w:sz="8" w:color="0000EE"/>
            </w:tcBorders>
            <w:gridSpan w:val="7"/>
            <w:vMerge w:val="continue"/>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5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9"/>
            <w:vMerge w:val="restart"/>
          </w:tcPr>
          <w:p>
            <w:pPr>
              <w:spacing w:after="0"/>
              <w:rPr>
                <w:sz w:val="20"/>
                <w:szCs w:val="20"/>
                <w:color w:val="auto"/>
              </w:rPr>
            </w:pPr>
            <w:r>
              <w:rPr>
                <w:rFonts w:ascii="Arial" w:cs="Arial" w:eastAsia="Arial" w:hAnsi="Arial"/>
                <w:sz w:val="14"/>
                <w:szCs w:val="14"/>
                <w:color w:val="0000EE"/>
              </w:rPr>
              <w:t>Section 12.19 Governing Law</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A-12</w:t>
            </w:r>
          </w:p>
        </w:tc>
        <w:tc>
          <w:tcPr>
            <w:tcW w:w="80" w:type="dxa"/>
            <w:vAlign w:val="bottom"/>
          </w:tcPr>
          <w:p>
            <w:pPr>
              <w:spacing w:after="0"/>
              <w:rPr>
                <w:sz w:val="15"/>
                <w:szCs w:val="15"/>
                <w:color w:val="auto"/>
              </w:rPr>
            </w:pPr>
          </w:p>
        </w:tc>
        <w:tc>
          <w:tcPr>
            <w:tcW w:w="1880" w:type="dxa"/>
            <w:vAlign w:val="bottom"/>
            <w:tcBorders>
              <w:bottom w:val="single" w:sz="8" w:color="0000EE"/>
            </w:tcBorders>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5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11"/>
            <w:vMerge w:val="restart"/>
          </w:tcPr>
          <w:p>
            <w:pPr>
              <w:spacing w:after="0"/>
              <w:rPr>
                <w:sz w:val="20"/>
                <w:szCs w:val="20"/>
                <w:color w:val="auto"/>
              </w:rPr>
            </w:pPr>
            <w:r>
              <w:rPr>
                <w:rFonts w:ascii="Arial" w:cs="Arial" w:eastAsia="Arial" w:hAnsi="Arial"/>
                <w:sz w:val="14"/>
                <w:szCs w:val="14"/>
                <w:color w:val="0000EE"/>
              </w:rPr>
              <w:t>Section 12.20 Clawback Policy</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A-12</w:t>
            </w:r>
          </w:p>
        </w:tc>
        <w:tc>
          <w:tcPr>
            <w:tcW w:w="80" w:type="dxa"/>
            <w:vAlign w:val="bottom"/>
          </w:tcPr>
          <w:p>
            <w:pPr>
              <w:spacing w:after="0"/>
              <w:rPr>
                <w:sz w:val="15"/>
                <w:szCs w:val="15"/>
                <w:color w:val="auto"/>
              </w:rPr>
            </w:pPr>
          </w:p>
        </w:tc>
        <w:tc>
          <w:tcPr>
            <w:tcW w:w="1980" w:type="dxa"/>
            <w:vAlign w:val="bottom"/>
            <w:tcBorders>
              <w:bottom w:val="single" w:sz="8" w:color="0000EE"/>
            </w:tcBorders>
            <w:gridSpan w:val="11"/>
            <w:vMerge w:val="continue"/>
          </w:tcPr>
          <w:p>
            <w:pPr>
              <w:spacing w:after="0"/>
              <w:rPr>
                <w:sz w:val="15"/>
                <w:szCs w:val="15"/>
                <w:color w:val="auto"/>
              </w:rPr>
            </w:pPr>
          </w:p>
        </w:tc>
        <w:tc>
          <w:tcPr>
            <w:tcW w:w="52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5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18"/>
            <w:vMerge w:val="restart"/>
          </w:tcPr>
          <w:p>
            <w:pPr>
              <w:spacing w:after="0"/>
              <w:rPr>
                <w:sz w:val="20"/>
                <w:szCs w:val="20"/>
                <w:color w:val="auto"/>
              </w:rPr>
            </w:pPr>
            <w:r>
              <w:rPr>
                <w:rFonts w:ascii="Arial" w:cs="Arial" w:eastAsia="Arial" w:hAnsi="Arial"/>
                <w:sz w:val="14"/>
                <w:szCs w:val="14"/>
                <w:color w:val="0000EE"/>
              </w:rPr>
              <w:t>ARTICLE XIII CHANGE OF CONTROL</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A-12</w:t>
            </w:r>
          </w:p>
        </w:tc>
        <w:tc>
          <w:tcPr>
            <w:tcW w:w="80" w:type="dxa"/>
            <w:vAlign w:val="bottom"/>
          </w:tcPr>
          <w:p>
            <w:pPr>
              <w:spacing w:after="0"/>
              <w:rPr>
                <w:sz w:val="15"/>
                <w:szCs w:val="15"/>
                <w:color w:val="auto"/>
              </w:rPr>
            </w:pPr>
          </w:p>
        </w:tc>
        <w:tc>
          <w:tcPr>
            <w:tcW w:w="2500" w:type="dxa"/>
            <w:vAlign w:val="bottom"/>
            <w:tcBorders>
              <w:bottom w:val="single" w:sz="8" w:color="0000EE"/>
            </w:tcBorders>
            <w:gridSpan w:val="18"/>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5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gridSpan w:val="24"/>
            <w:vMerge w:val="restart"/>
          </w:tcPr>
          <w:p>
            <w:pPr>
              <w:spacing w:after="0"/>
              <w:rPr>
                <w:sz w:val="20"/>
                <w:szCs w:val="20"/>
                <w:color w:val="auto"/>
              </w:rPr>
            </w:pPr>
            <w:r>
              <w:rPr>
                <w:rFonts w:ascii="Arial" w:cs="Arial" w:eastAsia="Arial" w:hAnsi="Arial"/>
                <w:sz w:val="14"/>
                <w:szCs w:val="14"/>
                <w:color w:val="0000EE"/>
              </w:rPr>
              <w:t>Section 13.1 Impact of Change of Control</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A-12</w:t>
            </w:r>
          </w:p>
        </w:tc>
        <w:tc>
          <w:tcPr>
            <w:tcW w:w="80" w:type="dxa"/>
            <w:vAlign w:val="bottom"/>
          </w:tcPr>
          <w:p>
            <w:pPr>
              <w:spacing w:after="0"/>
              <w:rPr>
                <w:sz w:val="15"/>
                <w:szCs w:val="15"/>
                <w:color w:val="auto"/>
              </w:rPr>
            </w:pPr>
          </w:p>
        </w:tc>
        <w:tc>
          <w:tcPr>
            <w:tcW w:w="2640" w:type="dxa"/>
            <w:vAlign w:val="bottom"/>
            <w:tcBorders>
              <w:bottom w:val="single" w:sz="8" w:color="0000EE"/>
            </w:tcBorders>
            <w:gridSpan w:val="24"/>
            <w:vMerge w:val="continue"/>
          </w:tcPr>
          <w:p>
            <w:pPr>
              <w:spacing w:after="0"/>
              <w:rPr>
                <w:sz w:val="15"/>
                <w:szCs w:val="15"/>
                <w:color w:val="auto"/>
              </w:rPr>
            </w:pPr>
          </w:p>
        </w:tc>
        <w:tc>
          <w:tcPr>
            <w:tcW w:w="5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33"/>
            <w:vMerge w:val="restart"/>
          </w:tcPr>
          <w:p>
            <w:pPr>
              <w:spacing w:after="0"/>
              <w:rPr>
                <w:sz w:val="20"/>
                <w:szCs w:val="20"/>
                <w:color w:val="auto"/>
              </w:rPr>
            </w:pPr>
            <w:r>
              <w:rPr>
                <w:rFonts w:ascii="Arial" w:cs="Arial" w:eastAsia="Arial" w:hAnsi="Arial"/>
                <w:sz w:val="14"/>
                <w:szCs w:val="14"/>
                <w:color w:val="0000EE"/>
              </w:rPr>
              <w:t>Section 13.2 Assumption Upon Change of Control</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A-19</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A-12</w:t>
            </w:r>
          </w:p>
        </w:tc>
        <w:tc>
          <w:tcPr>
            <w:tcW w:w="80" w:type="dxa"/>
            <w:vAlign w:val="bottom"/>
          </w:tcPr>
          <w:p>
            <w:pPr>
              <w:spacing w:after="0"/>
              <w:rPr>
                <w:sz w:val="15"/>
                <w:szCs w:val="15"/>
                <w:color w:val="auto"/>
              </w:rPr>
            </w:pPr>
          </w:p>
        </w:tc>
        <w:tc>
          <w:tcPr>
            <w:tcW w:w="3200" w:type="dxa"/>
            <w:vAlign w:val="bottom"/>
            <w:tcBorders>
              <w:bottom w:val="single" w:sz="8" w:color="0000EE"/>
            </w:tcBorders>
            <w:gridSpan w:val="33"/>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34"/>
            <w:vMerge w:val="restart"/>
          </w:tcPr>
          <w:p>
            <w:pPr>
              <w:spacing w:after="0"/>
              <w:rPr>
                <w:sz w:val="20"/>
                <w:szCs w:val="20"/>
                <w:color w:val="auto"/>
              </w:rPr>
            </w:pPr>
            <w:r>
              <w:rPr>
                <w:rFonts w:ascii="Arial" w:cs="Arial" w:eastAsia="Arial" w:hAnsi="Arial"/>
                <w:sz w:val="14"/>
                <w:szCs w:val="14"/>
                <w:color w:val="0000EE"/>
              </w:rPr>
              <w:t>ARTICLE XIV AMENDMENT AND TERMINATION</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A-19</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A-12</w:t>
            </w:r>
          </w:p>
        </w:tc>
        <w:tc>
          <w:tcPr>
            <w:tcW w:w="80" w:type="dxa"/>
            <w:vAlign w:val="bottom"/>
          </w:tcPr>
          <w:p>
            <w:pPr>
              <w:spacing w:after="0"/>
              <w:rPr>
                <w:sz w:val="15"/>
                <w:szCs w:val="15"/>
                <w:color w:val="auto"/>
              </w:rPr>
            </w:pPr>
          </w:p>
        </w:tc>
        <w:tc>
          <w:tcPr>
            <w:tcW w:w="3220" w:type="dxa"/>
            <w:vAlign w:val="bottom"/>
            <w:tcBorders>
              <w:bottom w:val="single" w:sz="8" w:color="0000EE"/>
            </w:tcBorders>
            <w:gridSpan w:val="34"/>
            <w:vMerge w:val="continue"/>
          </w:tcPr>
          <w:p>
            <w:pPr>
              <w:spacing w:after="0"/>
              <w:rPr>
                <w:sz w:val="15"/>
                <w:szCs w:val="15"/>
                <w:color w:val="auto"/>
              </w:rPr>
            </w:pPr>
          </w:p>
        </w:tc>
        <w:tc>
          <w:tcPr>
            <w:tcW w:w="680" w:type="dxa"/>
            <w:vAlign w:val="bottom"/>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gridSpan w:val="20"/>
            <w:vMerge w:val="restart"/>
          </w:tcPr>
          <w:p>
            <w:pPr>
              <w:spacing w:after="0"/>
              <w:rPr>
                <w:sz w:val="20"/>
                <w:szCs w:val="20"/>
                <w:color w:val="auto"/>
              </w:rPr>
            </w:pPr>
            <w:r>
              <w:rPr>
                <w:rFonts w:ascii="Arial" w:cs="Arial" w:eastAsia="Arial" w:hAnsi="Arial"/>
                <w:sz w:val="14"/>
                <w:szCs w:val="14"/>
                <w:color w:val="0000EE"/>
              </w:rPr>
              <w:t>Section 14.1 Amendment; No Repricing</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A-19</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A-12</w:t>
            </w:r>
          </w:p>
        </w:tc>
        <w:tc>
          <w:tcPr>
            <w:tcW w:w="80" w:type="dxa"/>
            <w:vAlign w:val="bottom"/>
          </w:tcPr>
          <w:p>
            <w:pPr>
              <w:spacing w:after="0"/>
              <w:rPr>
                <w:sz w:val="15"/>
                <w:szCs w:val="15"/>
                <w:color w:val="auto"/>
              </w:rPr>
            </w:pPr>
          </w:p>
        </w:tc>
        <w:tc>
          <w:tcPr>
            <w:tcW w:w="2540" w:type="dxa"/>
            <w:vAlign w:val="bottom"/>
            <w:tcBorders>
              <w:bottom w:val="single" w:sz="8" w:color="0000EE"/>
            </w:tcBorders>
            <w:gridSpan w:val="20"/>
            <w:vMerge w:val="continue"/>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18"/>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gridSpan w:val="21"/>
            <w:vMerge w:val="restart"/>
          </w:tcPr>
          <w:p>
            <w:pPr>
              <w:spacing w:after="0"/>
              <w:rPr>
                <w:sz w:val="20"/>
                <w:szCs w:val="20"/>
                <w:color w:val="auto"/>
              </w:rPr>
            </w:pPr>
            <w:r>
              <w:rPr>
                <w:rFonts w:ascii="Arial" w:cs="Arial" w:eastAsia="Arial" w:hAnsi="Arial"/>
                <w:sz w:val="14"/>
                <w:szCs w:val="14"/>
                <w:color w:val="0000EE"/>
              </w:rPr>
              <w:t>Section 14.2 Suspension or Termination</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color w:val="0000EE"/>
              </w:rPr>
              <w:t>A-19</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A-12</w:t>
            </w:r>
          </w:p>
        </w:tc>
        <w:tc>
          <w:tcPr>
            <w:tcW w:w="80" w:type="dxa"/>
            <w:vAlign w:val="bottom"/>
          </w:tcPr>
          <w:p>
            <w:pPr>
              <w:spacing w:after="0"/>
              <w:rPr>
                <w:sz w:val="15"/>
                <w:szCs w:val="15"/>
                <w:color w:val="auto"/>
              </w:rPr>
            </w:pPr>
          </w:p>
        </w:tc>
        <w:tc>
          <w:tcPr>
            <w:tcW w:w="2560" w:type="dxa"/>
            <w:vAlign w:val="bottom"/>
            <w:tcBorders>
              <w:bottom w:val="single" w:sz="8" w:color="0000EE"/>
            </w:tcBorders>
            <w:gridSpan w:val="21"/>
            <w:vMerge w:val="continue"/>
          </w:tcPr>
          <w:p>
            <w:pPr>
              <w:spacing w:after="0"/>
              <w:rPr>
                <w:sz w:val="15"/>
                <w:szCs w:val="15"/>
                <w:color w:val="auto"/>
              </w:rPr>
            </w:pPr>
          </w:p>
        </w:tc>
        <w:tc>
          <w:tcPr>
            <w:tcW w:w="1340" w:type="dxa"/>
            <w:vAlign w:val="bottom"/>
            <w:gridSpan w:val="18"/>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EE"/>
            </w:tcBorders>
            <w:gridSpan w:val="2"/>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10"/>
            <w:vMerge w:val="restart"/>
          </w:tcPr>
          <w:p>
            <w:pPr>
              <w:spacing w:after="0"/>
              <w:rPr>
                <w:sz w:val="20"/>
                <w:szCs w:val="20"/>
                <w:color w:val="auto"/>
              </w:rPr>
            </w:pPr>
            <w:r>
              <w:rPr>
                <w:rFonts w:ascii="Arial" w:cs="Arial" w:eastAsia="Arial" w:hAnsi="Arial"/>
                <w:sz w:val="14"/>
                <w:szCs w:val="14"/>
                <w:color w:val="0000EE"/>
              </w:rPr>
              <w:t>ARTICLE XV SECTION 409A</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vMerge w:val="restart"/>
          </w:tcPr>
          <w:p>
            <w:pPr>
              <w:jc w:val="center"/>
              <w:spacing w:after="0"/>
              <w:rPr>
                <w:sz w:val="20"/>
                <w:szCs w:val="20"/>
                <w:color w:val="auto"/>
              </w:rPr>
            </w:pPr>
            <w:r>
              <w:rPr>
                <w:rFonts w:ascii="Arial" w:cs="Arial" w:eastAsia="Arial" w:hAnsi="Arial"/>
                <w:sz w:val="14"/>
                <w:szCs w:val="14"/>
                <w:color w:val="0000EE"/>
              </w:rPr>
              <w:t>A-20</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A-13</w:t>
            </w:r>
          </w:p>
        </w:tc>
        <w:tc>
          <w:tcPr>
            <w:tcW w:w="80" w:type="dxa"/>
            <w:vAlign w:val="bottom"/>
          </w:tcPr>
          <w:p>
            <w:pPr>
              <w:spacing w:after="0"/>
              <w:rPr>
                <w:sz w:val="15"/>
                <w:szCs w:val="15"/>
                <w:color w:val="auto"/>
              </w:rPr>
            </w:pPr>
          </w:p>
        </w:tc>
        <w:tc>
          <w:tcPr>
            <w:tcW w:w="1900" w:type="dxa"/>
            <w:vAlign w:val="bottom"/>
            <w:tcBorders>
              <w:bottom w:val="single" w:sz="8" w:color="0000EE"/>
            </w:tcBorders>
            <w:gridSpan w:val="10"/>
            <w:vMerge w:val="continue"/>
          </w:tcPr>
          <w:p>
            <w:pPr>
              <w:spacing w:after="0"/>
              <w:rPr>
                <w:sz w:val="15"/>
                <w:szCs w:val="15"/>
                <w:color w:val="auto"/>
              </w:rPr>
            </w:pPr>
          </w:p>
        </w:tc>
        <w:tc>
          <w:tcPr>
            <w:tcW w:w="2000" w:type="dxa"/>
            <w:vAlign w:val="bottom"/>
            <w:gridSpan w:val="29"/>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0000EE"/>
            </w:tcBorders>
            <w:gridSpan w:val="3"/>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9"/>
            <w:vMerge w:val="restart"/>
          </w:tcPr>
          <w:p>
            <w:pPr>
              <w:spacing w:after="0"/>
              <w:rPr>
                <w:sz w:val="20"/>
                <w:szCs w:val="20"/>
                <w:color w:val="auto"/>
              </w:rPr>
            </w:pPr>
            <w:r>
              <w:rPr>
                <w:rFonts w:ascii="Arial" w:cs="Arial" w:eastAsia="Arial" w:hAnsi="Arial"/>
                <w:sz w:val="14"/>
                <w:szCs w:val="14"/>
                <w:color w:val="0000EE"/>
              </w:rPr>
              <w:t>ARTICLE XVI EFFECTIVE DATE AND TERM OF THE PLAN</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vMerge w:val="restart"/>
          </w:tcPr>
          <w:p>
            <w:pPr>
              <w:jc w:val="center"/>
              <w:spacing w:after="0"/>
              <w:rPr>
                <w:sz w:val="20"/>
                <w:szCs w:val="20"/>
                <w:color w:val="auto"/>
              </w:rPr>
            </w:pPr>
            <w:r>
              <w:rPr>
                <w:rFonts w:ascii="Arial" w:cs="Arial" w:eastAsia="Arial" w:hAnsi="Arial"/>
                <w:sz w:val="14"/>
                <w:szCs w:val="14"/>
                <w:color w:val="0000EE"/>
              </w:rPr>
              <w:t>A-20</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A-13</w:t>
            </w:r>
          </w:p>
        </w:tc>
        <w:tc>
          <w:tcPr>
            <w:tcW w:w="80" w:type="dxa"/>
            <w:vAlign w:val="bottom"/>
          </w:tcPr>
          <w:p>
            <w:pPr>
              <w:spacing w:after="0"/>
              <w:rPr>
                <w:sz w:val="15"/>
                <w:szCs w:val="15"/>
                <w:color w:val="auto"/>
              </w:rPr>
            </w:pPr>
          </w:p>
        </w:tc>
        <w:tc>
          <w:tcPr>
            <w:tcW w:w="3900" w:type="dxa"/>
            <w:vAlign w:val="bottom"/>
            <w:tcBorders>
              <w:bottom w:val="single" w:sz="8" w:color="0000EE"/>
            </w:tcBorders>
            <w:gridSpan w:val="39"/>
            <w:vMerge w:val="continue"/>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0000EE"/>
            </w:tcBorders>
            <w:gridSpan w:val="3"/>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3"/>
          </w:tcPr>
          <w:p>
            <w:pPr>
              <w:jc w:val="center"/>
              <w:ind w:right="40"/>
              <w:spacing w:after="0"/>
              <w:rPr>
                <w:sz w:val="20"/>
                <w:szCs w:val="20"/>
                <w:color w:val="auto"/>
              </w:rPr>
            </w:pPr>
            <w:r>
              <w:rPr>
                <w:rFonts w:ascii="Arial" w:cs="Arial" w:eastAsia="Arial" w:hAnsi="Arial"/>
                <w:sz w:val="14"/>
                <w:szCs w:val="14"/>
                <w:color w:val="0000EE"/>
              </w:rPr>
              <w:t>A-13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-7277100</wp:posOffset>
            </wp:positionV>
            <wp:extent cx="4431665" cy="11112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4431665" cy="11112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111760</wp:posOffset>
            </wp:positionV>
            <wp:extent cx="6995160" cy="171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140" w:space="200"/>
            <w:col w:w="5100"/>
          </w:cols>
          <w:pgMar w:left="1240" w:top="114" w:right="12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4431665" cy="13716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4431665"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PROXY STATEMENT - 2026</w:t>
        <w:tab/>
        <w:t>A-3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 ENTERTAINMENT,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2022 LONG TERM INCENTIVE COMPENSATION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AMENDED JUNE 16, 2026</w:t>
      </w: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ARTICLE I</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PURPOSE</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The 2022 Long Term Incentive Compensation Plan is intended to advance the interests of PENN Entertainment, Inc., a Pennsylvania corporation, and its shareholders by providing a means by which the Company and its subsidiaries and affiliates shall be able to motivate selected Employees, Directors and Consultants to direct their efforts to those activities that will contribute materially to the Company’s success. The Plan is also intended to serve the best interests of the shareholders by linking remunerative benefits paid to selected Employees, Directors and Consultants who have substantial responsibility for the successful operation, administration and management of the Company and/or its subsidiaries and affiliates with the enhancement of shareholder value while such selected Employees, Directors and Consultants increase their proprietary interest in the Company. Finally, the Plan is intended to enable the Company to attract and retain in its service highly qualified persons for the successful conduct of its business.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DEFINITIONS AND CONSTRUCTION</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2.1    </w:t>
        <w:tab/>
        <w:t>DEFINITIONS</w:t>
      </w:r>
    </w:p>
    <w:p>
      <w:pPr>
        <w:spacing w:after="0" w:line="15"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The following words and phrases when used in the Plan with an initial capital letter, unless their context clearly indicates to the contrary, shall have the respective meanings set forth below in this Section 2.1:</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Act. </w:t>
      </w:r>
      <w:r>
        <w:rPr>
          <w:rFonts w:ascii="Arial" w:cs="Arial" w:eastAsia="Arial" w:hAnsi="Arial"/>
          <w:sz w:val="14"/>
          <w:szCs w:val="14"/>
          <w:color w:val="auto"/>
        </w:rPr>
        <w:t>The Securities Exchange Act of 1934, as now in effect or as hereafter amended from time to time.</w:t>
      </w:r>
    </w:p>
    <w:p>
      <w:pPr>
        <w:spacing w:after="0" w:line="109" w:lineRule="exact"/>
        <w:rPr>
          <w:sz w:val="20"/>
          <w:szCs w:val="20"/>
          <w:color w:val="auto"/>
        </w:rPr>
      </w:pPr>
    </w:p>
    <w:p>
      <w:pPr>
        <w:ind w:left="220" w:right="440"/>
        <w:spacing w:after="0" w:line="285" w:lineRule="auto"/>
        <w:rPr>
          <w:sz w:val="20"/>
          <w:szCs w:val="20"/>
          <w:color w:val="auto"/>
        </w:rPr>
      </w:pPr>
      <w:r>
        <w:rPr>
          <w:rFonts w:ascii="Arial" w:cs="Arial" w:eastAsia="Arial" w:hAnsi="Arial"/>
          <w:sz w:val="14"/>
          <w:szCs w:val="14"/>
          <w:b w:val="1"/>
          <w:bCs w:val="1"/>
          <w:i w:val="1"/>
          <w:iCs w:val="1"/>
          <w:color w:val="auto"/>
        </w:rPr>
        <w:t xml:space="preserve">Award. </w:t>
      </w:r>
      <w:r>
        <w:rPr>
          <w:rFonts w:ascii="Arial" w:cs="Arial" w:eastAsia="Arial" w:hAnsi="Arial"/>
          <w:sz w:val="14"/>
          <w:szCs w:val="14"/>
          <w:color w:val="auto"/>
        </w:rPr>
        <w:t>A grant of one of the following under the Plan: “Stock Option Award,” “Stock Appreciation Right Award,” “Restricted Stock Award,”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“Restricted Stock Unit Award,” “Other Award,” and “Performance Award,” all as further defined herein.</w:t>
      </w:r>
    </w:p>
    <w:p>
      <w:pPr>
        <w:spacing w:after="0" w:line="50" w:lineRule="exact"/>
        <w:rPr>
          <w:sz w:val="20"/>
          <w:szCs w:val="20"/>
          <w:color w:val="auto"/>
        </w:rPr>
      </w:pPr>
    </w:p>
    <w:p>
      <w:pPr>
        <w:ind w:left="220" w:right="320"/>
        <w:spacing w:after="0" w:line="256" w:lineRule="auto"/>
        <w:rPr>
          <w:sz w:val="20"/>
          <w:szCs w:val="20"/>
          <w:color w:val="auto"/>
        </w:rPr>
      </w:pPr>
      <w:r>
        <w:rPr>
          <w:rFonts w:ascii="Arial" w:cs="Arial" w:eastAsia="Arial" w:hAnsi="Arial"/>
          <w:sz w:val="14"/>
          <w:szCs w:val="14"/>
          <w:b w:val="1"/>
          <w:bCs w:val="1"/>
          <w:i w:val="1"/>
          <w:iCs w:val="1"/>
          <w:color w:val="auto"/>
        </w:rPr>
        <w:t xml:space="preserve">Award Agreement. </w:t>
      </w:r>
      <w:r>
        <w:rPr>
          <w:rFonts w:ascii="Arial" w:cs="Arial" w:eastAsia="Arial" w:hAnsi="Arial"/>
          <w:sz w:val="14"/>
          <w:szCs w:val="14"/>
          <w:color w:val="auto"/>
        </w:rPr>
        <w:t>The written instrument delivered by the Company to a Grantee evidencing an Award, and setting forth such terms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conditions of the Award, including, without limitation, any restrictive covenants, as may be deemed appropriate by the Grantor. The Award Agreement shall be in a form approved by the Grantor, and once executed, shall be amended from time to time to include such additional or amended terms and conditions as the Grantor may specify after the execution in the exercise of the Grantor’s powers under the Plan.</w:t>
      </w:r>
    </w:p>
    <w:p>
      <w:pPr>
        <w:spacing w:after="0" w:line="69" w:lineRule="exact"/>
        <w:rPr>
          <w:sz w:val="20"/>
          <w:szCs w:val="20"/>
          <w:color w:val="auto"/>
        </w:rPr>
      </w:pPr>
    </w:p>
    <w:p>
      <w:pPr>
        <w:ind w:left="220" w:right="100"/>
        <w:spacing w:after="0" w:line="256" w:lineRule="auto"/>
        <w:rPr>
          <w:sz w:val="20"/>
          <w:szCs w:val="20"/>
          <w:color w:val="auto"/>
        </w:rPr>
      </w:pPr>
      <w:r>
        <w:rPr>
          <w:rFonts w:ascii="Arial" w:cs="Arial" w:eastAsia="Arial" w:hAnsi="Arial"/>
          <w:sz w:val="14"/>
          <w:szCs w:val="14"/>
          <w:b w:val="1"/>
          <w:bCs w:val="1"/>
          <w:i w:val="1"/>
          <w:iCs w:val="1"/>
          <w:color w:val="auto"/>
        </w:rPr>
        <w:t xml:space="preserve">Award Period. </w:t>
      </w:r>
      <w:r>
        <w:rPr>
          <w:rFonts w:ascii="Arial" w:cs="Arial" w:eastAsia="Arial" w:hAnsi="Arial"/>
          <w:sz w:val="14"/>
          <w:szCs w:val="14"/>
          <w:color w:val="auto"/>
        </w:rPr>
        <w:t>With respect to a Performance Award, a period of one or more Performance Periods, beginning on the first day of the first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 Period, and ending on the date following the end of the final Performance Period that the Committee makes its determination with respect to the final vesting of the Performance Award or, if earlier, the date of the Committee determination following a Change of Control in accordance with Article XIII.</w:t>
      </w:r>
    </w:p>
    <w:p>
      <w:pPr>
        <w:spacing w:after="0" w:line="69" w:lineRule="exact"/>
        <w:rPr>
          <w:sz w:val="20"/>
          <w:szCs w:val="20"/>
          <w:color w:val="auto"/>
        </w:rPr>
      </w:pPr>
    </w:p>
    <w:p>
      <w:pPr>
        <w:ind w:left="220" w:right="20"/>
        <w:spacing w:after="0" w:line="256" w:lineRule="auto"/>
        <w:rPr>
          <w:sz w:val="20"/>
          <w:szCs w:val="20"/>
          <w:color w:val="auto"/>
        </w:rPr>
      </w:pPr>
      <w:r>
        <w:rPr>
          <w:rFonts w:ascii="Arial" w:cs="Arial" w:eastAsia="Arial" w:hAnsi="Arial"/>
          <w:sz w:val="14"/>
          <w:szCs w:val="14"/>
          <w:b w:val="1"/>
          <w:bCs w:val="1"/>
          <w:i w:val="1"/>
          <w:iCs w:val="1"/>
          <w:color w:val="auto"/>
        </w:rPr>
        <w:t xml:space="preserve">Award Target. </w:t>
      </w:r>
      <w:r>
        <w:rPr>
          <w:rFonts w:ascii="Arial" w:cs="Arial" w:eastAsia="Arial" w:hAnsi="Arial"/>
          <w:sz w:val="14"/>
          <w:szCs w:val="14"/>
          <w:color w:val="auto"/>
        </w:rPr>
        <w:t>With respect to a Grantee’s Performance Award for an Award Period, a percentage of such Grantee’s total target long-term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incentive value calculated at the beginning of the Award Period and expressed as a number of Performance Shares and/or Performance Units, or, in the Grantor’s discretion, as a dollar amount. The Award Target may be allocated by the Grantor among the Performance Periods within the Award Period.</w:t>
      </w:r>
    </w:p>
    <w:p>
      <w:pPr>
        <w:spacing w:after="0" w:line="69" w:lineRule="exact"/>
        <w:rPr>
          <w:sz w:val="20"/>
          <w:szCs w:val="20"/>
          <w:color w:val="auto"/>
        </w:rPr>
      </w:pPr>
    </w:p>
    <w:p>
      <w:pPr>
        <w:ind w:left="220" w:right="20"/>
        <w:spacing w:after="0" w:line="285" w:lineRule="auto"/>
        <w:rPr>
          <w:sz w:val="20"/>
          <w:szCs w:val="20"/>
          <w:color w:val="auto"/>
        </w:rPr>
      </w:pPr>
      <w:r>
        <w:rPr>
          <w:rFonts w:ascii="Arial" w:cs="Arial" w:eastAsia="Arial" w:hAnsi="Arial"/>
          <w:sz w:val="14"/>
          <w:szCs w:val="14"/>
          <w:b w:val="1"/>
          <w:bCs w:val="1"/>
          <w:i w:val="1"/>
          <w:iCs w:val="1"/>
          <w:color w:val="auto"/>
        </w:rPr>
        <w:t xml:space="preserve">Beneficiary. </w:t>
      </w:r>
      <w:r>
        <w:rPr>
          <w:rFonts w:ascii="Arial" w:cs="Arial" w:eastAsia="Arial" w:hAnsi="Arial"/>
          <w:sz w:val="14"/>
          <w:szCs w:val="14"/>
          <w:color w:val="auto"/>
        </w:rPr>
        <w:t>Any individual, estate or trust who or which by designation of a Holder pursuant to Section 12.3 or operation of law succeeds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rights and obligations of the Holder under the Plan and one or more Award Agreements.</w:t>
      </w:r>
    </w:p>
    <w:p>
      <w:pPr>
        <w:spacing w:after="0" w:line="50" w:lineRule="exact"/>
        <w:rPr>
          <w:sz w:val="20"/>
          <w:szCs w:val="20"/>
          <w:color w:val="auto"/>
        </w:rPr>
      </w:pPr>
    </w:p>
    <w:p>
      <w:pPr>
        <w:ind w:left="220" w:right="420"/>
        <w:spacing w:after="0" w:line="285" w:lineRule="auto"/>
        <w:rPr>
          <w:sz w:val="20"/>
          <w:szCs w:val="20"/>
          <w:color w:val="auto"/>
        </w:rPr>
      </w:pPr>
      <w:r>
        <w:rPr>
          <w:rFonts w:ascii="Arial" w:cs="Arial" w:eastAsia="Arial" w:hAnsi="Arial"/>
          <w:sz w:val="14"/>
          <w:szCs w:val="14"/>
          <w:b w:val="1"/>
          <w:bCs w:val="1"/>
          <w:i w:val="1"/>
          <w:iCs w:val="1"/>
          <w:color w:val="auto"/>
        </w:rPr>
        <w:t xml:space="preserve">Board. </w:t>
      </w:r>
      <w:r>
        <w:rPr>
          <w:rFonts w:ascii="Arial" w:cs="Arial" w:eastAsia="Arial" w:hAnsi="Arial"/>
          <w:sz w:val="14"/>
          <w:szCs w:val="14"/>
          <w:color w:val="auto"/>
        </w:rPr>
        <w:t>The Board of Directors of the Company, as it may be constituted from time to time. For the avoidance of doubt, the Board shall not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include any director emeritus or chairman emeritus.</w:t>
      </w:r>
    </w:p>
    <w:p>
      <w:pPr>
        <w:spacing w:after="0" w:line="50" w:lineRule="exact"/>
        <w:rPr>
          <w:sz w:val="20"/>
          <w:szCs w:val="20"/>
          <w:color w:val="auto"/>
        </w:rPr>
      </w:pPr>
    </w:p>
    <w:p>
      <w:pPr>
        <w:ind w:left="220" w:right="40"/>
        <w:spacing w:after="0" w:line="248" w:lineRule="auto"/>
        <w:rPr>
          <w:sz w:val="20"/>
          <w:szCs w:val="20"/>
          <w:color w:val="auto"/>
        </w:rPr>
      </w:pPr>
      <w:r>
        <w:rPr>
          <w:rFonts w:ascii="Arial" w:cs="Arial" w:eastAsia="Arial" w:hAnsi="Arial"/>
          <w:sz w:val="14"/>
          <w:szCs w:val="14"/>
          <w:b w:val="1"/>
          <w:bCs w:val="1"/>
          <w:i w:val="1"/>
          <w:iCs w:val="1"/>
          <w:color w:val="auto"/>
        </w:rPr>
        <w:t xml:space="preserve">Cause. </w:t>
      </w:r>
      <w:r>
        <w:rPr>
          <w:rFonts w:ascii="Arial" w:cs="Arial" w:eastAsia="Arial" w:hAnsi="Arial"/>
          <w:sz w:val="14"/>
          <w:szCs w:val="14"/>
          <w:color w:val="auto"/>
        </w:rPr>
        <w:t>“Cause” will have the meaning set forth in a Participant’s individual employment agreement or contract or severance agreement with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or its applicable Subsidiary (each, an “</w:t>
      </w:r>
      <w:r>
        <w:rPr>
          <w:rFonts w:ascii="Arial" w:cs="Arial" w:eastAsia="Arial" w:hAnsi="Arial"/>
          <w:sz w:val="14"/>
          <w:szCs w:val="14"/>
          <w:b w:val="1"/>
          <w:bCs w:val="1"/>
          <w:i w:val="1"/>
          <w:iCs w:val="1"/>
          <w:color w:val="auto"/>
        </w:rPr>
        <w:t>Individual Agreement</w:t>
      </w:r>
      <w:r>
        <w:rPr>
          <w:rFonts w:ascii="Arial" w:cs="Arial" w:eastAsia="Arial" w:hAnsi="Arial"/>
          <w:sz w:val="14"/>
          <w:szCs w:val="14"/>
          <w:color w:val="auto"/>
        </w:rPr>
        <w:t>”) and, if such Individual Agreement does not provide a definition for “Cause” or a Participant does not have an Individual Agreement with the Company or its Subsidiaries, then “Cause” means fraud, embezzlement, theft or dishonesty against the Company, conviction of a felony, willful misconduct, being found unsuitable by a regulatory authority having jurisdiction over the Company, willful and wrongful disclosure of confidential information, engagement in competition with the Company and any other conduct defined as cause in any agreement between a Grantee and the Company or any Subsidiary, in each case during employment with the Company and all Subsidiaries or service as a Director, as the case may be.</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CEO. </w:t>
      </w:r>
      <w:r>
        <w:rPr>
          <w:rFonts w:ascii="Arial" w:cs="Arial" w:eastAsia="Arial" w:hAnsi="Arial"/>
          <w:sz w:val="14"/>
          <w:szCs w:val="14"/>
          <w:color w:val="auto"/>
        </w:rPr>
        <w:t>The Chief Executive Officer of the Company or his or her designee(s).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102870</wp:posOffset>
            </wp:positionV>
            <wp:extent cx="4431665" cy="11112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4431665"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A-4</w:t>
        <w:tab/>
        <w:t>PROXY STATEMENT - 2026</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10035"/>
        </w:rPr>
        <w:t>Change of Control.</w:t>
      </w:r>
    </w:p>
    <w:p>
      <w:pPr>
        <w:spacing w:after="0" w:line="107" w:lineRule="exact"/>
        <w:rPr>
          <w:sz w:val="20"/>
          <w:szCs w:val="20"/>
          <w:color w:val="auto"/>
        </w:rPr>
      </w:pPr>
    </w:p>
    <w:p>
      <w:pPr>
        <w:ind w:left="460" w:right="120" w:hanging="247"/>
        <w:spacing w:after="0" w:line="285"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With respect to Awards that are not “deferred compensation” under Section 409A of the Code, any of the following events shall constitute a Change of Control for purposes of this Plan:</w:t>
      </w:r>
    </w:p>
    <w:p>
      <w:pPr>
        <w:spacing w:after="0" w:line="49" w:lineRule="exact"/>
        <w:rPr>
          <w:rFonts w:ascii="Arial" w:cs="Arial" w:eastAsia="Arial" w:hAnsi="Arial"/>
          <w:sz w:val="14"/>
          <w:szCs w:val="14"/>
          <w:color w:val="auto"/>
        </w:rPr>
      </w:pPr>
    </w:p>
    <w:p>
      <w:pPr>
        <w:ind w:left="680" w:hanging="251"/>
        <w:spacing w:after="0" w:line="247" w:lineRule="auto"/>
        <w:tabs>
          <w:tab w:leader="none" w:pos="6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the acquisition by any individual, entity or group (within the meaning of Section 13(d)(3) or 14(d)(2) of the Act) (a “Person”) of beneficial ownership (within the meaning of Rule 13d-3 promulgated under the Act) of fifty percent (50%) or more of either (A) the then outstanding shares of the Company (the “Outstanding Company Shares”) or (B) the combined voting power of the then outstanding voting securities of the Company entitled to vote generally in the election of directors (the “Outstanding Company Voting Securities”); provided, however, that for purposes of this Subsection (i), the following acquisitions shall not constitute a Change of Control: (1) any acquisition directly from the Company; (2) any acquisition by the Company; (3) any acquisition by any employee benefit plan (or related trust) sponsored or maintained by the Company or any corporation controlled by the Company; or (4) any acquisition pursuant to a transaction which complies with clauses (A), (B) and (C) of Subsection (iii) below; or</w:t>
      </w:r>
    </w:p>
    <w:p>
      <w:pPr>
        <w:spacing w:after="0" w:line="78" w:lineRule="exact"/>
        <w:rPr>
          <w:rFonts w:ascii="Arial" w:cs="Arial" w:eastAsia="Arial" w:hAnsi="Arial"/>
          <w:sz w:val="14"/>
          <w:szCs w:val="14"/>
          <w:color w:val="auto"/>
        </w:rPr>
      </w:pPr>
    </w:p>
    <w:p>
      <w:pPr>
        <w:ind w:left="680" w:right="40" w:hanging="251"/>
        <w:spacing w:after="0" w:line="244" w:lineRule="auto"/>
        <w:tabs>
          <w:tab w:leader="none" w:pos="6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consummation of a reorganization, merger or consolidation or sale or other disposition of all or substantially all of the assets of the Company or the acquisition of assets of another entity (each, a “Corporate Transaction”), in each case, unless, following such Corporate Transaction, (A) all or substantially all of the individuals and entities who were the beneficial owners, respectively, of the Outstanding Company Shares and Outstanding Company Voting Securities immediately prior to such Corporate Transaction beneficially own, directly or indirectly, more than fifty percent (50%) of, respectively, the then outstanding shares and the combined voting power of the then outstanding voting securities entitled to vote generally in the election of directors, as the case may be, of the corporation or other entity resulting from such Corporate Transaction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Shares and Outstanding Company Voting Securities, as the case may be, (B) no Person (excluding any employee benefit plan or related trust of the Company or such corporation resulting from such Corporate Transaction) beneficially owns, directly or indirectly, twenty percent (20%) or more of, respectively, the then outstanding shares of the corporation resulting from such Corporate Transaction or the combined voting power of the then outstanding voting securities of such corporation except to the extent that such ownership of the Company existed prior to the Corporate Transaction and (C) at least a majority of the members of the board of directors of the corporation (or other governing board of a non-corporate entity) resulting from such Corporate Transaction were members of the Incumbent Board (as defined in Subsection (iv)) at the time of the execution of the initial agreement, or of the action of the Board, providing for such Corporate Transaction; or</w:t>
      </w:r>
    </w:p>
    <w:p>
      <w:pPr>
        <w:spacing w:after="0" w:line="81" w:lineRule="exact"/>
        <w:rPr>
          <w:rFonts w:ascii="Arial" w:cs="Arial" w:eastAsia="Arial" w:hAnsi="Arial"/>
          <w:sz w:val="14"/>
          <w:szCs w:val="14"/>
          <w:color w:val="auto"/>
        </w:rPr>
      </w:pPr>
    </w:p>
    <w:p>
      <w:pPr>
        <w:ind w:left="680" w:right="60" w:hanging="251"/>
        <w:spacing w:after="0" w:line="249" w:lineRule="auto"/>
        <w:tabs>
          <w:tab w:leader="none" w:pos="6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two-thirds (2/3)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39" w:lineRule="exact"/>
        <w:rPr>
          <w:rFonts w:ascii="Arial" w:cs="Arial" w:eastAsia="Arial" w:hAnsi="Arial"/>
          <w:sz w:val="14"/>
          <w:szCs w:val="14"/>
          <w:color w:val="auto"/>
        </w:rPr>
      </w:pPr>
    </w:p>
    <w:p>
      <w:pPr>
        <w:ind w:left="460" w:right="20" w:hanging="247"/>
        <w:spacing w:after="0" w:line="252"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With respect to Awards that are “deferred compensation” under Section 409A of the Code, to the extent necessary to avoid incurring adverse tax consequences under Section 409A of the Code with respect to such Awards, each of the foregoing events shall only be deemed to be a Change of Control for purposes of the Plan to the extent such event qualifies as a “change in control event” for purposes of Section 409A of the Code. The Grantor shall be entitled to amend or interpret the terms of any Award to the extent necessary to avoid adverse Federal income tax consequences to a Grantee under Section 409A of the Code.</w:t>
      </w:r>
    </w:p>
    <w:p>
      <w:pPr>
        <w:spacing w:after="0" w:line="73" w:lineRule="exact"/>
        <w:rPr>
          <w:sz w:val="20"/>
          <w:szCs w:val="20"/>
          <w:color w:val="auto"/>
        </w:rPr>
      </w:pPr>
    </w:p>
    <w:p>
      <w:pPr>
        <w:ind w:left="220" w:right="520"/>
        <w:spacing w:after="0" w:line="285" w:lineRule="auto"/>
        <w:rPr>
          <w:sz w:val="20"/>
          <w:szCs w:val="20"/>
          <w:color w:val="auto"/>
        </w:rPr>
      </w:pPr>
      <w:r>
        <w:rPr>
          <w:rFonts w:ascii="Arial" w:cs="Arial" w:eastAsia="Arial" w:hAnsi="Arial"/>
          <w:sz w:val="14"/>
          <w:szCs w:val="14"/>
          <w:b w:val="1"/>
          <w:bCs w:val="1"/>
          <w:i w:val="1"/>
          <w:iCs w:val="1"/>
          <w:color w:val="auto"/>
        </w:rPr>
        <w:t xml:space="preserve">Clawback Policy. </w:t>
      </w:r>
      <w:r>
        <w:rPr>
          <w:rFonts w:ascii="Arial" w:cs="Arial" w:eastAsia="Arial" w:hAnsi="Arial"/>
          <w:sz w:val="14"/>
          <w:szCs w:val="14"/>
          <w:color w:val="auto"/>
        </w:rPr>
        <w:t>Clawback Policy shall mean the PENN Entertainment, Inc. Executive Incentive Compensation Recoupment Policy,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amended on March 12, 2025, and as may be further amended from time to time.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Code. </w:t>
      </w:r>
      <w:r>
        <w:rPr>
          <w:rFonts w:ascii="Arial" w:cs="Arial" w:eastAsia="Arial" w:hAnsi="Arial"/>
          <w:sz w:val="14"/>
          <w:szCs w:val="14"/>
          <w:color w:val="auto"/>
        </w:rPr>
        <w:t>The Internal Revenue Code of 1986, as amended from time to time.</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Committee. </w:t>
      </w:r>
      <w:r>
        <w:rPr>
          <w:rFonts w:ascii="Arial" w:cs="Arial" w:eastAsia="Arial" w:hAnsi="Arial"/>
          <w:sz w:val="14"/>
          <w:szCs w:val="14"/>
          <w:color w:val="auto"/>
        </w:rPr>
        <w:t>The Compensation Committee of the Board.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Common Stock. </w:t>
      </w:r>
      <w:r>
        <w:rPr>
          <w:rFonts w:ascii="Arial" w:cs="Arial" w:eastAsia="Arial" w:hAnsi="Arial"/>
          <w:sz w:val="14"/>
          <w:szCs w:val="14"/>
          <w:color w:val="auto"/>
        </w:rPr>
        <w:t>Common stock of the Company, par value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4431665" cy="13716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4431665"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PROXY STATEMENT - 2026</w:t>
        <w:tab/>
        <w:t>A-5</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Company. </w:t>
      </w:r>
      <w:r>
        <w:rPr>
          <w:rFonts w:ascii="Arial" w:cs="Arial" w:eastAsia="Arial" w:hAnsi="Arial"/>
          <w:sz w:val="14"/>
          <w:szCs w:val="14"/>
          <w:color w:val="auto"/>
        </w:rPr>
        <w:t>PENN Entertainment, Inc., a Pennsylvania corporation, and its successors and assigns.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Consultant. </w:t>
      </w:r>
      <w:r>
        <w:rPr>
          <w:rFonts w:ascii="Arial" w:cs="Arial" w:eastAsia="Arial" w:hAnsi="Arial"/>
          <w:sz w:val="14"/>
          <w:szCs w:val="14"/>
          <w:color w:val="auto"/>
        </w:rPr>
        <w:t>Any consultant or advisor to the Company or a Subsidiary.</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Date of Grant. </w:t>
      </w:r>
      <w:r>
        <w:rPr>
          <w:rFonts w:ascii="Arial" w:cs="Arial" w:eastAsia="Arial" w:hAnsi="Arial"/>
          <w:sz w:val="14"/>
          <w:szCs w:val="14"/>
          <w:color w:val="auto"/>
        </w:rPr>
        <w:t>The date as of which the Grantor grants an Award.</w:t>
      </w:r>
    </w:p>
    <w:p>
      <w:pPr>
        <w:spacing w:after="0" w:line="109" w:lineRule="exact"/>
        <w:rPr>
          <w:sz w:val="20"/>
          <w:szCs w:val="20"/>
          <w:color w:val="auto"/>
        </w:rPr>
      </w:pPr>
    </w:p>
    <w:p>
      <w:pPr>
        <w:ind w:left="220" w:right="240"/>
        <w:spacing w:after="0" w:line="285" w:lineRule="auto"/>
        <w:rPr>
          <w:sz w:val="20"/>
          <w:szCs w:val="20"/>
          <w:color w:val="auto"/>
        </w:rPr>
      </w:pPr>
      <w:r>
        <w:rPr>
          <w:rFonts w:ascii="Arial" w:cs="Arial" w:eastAsia="Arial" w:hAnsi="Arial"/>
          <w:sz w:val="14"/>
          <w:szCs w:val="14"/>
          <w:b w:val="1"/>
          <w:bCs w:val="1"/>
          <w:i w:val="1"/>
          <w:iCs w:val="1"/>
          <w:color w:val="auto"/>
        </w:rPr>
        <w:t xml:space="preserve">Director. </w:t>
      </w:r>
      <w:r>
        <w:rPr>
          <w:rFonts w:ascii="Arial" w:cs="Arial" w:eastAsia="Arial" w:hAnsi="Arial"/>
          <w:sz w:val="14"/>
          <w:szCs w:val="14"/>
          <w:color w:val="auto"/>
        </w:rPr>
        <w:t>A member of the Board who is not also an employee of the Company or any Subsidiary, and, for purposes of this Plan, any director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emeritus or chairman emeritus.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Effective Date. </w:t>
      </w:r>
      <w:r>
        <w:rPr>
          <w:rFonts w:ascii="Arial" w:cs="Arial" w:eastAsia="Arial" w:hAnsi="Arial"/>
          <w:sz w:val="14"/>
          <w:szCs w:val="14"/>
          <w:color w:val="auto"/>
        </w:rPr>
        <w:t>June 7, 2022, the date on which the shareholders of the Company originally approved the Plan.</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Employee. </w:t>
      </w:r>
      <w:r>
        <w:rPr>
          <w:rFonts w:ascii="Arial" w:cs="Arial" w:eastAsia="Arial" w:hAnsi="Arial"/>
          <w:sz w:val="14"/>
          <w:szCs w:val="14"/>
          <w:color w:val="auto"/>
        </w:rPr>
        <w:t>An employee of the Company or any Subsidiary or “parent corporation” within the meaning of Section 424(e) of the Code.</w:t>
      </w:r>
    </w:p>
    <w:p>
      <w:pPr>
        <w:spacing w:after="0" w:line="109" w:lineRule="exact"/>
        <w:rPr>
          <w:sz w:val="20"/>
          <w:szCs w:val="20"/>
          <w:color w:val="auto"/>
        </w:rPr>
      </w:pPr>
    </w:p>
    <w:p>
      <w:pPr>
        <w:ind w:left="220" w:right="220"/>
        <w:spacing w:after="0" w:line="252" w:lineRule="auto"/>
        <w:rPr>
          <w:sz w:val="20"/>
          <w:szCs w:val="20"/>
          <w:color w:val="auto"/>
        </w:rPr>
      </w:pPr>
      <w:r>
        <w:rPr>
          <w:rFonts w:ascii="Arial" w:cs="Arial" w:eastAsia="Arial" w:hAnsi="Arial"/>
          <w:sz w:val="14"/>
          <w:szCs w:val="14"/>
          <w:b w:val="1"/>
          <w:bCs w:val="1"/>
          <w:i w:val="1"/>
          <w:iCs w:val="1"/>
          <w:color w:val="auto"/>
        </w:rPr>
        <w:t xml:space="preserve">Fair Market Value. </w:t>
      </w:r>
      <w:r>
        <w:rPr>
          <w:rFonts w:ascii="Arial" w:cs="Arial" w:eastAsia="Arial" w:hAnsi="Arial"/>
          <w:sz w:val="14"/>
          <w:szCs w:val="14"/>
          <w:color w:val="auto"/>
        </w:rPr>
        <w:t>With respect to the Common Stock on any day, (i) the closing sales price on the immediately preceding business day of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 of Common Stock as reported on the principal securities exchange on which shares of Common Stock are then listed or admitted to trading, or (ii) if the Common Stock is not listed or admitted to trading on a securities exchange, as determined in a manner specified by the Committee determined in accordance with Section 409A of the Code. A “business day” is any day on which the relevant market is open for trading.</w:t>
      </w:r>
    </w:p>
    <w:p>
      <w:pPr>
        <w:spacing w:after="0" w:line="73" w:lineRule="exact"/>
        <w:rPr>
          <w:sz w:val="20"/>
          <w:szCs w:val="20"/>
          <w:color w:val="auto"/>
        </w:rPr>
      </w:pPr>
    </w:p>
    <w:p>
      <w:pPr>
        <w:ind w:left="220"/>
        <w:spacing w:after="0" w:line="246" w:lineRule="auto"/>
        <w:rPr>
          <w:sz w:val="20"/>
          <w:szCs w:val="20"/>
          <w:color w:val="auto"/>
        </w:rPr>
      </w:pPr>
      <w:r>
        <w:rPr>
          <w:rFonts w:ascii="Arial" w:cs="Arial" w:eastAsia="Arial" w:hAnsi="Arial"/>
          <w:sz w:val="14"/>
          <w:szCs w:val="14"/>
          <w:b w:val="1"/>
          <w:bCs w:val="1"/>
          <w:i w:val="1"/>
          <w:iCs w:val="1"/>
          <w:color w:val="auto"/>
        </w:rPr>
        <w:t>Good Reason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“Good Reason” will have the meaning set forth in a Participant’s Individual Agreement (which, for the avoidance of doubt, will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include the Company’s non-renewal of such Individual Agreement on substantially-similar terms to the extent such concept would trigger the payment of severance under such Individual Agreement) and, if such Individual Agreement does not provide a definition for “Good Reason” or a Participant does not have an Individual Agreement with the Company or its Subsidiaries, then “Good Reason” means the occurrence of any of the following events that the Company fails to cure within ten (10) days after receiving written notice thereof from the Grantee (which notice must be delivered within thirty (30) days of the Grantee becoming aware of the applicable event or circumstance): (i) material reduction in the Grantee's total target annual compensation or in the Grantee's benefits taken as a whole; (ii) any material breach of any material term of any employment agreement between the Company and the Grantee; or (iii) any forced office relocation greater than 50 miles from the Grantee's then current office location.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Grantee. </w:t>
      </w:r>
      <w:r>
        <w:rPr>
          <w:rFonts w:ascii="Arial" w:cs="Arial" w:eastAsia="Arial" w:hAnsi="Arial"/>
          <w:sz w:val="14"/>
          <w:szCs w:val="14"/>
          <w:color w:val="auto"/>
        </w:rPr>
        <w:t>A current or former Employee, Director or Consultant to whom an Award is or has been granted.</w:t>
      </w:r>
    </w:p>
    <w:p>
      <w:pPr>
        <w:spacing w:after="0" w:line="109" w:lineRule="exact"/>
        <w:rPr>
          <w:sz w:val="20"/>
          <w:szCs w:val="20"/>
          <w:color w:val="auto"/>
        </w:rPr>
      </w:pPr>
    </w:p>
    <w:p>
      <w:pPr>
        <w:ind w:left="220" w:right="20"/>
        <w:spacing w:after="0" w:line="285" w:lineRule="auto"/>
        <w:rPr>
          <w:sz w:val="20"/>
          <w:szCs w:val="20"/>
          <w:color w:val="auto"/>
        </w:rPr>
      </w:pPr>
      <w:r>
        <w:rPr>
          <w:rFonts w:ascii="Arial" w:cs="Arial" w:eastAsia="Arial" w:hAnsi="Arial"/>
          <w:sz w:val="14"/>
          <w:szCs w:val="14"/>
          <w:b w:val="1"/>
          <w:bCs w:val="1"/>
          <w:i w:val="1"/>
          <w:iCs w:val="1"/>
          <w:color w:val="auto"/>
        </w:rPr>
        <w:t xml:space="preserve">Grantor. </w:t>
      </w:r>
      <w:r>
        <w:rPr>
          <w:rFonts w:ascii="Arial" w:cs="Arial" w:eastAsia="Arial" w:hAnsi="Arial"/>
          <w:sz w:val="14"/>
          <w:szCs w:val="14"/>
          <w:color w:val="auto"/>
        </w:rPr>
        <w:t>With respect to an Award granted to an Employee or Consultant, the Committee or the CEO (with respect to Nonreporting Persons),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case may be, that grants the Award. With respect to an Award granted to a Director, the Board is the Grantor.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Holder. </w:t>
      </w:r>
      <w:r>
        <w:rPr>
          <w:rFonts w:ascii="Arial" w:cs="Arial" w:eastAsia="Arial" w:hAnsi="Arial"/>
          <w:sz w:val="14"/>
          <w:szCs w:val="14"/>
          <w:color w:val="auto"/>
        </w:rPr>
        <w:t>The individual who holds an Award, who shall be the Grantee or a Beneficiary.</w:t>
      </w:r>
    </w:p>
    <w:p>
      <w:pPr>
        <w:spacing w:after="0" w:line="109" w:lineRule="exact"/>
        <w:rPr>
          <w:sz w:val="20"/>
          <w:szCs w:val="20"/>
          <w:color w:val="auto"/>
        </w:rPr>
      </w:pPr>
    </w:p>
    <w:p>
      <w:pPr>
        <w:ind w:left="220" w:right="80"/>
        <w:spacing w:after="0" w:line="285" w:lineRule="auto"/>
        <w:rPr>
          <w:sz w:val="20"/>
          <w:szCs w:val="20"/>
          <w:color w:val="auto"/>
        </w:rPr>
      </w:pPr>
      <w:r>
        <w:rPr>
          <w:rFonts w:ascii="Arial" w:cs="Arial" w:eastAsia="Arial" w:hAnsi="Arial"/>
          <w:sz w:val="14"/>
          <w:szCs w:val="14"/>
          <w:b w:val="1"/>
          <w:bCs w:val="1"/>
          <w:i w:val="1"/>
          <w:iCs w:val="1"/>
          <w:color w:val="auto"/>
        </w:rPr>
        <w:t xml:space="preserve">Incentive Stock Option or ISO. </w:t>
      </w:r>
      <w:r>
        <w:rPr>
          <w:rFonts w:ascii="Arial" w:cs="Arial" w:eastAsia="Arial" w:hAnsi="Arial"/>
          <w:sz w:val="14"/>
          <w:szCs w:val="14"/>
          <w:color w:val="auto"/>
        </w:rPr>
        <w:t>An Option that is intended to meet, and structured with a view to satisfying, the requirements of Section 422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Code and is designated by the Grantor as an Incentive Stock Option.</w:t>
      </w:r>
    </w:p>
    <w:p>
      <w:pPr>
        <w:spacing w:after="0" w:line="50" w:lineRule="exact"/>
        <w:rPr>
          <w:sz w:val="20"/>
          <w:szCs w:val="20"/>
          <w:color w:val="auto"/>
        </w:rPr>
      </w:pPr>
    </w:p>
    <w:p>
      <w:pPr>
        <w:ind w:left="220" w:right="120"/>
        <w:spacing w:after="0" w:line="285" w:lineRule="auto"/>
        <w:rPr>
          <w:sz w:val="20"/>
          <w:szCs w:val="20"/>
          <w:color w:val="auto"/>
        </w:rPr>
      </w:pPr>
      <w:r>
        <w:rPr>
          <w:rFonts w:ascii="Arial" w:cs="Arial" w:eastAsia="Arial" w:hAnsi="Arial"/>
          <w:sz w:val="14"/>
          <w:szCs w:val="14"/>
          <w:b w:val="1"/>
          <w:bCs w:val="1"/>
          <w:i w:val="1"/>
          <w:iCs w:val="1"/>
          <w:color w:val="auto"/>
        </w:rPr>
        <w:t xml:space="preserve">Non-Qualified Stock Option. </w:t>
      </w:r>
      <w:r>
        <w:rPr>
          <w:rFonts w:ascii="Arial" w:cs="Arial" w:eastAsia="Arial" w:hAnsi="Arial"/>
          <w:sz w:val="14"/>
          <w:szCs w:val="14"/>
          <w:color w:val="auto"/>
        </w:rPr>
        <w:t>An Option that is not designated by the Grantor as an Incentive Stock Option, or an Option that is designated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Grantor as an Incentive Stock Option if it does not satisfy the requirements of Section 422 of the Code.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Nonreporting Person. </w:t>
      </w:r>
      <w:r>
        <w:rPr>
          <w:rFonts w:ascii="Arial" w:cs="Arial" w:eastAsia="Arial" w:hAnsi="Arial"/>
          <w:sz w:val="14"/>
          <w:szCs w:val="14"/>
          <w:color w:val="auto"/>
        </w:rPr>
        <w:t>A Grantee who is not subject to Section 16 of the Act.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Option or Stock Option. </w:t>
      </w:r>
      <w:r>
        <w:rPr>
          <w:rFonts w:ascii="Arial" w:cs="Arial" w:eastAsia="Arial" w:hAnsi="Arial"/>
          <w:sz w:val="14"/>
          <w:szCs w:val="14"/>
          <w:color w:val="auto"/>
        </w:rPr>
        <w:t>A right granted pursuant to Article V.</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Option Period. </w:t>
      </w:r>
      <w:r>
        <w:rPr>
          <w:rFonts w:ascii="Arial" w:cs="Arial" w:eastAsia="Arial" w:hAnsi="Arial"/>
          <w:sz w:val="14"/>
          <w:szCs w:val="14"/>
          <w:color w:val="auto"/>
        </w:rPr>
        <w:t>The period beginning on the Date of Grant of an Option and ending on the date the Option terminates.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Option Price. </w:t>
      </w:r>
      <w:r>
        <w:rPr>
          <w:rFonts w:ascii="Arial" w:cs="Arial" w:eastAsia="Arial" w:hAnsi="Arial"/>
          <w:sz w:val="14"/>
          <w:szCs w:val="14"/>
          <w:color w:val="auto"/>
        </w:rPr>
        <w:t>The per share price at which shares of Common Stock may be purchased upon exercise of a particular Option.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Other Award. </w:t>
      </w:r>
      <w:r>
        <w:rPr>
          <w:rFonts w:ascii="Arial" w:cs="Arial" w:eastAsia="Arial" w:hAnsi="Arial"/>
          <w:sz w:val="14"/>
          <w:szCs w:val="14"/>
          <w:color w:val="auto"/>
        </w:rPr>
        <w:t>Awards granted pursuant to Article IX.</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Performance Award. </w:t>
      </w:r>
      <w:r>
        <w:rPr>
          <w:rFonts w:ascii="Arial" w:cs="Arial" w:eastAsia="Arial" w:hAnsi="Arial"/>
          <w:sz w:val="14"/>
          <w:szCs w:val="14"/>
          <w:color w:val="auto"/>
        </w:rPr>
        <w:t>An Award of Performance Shares and/or Performance Units.</w:t>
      </w:r>
    </w:p>
    <w:p>
      <w:pPr>
        <w:spacing w:after="0" w:line="109" w:lineRule="exact"/>
        <w:rPr>
          <w:sz w:val="20"/>
          <w:szCs w:val="20"/>
          <w:color w:val="auto"/>
        </w:rPr>
      </w:pPr>
    </w:p>
    <w:p>
      <w:pPr>
        <w:ind w:left="220" w:right="40"/>
        <w:spacing w:after="0" w:line="249" w:lineRule="auto"/>
        <w:rPr>
          <w:sz w:val="20"/>
          <w:szCs w:val="20"/>
          <w:color w:val="auto"/>
        </w:rPr>
      </w:pPr>
      <w:r>
        <w:rPr>
          <w:rFonts w:ascii="Arial" w:cs="Arial" w:eastAsia="Arial" w:hAnsi="Arial"/>
          <w:sz w:val="14"/>
          <w:szCs w:val="14"/>
          <w:b w:val="1"/>
          <w:bCs w:val="1"/>
          <w:i w:val="1"/>
          <w:iCs w:val="1"/>
          <w:color w:val="auto"/>
        </w:rPr>
        <w:t xml:space="preserve">Performance Goals. </w:t>
      </w:r>
      <w:r>
        <w:rPr>
          <w:rFonts w:ascii="Arial" w:cs="Arial" w:eastAsia="Arial" w:hAnsi="Arial"/>
          <w:sz w:val="14"/>
          <w:szCs w:val="14"/>
          <w:color w:val="auto"/>
        </w:rPr>
        <w:t>One or more performance criteria, either individually, alternatively or in any combination, applied to either the Company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 whole or to a business unit or related company, and measured either annually or cumulatively over a period of years, on an absolute basis or relative to a pre-established target, to a previous year’s results or to a designated comparison group, in each case as specified by the Grantor in the Award. The Grantor shall appropriately adjust any Performance Goal to take into account the impact of any extraordinary, unusual or non-recurring event or condition as described in Accounting Principles Board Opinion No. 30 and/or management’s discussion and analysis of financial condition and results of operations appearing in the Company’s securities filings, including, without limitation: asset write-downs; litigation, claims, judgments,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201295</wp:posOffset>
            </wp:positionV>
            <wp:extent cx="6995160" cy="171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102870</wp:posOffset>
            </wp:positionV>
            <wp:extent cx="4431665" cy="11112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4431665"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A-6</w:t>
        <w:tab/>
        <w:t>PROXY STATEMENT - 2026</w:t>
      </w:r>
    </w:p>
    <w:p>
      <w:pPr>
        <w:spacing w:after="0" w:line="96" w:lineRule="exact"/>
        <w:rPr>
          <w:sz w:val="20"/>
          <w:szCs w:val="20"/>
          <w:color w:val="auto"/>
        </w:rPr>
      </w:pPr>
    </w:p>
    <w:p>
      <w:pPr>
        <w:ind w:left="220" w:right="180"/>
        <w:spacing w:after="0" w:line="256" w:lineRule="auto"/>
        <w:rPr>
          <w:sz w:val="20"/>
          <w:szCs w:val="20"/>
          <w:color w:val="auto"/>
        </w:rPr>
      </w:pPr>
      <w:r>
        <w:rPr>
          <w:rFonts w:ascii="Arial" w:cs="Arial" w:eastAsia="Arial" w:hAnsi="Arial"/>
          <w:sz w:val="14"/>
          <w:szCs w:val="14"/>
          <w:color w:val="auto"/>
        </w:rPr>
        <w:t>settlements; currency fluctuations and other non-cash charges; changes in applicable law, rule or regulation or accounting principles; accruals for reorganization and restructuring programs; costs incurred in the pursuit of acquisition opportunities; strikes, delays or similar disruptions by organized labor, guilds or horsemen’s organizations; national macroeconomic conditions; terrorism and other international hostilities; or significant regional weather events.</w:t>
      </w:r>
    </w:p>
    <w:p>
      <w:pPr>
        <w:spacing w:after="0" w:line="69" w:lineRule="exact"/>
        <w:rPr>
          <w:sz w:val="20"/>
          <w:szCs w:val="20"/>
          <w:color w:val="auto"/>
        </w:rPr>
      </w:pPr>
    </w:p>
    <w:p>
      <w:pPr>
        <w:ind w:left="220" w:right="160"/>
        <w:spacing w:after="0" w:line="277" w:lineRule="auto"/>
        <w:rPr>
          <w:sz w:val="20"/>
          <w:szCs w:val="20"/>
          <w:color w:val="auto"/>
        </w:rPr>
      </w:pPr>
      <w:r>
        <w:rPr>
          <w:rFonts w:ascii="Arial" w:cs="Arial" w:eastAsia="Arial" w:hAnsi="Arial"/>
          <w:sz w:val="14"/>
          <w:szCs w:val="14"/>
          <w:b w:val="1"/>
          <w:bCs w:val="1"/>
          <w:i w:val="1"/>
          <w:iCs w:val="1"/>
          <w:color w:val="auto"/>
        </w:rPr>
        <w:t xml:space="preserve">Performance Level. </w:t>
      </w:r>
      <w:r>
        <w:rPr>
          <w:rFonts w:ascii="Arial" w:cs="Arial" w:eastAsia="Arial" w:hAnsi="Arial"/>
          <w:sz w:val="14"/>
          <w:szCs w:val="14"/>
          <w:color w:val="auto"/>
        </w:rPr>
        <w:t>The applicable percentage of achievement of a Performance Goal established by the Grantor with respect to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Performance Period. The Performance Levels may include, without limitation, </w:t>
      </w:r>
      <w:r>
        <w:rPr>
          <w:rFonts w:ascii="Arial" w:cs="Arial" w:eastAsia="Arial" w:hAnsi="Arial"/>
          <w:sz w:val="14"/>
          <w:szCs w:val="14"/>
          <w:b w:val="1"/>
          <w:bCs w:val="1"/>
          <w:i w:val="1"/>
          <w:iCs w:val="1"/>
          <w:color w:val="auto"/>
        </w:rPr>
        <w:t>Target Performance</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Threshold Performance</w:t>
      </w:r>
      <w:r>
        <w:rPr>
          <w:rFonts w:ascii="Arial" w:cs="Arial" w:eastAsia="Arial" w:hAnsi="Arial"/>
          <w:sz w:val="14"/>
          <w:szCs w:val="14"/>
          <w:color w:val="auto"/>
        </w:rPr>
        <w:t xml:space="preserve">, and </w:t>
      </w:r>
      <w:r>
        <w:rPr>
          <w:rFonts w:ascii="Arial" w:cs="Arial" w:eastAsia="Arial" w:hAnsi="Arial"/>
          <w:sz w:val="14"/>
          <w:szCs w:val="14"/>
          <w:b w:val="1"/>
          <w:bCs w:val="1"/>
          <w:i w:val="1"/>
          <w:iCs w:val="1"/>
          <w:color w:val="auto"/>
        </w:rPr>
        <w:t>Maximum</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Performance</w:t>
      </w:r>
      <w:r>
        <w:rPr>
          <w:rFonts w:ascii="Arial" w:cs="Arial" w:eastAsia="Arial" w:hAnsi="Arial"/>
          <w:sz w:val="14"/>
          <w:szCs w:val="14"/>
          <w:color w:val="auto"/>
        </w:rPr>
        <w:t>.</w:t>
      </w:r>
    </w:p>
    <w:p>
      <w:pPr>
        <w:spacing w:after="0" w:line="222" w:lineRule="exact"/>
        <w:rPr>
          <w:sz w:val="20"/>
          <w:szCs w:val="20"/>
          <w:color w:val="auto"/>
        </w:rPr>
      </w:pPr>
    </w:p>
    <w:p>
      <w:pPr>
        <w:ind w:left="220" w:right="20"/>
        <w:spacing w:after="0" w:line="285" w:lineRule="auto"/>
        <w:rPr>
          <w:sz w:val="20"/>
          <w:szCs w:val="20"/>
          <w:color w:val="auto"/>
        </w:rPr>
      </w:pPr>
      <w:r>
        <w:rPr>
          <w:rFonts w:ascii="Arial" w:cs="Arial" w:eastAsia="Arial" w:hAnsi="Arial"/>
          <w:sz w:val="14"/>
          <w:szCs w:val="14"/>
          <w:b w:val="1"/>
          <w:bCs w:val="1"/>
          <w:i w:val="1"/>
          <w:iCs w:val="1"/>
          <w:color w:val="auto"/>
        </w:rPr>
        <w:t xml:space="preserve">Performance Shares. </w:t>
      </w:r>
      <w:r>
        <w:rPr>
          <w:rFonts w:ascii="Arial" w:cs="Arial" w:eastAsia="Arial" w:hAnsi="Arial"/>
          <w:sz w:val="14"/>
          <w:szCs w:val="14"/>
          <w:color w:val="auto"/>
        </w:rPr>
        <w:t>An Award of Restricted Stock that is subject to the achievement of one or more Performance Goals as determined by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Grantor, and granted pursuant to Article X.</w:t>
      </w:r>
    </w:p>
    <w:p>
      <w:pPr>
        <w:spacing w:after="0" w:line="50" w:lineRule="exact"/>
        <w:rPr>
          <w:sz w:val="20"/>
          <w:szCs w:val="20"/>
          <w:color w:val="auto"/>
        </w:rPr>
      </w:pPr>
    </w:p>
    <w:p>
      <w:pPr>
        <w:ind w:left="220" w:right="20"/>
        <w:spacing w:after="0" w:line="285" w:lineRule="auto"/>
        <w:rPr>
          <w:sz w:val="20"/>
          <w:szCs w:val="20"/>
          <w:color w:val="auto"/>
        </w:rPr>
      </w:pPr>
      <w:r>
        <w:rPr>
          <w:rFonts w:ascii="Arial" w:cs="Arial" w:eastAsia="Arial" w:hAnsi="Arial"/>
          <w:sz w:val="14"/>
          <w:szCs w:val="14"/>
          <w:b w:val="1"/>
          <w:bCs w:val="1"/>
          <w:i w:val="1"/>
          <w:iCs w:val="1"/>
          <w:color w:val="auto"/>
        </w:rPr>
        <w:t xml:space="preserve">Performance Units. </w:t>
      </w:r>
      <w:r>
        <w:rPr>
          <w:rFonts w:ascii="Arial" w:cs="Arial" w:eastAsia="Arial" w:hAnsi="Arial"/>
          <w:sz w:val="14"/>
          <w:szCs w:val="14"/>
          <w:color w:val="auto"/>
        </w:rPr>
        <w:t>An Award of Restricted Stock Units that is subject to the achievement of one or more Performance Goals as determined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Grantor, and granted pursuant to Article X.</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Plan. </w:t>
      </w:r>
      <w:r>
        <w:rPr>
          <w:rFonts w:ascii="Arial" w:cs="Arial" w:eastAsia="Arial" w:hAnsi="Arial"/>
          <w:sz w:val="14"/>
          <w:szCs w:val="14"/>
          <w:color w:val="auto"/>
        </w:rPr>
        <w:t>PENN Entertainment, Inc. 2022 Long Term Incentive Compensation Plan, as set forth herein and as amended from time to time.</w:t>
      </w:r>
    </w:p>
    <w:p>
      <w:pPr>
        <w:spacing w:after="0" w:line="109" w:lineRule="exact"/>
        <w:rPr>
          <w:sz w:val="20"/>
          <w:szCs w:val="20"/>
          <w:color w:val="auto"/>
        </w:rPr>
      </w:pPr>
    </w:p>
    <w:p>
      <w:pPr>
        <w:ind w:left="220" w:right="240"/>
        <w:spacing w:after="0" w:line="285" w:lineRule="auto"/>
        <w:rPr>
          <w:sz w:val="20"/>
          <w:szCs w:val="20"/>
          <w:color w:val="auto"/>
        </w:rPr>
      </w:pPr>
      <w:r>
        <w:rPr>
          <w:rFonts w:ascii="Arial" w:cs="Arial" w:eastAsia="Arial" w:hAnsi="Arial"/>
          <w:sz w:val="14"/>
          <w:szCs w:val="14"/>
          <w:b w:val="1"/>
          <w:bCs w:val="1"/>
          <w:i w:val="1"/>
          <w:iCs w:val="1"/>
          <w:color w:val="auto"/>
        </w:rPr>
        <w:t xml:space="preserve">Prior Plan. </w:t>
      </w:r>
      <w:r>
        <w:rPr>
          <w:rFonts w:ascii="Arial" w:cs="Arial" w:eastAsia="Arial" w:hAnsi="Arial"/>
          <w:sz w:val="14"/>
          <w:szCs w:val="14"/>
          <w:color w:val="auto"/>
        </w:rPr>
        <w:t>Each of the Penn National Gaming, Inc. 2018 Long Term Incentive Plan and the Score Media and Gaming Inc. Second Amended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Restated Stock Option and Restricted Stock Unit Plan.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Reporting Person. </w:t>
      </w:r>
      <w:r>
        <w:rPr>
          <w:rFonts w:ascii="Arial" w:cs="Arial" w:eastAsia="Arial" w:hAnsi="Arial"/>
          <w:sz w:val="14"/>
          <w:szCs w:val="14"/>
          <w:color w:val="auto"/>
        </w:rPr>
        <w:t>A Grantee who is subject to Section 16 of the Act.</w:t>
      </w:r>
    </w:p>
    <w:p>
      <w:pPr>
        <w:spacing w:after="0" w:line="109" w:lineRule="exact"/>
        <w:rPr>
          <w:sz w:val="20"/>
          <w:szCs w:val="20"/>
          <w:color w:val="auto"/>
        </w:rPr>
      </w:pPr>
    </w:p>
    <w:p>
      <w:pPr>
        <w:ind w:left="220" w:right="240"/>
        <w:spacing w:after="0" w:line="285" w:lineRule="auto"/>
        <w:rPr>
          <w:sz w:val="20"/>
          <w:szCs w:val="20"/>
          <w:color w:val="auto"/>
        </w:rPr>
      </w:pPr>
      <w:r>
        <w:rPr>
          <w:rFonts w:ascii="Arial" w:cs="Arial" w:eastAsia="Arial" w:hAnsi="Arial"/>
          <w:sz w:val="14"/>
          <w:szCs w:val="14"/>
          <w:b w:val="1"/>
          <w:bCs w:val="1"/>
          <w:i w:val="1"/>
          <w:iCs w:val="1"/>
          <w:color w:val="auto"/>
        </w:rPr>
        <w:t xml:space="preserve">Restricted Period. </w:t>
      </w:r>
      <w:r>
        <w:rPr>
          <w:rFonts w:ascii="Arial" w:cs="Arial" w:eastAsia="Arial" w:hAnsi="Arial"/>
          <w:sz w:val="14"/>
          <w:szCs w:val="14"/>
          <w:color w:val="auto"/>
        </w:rPr>
        <w:t>The period of time beginning with the Date of Grant of a Restricted Stock Award and ending when the Restricted Stock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forfeited or when all conditions for vesting are satisfied.</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Restricted Stock. </w:t>
      </w:r>
      <w:r>
        <w:rPr>
          <w:rFonts w:ascii="Arial" w:cs="Arial" w:eastAsia="Arial" w:hAnsi="Arial"/>
          <w:sz w:val="14"/>
          <w:szCs w:val="14"/>
          <w:color w:val="auto"/>
        </w:rPr>
        <w:t>Shares of Common Stock issued pursuant to a Restricted Stock Award.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Restricted Stock Award. </w:t>
      </w:r>
      <w:r>
        <w:rPr>
          <w:rFonts w:ascii="Arial" w:cs="Arial" w:eastAsia="Arial" w:hAnsi="Arial"/>
          <w:sz w:val="14"/>
          <w:szCs w:val="14"/>
          <w:color w:val="auto"/>
        </w:rPr>
        <w:t>An Award of Restricted Stock under Article VII.</w:t>
      </w:r>
    </w:p>
    <w:p>
      <w:pPr>
        <w:spacing w:after="0" w:line="109" w:lineRule="exact"/>
        <w:rPr>
          <w:sz w:val="20"/>
          <w:szCs w:val="20"/>
          <w:color w:val="auto"/>
        </w:rPr>
      </w:pPr>
    </w:p>
    <w:p>
      <w:pPr>
        <w:ind w:left="220"/>
        <w:spacing w:after="0" w:line="250" w:lineRule="auto"/>
        <w:rPr>
          <w:sz w:val="20"/>
          <w:szCs w:val="20"/>
          <w:color w:val="auto"/>
        </w:rPr>
      </w:pPr>
      <w:r>
        <w:rPr>
          <w:rFonts w:ascii="Arial" w:cs="Arial" w:eastAsia="Arial" w:hAnsi="Arial"/>
          <w:sz w:val="14"/>
          <w:szCs w:val="14"/>
          <w:b w:val="1"/>
          <w:bCs w:val="1"/>
          <w:i w:val="1"/>
          <w:iCs w:val="1"/>
          <w:color w:val="auto"/>
        </w:rPr>
        <w:t xml:space="preserve">Restricted Stock Unit or RSU. </w:t>
      </w:r>
      <w:r>
        <w:rPr>
          <w:rFonts w:ascii="Arial" w:cs="Arial" w:eastAsia="Arial" w:hAnsi="Arial"/>
          <w:sz w:val="14"/>
          <w:szCs w:val="14"/>
          <w:color w:val="auto"/>
        </w:rPr>
        <w:t>A unit used solely as a device for the measurement and determination of the amount to be paid on behalf of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Grantee as described in Article VIII. An RSU represents the right to receive, at a future date and without payment to the Company, shares of Common Stock (which may be Restricted Stock), an amount of cash equal to the value of a share of Common Stock or any combination thereof, as determined by the Grantor in accordance with Article VIII. RSUs shall not constitute or be treated as property or as a trust fund of any kind. All amounts at any time attributable to the RSUs shall be and remain the sole property of the Company and all Grantees’ rights hereunder are limited to the rights to receive cash or shares of Common Stock (which may be Restricted Stock) as provided in Article VIII.</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Restricted Stock Unit Award. </w:t>
      </w:r>
      <w:r>
        <w:rPr>
          <w:rFonts w:ascii="Arial" w:cs="Arial" w:eastAsia="Arial" w:hAnsi="Arial"/>
          <w:sz w:val="14"/>
          <w:szCs w:val="14"/>
          <w:color w:val="auto"/>
        </w:rPr>
        <w:t>An Award of RSUs under Article VIII.</w:t>
      </w:r>
    </w:p>
    <w:p>
      <w:pPr>
        <w:spacing w:after="0" w:line="109" w:lineRule="exact"/>
        <w:rPr>
          <w:sz w:val="20"/>
          <w:szCs w:val="20"/>
          <w:color w:val="auto"/>
        </w:rPr>
      </w:pPr>
    </w:p>
    <w:p>
      <w:pPr>
        <w:ind w:left="220" w:right="220"/>
        <w:spacing w:after="0" w:line="285" w:lineRule="auto"/>
        <w:rPr>
          <w:sz w:val="20"/>
          <w:szCs w:val="20"/>
          <w:color w:val="auto"/>
        </w:rPr>
      </w:pPr>
      <w:r>
        <w:rPr>
          <w:rFonts w:ascii="Arial" w:cs="Arial" w:eastAsia="Arial" w:hAnsi="Arial"/>
          <w:sz w:val="14"/>
          <w:szCs w:val="14"/>
          <w:b w:val="1"/>
          <w:bCs w:val="1"/>
          <w:i w:val="1"/>
          <w:iCs w:val="1"/>
          <w:color w:val="auto"/>
        </w:rPr>
        <w:t xml:space="preserve">Rule 16b-3. </w:t>
      </w:r>
      <w:r>
        <w:rPr>
          <w:rFonts w:ascii="Arial" w:cs="Arial" w:eastAsia="Arial" w:hAnsi="Arial"/>
          <w:sz w:val="14"/>
          <w:szCs w:val="14"/>
          <w:color w:val="auto"/>
        </w:rPr>
        <w:t>Rule 16b-3 of the General Rules and Regulations under the Act, or any law, rule, regulation or other provision that may hereafter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replace such Rule.</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SAR Base Amount. </w:t>
      </w:r>
      <w:r>
        <w:rPr>
          <w:rFonts w:ascii="Arial" w:cs="Arial" w:eastAsia="Arial" w:hAnsi="Arial"/>
          <w:sz w:val="14"/>
          <w:szCs w:val="14"/>
          <w:color w:val="auto"/>
        </w:rPr>
        <w:t>An amount set forth in the Award Agreement for a SAR.</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Securities Act. </w:t>
      </w:r>
      <w:r>
        <w:rPr>
          <w:rFonts w:ascii="Arial" w:cs="Arial" w:eastAsia="Arial" w:hAnsi="Arial"/>
          <w:sz w:val="14"/>
          <w:szCs w:val="14"/>
          <w:color w:val="auto"/>
        </w:rPr>
        <w:t>The Securities Act of 1933, as now in effect or as hereafter amended from time to time.</w:t>
      </w:r>
    </w:p>
    <w:p>
      <w:pPr>
        <w:spacing w:after="0" w:line="109" w:lineRule="exact"/>
        <w:rPr>
          <w:sz w:val="20"/>
          <w:szCs w:val="20"/>
          <w:color w:val="auto"/>
        </w:rPr>
      </w:pPr>
    </w:p>
    <w:p>
      <w:pPr>
        <w:ind w:left="220" w:right="20"/>
        <w:spacing w:after="0" w:line="250" w:lineRule="auto"/>
        <w:rPr>
          <w:sz w:val="20"/>
          <w:szCs w:val="20"/>
          <w:color w:val="auto"/>
        </w:rPr>
      </w:pPr>
      <w:r>
        <w:rPr>
          <w:rFonts w:ascii="Arial" w:cs="Arial" w:eastAsia="Arial" w:hAnsi="Arial"/>
          <w:sz w:val="14"/>
          <w:szCs w:val="14"/>
          <w:b w:val="1"/>
          <w:bCs w:val="1"/>
          <w:i w:val="1"/>
          <w:iCs w:val="1"/>
          <w:color w:val="auto"/>
        </w:rPr>
        <w:t xml:space="preserve">Stock Appreciation Right or SAR. </w:t>
      </w:r>
      <w:r>
        <w:rPr>
          <w:rFonts w:ascii="Arial" w:cs="Arial" w:eastAsia="Arial" w:hAnsi="Arial"/>
          <w:sz w:val="14"/>
          <w:szCs w:val="14"/>
          <w:color w:val="auto"/>
        </w:rPr>
        <w:t>A unit used solely as a device for the measurement and determination of the amount to be paid on behalf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Grantees as described in Article VI. A SAR represents the right to receive, at a future date and without payment to the Company, shares of Common Stock (which may be Restricted Stock), an amount of cash equal to the value of a share of Common Stock or any combination thereof, as determined by the Grantor in accordance with Article VI. SARs shall not constitute or be treated as property or as a trust fund of any kind. All amounts at any time attributable to the SARs shall be and remain the sole property of the Company and all Grantees’ rights hereunder are limited to the rights to receive cash and shares of Common Stock (which may be Restricted Stock) as provided in Article VI.</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Stock Appreciation Rights Award. </w:t>
      </w:r>
      <w:r>
        <w:rPr>
          <w:rFonts w:ascii="Arial" w:cs="Arial" w:eastAsia="Arial" w:hAnsi="Arial"/>
          <w:sz w:val="14"/>
          <w:szCs w:val="14"/>
          <w:color w:val="auto"/>
        </w:rPr>
        <w:t>An Award of SARs under Article VI.</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 xml:space="preserve">Stock Option Award. </w:t>
      </w:r>
      <w:r>
        <w:rPr>
          <w:rFonts w:ascii="Arial" w:cs="Arial" w:eastAsia="Arial" w:hAnsi="Arial"/>
          <w:sz w:val="14"/>
          <w:szCs w:val="14"/>
          <w:color w:val="auto"/>
        </w:rPr>
        <w:t>An Award of Options under 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4431665" cy="13716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4431665" cy="137160"/>
                    </a:xfrm>
                    <a:prstGeom prst="rect">
                      <a:avLst/>
                    </a:prstGeom>
                    <a:noFill/>
                  </pic:spPr>
                </pic:pic>
              </a:graphicData>
            </a:graphic>
          </wp:anchor>
        </w:drawing>
      </w:r>
    </w:p>
    <w:p>
      <w:pPr>
        <w:spacing w:after="0" w:line="146" w:lineRule="exact"/>
        <w:rPr>
          <w:sz w:val="20"/>
          <w:szCs w:val="20"/>
          <w:color w:val="auto"/>
        </w:rPr>
      </w:pPr>
    </w:p>
    <w:p>
      <w:pPr>
        <w:ind w:left="7140"/>
        <w:spacing w:after="0"/>
        <w:tabs>
          <w:tab w:leader="none" w:pos="9160" w:val="left"/>
        </w:tabs>
        <w:rPr>
          <w:sz w:val="20"/>
          <w:szCs w:val="20"/>
          <w:color w:val="auto"/>
        </w:rPr>
      </w:pPr>
      <w:r>
        <w:rPr>
          <w:rFonts w:ascii="Arial" w:cs="Arial" w:eastAsia="Arial" w:hAnsi="Arial"/>
          <w:sz w:val="14"/>
          <w:szCs w:val="14"/>
          <w:color w:val="auto"/>
        </w:rPr>
        <w:t>PROXY STATEMENT - 2026</w:t>
        <w:tab/>
        <w:t>A-7</w:t>
      </w:r>
    </w:p>
    <w:p>
      <w:pPr>
        <w:spacing w:after="0" w:line="136" w:lineRule="exact"/>
        <w:rPr>
          <w:sz w:val="20"/>
          <w:szCs w:val="20"/>
          <w:color w:val="auto"/>
        </w:rPr>
      </w:pPr>
    </w:p>
    <w:p>
      <w:pPr>
        <w:ind w:left="220" w:right="140"/>
        <w:spacing w:after="0" w:line="256" w:lineRule="auto"/>
        <w:rPr>
          <w:sz w:val="20"/>
          <w:szCs w:val="20"/>
          <w:color w:val="auto"/>
        </w:rPr>
      </w:pPr>
      <w:r>
        <w:rPr>
          <w:rFonts w:ascii="Arial" w:cs="Arial" w:eastAsia="Arial" w:hAnsi="Arial"/>
          <w:sz w:val="14"/>
          <w:szCs w:val="14"/>
          <w:b w:val="1"/>
          <w:bCs w:val="1"/>
          <w:i w:val="1"/>
          <w:iCs w:val="1"/>
          <w:color w:val="auto"/>
        </w:rPr>
        <w:t xml:space="preserve">Subsidiary. </w:t>
      </w:r>
      <w:r>
        <w:rPr>
          <w:rFonts w:ascii="Arial" w:cs="Arial" w:eastAsia="Arial" w:hAnsi="Arial"/>
          <w:sz w:val="14"/>
          <w:szCs w:val="14"/>
          <w:color w:val="auto"/>
        </w:rPr>
        <w:t>Any corporation, partnership, joint venture or other entity in which the Committee has determined that the Company had made,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directly or indirectly through one or more intermediaries, a substantial investment or commitment, including, without limit, through the purchase of equity or debt or the entering into of a management agreement or joint operating agreement. In the case of Incentive Stock Options, Subsidiary shall mean any entity that qualifies as a “subsidiary corporation” of the Company under Section 424(f) of the Code.</w:t>
      </w:r>
    </w:p>
    <w:p>
      <w:pPr>
        <w:spacing w:after="0" w:line="69" w:lineRule="exact"/>
        <w:rPr>
          <w:sz w:val="20"/>
          <w:szCs w:val="20"/>
          <w:color w:val="auto"/>
        </w:rPr>
      </w:pPr>
    </w:p>
    <w:p>
      <w:pPr>
        <w:ind w:left="220" w:right="20"/>
        <w:spacing w:after="0" w:line="263" w:lineRule="auto"/>
        <w:rPr>
          <w:sz w:val="20"/>
          <w:szCs w:val="20"/>
          <w:color w:val="auto"/>
        </w:rPr>
      </w:pPr>
      <w:r>
        <w:rPr>
          <w:rFonts w:ascii="Arial" w:cs="Arial" w:eastAsia="Arial" w:hAnsi="Arial"/>
          <w:sz w:val="14"/>
          <w:szCs w:val="14"/>
          <w:b w:val="1"/>
          <w:bCs w:val="1"/>
          <w:i w:val="1"/>
          <w:iCs w:val="1"/>
          <w:color w:val="auto"/>
        </w:rPr>
        <w:t xml:space="preserve">Ten Percent Shareholder. </w:t>
      </w:r>
      <w:r>
        <w:rPr>
          <w:rFonts w:ascii="Arial" w:cs="Arial" w:eastAsia="Arial" w:hAnsi="Arial"/>
          <w:sz w:val="14"/>
          <w:szCs w:val="14"/>
          <w:color w:val="auto"/>
        </w:rPr>
        <w:t>A person owning shares possessing more than 10% of the total combined voting power of all classes of shares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any subsidiary corporation (within the meaning of Section 424(f) of the Code) or parent corporation (within the meaning of Section 424(e) of the Code).</w:t>
      </w:r>
    </w:p>
    <w:p>
      <w:pPr>
        <w:spacing w:after="0" w:line="17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2.2    </w:t>
        <w:tab/>
        <w:t>CONSTRUCTION</w:t>
      </w:r>
    </w:p>
    <w:p>
      <w:pPr>
        <w:spacing w:after="0" w:line="15"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Whenever any words are used herein in the masculine gender, they shall be construed as though they were also used in the feminine gender in all cases where they would so apply, and wherever any words are used herein in the singular form they shall be construed as though they were also used in the plural form in all cases where they would so apply. Headings of Sections and Subsections of the Plan are inserted for convenience of reference, are not a part of the Plan, and are not to be considered in the construction hereof. The words “hereof,” “herein,” “hereunder” and other similar compounds of the word “here” shall mean and refer to the entire Plan, and not to any particular provision or Section. The words “includes,” “including” and other similar compounds of the word “include” shall mean and refer to including without limitation. All references herein to specific Articles, Sections or Subsections shall mean Articles, Sections or Subsections of this document unless otherwise qualified.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 AVAILABLE FOR AWARDS</w:t>
      </w:r>
    </w:p>
    <w:p>
      <w:pPr>
        <w:spacing w:after="0" w:line="217"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3.1    </w:t>
        <w:tab/>
        <w:t>COMMON STOCK</w:t>
      </w:r>
    </w:p>
    <w:p>
      <w:pPr>
        <w:spacing w:after="0" w:line="15"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Shares of Common Stock may be delivered under the Plan, such shares to be made available from authorized but unissued shares or from shares reacquired by the Company, including shares purchased in the open market.</w:t>
      </w:r>
    </w:p>
    <w:p>
      <w:pPr>
        <w:spacing w:after="0" w:line="172"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3.2    </w:t>
        <w:tab/>
        <w:t>NUMBER OF SHARES DELIVERABLE</w:t>
      </w:r>
    </w:p>
    <w:p>
      <w:pPr>
        <w:spacing w:after="0" w:line="15"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Subject to adjustments as provided in Section 11.2, 26,067,275 shares of Common Stock may be issued under the Plan plus any shares of Common Stock subject to outstanding awards under each Prior Plan as of the Effective Date that are forfeited or settled for cash. Any Awards that are not settled in shares of Common Stock shall not count against this limit.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Plan will remain in place until all of the Awards granted thereunder have been paid or expired.</w:t>
      </w:r>
    </w:p>
    <w:p>
      <w:pPr>
        <w:spacing w:after="0" w:line="231"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3.3    </w:t>
        <w:tab/>
        <w:t>REUSABLE SHARES</w:t>
      </w:r>
    </w:p>
    <w:p>
      <w:pPr>
        <w:spacing w:after="0" w:line="15"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Shares of Common Stock subject to an Award that are forfeited to the Company shall again be available for issuance under the Plan. For the avoidance of doubt, the following shares of Common Stock may not again be made available for issuance as Awards under the Plan: (i) shares of Common Stock not issued or delivered as a result of the net settlement of an outstanding Stock Option or SAR, (ii) shares of Common Stock used to pay the Option Price or withholding taxes related to an outstanding Stock Option or SAR, or the withholding taxes related to any other outstanding Award, or (iii) shares of Common Stock repurchased on the open market with the proceeds of the Option Price.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AWARDS AND AWARD AGREEMENTS</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4.1    </w:t>
        <w:tab/>
        <w:t>GENERAL</w:t>
      </w:r>
    </w:p>
    <w:p>
      <w:pPr>
        <w:spacing w:after="0" w:line="15" w:lineRule="exact"/>
        <w:rPr>
          <w:sz w:val="20"/>
          <w:szCs w:val="20"/>
          <w:color w:val="auto"/>
        </w:rPr>
      </w:pPr>
    </w:p>
    <w:p>
      <w:pPr>
        <w:ind w:left="620" w:right="20" w:hanging="404"/>
        <w:spacing w:after="0" w:line="244" w:lineRule="auto"/>
        <w:rPr>
          <w:sz w:val="20"/>
          <w:szCs w:val="20"/>
          <w:color w:val="auto"/>
        </w:rPr>
      </w:pPr>
      <w:r>
        <w:rPr>
          <w:rFonts w:ascii="Arial" w:cs="Arial" w:eastAsia="Arial" w:hAnsi="Arial"/>
          <w:sz w:val="14"/>
          <w:szCs w:val="14"/>
          <w:color w:val="auto"/>
        </w:rPr>
        <w:t>4.1.1 Subject to the provisions of the Plan, the Committee may at any time (i) determine and designate those Reporting Persons who are Employees to whom Awards are to be granted; (ii) determine the time or times when Awards to Reporting Persons who are Employees shall be granted; (iii) determine the form or forms of Awards to be granted to any Reporting Person who is an Employee; (iv) determine the number of shares of Common Stock or dollar amounts subject to or denominated by each Award to be granted to any Reporting Person who is an Employee; (v) determine the terms and conditions of each Award (including, without limitation, any Performance Goals and Performance Levels) to a Reporting Person who is an Employee; (vi) determine the maximum aggregate number of shares or, for purposes of Awards payable in cash, the aggregate amount of cash subject to Awards to be granted to Nonreporting Persons, as a group, who are Employees; and (vii) determine the general form or forms of Awards to be granted to Nonreporting Persons who are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108585</wp:posOffset>
            </wp:positionV>
            <wp:extent cx="6995160" cy="171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102870</wp:posOffset>
            </wp:positionV>
            <wp:extent cx="4431665" cy="11112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4431665"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A-8</w:t>
        <w:tab/>
        <w:t>PROXY STATEMENT - 2026</w:t>
      </w:r>
    </w:p>
    <w:p>
      <w:pPr>
        <w:spacing w:after="0" w:line="96" w:lineRule="exact"/>
        <w:rPr>
          <w:sz w:val="20"/>
          <w:szCs w:val="20"/>
          <w:color w:val="auto"/>
        </w:rPr>
      </w:pPr>
    </w:p>
    <w:p>
      <w:pPr>
        <w:ind w:left="620" w:hanging="404"/>
        <w:spacing w:after="0" w:line="246" w:lineRule="auto"/>
        <w:rPr>
          <w:sz w:val="20"/>
          <w:szCs w:val="20"/>
          <w:color w:val="auto"/>
        </w:rPr>
      </w:pPr>
      <w:r>
        <w:rPr>
          <w:rFonts w:ascii="Arial" w:cs="Arial" w:eastAsia="Arial" w:hAnsi="Arial"/>
          <w:sz w:val="14"/>
          <w:szCs w:val="14"/>
          <w:color w:val="auto"/>
        </w:rPr>
        <w:t>4.1.2 The Committee or the CEO, subject to the provisions of the Plan and authorization by the Committee, may, at any time and from time to time, (i) determine and designate those Nonreporting Persons who are Employees or Consultants to whom Awards are to be granted; (ii) determine the time or times when Awards to Nonreporting Persons who are Employees or Consultants shall be granted; (iii) determine the form or forms of Awards to be granted to any Nonreporting Person who is an Employee or Consultant, from among the form or forms approved by the Committee; (iv) determine the number of shares of Common Stock or dollar amounts subject to or denominated by each Award to be granted to any Nonreporting Person who is an Employee or Consultant; and (v) determine the terms and conditions of each Award (including, without limitation, any Performance Goals and Performance Levels) to a Nonreporting Person who is an Employee or Consultant. Notwithstanding the foregoing, the Committee may, in its discretion, establish a maximum annual limit on the aggregate Awards that may be granted by the CEO, and/or a maximum annual limit on the Awards that may be granted by the CEO to any individual Nonreporting Person.</w:t>
      </w:r>
    </w:p>
    <w:p>
      <w:pPr>
        <w:spacing w:after="0" w:line="78" w:lineRule="exact"/>
        <w:rPr>
          <w:sz w:val="20"/>
          <w:szCs w:val="20"/>
          <w:color w:val="auto"/>
        </w:rPr>
      </w:pPr>
    </w:p>
    <w:p>
      <w:pPr>
        <w:ind w:left="620" w:right="20" w:hanging="404"/>
        <w:spacing w:after="0" w:line="252" w:lineRule="auto"/>
        <w:rPr>
          <w:sz w:val="20"/>
          <w:szCs w:val="20"/>
          <w:color w:val="auto"/>
        </w:rPr>
      </w:pPr>
      <w:r>
        <w:rPr>
          <w:rFonts w:ascii="Arial" w:cs="Arial" w:eastAsia="Arial" w:hAnsi="Arial"/>
          <w:sz w:val="14"/>
          <w:szCs w:val="14"/>
          <w:color w:val="auto"/>
        </w:rPr>
        <w:t>4.1.3 Subject to the provisions of the Plan, the Board may, at any time, (i) determine and designate those Directors to whom Awards, other than Incentive Stock Options, are to be granted; (ii) determine the time or times when Awards to Directors shall be granted; (iii) determine the form or forms of Awards to be granted to any Director; (iv) determine the number of shares of Common Stock or dollar amounts subject to or denominated by each Award to be granted to a Director; and (v) determine the terms and condition of each Award (including, without limitation, any Performance Goals and Performance Levels) to a Director.</w:t>
      </w: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4.1.4 Awards may be granted singly, in combination or in tandem and may be made in combination or in tandem with or in replacement of, or as</w:t>
      </w:r>
    </w:p>
    <w:p>
      <w:pPr>
        <w:spacing w:after="0" w:line="15" w:lineRule="exact"/>
        <w:rPr>
          <w:sz w:val="20"/>
          <w:szCs w:val="20"/>
          <w:color w:val="auto"/>
        </w:rPr>
      </w:pPr>
    </w:p>
    <w:p>
      <w:pPr>
        <w:ind w:left="620" w:right="400"/>
        <w:spacing w:after="0" w:line="264" w:lineRule="auto"/>
        <w:rPr>
          <w:sz w:val="20"/>
          <w:szCs w:val="20"/>
          <w:color w:val="auto"/>
        </w:rPr>
      </w:pPr>
      <w:r>
        <w:rPr>
          <w:rFonts w:ascii="Arial" w:cs="Arial" w:eastAsia="Arial" w:hAnsi="Arial"/>
          <w:sz w:val="14"/>
          <w:szCs w:val="14"/>
          <w:color w:val="auto"/>
        </w:rPr>
        <w:t>alternatives to awards or grants under any other employee plan maintained by the Company or its Subsidiaries. No Awards shall be granted under the Plan after the tenth anniversary of the Effective Date.</w:t>
      </w:r>
    </w:p>
    <w:p>
      <w:pPr>
        <w:spacing w:after="0" w:line="172"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4.2    </w:t>
        <w:tab/>
        <w:t>ELIGIBILITY</w:t>
      </w:r>
    </w:p>
    <w:p>
      <w:pPr>
        <w:spacing w:after="0" w:line="15"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Any Employee, Director or Consultant shall be eligible to receive Awards under the Plan. Additionally, except to the extent it would result in adverse tax consequences under Section 409A of the Code and, if the Securities Act applies, provided such recipient is eligible to be offered securities registrable on Form S-8 under the Securities Act, or the Company determines that an Award granted to such person need not comply with the requirements of Form S-8 and will satisfy an exemption under the Securities Act as well as comply with the securities laws of all other relevant jurisdictions, prospective employees, directors, consultants and advisors who have accepted offers of employment, service or consultancy from the Company or a Subsidiary (and who will be an Employee, Director or Consultant once employment or services to the Company or a Subsidiary commences) shall be eligible to receive Awards under the Plan; provided, however, only current employees of the Company or any subsidiary corporation (within the meaning of Section 424(f) of the Code) shall be eligible to receive Incentive Stock Options under the Plan.</w:t>
      </w:r>
    </w:p>
    <w:p>
      <w:pPr>
        <w:spacing w:after="0" w:line="202"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4.3    </w:t>
        <w:tab/>
        <w:t>TERMS AND CONDITIONS; AWARD AGREEMENTS</w:t>
      </w:r>
    </w:p>
    <w:p>
      <w:pPr>
        <w:spacing w:after="0" w:line="15" w:lineRule="exact"/>
        <w:rPr>
          <w:sz w:val="20"/>
          <w:szCs w:val="20"/>
          <w:color w:val="auto"/>
        </w:rPr>
      </w:pPr>
    </w:p>
    <w:p>
      <w:pPr>
        <w:ind w:left="620" w:hanging="404"/>
        <w:spacing w:after="0" w:line="243" w:lineRule="auto"/>
        <w:rPr>
          <w:sz w:val="20"/>
          <w:szCs w:val="20"/>
          <w:color w:val="auto"/>
        </w:rPr>
      </w:pPr>
      <w:r>
        <w:rPr>
          <w:rFonts w:ascii="Arial" w:cs="Arial" w:eastAsia="Arial" w:hAnsi="Arial"/>
          <w:sz w:val="14"/>
          <w:szCs w:val="14"/>
          <w:color w:val="auto"/>
        </w:rPr>
        <w:t xml:space="preserve">4.3.1 </w:t>
      </w:r>
      <w:r>
        <w:rPr>
          <w:rFonts w:ascii="Arial" w:cs="Arial" w:eastAsia="Arial" w:hAnsi="Arial"/>
          <w:sz w:val="14"/>
          <w:szCs w:val="14"/>
          <w:i w:val="1"/>
          <w:iCs w:val="1"/>
          <w:color w:val="auto"/>
        </w:rPr>
        <w:t>Terms and Conditions.</w:t>
      </w:r>
      <w:r>
        <w:rPr>
          <w:rFonts w:ascii="Arial" w:cs="Arial" w:eastAsia="Arial" w:hAnsi="Arial"/>
          <w:sz w:val="14"/>
          <w:szCs w:val="14"/>
          <w:color w:val="auto"/>
        </w:rPr>
        <w:t xml:space="preserve"> Each Award granted pursuant to the Plan shall be subject to all of the terms, conditions and restrictions provided in the Plan and such other terms, conditions and restrictions, if any, as may be specified by the Grantor with respect to the Award in the Award Agreement or as may be specified thereafter by the Grantor in the exercise of its or his or her, as the case may be, powers under the Plan. Without limiting the foregoing, it is understood that the Grantor may, at any time after the granting of an Award hereunder, specify such amended or additional terms, conditions and restrictions with respect to such Award as may be deemed necessary or appropriate to ensure compliance with any and all applicable laws, including, but not limited to, compliance with Federal and state securities laws, compliance with Federal and state gaming or racing laws, compliance with Federal and state tax laws that would otherwise result in adverse and unintended tax consequences for a Grantee, the Company or any Subsidiary and methods of withholding or providing for the payment of required taxes. The terms, conditions and restrictions with respect to any Award, Grantee or Award Agreement need not be identical with the terms, conditions and restrictions with respect to any other Award, Grantee or Award Agreement.</w:t>
      </w:r>
    </w:p>
    <w:p>
      <w:pPr>
        <w:spacing w:after="0" w:line="246" w:lineRule="exact"/>
        <w:rPr>
          <w:sz w:val="20"/>
          <w:szCs w:val="20"/>
          <w:color w:val="auto"/>
        </w:rPr>
      </w:pPr>
    </w:p>
    <w:p>
      <w:pPr>
        <w:ind w:left="620" w:right="100" w:hanging="404"/>
        <w:spacing w:after="0" w:line="285" w:lineRule="auto"/>
        <w:rPr>
          <w:sz w:val="20"/>
          <w:szCs w:val="20"/>
          <w:color w:val="auto"/>
        </w:rPr>
      </w:pPr>
      <w:r>
        <w:rPr>
          <w:rFonts w:ascii="Arial" w:cs="Arial" w:eastAsia="Arial" w:hAnsi="Arial"/>
          <w:sz w:val="14"/>
          <w:szCs w:val="14"/>
          <w:color w:val="auto"/>
        </w:rPr>
        <w:t xml:space="preserve">4.3.2 </w:t>
      </w:r>
      <w:r>
        <w:rPr>
          <w:rFonts w:ascii="Arial" w:cs="Arial" w:eastAsia="Arial" w:hAnsi="Arial"/>
          <w:sz w:val="14"/>
          <w:szCs w:val="14"/>
          <w:i w:val="1"/>
          <w:iCs w:val="1"/>
          <w:color w:val="auto"/>
        </w:rPr>
        <w:t>Award Agreements.</w:t>
      </w:r>
      <w:r>
        <w:rPr>
          <w:rFonts w:ascii="Arial" w:cs="Arial" w:eastAsia="Arial" w:hAnsi="Arial"/>
          <w:sz w:val="14"/>
          <w:szCs w:val="14"/>
          <w:color w:val="auto"/>
        </w:rPr>
        <w:t xml:space="preserve"> Except as otherwise provided in the Plan, each Award granted pursuant to the Plan shall be evidenced by an Award Agreement and shall comply with, and be subject to, the provisions of the Plan.</w:t>
      </w:r>
    </w:p>
    <w:p>
      <w:pPr>
        <w:spacing w:after="0" w:line="50" w:lineRule="exact"/>
        <w:rPr>
          <w:sz w:val="20"/>
          <w:szCs w:val="20"/>
          <w:color w:val="auto"/>
        </w:rPr>
      </w:pPr>
    </w:p>
    <w:p>
      <w:pPr>
        <w:ind w:left="620" w:right="100" w:hanging="404"/>
        <w:spacing w:after="0" w:line="263" w:lineRule="auto"/>
        <w:rPr>
          <w:sz w:val="20"/>
          <w:szCs w:val="20"/>
          <w:color w:val="auto"/>
        </w:rPr>
      </w:pPr>
      <w:r>
        <w:rPr>
          <w:rFonts w:ascii="Arial" w:cs="Arial" w:eastAsia="Arial" w:hAnsi="Arial"/>
          <w:sz w:val="14"/>
          <w:szCs w:val="14"/>
          <w:color w:val="auto"/>
        </w:rPr>
        <w:t xml:space="preserve">4.3.3 </w:t>
      </w:r>
      <w:r>
        <w:rPr>
          <w:rFonts w:ascii="Arial" w:cs="Arial" w:eastAsia="Arial" w:hAnsi="Arial"/>
          <w:sz w:val="14"/>
          <w:szCs w:val="14"/>
          <w:i w:val="1"/>
          <w:iCs w:val="1"/>
          <w:color w:val="auto"/>
        </w:rPr>
        <w:t>Minimum Vesting Requirement.</w:t>
      </w:r>
      <w:r>
        <w:rPr>
          <w:rFonts w:ascii="Arial" w:cs="Arial" w:eastAsia="Arial" w:hAnsi="Arial"/>
          <w:sz w:val="14"/>
          <w:szCs w:val="14"/>
          <w:color w:val="auto"/>
        </w:rPr>
        <w:t xml:space="preserve"> All Awards granted under this Plan shall be subject to a minimum one-year vesting period following the Date of Grant, with no portion of the Award vesting or becoming exercisable prior to the end of such one-year period; provided, however, that up to five percent (5%) of the Shares available for distribution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4431665" cy="13716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4431665" cy="137160"/>
                    </a:xfrm>
                    <a:prstGeom prst="rect">
                      <a:avLst/>
                    </a:prstGeom>
                    <a:noFill/>
                  </pic:spPr>
                </pic:pic>
              </a:graphicData>
            </a:graphic>
          </wp:anchor>
        </w:drawing>
      </w:r>
    </w:p>
    <w:p>
      <w:pPr>
        <w:spacing w:after="0" w:line="146" w:lineRule="exact"/>
        <w:rPr>
          <w:sz w:val="20"/>
          <w:szCs w:val="20"/>
          <w:color w:val="auto"/>
        </w:rPr>
      </w:pPr>
    </w:p>
    <w:p>
      <w:pPr>
        <w:ind w:left="7140"/>
        <w:spacing w:after="0"/>
        <w:tabs>
          <w:tab w:leader="none" w:pos="9160" w:val="left"/>
        </w:tabs>
        <w:rPr>
          <w:sz w:val="20"/>
          <w:szCs w:val="20"/>
          <w:color w:val="auto"/>
        </w:rPr>
      </w:pPr>
      <w:r>
        <w:rPr>
          <w:rFonts w:ascii="Arial" w:cs="Arial" w:eastAsia="Arial" w:hAnsi="Arial"/>
          <w:sz w:val="14"/>
          <w:szCs w:val="14"/>
          <w:color w:val="auto"/>
        </w:rPr>
        <w:t>PROXY STATEMENT - 2026</w:t>
        <w:tab/>
        <w:t>A-9</w:t>
      </w:r>
    </w:p>
    <w:p>
      <w:pPr>
        <w:spacing w:after="0" w:line="136" w:lineRule="exact"/>
        <w:rPr>
          <w:sz w:val="20"/>
          <w:szCs w:val="20"/>
          <w:color w:val="auto"/>
        </w:rPr>
      </w:pPr>
    </w:p>
    <w:p>
      <w:pPr>
        <w:ind w:left="620" w:right="160"/>
        <w:spacing w:after="0" w:line="263" w:lineRule="auto"/>
        <w:rPr>
          <w:sz w:val="20"/>
          <w:szCs w:val="20"/>
          <w:color w:val="auto"/>
        </w:rPr>
      </w:pPr>
      <w:r>
        <w:rPr>
          <w:rFonts w:ascii="Arial" w:cs="Arial" w:eastAsia="Arial" w:hAnsi="Arial"/>
          <w:sz w:val="14"/>
          <w:szCs w:val="14"/>
          <w:color w:val="auto"/>
        </w:rPr>
        <w:t>may be granted pursuant to Awards without such minimum vesting requirement; and provided further that such minimum vesting requirement shall not prevent acceleration of vesting or exercisability pursuant to Article XIII, for Awards issued under Section 11.2.3, or pursuant to the terms of an Award Agreement relating to termination of employment or service.</w:t>
      </w:r>
    </w:p>
    <w:p>
      <w:pPr>
        <w:spacing w:after="0" w:line="65" w:lineRule="exact"/>
        <w:rPr>
          <w:sz w:val="20"/>
          <w:szCs w:val="20"/>
          <w:color w:val="auto"/>
        </w:rPr>
      </w:pPr>
    </w:p>
    <w:p>
      <w:pPr>
        <w:jc w:val="both"/>
        <w:ind w:left="620" w:right="180" w:hanging="404"/>
        <w:spacing w:after="0" w:line="248" w:lineRule="auto"/>
        <w:rPr>
          <w:sz w:val="20"/>
          <w:szCs w:val="20"/>
          <w:color w:val="auto"/>
        </w:rPr>
      </w:pPr>
      <w:r>
        <w:rPr>
          <w:rFonts w:ascii="Arial" w:cs="Arial" w:eastAsia="Arial" w:hAnsi="Arial"/>
          <w:sz w:val="14"/>
          <w:szCs w:val="14"/>
          <w:color w:val="auto"/>
        </w:rPr>
        <w:t xml:space="preserve">4.3.4 </w:t>
      </w:r>
      <w:r>
        <w:rPr>
          <w:rFonts w:ascii="Arial" w:cs="Arial" w:eastAsia="Arial" w:hAnsi="Arial"/>
          <w:sz w:val="14"/>
          <w:szCs w:val="14"/>
          <w:i w:val="1"/>
          <w:iCs w:val="1"/>
          <w:color w:val="auto"/>
        </w:rPr>
        <w:t>Dividends and Dividend Equivalents.</w:t>
      </w:r>
      <w:r>
        <w:rPr>
          <w:rFonts w:ascii="Arial" w:cs="Arial" w:eastAsia="Arial" w:hAnsi="Arial"/>
          <w:sz w:val="14"/>
          <w:szCs w:val="14"/>
          <w:color w:val="auto"/>
        </w:rPr>
        <w:t xml:space="preserve"> The Committee may grant any Award with dividends or dividend equivalents, as applicable, based on the dividends declared on Common Stock, to be credited as of the dividend payment date(s), during the period between the Date of Grant and the date the Award is exercised, vests or expires, as determined by the Committee and as set forth in the Award Agreement.</w:t>
      </w:r>
    </w:p>
    <w:p>
      <w:pPr>
        <w:spacing w:after="0" w:line="1" w:lineRule="exact"/>
        <w:rPr>
          <w:sz w:val="20"/>
          <w:szCs w:val="20"/>
          <w:color w:val="auto"/>
        </w:rPr>
      </w:pPr>
    </w:p>
    <w:p>
      <w:pPr>
        <w:ind w:left="620" w:right="80"/>
        <w:spacing w:after="0" w:line="264" w:lineRule="auto"/>
        <w:rPr>
          <w:sz w:val="20"/>
          <w:szCs w:val="20"/>
          <w:color w:val="auto"/>
        </w:rPr>
      </w:pPr>
      <w:r>
        <w:rPr>
          <w:rFonts w:ascii="Arial" w:cs="Arial" w:eastAsia="Arial" w:hAnsi="Arial"/>
          <w:sz w:val="14"/>
          <w:szCs w:val="14"/>
          <w:color w:val="auto"/>
        </w:rPr>
        <w:t>Notwithstanding the foregoing, such dividends and dividend equivalents on Awards shall accrue and only be paid to the extent the Award becomes vested.</w:t>
      </w:r>
    </w:p>
    <w:p>
      <w:pPr>
        <w:spacing w:after="0" w:line="172"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4.4    </w:t>
        <w:tab/>
        <w:t>AWARD LIMITS FOR DIRECTORS</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In any one calendar year, the Board shall not grant to any one Director Awards with a value which is in excess of $750,000 in value (calculated as of the date of grant in accordance with applicable financial accounting rules).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OPTIONS</w:t>
      </w:r>
    </w:p>
    <w:p>
      <w:pPr>
        <w:spacing w:after="0" w:line="217"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5.1    </w:t>
        <w:tab/>
        <w:t>AWARD OF OPTIONS</w:t>
      </w:r>
    </w:p>
    <w:p>
      <w:pPr>
        <w:spacing w:after="0" w:line="15" w:lineRule="exact"/>
        <w:rPr>
          <w:sz w:val="20"/>
          <w:szCs w:val="20"/>
          <w:color w:val="auto"/>
        </w:rPr>
      </w:pPr>
    </w:p>
    <w:p>
      <w:pPr>
        <w:ind w:left="800" w:right="40" w:hanging="593"/>
        <w:spacing w:after="0" w:line="245" w:lineRule="auto"/>
        <w:tabs>
          <w:tab w:leader="none" w:pos="780" w:val="left"/>
        </w:tabs>
        <w:rPr>
          <w:sz w:val="20"/>
          <w:szCs w:val="20"/>
          <w:color w:val="auto"/>
        </w:rPr>
      </w:pPr>
      <w:r>
        <w:rPr>
          <w:rFonts w:ascii="Arial" w:cs="Arial" w:eastAsia="Arial" w:hAnsi="Arial"/>
          <w:sz w:val="14"/>
          <w:szCs w:val="14"/>
          <w:color w:val="auto"/>
        </w:rPr>
        <w:t>5.1.1</w:t>
      </w:r>
      <w:r>
        <w:rPr>
          <w:sz w:val="20"/>
          <w:szCs w:val="20"/>
          <w:color w:val="auto"/>
        </w:rPr>
        <w:tab/>
      </w:r>
      <w:r>
        <w:rPr>
          <w:rFonts w:ascii="Arial" w:cs="Arial" w:eastAsia="Arial" w:hAnsi="Arial"/>
          <w:sz w:val="14"/>
          <w:szCs w:val="14"/>
          <w:i w:val="1"/>
          <w:iCs w:val="1"/>
          <w:color w:val="auto"/>
        </w:rPr>
        <w:t xml:space="preserve">Grants. </w:t>
      </w:r>
      <w:r>
        <w:rPr>
          <w:rFonts w:ascii="Arial" w:cs="Arial" w:eastAsia="Arial" w:hAnsi="Arial"/>
          <w:sz w:val="14"/>
          <w:szCs w:val="14"/>
          <w:color w:val="auto"/>
        </w:rPr>
        <w:t>The Committee may grant Stock Option Awards to such Reporting Persons who are Employees as the Committee may select</w:t>
      </w:r>
      <w:r>
        <w:rPr>
          <w:rFonts w:ascii="Arial" w:cs="Arial" w:eastAsia="Arial" w:hAnsi="Arial"/>
          <w:sz w:val="14"/>
          <w:szCs w:val="14"/>
          <w:i w:val="1"/>
          <w:iCs w:val="1"/>
          <w:color w:val="auto"/>
        </w:rPr>
        <w:t xml:space="preserve"> </w:t>
      </w:r>
      <w:r>
        <w:rPr>
          <w:rFonts w:ascii="Arial" w:cs="Arial" w:eastAsia="Arial" w:hAnsi="Arial"/>
          <w:sz w:val="14"/>
          <w:szCs w:val="14"/>
          <w:color w:val="auto"/>
        </w:rPr>
        <w:t>in its sole discretion. The Committee or the CEO also may grant Stock Option Awards in such number as the Committee or the CEO may determine to such Nonreporting Persons who are Employees or Consultants as the Committee or the CEO may select in its or his or her, as the case may be, sole discretion; provided, however, such grants shall be subject to any maximum aggregate amount of Awards determined by the Committee under Section 4.1.2. The Board may grant Options to such Directors as the Board may select in its sole discretion. The Grantor shall determine the number of shares of Common Stock to which each Option relates. A Stock Option entitles the holder thereof to purchase full shares of Common Stock at a stated price for a specified period of time.</w:t>
      </w:r>
    </w:p>
    <w:p>
      <w:pPr>
        <w:spacing w:after="0" w:line="78"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4"/>
          <w:szCs w:val="14"/>
          <w:color w:val="auto"/>
        </w:rPr>
        <w:t>5.1.2</w:t>
      </w:r>
      <w:r>
        <w:rPr>
          <w:sz w:val="20"/>
          <w:szCs w:val="20"/>
          <w:color w:val="auto"/>
        </w:rPr>
        <w:tab/>
      </w:r>
      <w:r>
        <w:rPr>
          <w:rFonts w:ascii="Arial" w:cs="Arial" w:eastAsia="Arial" w:hAnsi="Arial"/>
          <w:sz w:val="14"/>
          <w:szCs w:val="14"/>
          <w:i w:val="1"/>
          <w:iCs w:val="1"/>
          <w:color w:val="auto"/>
        </w:rPr>
        <w:t>Types of Options</w:t>
      </w:r>
    </w:p>
    <w:p>
      <w:pPr>
        <w:spacing w:after="0" w:line="109" w:lineRule="exact"/>
        <w:rPr>
          <w:sz w:val="20"/>
          <w:szCs w:val="20"/>
          <w:color w:val="auto"/>
        </w:rPr>
      </w:pPr>
    </w:p>
    <w:p>
      <w:pPr>
        <w:ind w:left="800" w:right="140" w:hanging="593"/>
        <w:spacing w:after="0" w:line="285" w:lineRule="auto"/>
        <w:tabs>
          <w:tab w:leader="none" w:pos="780" w:val="left"/>
        </w:tabs>
        <w:rPr>
          <w:sz w:val="20"/>
          <w:szCs w:val="20"/>
          <w:color w:val="auto"/>
        </w:rPr>
      </w:pPr>
      <w:r>
        <w:rPr>
          <w:rFonts w:ascii="Arial" w:cs="Arial" w:eastAsia="Arial" w:hAnsi="Arial"/>
          <w:sz w:val="14"/>
          <w:szCs w:val="14"/>
          <w:color w:val="auto"/>
        </w:rPr>
        <w:t>5.1.2.1</w:t>
      </w:r>
      <w:r>
        <w:rPr>
          <w:sz w:val="20"/>
          <w:szCs w:val="20"/>
          <w:color w:val="auto"/>
        </w:rPr>
        <w:tab/>
      </w:r>
      <w:r>
        <w:rPr>
          <w:rFonts w:ascii="Arial" w:cs="Arial" w:eastAsia="Arial" w:hAnsi="Arial"/>
          <w:sz w:val="14"/>
          <w:szCs w:val="14"/>
          <w:i w:val="1"/>
          <w:iCs w:val="1"/>
          <w:color w:val="auto"/>
        </w:rPr>
        <w:t xml:space="preserve">Employees. </w:t>
      </w:r>
      <w:r>
        <w:rPr>
          <w:rFonts w:ascii="Arial" w:cs="Arial" w:eastAsia="Arial" w:hAnsi="Arial"/>
          <w:sz w:val="14"/>
          <w:szCs w:val="14"/>
          <w:color w:val="auto"/>
        </w:rPr>
        <w:t>Options granted to Employees pursuant to the Plan may be either in the form of Incentive Stock Options or in the form of</w:t>
      </w:r>
      <w:r>
        <w:rPr>
          <w:rFonts w:ascii="Arial" w:cs="Arial" w:eastAsia="Arial" w:hAnsi="Arial"/>
          <w:sz w:val="14"/>
          <w:szCs w:val="14"/>
          <w:i w:val="1"/>
          <w:iCs w:val="1"/>
          <w:color w:val="auto"/>
        </w:rPr>
        <w:t xml:space="preserve"> </w:t>
      </w:r>
      <w:r>
        <w:rPr>
          <w:rFonts w:ascii="Arial" w:cs="Arial" w:eastAsia="Arial" w:hAnsi="Arial"/>
          <w:sz w:val="14"/>
          <w:szCs w:val="14"/>
          <w:color w:val="auto"/>
        </w:rPr>
        <w:t>Non-Qualified Stock Options.</w:t>
      </w:r>
    </w:p>
    <w:p>
      <w:pPr>
        <w:spacing w:after="0" w:line="50"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4"/>
          <w:szCs w:val="14"/>
          <w:color w:val="auto"/>
        </w:rPr>
        <w:t>5.1.2.2</w:t>
      </w:r>
      <w:r>
        <w:rPr>
          <w:sz w:val="20"/>
          <w:szCs w:val="20"/>
          <w:color w:val="auto"/>
        </w:rPr>
        <w:tab/>
      </w:r>
      <w:r>
        <w:rPr>
          <w:rFonts w:ascii="Arial" w:cs="Arial" w:eastAsia="Arial" w:hAnsi="Arial"/>
          <w:sz w:val="14"/>
          <w:szCs w:val="14"/>
          <w:i w:val="1"/>
          <w:iCs w:val="1"/>
          <w:color w:val="auto"/>
        </w:rPr>
        <w:t xml:space="preserve">Directors. </w:t>
      </w:r>
      <w:r>
        <w:rPr>
          <w:rFonts w:ascii="Arial" w:cs="Arial" w:eastAsia="Arial" w:hAnsi="Arial"/>
          <w:sz w:val="14"/>
          <w:szCs w:val="14"/>
          <w:color w:val="auto"/>
        </w:rPr>
        <w:t>Options granted to Directors and Consultants pursuant to the Plan will be in the form of Non-Qualified Stock Options.</w:t>
      </w:r>
    </w:p>
    <w:p>
      <w:pPr>
        <w:spacing w:after="0" w:line="109" w:lineRule="exact"/>
        <w:rPr>
          <w:sz w:val="20"/>
          <w:szCs w:val="20"/>
          <w:color w:val="auto"/>
        </w:rPr>
      </w:pPr>
    </w:p>
    <w:p>
      <w:pPr>
        <w:ind w:left="800" w:hanging="593"/>
        <w:spacing w:after="0" w:line="250" w:lineRule="auto"/>
        <w:tabs>
          <w:tab w:leader="none" w:pos="780" w:val="left"/>
        </w:tabs>
        <w:rPr>
          <w:sz w:val="20"/>
          <w:szCs w:val="20"/>
          <w:color w:val="auto"/>
        </w:rPr>
      </w:pPr>
      <w:r>
        <w:rPr>
          <w:rFonts w:ascii="Arial" w:cs="Arial" w:eastAsia="Arial" w:hAnsi="Arial"/>
          <w:sz w:val="14"/>
          <w:szCs w:val="14"/>
          <w:color w:val="auto"/>
        </w:rPr>
        <w:t>5.1.3</w:t>
      </w:r>
      <w:r>
        <w:rPr>
          <w:sz w:val="20"/>
          <w:szCs w:val="20"/>
          <w:color w:val="auto"/>
        </w:rPr>
        <w:tab/>
      </w:r>
      <w:r>
        <w:rPr>
          <w:rFonts w:ascii="Arial" w:cs="Arial" w:eastAsia="Arial" w:hAnsi="Arial"/>
          <w:sz w:val="14"/>
          <w:szCs w:val="14"/>
          <w:i w:val="1"/>
          <w:iCs w:val="1"/>
          <w:color w:val="auto"/>
        </w:rPr>
        <w:t xml:space="preserve">Internal Revenue Code Limits. </w:t>
      </w:r>
      <w:r>
        <w:rPr>
          <w:rFonts w:ascii="Arial" w:cs="Arial" w:eastAsia="Arial" w:hAnsi="Arial"/>
          <w:sz w:val="14"/>
          <w:szCs w:val="14"/>
          <w:color w:val="auto"/>
        </w:rPr>
        <w:t>Options designated as Incentive Stock Options shall not be eligible for treatment under the Code as</w:t>
      </w:r>
      <w:r>
        <w:rPr>
          <w:rFonts w:ascii="Arial" w:cs="Arial" w:eastAsia="Arial" w:hAnsi="Arial"/>
          <w:sz w:val="14"/>
          <w:szCs w:val="14"/>
          <w:i w:val="1"/>
          <w:iCs w:val="1"/>
          <w:color w:val="auto"/>
        </w:rPr>
        <w:t xml:space="preserve"> </w:t>
      </w:r>
      <w:r>
        <w:rPr>
          <w:rFonts w:ascii="Arial" w:cs="Arial" w:eastAsia="Arial" w:hAnsi="Arial"/>
          <w:sz w:val="14"/>
          <w:szCs w:val="14"/>
          <w:color w:val="auto"/>
        </w:rPr>
        <w:t>“incentive stock options” (and will be deemed to be Non-Qualified Stock Options) to the extent that either (i) the aggregate Fair Market Value of Shares (determined as of the time of grant) with respect to which such Options are exercisable for the first time by the Grantee during any calendar year (under all plans of the Company and any Subsidiary) exceeds $100,000, taking Options into account in the order in which they were granted or (ii) such Options otherwise remain exercisable but are not exercised within three (3) months of termination of employment (or such other period of time provided in Section 422 of the Code).</w:t>
      </w:r>
    </w:p>
    <w:p>
      <w:pPr>
        <w:spacing w:after="0" w:line="182"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5.2    </w:t>
        <w:tab/>
        <w:t>OPTION PRICE</w:t>
      </w:r>
    </w:p>
    <w:p>
      <w:pPr>
        <w:spacing w:after="0" w:line="15"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The Option Price of Common Stock covered by each Option shall be determined by the Grantor, but shall not be less than 100% of the Fair Market Value of a share of Common Stock on the Date of Grant, provided, however, in the case of an Incentive Stock Option granted to Ten Percent Shareholder, the Option Price shall be no less than 110% of the Fair Market Value of a share of Common Stock on the Date of Grant.</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5.3    </w:t>
        <w:tab/>
        <w:t>OPTION PERIODS</w:t>
      </w:r>
    </w:p>
    <w:p>
      <w:pPr>
        <w:spacing w:after="0" w:line="15" w:lineRule="exact"/>
        <w:rPr>
          <w:sz w:val="20"/>
          <w:szCs w:val="20"/>
          <w:color w:val="auto"/>
        </w:rPr>
      </w:pPr>
    </w:p>
    <w:p>
      <w:pPr>
        <w:jc w:val="both"/>
        <w:ind w:right="480"/>
        <w:spacing w:after="0" w:line="252" w:lineRule="auto"/>
        <w:rPr>
          <w:sz w:val="20"/>
          <w:szCs w:val="20"/>
          <w:color w:val="auto"/>
        </w:rPr>
      </w:pPr>
      <w:r>
        <w:rPr>
          <w:rFonts w:ascii="Arial" w:cs="Arial" w:eastAsia="Arial" w:hAnsi="Arial"/>
          <w:sz w:val="14"/>
          <w:szCs w:val="14"/>
          <w:color w:val="auto"/>
        </w:rPr>
        <w:t>The Grantor shall determine the term of each Option which shall be reflected in the Award Agreement. No Option may be exercised after the expiration of its term. Subject to earlier termination as provided in the Plan, the term shall not exceed ten (10) years from the Date of Grant; provided, that the term of an Incentive Stock Option granted to a Ten Percent Shareholder shall not exceed five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95250</wp:posOffset>
            </wp:positionV>
            <wp:extent cx="6995160" cy="171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102870</wp:posOffset>
            </wp:positionV>
            <wp:extent cx="4431665" cy="11112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4431665" cy="111125"/>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A-10</w:t>
        <w:tab/>
        <w:t>PROXY STATEMENT - 2026</w:t>
      </w:r>
    </w:p>
    <w:p>
      <w:pPr>
        <w:spacing w:after="0" w:line="96"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5.4    </w:t>
        <w:tab/>
        <w:t>EXERCISABILITY</w:t>
      </w:r>
    </w:p>
    <w:p>
      <w:pPr>
        <w:spacing w:after="0" w:line="15" w:lineRule="exact"/>
        <w:rPr>
          <w:sz w:val="20"/>
          <w:szCs w:val="20"/>
          <w:color w:val="auto"/>
        </w:rPr>
      </w:pPr>
    </w:p>
    <w:p>
      <w:pPr>
        <w:ind w:left="800" w:right="120" w:hanging="593"/>
        <w:spacing w:after="0" w:line="264" w:lineRule="auto"/>
        <w:tabs>
          <w:tab w:leader="none" w:pos="780" w:val="left"/>
        </w:tabs>
        <w:rPr>
          <w:sz w:val="20"/>
          <w:szCs w:val="20"/>
          <w:color w:val="auto"/>
        </w:rPr>
      </w:pPr>
      <w:r>
        <w:rPr>
          <w:rFonts w:ascii="Arial" w:cs="Arial" w:eastAsia="Arial" w:hAnsi="Arial"/>
          <w:sz w:val="14"/>
          <w:szCs w:val="14"/>
          <w:color w:val="auto"/>
        </w:rPr>
        <w:t>5.4.1</w:t>
      </w:r>
      <w:r>
        <w:rPr>
          <w:sz w:val="20"/>
          <w:szCs w:val="20"/>
          <w:color w:val="auto"/>
        </w:rPr>
        <w:tab/>
      </w:r>
      <w:r>
        <w:rPr>
          <w:rFonts w:ascii="Arial" w:cs="Arial" w:eastAsia="Arial" w:hAnsi="Arial"/>
          <w:sz w:val="14"/>
          <w:szCs w:val="14"/>
          <w:color w:val="auto"/>
        </w:rPr>
        <w:t>Subject to the terms of the Award Agreement and Article XIII, each Option shall be exercisable at any time or times during the term of the Option and subject to such conditions as the Grantor may prescribe in the applicable Award Agreement.</w:t>
      </w:r>
    </w:p>
    <w:p>
      <w:pPr>
        <w:spacing w:after="0" w:line="64" w:lineRule="exact"/>
        <w:rPr>
          <w:sz w:val="20"/>
          <w:szCs w:val="20"/>
          <w:color w:val="auto"/>
        </w:rPr>
      </w:pPr>
    </w:p>
    <w:p>
      <w:pPr>
        <w:ind w:left="800" w:right="120" w:hanging="593"/>
        <w:spacing w:after="0" w:line="285" w:lineRule="auto"/>
        <w:tabs>
          <w:tab w:leader="none" w:pos="780" w:val="left"/>
        </w:tabs>
        <w:rPr>
          <w:sz w:val="20"/>
          <w:szCs w:val="20"/>
          <w:color w:val="auto"/>
        </w:rPr>
      </w:pPr>
      <w:r>
        <w:rPr>
          <w:rFonts w:ascii="Arial" w:cs="Arial" w:eastAsia="Arial" w:hAnsi="Arial"/>
          <w:sz w:val="14"/>
          <w:szCs w:val="14"/>
          <w:color w:val="auto"/>
        </w:rPr>
        <w:t>5.4.2</w:t>
      </w:r>
      <w:r>
        <w:rPr>
          <w:sz w:val="20"/>
          <w:szCs w:val="20"/>
          <w:color w:val="auto"/>
        </w:rPr>
        <w:tab/>
      </w:r>
      <w:r>
        <w:rPr>
          <w:rFonts w:ascii="Arial" w:cs="Arial" w:eastAsia="Arial" w:hAnsi="Arial"/>
          <w:sz w:val="14"/>
          <w:szCs w:val="14"/>
          <w:color w:val="auto"/>
        </w:rPr>
        <w:t>Except as provided in an Award Agreement, an Option may be exercised only during the Grantee’s employment with the Company or any of its Subsidiaries or service as a Director or Consultant. No Option may be exercised for a fractional share.</w:t>
      </w:r>
    </w:p>
    <w:p>
      <w:pPr>
        <w:spacing w:after="0" w:line="50" w:lineRule="exact"/>
        <w:rPr>
          <w:sz w:val="20"/>
          <w:szCs w:val="20"/>
          <w:color w:val="auto"/>
        </w:rPr>
      </w:pPr>
    </w:p>
    <w:p>
      <w:pPr>
        <w:ind w:left="800" w:right="180" w:hanging="593"/>
        <w:spacing w:after="0" w:line="285" w:lineRule="auto"/>
        <w:tabs>
          <w:tab w:leader="none" w:pos="780" w:val="left"/>
        </w:tabs>
        <w:rPr>
          <w:sz w:val="20"/>
          <w:szCs w:val="20"/>
          <w:color w:val="auto"/>
        </w:rPr>
      </w:pPr>
      <w:r>
        <w:rPr>
          <w:rFonts w:ascii="Arial" w:cs="Arial" w:eastAsia="Arial" w:hAnsi="Arial"/>
          <w:sz w:val="14"/>
          <w:szCs w:val="14"/>
          <w:color w:val="auto"/>
        </w:rPr>
        <w:t>5.4.3</w:t>
      </w:r>
      <w:r>
        <w:rPr>
          <w:sz w:val="20"/>
          <w:szCs w:val="20"/>
          <w:color w:val="auto"/>
        </w:rPr>
        <w:tab/>
      </w:r>
      <w:r>
        <w:rPr>
          <w:rFonts w:ascii="Arial" w:cs="Arial" w:eastAsia="Arial" w:hAnsi="Arial"/>
          <w:sz w:val="14"/>
          <w:szCs w:val="14"/>
          <w:i w:val="1"/>
          <w:iCs w:val="1"/>
          <w:color w:val="auto"/>
        </w:rPr>
        <w:t xml:space="preserve">Method of Exercise. </w:t>
      </w:r>
      <w:r>
        <w:rPr>
          <w:rFonts w:ascii="Arial" w:cs="Arial" w:eastAsia="Arial" w:hAnsi="Arial"/>
          <w:sz w:val="14"/>
          <w:szCs w:val="14"/>
          <w:color w:val="auto"/>
        </w:rPr>
        <w:t>A Holder may exercise an Option, in whole or in part, by giving notice of exercise to the Company, in a form and</w:t>
      </w:r>
      <w:r>
        <w:rPr>
          <w:rFonts w:ascii="Arial" w:cs="Arial" w:eastAsia="Arial" w:hAnsi="Arial"/>
          <w:sz w:val="14"/>
          <w:szCs w:val="14"/>
          <w:i w:val="1"/>
          <w:iCs w:val="1"/>
          <w:color w:val="auto"/>
        </w:rPr>
        <w:t xml:space="preserve"> </w:t>
      </w:r>
      <w:r>
        <w:rPr>
          <w:rFonts w:ascii="Arial" w:cs="Arial" w:eastAsia="Arial" w:hAnsi="Arial"/>
          <w:sz w:val="14"/>
          <w:szCs w:val="14"/>
          <w:color w:val="auto"/>
        </w:rPr>
        <w:t>manner acceptable to the Company.</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5.5    </w:t>
        <w:tab/>
        <w:t>TIME AND METHOD OF PAYMENT FOR OPTIONS</w:t>
      </w:r>
    </w:p>
    <w:p>
      <w:pPr>
        <w:spacing w:after="0" w:line="15" w:lineRule="exact"/>
        <w:rPr>
          <w:sz w:val="20"/>
          <w:szCs w:val="20"/>
          <w:color w:val="auto"/>
        </w:rPr>
      </w:pPr>
    </w:p>
    <w:p>
      <w:pPr>
        <w:ind w:left="800" w:hanging="593"/>
        <w:spacing w:after="0" w:line="244" w:lineRule="auto"/>
        <w:tabs>
          <w:tab w:leader="none" w:pos="780" w:val="left"/>
        </w:tabs>
        <w:rPr>
          <w:sz w:val="20"/>
          <w:szCs w:val="20"/>
          <w:color w:val="auto"/>
        </w:rPr>
      </w:pPr>
      <w:r>
        <w:rPr>
          <w:rFonts w:ascii="Arial" w:cs="Arial" w:eastAsia="Arial" w:hAnsi="Arial"/>
          <w:sz w:val="14"/>
          <w:szCs w:val="14"/>
          <w:color w:val="auto"/>
        </w:rPr>
        <w:t>5.5.1</w:t>
      </w:r>
      <w:r>
        <w:rPr>
          <w:sz w:val="20"/>
          <w:szCs w:val="20"/>
          <w:color w:val="auto"/>
        </w:rPr>
        <w:tab/>
      </w:r>
      <w:r>
        <w:rPr>
          <w:rFonts w:ascii="Arial" w:cs="Arial" w:eastAsia="Arial" w:hAnsi="Arial"/>
          <w:sz w:val="14"/>
          <w:szCs w:val="14"/>
          <w:i w:val="1"/>
          <w:iCs w:val="1"/>
          <w:color w:val="auto"/>
        </w:rPr>
        <w:t xml:space="preserve">Form of Payment. </w:t>
      </w:r>
      <w:r>
        <w:rPr>
          <w:rFonts w:ascii="Arial" w:cs="Arial" w:eastAsia="Arial" w:hAnsi="Arial"/>
          <w:sz w:val="14"/>
          <w:szCs w:val="14"/>
          <w:color w:val="auto"/>
        </w:rPr>
        <w:t>The Holder shall pay the Option Price in cash or, with the Grantor’s permission and according to such rules as it may</w:t>
      </w:r>
      <w:r>
        <w:rPr>
          <w:rFonts w:ascii="Arial" w:cs="Arial" w:eastAsia="Arial" w:hAnsi="Arial"/>
          <w:sz w:val="14"/>
          <w:szCs w:val="14"/>
          <w:i w:val="1"/>
          <w:iCs w:val="1"/>
          <w:color w:val="auto"/>
        </w:rPr>
        <w:t xml:space="preserve"> </w:t>
      </w:r>
      <w:r>
        <w:rPr>
          <w:rFonts w:ascii="Arial" w:cs="Arial" w:eastAsia="Arial" w:hAnsi="Arial"/>
          <w:sz w:val="14"/>
          <w:szCs w:val="14"/>
          <w:color w:val="auto"/>
        </w:rPr>
        <w:t>prescribe, by delivering shares of Common Stock already owned by the Holder having a Fair Market Value on the date of exercise equal to the Option Price, or a combination of cash and such shares. The Grantor may also permit payment in accordance with a cashless exercise program under which, if so instructed by the Holder, shares of Common Stock may be issued directly to the Holder’s broker or dealer who in turn will sell the shares and pay the Option Price in cash to the Company from the sale proceeds. Finally, the Grantor may permit payment by reducing the number of shares of Common Stock delivered upon exercise by an amount equal to the largest number of whole shares of Common Stock with a Fair Market Value that does not exceed the Option Price, with the remainder of the Option Price being payable in cash.</w:t>
      </w:r>
    </w:p>
    <w:p>
      <w:pPr>
        <w:spacing w:after="0" w:line="81" w:lineRule="exact"/>
        <w:rPr>
          <w:sz w:val="20"/>
          <w:szCs w:val="20"/>
          <w:color w:val="auto"/>
        </w:rPr>
      </w:pPr>
    </w:p>
    <w:p>
      <w:pPr>
        <w:ind w:left="800" w:hanging="593"/>
        <w:spacing w:after="0" w:line="285" w:lineRule="auto"/>
        <w:tabs>
          <w:tab w:leader="none" w:pos="780" w:val="left"/>
        </w:tabs>
        <w:rPr>
          <w:sz w:val="20"/>
          <w:szCs w:val="20"/>
          <w:color w:val="auto"/>
        </w:rPr>
      </w:pPr>
      <w:r>
        <w:rPr>
          <w:rFonts w:ascii="Arial" w:cs="Arial" w:eastAsia="Arial" w:hAnsi="Arial"/>
          <w:sz w:val="14"/>
          <w:szCs w:val="14"/>
          <w:color w:val="auto"/>
        </w:rPr>
        <w:t>5.5.2</w:t>
      </w:r>
      <w:r>
        <w:rPr>
          <w:sz w:val="20"/>
          <w:szCs w:val="20"/>
          <w:color w:val="auto"/>
        </w:rPr>
        <w:tab/>
      </w:r>
      <w:r>
        <w:rPr>
          <w:rFonts w:ascii="Arial" w:cs="Arial" w:eastAsia="Arial" w:hAnsi="Arial"/>
          <w:sz w:val="14"/>
          <w:szCs w:val="14"/>
          <w:i w:val="1"/>
          <w:iCs w:val="1"/>
          <w:color w:val="auto"/>
        </w:rPr>
        <w:t xml:space="preserve">Time of Payment. </w:t>
      </w:r>
      <w:r>
        <w:rPr>
          <w:rFonts w:ascii="Arial" w:cs="Arial" w:eastAsia="Arial" w:hAnsi="Arial"/>
          <w:sz w:val="14"/>
          <w:szCs w:val="14"/>
          <w:color w:val="auto"/>
        </w:rPr>
        <w:t>Except in the case where exercise is conditioned on a simultaneous sale of the Option shares pursuant to a cashless</w:t>
      </w:r>
      <w:r>
        <w:rPr>
          <w:rFonts w:ascii="Arial" w:cs="Arial" w:eastAsia="Arial" w:hAnsi="Arial"/>
          <w:sz w:val="14"/>
          <w:szCs w:val="14"/>
          <w:i w:val="1"/>
          <w:iCs w:val="1"/>
          <w:color w:val="auto"/>
        </w:rPr>
        <w:t xml:space="preserve"> </w:t>
      </w:r>
      <w:r>
        <w:rPr>
          <w:rFonts w:ascii="Arial" w:cs="Arial" w:eastAsia="Arial" w:hAnsi="Arial"/>
          <w:sz w:val="14"/>
          <w:szCs w:val="14"/>
          <w:color w:val="auto"/>
        </w:rPr>
        <w:t>exercise, the Holder shall pay the Option Price before an Option is exercised.</w:t>
      </w:r>
    </w:p>
    <w:p>
      <w:pPr>
        <w:spacing w:after="0" w:line="50" w:lineRule="exact"/>
        <w:rPr>
          <w:sz w:val="20"/>
          <w:szCs w:val="20"/>
          <w:color w:val="auto"/>
        </w:rPr>
      </w:pPr>
    </w:p>
    <w:p>
      <w:pPr>
        <w:ind w:left="800" w:right="180" w:hanging="593"/>
        <w:spacing w:after="0" w:line="263" w:lineRule="auto"/>
        <w:tabs>
          <w:tab w:leader="none" w:pos="780" w:val="left"/>
        </w:tabs>
        <w:rPr>
          <w:sz w:val="20"/>
          <w:szCs w:val="20"/>
          <w:color w:val="auto"/>
        </w:rPr>
      </w:pPr>
      <w:r>
        <w:rPr>
          <w:rFonts w:ascii="Arial" w:cs="Arial" w:eastAsia="Arial" w:hAnsi="Arial"/>
          <w:sz w:val="14"/>
          <w:szCs w:val="14"/>
          <w:color w:val="auto"/>
        </w:rPr>
        <w:t>5.5.3</w:t>
      </w:r>
      <w:r>
        <w:rPr>
          <w:sz w:val="20"/>
          <w:szCs w:val="20"/>
          <w:color w:val="auto"/>
        </w:rPr>
        <w:tab/>
      </w:r>
      <w:r>
        <w:rPr>
          <w:rFonts w:ascii="Arial" w:cs="Arial" w:eastAsia="Arial" w:hAnsi="Arial"/>
          <w:sz w:val="14"/>
          <w:szCs w:val="14"/>
          <w:i w:val="1"/>
          <w:iCs w:val="1"/>
          <w:color w:val="auto"/>
        </w:rPr>
        <w:t xml:space="preserve">Methods for Tendering Shares. </w:t>
      </w:r>
      <w:r>
        <w:rPr>
          <w:rFonts w:ascii="Arial" w:cs="Arial" w:eastAsia="Arial" w:hAnsi="Arial"/>
          <w:sz w:val="14"/>
          <w:szCs w:val="14"/>
          <w:color w:val="auto"/>
        </w:rPr>
        <w:t>The Grantor shall determine acceptable methods for tendering shares of Common Stock as payment</w:t>
      </w:r>
      <w:r>
        <w:rPr>
          <w:rFonts w:ascii="Arial" w:cs="Arial" w:eastAsia="Arial" w:hAnsi="Arial"/>
          <w:sz w:val="14"/>
          <w:szCs w:val="14"/>
          <w:i w:val="1"/>
          <w:iCs w:val="1"/>
          <w:color w:val="auto"/>
        </w:rPr>
        <w:t xml:space="preserve"> </w:t>
      </w:r>
      <w:r>
        <w:rPr>
          <w:rFonts w:ascii="Arial" w:cs="Arial" w:eastAsia="Arial" w:hAnsi="Arial"/>
          <w:sz w:val="14"/>
          <w:szCs w:val="14"/>
          <w:color w:val="auto"/>
        </w:rPr>
        <w:t>upon exercise of an Option and may impose such limitations and restrictions on the use of shares of Common Stock to exercise an Option as it or he or she, as the case may be, deems appropriate.</w:t>
      </w:r>
    </w:p>
    <w:p>
      <w:pPr>
        <w:spacing w:after="0" w:line="186"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5.6    </w:t>
        <w:tab/>
        <w:t>DELIVERY OF SHARES PURSUANT TO EXERCISE OF OPTION</w:t>
      </w:r>
    </w:p>
    <w:p>
      <w:pPr>
        <w:spacing w:after="0" w:line="15"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No shares of Common Stock shall be delivered pursuant to the exercise, in whole or in part, of any Option, unless and until (i) payment in full of the Option Price for such shares is received by the Company and (ii) compliance with all applicable requirements and conditions of the Plan, the Award Agreement and such rules and regulations as may be established by the Grantor, that are preconditions to delivery. Following exercise of the Option and payment in full of the Option Price and compliance with the conditions described in the preceding sentence, the Company shall promptly effect the issuance to the Grantee of such number of shares of Common Stock as are subject to the Option exercise.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 APPRECIATION RIGHTS</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6.1    </w:t>
        <w:tab/>
        <w:t>AWARD OF SARS</w:t>
      </w:r>
    </w:p>
    <w:p>
      <w:pPr>
        <w:spacing w:after="0" w:line="15" w:lineRule="exact"/>
        <w:rPr>
          <w:sz w:val="20"/>
          <w:szCs w:val="20"/>
          <w:color w:val="auto"/>
        </w:rPr>
      </w:pPr>
    </w:p>
    <w:p>
      <w:pPr>
        <w:ind w:left="800" w:right="80" w:hanging="593"/>
        <w:spacing w:after="0" w:line="245" w:lineRule="auto"/>
        <w:tabs>
          <w:tab w:leader="none" w:pos="780" w:val="left"/>
        </w:tabs>
        <w:rPr>
          <w:sz w:val="20"/>
          <w:szCs w:val="20"/>
          <w:color w:val="auto"/>
        </w:rPr>
      </w:pPr>
      <w:r>
        <w:rPr>
          <w:rFonts w:ascii="Arial" w:cs="Arial" w:eastAsia="Arial" w:hAnsi="Arial"/>
          <w:sz w:val="14"/>
          <w:szCs w:val="14"/>
          <w:color w:val="auto"/>
        </w:rPr>
        <w:t>6.1.1</w:t>
      </w:r>
      <w:r>
        <w:rPr>
          <w:sz w:val="20"/>
          <w:szCs w:val="20"/>
          <w:color w:val="auto"/>
        </w:rPr>
        <w:tab/>
      </w:r>
      <w:r>
        <w:rPr>
          <w:rFonts w:ascii="Arial" w:cs="Arial" w:eastAsia="Arial" w:hAnsi="Arial"/>
          <w:sz w:val="14"/>
          <w:szCs w:val="14"/>
          <w:i w:val="1"/>
          <w:iCs w:val="1"/>
          <w:color w:val="auto"/>
        </w:rPr>
        <w:t xml:space="preserve">Grants. </w:t>
      </w:r>
      <w:r>
        <w:rPr>
          <w:rFonts w:ascii="Arial" w:cs="Arial" w:eastAsia="Arial" w:hAnsi="Arial"/>
          <w:sz w:val="14"/>
          <w:szCs w:val="14"/>
          <w:color w:val="auto"/>
        </w:rPr>
        <w:t>The Committee may grant Stock Appreciation Rights Awards to such Reporting Persons who are Employees, as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may select in its sole discretion. The Committee or the CEO also may grant Stock Appreciation Rights Awards in such number as the Committee or the CEO may determine to such Nonreporting Persons who are Employees or Consultants as the Committee or the CEO may select in its or his or her, as the case may be, sole discretion; provided, however, such grants shall be subject to any maximum aggregate amount of Awards determined by the Committee under Section 4.1.2. The Board may grant Stock Appreciation Rights to such Directors as the Board may select in its sole discretion. The Grantor shall determine the number of shares of Common Stock to which each SAR relates.</w:t>
      </w:r>
    </w:p>
    <w:p>
      <w:pPr>
        <w:spacing w:after="0" w:line="78"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4"/>
          <w:szCs w:val="14"/>
          <w:color w:val="auto"/>
        </w:rPr>
        <w:t>6.1.2</w:t>
      </w:r>
      <w:r>
        <w:rPr>
          <w:sz w:val="20"/>
          <w:szCs w:val="20"/>
          <w:color w:val="auto"/>
        </w:rPr>
        <w:tab/>
      </w:r>
      <w:r>
        <w:rPr>
          <w:rFonts w:ascii="Arial" w:cs="Arial" w:eastAsia="Arial" w:hAnsi="Arial"/>
          <w:sz w:val="14"/>
          <w:szCs w:val="14"/>
          <w:i w:val="1"/>
          <w:iCs w:val="1"/>
          <w:color w:val="auto"/>
        </w:rPr>
        <w:t xml:space="preserve">SAR Base Amount. </w:t>
      </w:r>
      <w:r>
        <w:rPr>
          <w:rFonts w:ascii="Arial" w:cs="Arial" w:eastAsia="Arial" w:hAnsi="Arial"/>
          <w:sz w:val="14"/>
          <w:szCs w:val="14"/>
          <w:color w:val="auto"/>
        </w:rPr>
        <w:t>The SAR Base Amount with respect to each SAR shall be determined by the Grantor, but shall not be less than</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100% of the Fair Market Value of a share of Common Stock on the Date of Grant.</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6.2    </w:t>
        <w:tab/>
        <w:t>SAR PERIODS</w:t>
      </w:r>
    </w:p>
    <w:p>
      <w:pPr>
        <w:spacing w:after="0" w:line="15" w:lineRule="exact"/>
        <w:rPr>
          <w:sz w:val="20"/>
          <w:szCs w:val="20"/>
          <w:color w:val="auto"/>
        </w:rPr>
      </w:pPr>
    </w:p>
    <w:p>
      <w:pPr>
        <w:ind w:right="420"/>
        <w:spacing w:after="0" w:line="264" w:lineRule="auto"/>
        <w:rPr>
          <w:sz w:val="20"/>
          <w:szCs w:val="20"/>
          <w:color w:val="auto"/>
        </w:rPr>
      </w:pPr>
      <w:r>
        <w:rPr>
          <w:rFonts w:ascii="Arial" w:cs="Arial" w:eastAsia="Arial" w:hAnsi="Arial"/>
          <w:sz w:val="14"/>
          <w:szCs w:val="14"/>
          <w:color w:val="auto"/>
        </w:rPr>
        <w:t>The Grantor shall determine the term of each SAR. No SAR may be exercised after the expiration of its term. Subject to earlier termination as provided in the Plan, the term shall not exceed ten (10)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97790</wp:posOffset>
            </wp:positionV>
            <wp:extent cx="6995160" cy="171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4431665" cy="13716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4431665"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color w:val="auto"/>
        </w:rPr>
        <w:t>PROXY STATEMENT - 2026</w:t>
      </w:r>
      <w:r>
        <w:rPr>
          <w:sz w:val="20"/>
          <w:szCs w:val="20"/>
          <w:color w:val="auto"/>
        </w:rPr>
        <w:tab/>
      </w:r>
      <w:r>
        <w:rPr>
          <w:rFonts w:ascii="Arial" w:cs="Arial" w:eastAsia="Arial" w:hAnsi="Arial"/>
          <w:sz w:val="13"/>
          <w:szCs w:val="13"/>
          <w:color w:val="auto"/>
        </w:rPr>
        <w:t>A-11</w:t>
      </w:r>
    </w:p>
    <w:p>
      <w:pPr>
        <w:spacing w:after="0" w:line="136"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6.3    </w:t>
        <w:tab/>
        <w:t>EXERCISABILITY</w:t>
      </w:r>
    </w:p>
    <w:p>
      <w:pPr>
        <w:spacing w:after="0" w:line="15" w:lineRule="exact"/>
        <w:rPr>
          <w:sz w:val="20"/>
          <w:szCs w:val="20"/>
          <w:color w:val="auto"/>
        </w:rPr>
      </w:pPr>
    </w:p>
    <w:p>
      <w:pPr>
        <w:ind w:left="800" w:right="240" w:hanging="593"/>
        <w:spacing w:after="0" w:line="264" w:lineRule="auto"/>
        <w:tabs>
          <w:tab w:leader="none" w:pos="780" w:val="left"/>
        </w:tabs>
        <w:rPr>
          <w:sz w:val="20"/>
          <w:szCs w:val="20"/>
          <w:color w:val="auto"/>
        </w:rPr>
      </w:pPr>
      <w:r>
        <w:rPr>
          <w:rFonts w:ascii="Arial" w:cs="Arial" w:eastAsia="Arial" w:hAnsi="Arial"/>
          <w:sz w:val="14"/>
          <w:szCs w:val="14"/>
          <w:color w:val="auto"/>
        </w:rPr>
        <w:t>6.3.1</w:t>
      </w:r>
      <w:r>
        <w:rPr>
          <w:sz w:val="20"/>
          <w:szCs w:val="20"/>
          <w:color w:val="auto"/>
        </w:rPr>
        <w:tab/>
      </w:r>
      <w:r>
        <w:rPr>
          <w:rFonts w:ascii="Arial" w:cs="Arial" w:eastAsia="Arial" w:hAnsi="Arial"/>
          <w:sz w:val="14"/>
          <w:szCs w:val="14"/>
          <w:color w:val="auto"/>
        </w:rPr>
        <w:t>Subject to the terms of the Award Agreement and Article XIII, each SAR shall be exercisable at any time during the term of the SAR and subject to such conditions as the Grantor may, from time to time, prescribe in the applicable Award Agreement.</w:t>
      </w:r>
    </w:p>
    <w:p>
      <w:pPr>
        <w:spacing w:after="0" w:line="64" w:lineRule="exact"/>
        <w:rPr>
          <w:sz w:val="20"/>
          <w:szCs w:val="20"/>
          <w:color w:val="auto"/>
        </w:rPr>
      </w:pPr>
    </w:p>
    <w:p>
      <w:pPr>
        <w:ind w:left="800" w:right="60" w:hanging="593"/>
        <w:spacing w:after="0" w:line="285" w:lineRule="auto"/>
        <w:tabs>
          <w:tab w:leader="none" w:pos="780" w:val="left"/>
        </w:tabs>
        <w:rPr>
          <w:sz w:val="20"/>
          <w:szCs w:val="20"/>
          <w:color w:val="auto"/>
        </w:rPr>
      </w:pPr>
      <w:r>
        <w:rPr>
          <w:rFonts w:ascii="Arial" w:cs="Arial" w:eastAsia="Arial" w:hAnsi="Arial"/>
          <w:sz w:val="14"/>
          <w:szCs w:val="14"/>
          <w:color w:val="auto"/>
        </w:rPr>
        <w:t>6.3.2</w:t>
      </w:r>
      <w:r>
        <w:rPr>
          <w:sz w:val="20"/>
          <w:szCs w:val="20"/>
          <w:color w:val="auto"/>
        </w:rPr>
        <w:tab/>
      </w:r>
      <w:r>
        <w:rPr>
          <w:rFonts w:ascii="Arial" w:cs="Arial" w:eastAsia="Arial" w:hAnsi="Arial"/>
          <w:sz w:val="14"/>
          <w:szCs w:val="14"/>
          <w:color w:val="auto"/>
        </w:rPr>
        <w:t>Except as provided in an Award Agreement, a SAR may be exercised only during the Grantee’s employment with the Company or any of its Subsidiaries or service as a Director or Consultant.</w:t>
      </w:r>
    </w:p>
    <w:p>
      <w:pPr>
        <w:spacing w:after="0" w:line="50" w:lineRule="exact"/>
        <w:rPr>
          <w:sz w:val="20"/>
          <w:szCs w:val="20"/>
          <w:color w:val="auto"/>
        </w:rPr>
      </w:pPr>
    </w:p>
    <w:p>
      <w:pPr>
        <w:ind w:left="800" w:right="400" w:hanging="593"/>
        <w:spacing w:after="0" w:line="285" w:lineRule="auto"/>
        <w:tabs>
          <w:tab w:leader="none" w:pos="780" w:val="left"/>
        </w:tabs>
        <w:rPr>
          <w:sz w:val="20"/>
          <w:szCs w:val="20"/>
          <w:color w:val="auto"/>
        </w:rPr>
      </w:pPr>
      <w:r>
        <w:rPr>
          <w:rFonts w:ascii="Arial" w:cs="Arial" w:eastAsia="Arial" w:hAnsi="Arial"/>
          <w:sz w:val="14"/>
          <w:szCs w:val="14"/>
          <w:color w:val="auto"/>
        </w:rPr>
        <w:t>6.3.3</w:t>
      </w:r>
      <w:r>
        <w:rPr>
          <w:sz w:val="20"/>
          <w:szCs w:val="20"/>
          <w:color w:val="auto"/>
        </w:rPr>
        <w:tab/>
      </w:r>
      <w:r>
        <w:rPr>
          <w:rFonts w:ascii="Arial" w:cs="Arial" w:eastAsia="Arial" w:hAnsi="Arial"/>
          <w:sz w:val="14"/>
          <w:szCs w:val="14"/>
          <w:i w:val="1"/>
          <w:iCs w:val="1"/>
          <w:color w:val="auto"/>
        </w:rPr>
        <w:t xml:space="preserve">Method of Exercise. </w:t>
      </w:r>
      <w:r>
        <w:rPr>
          <w:rFonts w:ascii="Arial" w:cs="Arial" w:eastAsia="Arial" w:hAnsi="Arial"/>
          <w:sz w:val="14"/>
          <w:szCs w:val="14"/>
          <w:color w:val="auto"/>
        </w:rPr>
        <w:t>A Holder may exercise a SAR, in whole or in part, by giving notice of exercise to the Company, in a form and</w:t>
      </w:r>
      <w:r>
        <w:rPr>
          <w:rFonts w:ascii="Arial" w:cs="Arial" w:eastAsia="Arial" w:hAnsi="Arial"/>
          <w:sz w:val="14"/>
          <w:szCs w:val="14"/>
          <w:i w:val="1"/>
          <w:iCs w:val="1"/>
          <w:color w:val="auto"/>
        </w:rPr>
        <w:t xml:space="preserve"> </w:t>
      </w:r>
      <w:r>
        <w:rPr>
          <w:rFonts w:ascii="Arial" w:cs="Arial" w:eastAsia="Arial" w:hAnsi="Arial"/>
          <w:sz w:val="14"/>
          <w:szCs w:val="14"/>
          <w:color w:val="auto"/>
        </w:rPr>
        <w:t>manner acceptable to the Company.</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6.4    </w:t>
        <w:tab/>
        <w:t>PAYMENT AMOUNT, TIME AND METHOD OF PAYMENT WITH RESPECT TO SARS</w:t>
      </w:r>
    </w:p>
    <w:p>
      <w:pPr>
        <w:spacing w:after="0" w:line="15" w:lineRule="exact"/>
        <w:rPr>
          <w:sz w:val="20"/>
          <w:szCs w:val="20"/>
          <w:color w:val="auto"/>
        </w:rPr>
      </w:pPr>
    </w:p>
    <w:p>
      <w:pPr>
        <w:ind w:left="800" w:hanging="593"/>
        <w:spacing w:after="0" w:line="252" w:lineRule="auto"/>
        <w:tabs>
          <w:tab w:leader="none" w:pos="780" w:val="left"/>
        </w:tabs>
        <w:rPr>
          <w:sz w:val="20"/>
          <w:szCs w:val="20"/>
          <w:color w:val="auto"/>
        </w:rPr>
      </w:pPr>
      <w:r>
        <w:rPr>
          <w:rFonts w:ascii="Arial" w:cs="Arial" w:eastAsia="Arial" w:hAnsi="Arial"/>
          <w:sz w:val="14"/>
          <w:szCs w:val="14"/>
          <w:color w:val="auto"/>
        </w:rPr>
        <w:t>6.4.1</w:t>
      </w:r>
      <w:r>
        <w:rPr>
          <w:sz w:val="20"/>
          <w:szCs w:val="20"/>
          <w:color w:val="auto"/>
        </w:rPr>
        <w:tab/>
      </w:r>
      <w:r>
        <w:rPr>
          <w:rFonts w:ascii="Arial" w:cs="Arial" w:eastAsia="Arial" w:hAnsi="Arial"/>
          <w:sz w:val="14"/>
          <w:szCs w:val="14"/>
          <w:color w:val="auto"/>
        </w:rPr>
        <w:t>A SAR entitles the Holder thereof, upon the Holder’s exercise of the SAR, to receive an amount equal to the product of (i) the amount by which the Fair Market Value on the exercise date of one share of Common Stock exceeds the SAR Base Amount for such SAR, and (ii) the number of shares covered by the SAR, or portion thereof, that is exercised.</w:t>
      </w:r>
    </w:p>
    <w:p>
      <w:pPr>
        <w:spacing w:after="0" w:line="73" w:lineRule="exact"/>
        <w:rPr>
          <w:sz w:val="20"/>
          <w:szCs w:val="20"/>
          <w:color w:val="auto"/>
        </w:rPr>
      </w:pPr>
    </w:p>
    <w:p>
      <w:pPr>
        <w:jc w:val="both"/>
        <w:ind w:left="800" w:right="60" w:hanging="593"/>
        <w:spacing w:after="0" w:line="285" w:lineRule="auto"/>
        <w:tabs>
          <w:tab w:leader="none" w:pos="780" w:val="left"/>
        </w:tabs>
        <w:rPr>
          <w:sz w:val="20"/>
          <w:szCs w:val="20"/>
          <w:color w:val="auto"/>
        </w:rPr>
      </w:pPr>
      <w:r>
        <w:rPr>
          <w:rFonts w:ascii="Arial" w:cs="Arial" w:eastAsia="Arial" w:hAnsi="Arial"/>
          <w:sz w:val="14"/>
          <w:szCs w:val="14"/>
          <w:color w:val="auto"/>
        </w:rPr>
        <w:t>6.4.2</w:t>
      </w:r>
      <w:r>
        <w:rPr>
          <w:sz w:val="20"/>
          <w:szCs w:val="20"/>
          <w:color w:val="auto"/>
        </w:rPr>
        <w:tab/>
      </w:r>
      <w:r>
        <w:rPr>
          <w:rFonts w:ascii="Arial" w:cs="Arial" w:eastAsia="Arial" w:hAnsi="Arial"/>
          <w:sz w:val="14"/>
          <w:szCs w:val="14"/>
          <w:color w:val="auto"/>
        </w:rPr>
        <w:t>Any payment which may become due from the Company by reason of a Grantee’s exercise of a SAR may be paid to the Grantee all in cash, all in shares of Common Stock or partly in shares and partly in cash, as provided in the Award Agreement.</w:t>
      </w:r>
    </w:p>
    <w:p>
      <w:pPr>
        <w:spacing w:after="0" w:line="50" w:lineRule="exact"/>
        <w:rPr>
          <w:sz w:val="20"/>
          <w:szCs w:val="20"/>
          <w:color w:val="auto"/>
        </w:rPr>
      </w:pPr>
    </w:p>
    <w:p>
      <w:pPr>
        <w:jc w:val="both"/>
        <w:ind w:left="800" w:right="60" w:hanging="593"/>
        <w:spacing w:after="0" w:line="263" w:lineRule="auto"/>
        <w:tabs>
          <w:tab w:leader="none" w:pos="780" w:val="left"/>
        </w:tabs>
        <w:rPr>
          <w:sz w:val="20"/>
          <w:szCs w:val="20"/>
          <w:color w:val="auto"/>
        </w:rPr>
      </w:pPr>
      <w:r>
        <w:rPr>
          <w:rFonts w:ascii="Arial" w:cs="Arial" w:eastAsia="Arial" w:hAnsi="Arial"/>
          <w:sz w:val="14"/>
          <w:szCs w:val="14"/>
          <w:color w:val="auto"/>
        </w:rPr>
        <w:t>6.4.3</w:t>
      </w:r>
      <w:r>
        <w:rPr>
          <w:sz w:val="20"/>
          <w:szCs w:val="20"/>
          <w:color w:val="auto"/>
        </w:rPr>
        <w:tab/>
      </w:r>
      <w:r>
        <w:rPr>
          <w:rFonts w:ascii="Arial" w:cs="Arial" w:eastAsia="Arial" w:hAnsi="Arial"/>
          <w:sz w:val="14"/>
          <w:szCs w:val="14"/>
          <w:color w:val="auto"/>
        </w:rPr>
        <w:t>In the event that all or a portion of the payment is made in shares of Common Stock, the number of shares of Common Stock received shall be determined by dividing the amount of the payment by the Fair Market Value of a share of Common Stock on the exercise date of the SAR. Cash will be paid in lieu of any fractional share of Common Stock.</w:t>
      </w:r>
    </w:p>
    <w:p>
      <w:pPr>
        <w:spacing w:after="0" w:line="65" w:lineRule="exact"/>
        <w:rPr>
          <w:sz w:val="20"/>
          <w:szCs w:val="20"/>
          <w:color w:val="auto"/>
        </w:rPr>
      </w:pPr>
    </w:p>
    <w:p>
      <w:pPr>
        <w:jc w:val="both"/>
        <w:ind w:left="800" w:right="80" w:hanging="593"/>
        <w:spacing w:after="0" w:line="285" w:lineRule="auto"/>
        <w:tabs>
          <w:tab w:leader="none" w:pos="780" w:val="left"/>
        </w:tabs>
        <w:rPr>
          <w:sz w:val="20"/>
          <w:szCs w:val="20"/>
          <w:color w:val="auto"/>
        </w:rPr>
      </w:pPr>
      <w:r>
        <w:rPr>
          <w:rFonts w:ascii="Arial" w:cs="Arial" w:eastAsia="Arial" w:hAnsi="Arial"/>
          <w:sz w:val="14"/>
          <w:szCs w:val="14"/>
          <w:color w:val="auto"/>
        </w:rPr>
        <w:t>6.4.4</w:t>
      </w:r>
      <w:r>
        <w:rPr>
          <w:sz w:val="20"/>
          <w:szCs w:val="20"/>
          <w:color w:val="auto"/>
        </w:rPr>
        <w:tab/>
      </w:r>
      <w:r>
        <w:rPr>
          <w:rFonts w:ascii="Arial" w:cs="Arial" w:eastAsia="Arial" w:hAnsi="Arial"/>
          <w:sz w:val="14"/>
          <w:szCs w:val="14"/>
          <w:color w:val="auto"/>
        </w:rPr>
        <w:t>Amounts payable in connection with a SAR shall be paid to the Holder, as determined by the Grantor and as set forth in the applicable Award Agreement or in accordance with such rules, regulations and procedures as may be adopted by the Committee or Grantor.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AWARDS</w:t>
      </w:r>
    </w:p>
    <w:p>
      <w:pPr>
        <w:spacing w:after="0" w:line="217"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7.1    </w:t>
        <w:tab/>
        <w:t>GRANTS</w:t>
      </w:r>
    </w:p>
    <w:p>
      <w:pPr>
        <w:spacing w:after="0" w:line="15"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The Committee may grant Restricted Stock Awards in such number as it may determine to such Reporting Persons who are Employees as the Committee may select in its sole discretion. The Committee or the CEO also may grant in such number as the Committee or the CEO may determine Restricted Stock Awards to such Nonreporting Persons who are Employees or Consultants as the Committee or the CEO may select in its or his or her, as the case may be, sole discretion; provided, however, such grants shall be subject to any maximum aggregate number of Awards in general and shares of Restricted Stock in particular established by the Committee for grants under the Plan for Nonreporting Persons who are Employees or Consultants as a group. The Board may grant Restricted Stock Awards to such Directors as the Board may select in its sole discretion. A Restricted Stock Award is a grant of shares of Common Stock subject to those conditions, if any, set forth in the Plan and the Award Agreement.</w:t>
      </w:r>
    </w:p>
    <w:p>
      <w:pPr>
        <w:spacing w:after="0" w:line="352"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7.2    </w:t>
        <w:tab/>
        <w:t>RESTRICTED PERIOD</w:t>
      </w:r>
    </w:p>
    <w:p>
      <w:pPr>
        <w:spacing w:after="0" w:line="15" w:lineRule="exact"/>
        <w:rPr>
          <w:sz w:val="20"/>
          <w:szCs w:val="20"/>
          <w:color w:val="auto"/>
        </w:rPr>
      </w:pPr>
    </w:p>
    <w:p>
      <w:pPr>
        <w:jc w:val="both"/>
        <w:ind w:right="60"/>
        <w:spacing w:after="0" w:line="252" w:lineRule="auto"/>
        <w:rPr>
          <w:sz w:val="20"/>
          <w:szCs w:val="20"/>
          <w:color w:val="auto"/>
        </w:rPr>
      </w:pPr>
      <w:r>
        <w:rPr>
          <w:rFonts w:ascii="Arial" w:cs="Arial" w:eastAsia="Arial" w:hAnsi="Arial"/>
          <w:sz w:val="14"/>
          <w:szCs w:val="14"/>
          <w:color w:val="auto"/>
        </w:rPr>
        <w:t>The Grantor may, from time to time, establish any condition or conditions on which the Restricted Stock Award will vest and no longer be subject to forfeiture. Such conditions may include, without limitation, continued employment by the Grantee or service as a Director, as the case may be, for a period of time specified in the Award Agreement.</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7.3    </w:t>
        <w:tab/>
        <w:t>RESTRICTIONS AND FORFEITURE</w:t>
      </w:r>
    </w:p>
    <w:p>
      <w:pPr>
        <w:spacing w:after="0" w:line="15"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Except as otherwise provided in the Plan or the applicable Award Agreement, the Restricted Stock shall be subject to the following restrictions until the expiration or termination of the Restricted Period: (i) a Holder shall not be entitled to delivery of a certificate evidencing the shares of Restricted Stock until the end of the Restricted Period and the satisfaction of any and all other conditions specified in the Award Agreement applicable to such Restricted Stock and (ii) none of the Restricted Stock may be sold, transferred, assigned, pledged or otherwise encumbered or disposed of during the Restricted Period, and until the satisfaction of any and all other conditions specified in the Award Agreement applicable to such Restricted Stock. Upon the forfeiture of any Restricted Stock, such forfeited shares shall be transferred to the Company without further acts by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97155</wp:posOffset>
            </wp:positionV>
            <wp:extent cx="6995160" cy="171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102870</wp:posOffset>
            </wp:positionV>
            <wp:extent cx="4431665" cy="11176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4431665"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A-12</w:t>
        <w:tab/>
        <w:t>PROXY STATEMENT - 2026</w:t>
      </w:r>
    </w:p>
    <w:p>
      <w:pPr>
        <w:spacing w:after="0" w:line="96"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7.4    </w:t>
        <w:tab/>
        <w:t>ISSUANCE OF STOCK AND STOCK CERTIFICATE(S)</w:t>
      </w:r>
    </w:p>
    <w:p>
      <w:pPr>
        <w:spacing w:after="0" w:line="15" w:lineRule="exact"/>
        <w:rPr>
          <w:sz w:val="20"/>
          <w:szCs w:val="20"/>
          <w:color w:val="auto"/>
        </w:rPr>
      </w:pPr>
    </w:p>
    <w:p>
      <w:pPr>
        <w:ind w:left="800" w:right="300" w:hanging="593"/>
        <w:spacing w:after="0" w:line="249" w:lineRule="auto"/>
        <w:tabs>
          <w:tab w:leader="none" w:pos="780" w:val="left"/>
        </w:tabs>
        <w:rPr>
          <w:sz w:val="20"/>
          <w:szCs w:val="20"/>
          <w:color w:val="auto"/>
        </w:rPr>
      </w:pPr>
      <w:r>
        <w:rPr>
          <w:rFonts w:ascii="Arial" w:cs="Arial" w:eastAsia="Arial" w:hAnsi="Arial"/>
          <w:sz w:val="14"/>
          <w:szCs w:val="14"/>
          <w:color w:val="auto"/>
        </w:rPr>
        <w:t>7.4.1</w:t>
      </w:r>
      <w:r>
        <w:rPr>
          <w:sz w:val="20"/>
          <w:szCs w:val="20"/>
          <w:color w:val="auto"/>
        </w:rPr>
        <w:tab/>
      </w:r>
      <w:r>
        <w:rPr>
          <w:rFonts w:ascii="Arial" w:cs="Arial" w:eastAsia="Arial" w:hAnsi="Arial"/>
          <w:sz w:val="14"/>
          <w:szCs w:val="14"/>
          <w:i w:val="1"/>
          <w:iCs w:val="1"/>
          <w:color w:val="auto"/>
        </w:rPr>
        <w:t xml:space="preserve">Issuance. </w:t>
      </w:r>
      <w:r>
        <w:rPr>
          <w:rFonts w:ascii="Arial" w:cs="Arial" w:eastAsia="Arial" w:hAnsi="Arial"/>
          <w:sz w:val="14"/>
          <w:szCs w:val="14"/>
          <w:color w:val="auto"/>
        </w:rPr>
        <w:t>As soon as practicable after the Date of Grant of a Restricted Stock Award, the Company shall cause to be issued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name of the Grantee (and held by the Company, if applicable, under Section 7.4) such number of shares of Common Stock as constitutes the Restricted Stock awarded under the Restricted Stock Award. Each such issuance shall be subject throughout the Restricted Period to the terms, conditions and restrictions contained in the Plan and/or the Award Agreement.</w:t>
      </w:r>
    </w:p>
    <w:p>
      <w:pPr>
        <w:spacing w:after="0" w:line="74" w:lineRule="exact"/>
        <w:rPr>
          <w:sz w:val="20"/>
          <w:szCs w:val="20"/>
          <w:color w:val="auto"/>
        </w:rPr>
      </w:pPr>
    </w:p>
    <w:p>
      <w:pPr>
        <w:ind w:left="800" w:right="80" w:hanging="593"/>
        <w:spacing w:after="0" w:line="256" w:lineRule="auto"/>
        <w:tabs>
          <w:tab w:leader="none" w:pos="780" w:val="left"/>
        </w:tabs>
        <w:rPr>
          <w:sz w:val="20"/>
          <w:szCs w:val="20"/>
          <w:color w:val="auto"/>
        </w:rPr>
      </w:pPr>
      <w:r>
        <w:rPr>
          <w:rFonts w:ascii="Arial" w:cs="Arial" w:eastAsia="Arial" w:hAnsi="Arial"/>
          <w:sz w:val="14"/>
          <w:szCs w:val="14"/>
          <w:color w:val="auto"/>
        </w:rPr>
        <w:t>7.4.2</w:t>
      </w:r>
      <w:r>
        <w:rPr>
          <w:sz w:val="20"/>
          <w:szCs w:val="20"/>
          <w:color w:val="auto"/>
        </w:rPr>
        <w:tab/>
      </w:r>
      <w:r>
        <w:rPr>
          <w:rFonts w:ascii="Arial" w:cs="Arial" w:eastAsia="Arial" w:hAnsi="Arial"/>
          <w:sz w:val="14"/>
          <w:szCs w:val="14"/>
          <w:i w:val="1"/>
          <w:iCs w:val="1"/>
          <w:color w:val="auto"/>
        </w:rPr>
        <w:t xml:space="preserve">Custody and Registration. </w:t>
      </w:r>
      <w:r>
        <w:rPr>
          <w:rFonts w:ascii="Arial" w:cs="Arial" w:eastAsia="Arial" w:hAnsi="Arial"/>
          <w:sz w:val="14"/>
          <w:szCs w:val="14"/>
          <w:color w:val="auto"/>
        </w:rPr>
        <w:t>Any issuance of Restricted Stock may be evidenced in such manner as the Grantor may deem appropriate,</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without limitation, book-entry registration or issuance of a stock certificate or certificates. In the event any stock certificate is issued in respect of Restricted Stock, such certificate shall be registered in the name of the Grantee and shall bear an appropriate legend referring to the terms, conditions, and restrictions applicable to such Restricted Stock.</w:t>
      </w:r>
    </w:p>
    <w:p>
      <w:pPr>
        <w:spacing w:after="0" w:line="177"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7.5    </w:t>
        <w:tab/>
        <w:t>SHAREHOLDER RIGHTS</w:t>
      </w:r>
    </w:p>
    <w:p>
      <w:pPr>
        <w:spacing w:after="0" w:line="15"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Following registration in the Grantee’s name, during the Restricted Period, the Grantee shall have the entire beneficial interest in, and all rights and privileges of a shareholder as to, such shares of Common Stock covered by the Restricted Stock Award, including, but not limited to, the right to vote such shares, subject to the restrictions and forfeitures set forth herein. Notwithstanding the foregoing, all cash dividends and distributions with respect to the shares of Common Stock covered by the Restricted Stock Award that remain subject to restrictions shall accrue and be paid pursuant to Article IV, Section 4.3.4.</w:t>
      </w:r>
    </w:p>
    <w:p>
      <w:pPr>
        <w:spacing w:after="0" w:line="197"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7.6    </w:t>
        <w:tab/>
        <w:t>DELIVERY OF SHARES</w:t>
      </w:r>
    </w:p>
    <w:p>
      <w:pPr>
        <w:spacing w:after="0" w:line="15"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Upon the expiration (without a forfeiture) of the Restricted Period or at such earlier time as provided under the Plan, all shares of Restricted Stock shall be released from all restrictions and forfeiture provisions hereunder, any similar restrictions and forfeiture provisions under the Award Agreement applicable to such shares and all other restrictions and forfeiture provisions of the Plan or such Award Agreement. No payment will be required from the Holder upon the delivery of any shares of Restricted Stock, except that any amount necessary to satisfy applicable Federal, state or local tax requirements shall be paid by the Holder in accordance with the requirements of the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UNIT AWARDS</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8.1    </w:t>
        <w:tab/>
        <w:t>GRANTS</w:t>
      </w:r>
    </w:p>
    <w:p>
      <w:pPr>
        <w:spacing w:after="0" w:line="15"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The Committee may grant Restricted Stock Unit Awards to such Reporting Persons who are Employees as the Committee may select in its sole discretion. The Committee or the CEO also may grant Restricted Stock Unit Awards in such number as the Committee or the CEO may determine to such Nonreporting Persons who are Employees or Consultants, as the Committee or the CEO may select in its or his or her, as the case may be, sole discretion; provided, however, such grants shall be subject to any maximum aggregate number of Awards in general and Restricted Stock Unit Awards in particular established by the Committee for grants under the Plan for Nonreporting Persons who are Employees or Consultants as a group. The Board may grant Restricted Stock Unit Awards to Directors as the Board may select in its sole discretion.</w:t>
      </w:r>
    </w:p>
    <w:p>
      <w:pPr>
        <w:spacing w:after="0" w:line="197"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8.2    </w:t>
        <w:tab/>
        <w:t>VESTING OF RESTRICTED STOCK UNIT AWARDS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Units shall become vested as set forth in the applicable Award Agreement unless otherwise described in the Plan.</w:t>
      </w:r>
    </w:p>
    <w:p>
      <w:pPr>
        <w:spacing w:after="0" w:line="217"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8.3    </w:t>
        <w:tab/>
        <w:t>SETTLEMENT OF RESTRICTED STOCK UNIT AWARDS</w:t>
      </w:r>
    </w:p>
    <w:p>
      <w:pPr>
        <w:spacing w:after="0" w:line="15" w:lineRule="exact"/>
        <w:rPr>
          <w:sz w:val="20"/>
          <w:szCs w:val="20"/>
          <w:color w:val="auto"/>
        </w:rPr>
      </w:pPr>
    </w:p>
    <w:p>
      <w:pPr>
        <w:jc w:val="both"/>
        <w:ind w:right="40"/>
        <w:spacing w:after="0" w:line="252" w:lineRule="auto"/>
        <w:rPr>
          <w:sz w:val="20"/>
          <w:szCs w:val="20"/>
          <w:color w:val="auto"/>
        </w:rPr>
      </w:pPr>
      <w:r>
        <w:rPr>
          <w:rFonts w:ascii="Arial" w:cs="Arial" w:eastAsia="Arial" w:hAnsi="Arial"/>
          <w:sz w:val="14"/>
          <w:szCs w:val="14"/>
          <w:color w:val="auto"/>
        </w:rPr>
        <w:t>Upon vesting of a Restricted Stock Unit Award, the Grantee shall receive the number of shares of Common Stock (which may be Restricted Stock) specified in the Restricted Stock Unit Award, an amount payable in cash determined by multiplying the number of Restricted Stock Units by the Fair Market Value of one share of Common Stock as of the vesting date, or a combination thereof, as specified by the Grantor in the Award Agreement.</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8.4    </w:t>
        <w:tab/>
        <w:t>TIME OF PAYMENT/ISSUANCE OF SHARES</w:t>
      </w:r>
    </w:p>
    <w:p>
      <w:pPr>
        <w:spacing w:after="0" w:line="15"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Amounts payable and/or shares to be issued in connection with a Restricted Stock Unit shall be paid and/or issued to the Holder, as determined by the Grantor and as set forth in the applicable Award Agreement or in accordance with such rules, regulations and procedures as may be adopted by the Grantor but in no event later than two and one-half months following the end of the calendar year in which a restriction lapses or a vesting condition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104140</wp:posOffset>
            </wp:positionV>
            <wp:extent cx="6995160" cy="171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4431665" cy="13716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4431665"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PROXY STATEMENT - 2026</w:t>
        <w:tab/>
        <w:t>A-13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 AWARDS</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9.1    </w:t>
        <w:tab/>
        <w:t>GRANTS</w:t>
      </w:r>
    </w:p>
    <w:p>
      <w:pPr>
        <w:spacing w:after="0" w:line="15"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The Committee may grant Other Awards to such Reporting Persons who are Employees as the Committee may select in its sole discretion. The Committee or the CEO also may grant Other Awards to such Nonreporting Persons who are Employees or Consultants as the Committee or the CEO may select in its or his or her, as the case may be, sole discretion; provided, however, such grants shall be subject to any maximum aggregate amount of Awards in general and Other Awards in particular (if any) established by the Committee for grants under the Plan for Nonreporting Persons who are Employees or Consultants as a group. The Board may grant Other Awards to such Directors as the Board may select in its sole discretion. An Other Award may or may not be evidenced by an Award Agreement.</w:t>
      </w:r>
    </w:p>
    <w:p>
      <w:pPr>
        <w:spacing w:after="0" w:line="197"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 xml:space="preserve">SECTION 9.2    </w:t>
        <w:tab/>
        <w:t>DESCRIPTION OF OTHER AWARDS</w:t>
      </w:r>
    </w:p>
    <w:p>
      <w:pPr>
        <w:spacing w:after="0" w:line="15"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An Other Award may be a grant of a type of equity-based, equity-related, or cash based Award not otherwise described by the terms of the Plan in such amounts and subject to such terms and conditions as determined by the Grantor, from time to time, under the Plan. Such Awards may provide for the payment of shares of Common Stock or cash or any combination thereof to a Grantee. The value of a cash-based Other Award shall be determined by the Grantor.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PERFORMANCE AWARDS</w:t>
      </w:r>
    </w:p>
    <w:p>
      <w:pPr>
        <w:spacing w:after="0" w:line="203"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10.1    </w:t>
        <w:tab/>
        <w:t>GENERAL</w:t>
      </w:r>
    </w:p>
    <w:p>
      <w:pPr>
        <w:spacing w:after="0" w:line="15" w:lineRule="exact"/>
        <w:rPr>
          <w:sz w:val="20"/>
          <w:szCs w:val="20"/>
          <w:color w:val="auto"/>
        </w:rPr>
      </w:pPr>
    </w:p>
    <w:p>
      <w:pPr>
        <w:ind w:right="760"/>
        <w:spacing w:after="0" w:line="264" w:lineRule="auto"/>
        <w:rPr>
          <w:sz w:val="20"/>
          <w:szCs w:val="20"/>
          <w:color w:val="auto"/>
        </w:rPr>
      </w:pPr>
      <w:r>
        <w:rPr>
          <w:rFonts w:ascii="Arial" w:cs="Arial" w:eastAsia="Arial" w:hAnsi="Arial"/>
          <w:sz w:val="14"/>
          <w:szCs w:val="14"/>
          <w:color w:val="auto"/>
        </w:rPr>
        <w:t>An Award described in Article VII or VIII may take the form of a Performance Award to the extent that the Grantor makes it subject to the achievement of one or more Performance Goals during one or more Performance Periods, as described in this Article X.</w:t>
      </w:r>
    </w:p>
    <w:p>
      <w:pPr>
        <w:spacing w:after="0" w:line="185"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10.2    </w:t>
        <w:tab/>
        <w:t>PERFORMANCE AWARD AGREEMENTS</w:t>
      </w:r>
    </w:p>
    <w:p>
      <w:pPr>
        <w:spacing w:after="0" w:line="15" w:lineRule="exact"/>
        <w:rPr>
          <w:sz w:val="20"/>
          <w:szCs w:val="20"/>
          <w:color w:val="auto"/>
        </w:rPr>
      </w:pPr>
    </w:p>
    <w:p>
      <w:pPr>
        <w:ind w:left="800" w:right="100" w:hanging="593"/>
        <w:spacing w:after="0" w:line="244" w:lineRule="auto"/>
        <w:tabs>
          <w:tab w:leader="none" w:pos="780" w:val="left"/>
        </w:tabs>
        <w:rPr>
          <w:sz w:val="20"/>
          <w:szCs w:val="20"/>
          <w:color w:val="auto"/>
        </w:rPr>
      </w:pPr>
      <w:r>
        <w:rPr>
          <w:rFonts w:ascii="Arial" w:cs="Arial" w:eastAsia="Arial" w:hAnsi="Arial"/>
          <w:sz w:val="14"/>
          <w:szCs w:val="14"/>
          <w:color w:val="auto"/>
        </w:rPr>
        <w:t>10.2.1</w:t>
      </w:r>
      <w:r>
        <w:rPr>
          <w:sz w:val="20"/>
          <w:szCs w:val="20"/>
          <w:color w:val="auto"/>
        </w:rPr>
        <w:tab/>
      </w:r>
      <w:r>
        <w:rPr>
          <w:rFonts w:ascii="Arial" w:cs="Arial" w:eastAsia="Arial" w:hAnsi="Arial"/>
          <w:sz w:val="14"/>
          <w:szCs w:val="14"/>
          <w:i w:val="1"/>
          <w:iCs w:val="1"/>
          <w:color w:val="auto"/>
        </w:rPr>
        <w:t xml:space="preserve">Terms of Performance Awards. </w:t>
      </w:r>
      <w:r>
        <w:rPr>
          <w:rFonts w:ascii="Arial" w:cs="Arial" w:eastAsia="Arial" w:hAnsi="Arial"/>
          <w:sz w:val="14"/>
          <w:szCs w:val="14"/>
          <w:color w:val="auto"/>
        </w:rPr>
        <w:t>Prior to or as soon as administratively feasible after the first day of each Award Period, the Grantor</w:t>
      </w:r>
      <w:r>
        <w:rPr>
          <w:rFonts w:ascii="Arial" w:cs="Arial" w:eastAsia="Arial" w:hAnsi="Arial"/>
          <w:sz w:val="14"/>
          <w:szCs w:val="14"/>
          <w:i w:val="1"/>
          <w:iCs w:val="1"/>
          <w:color w:val="auto"/>
        </w:rPr>
        <w:t xml:space="preserve"> </w:t>
      </w:r>
      <w:r>
        <w:rPr>
          <w:rFonts w:ascii="Arial" w:cs="Arial" w:eastAsia="Arial" w:hAnsi="Arial"/>
          <w:sz w:val="14"/>
          <w:szCs w:val="14"/>
          <w:color w:val="auto"/>
        </w:rPr>
        <w:t>shall establish in writing the Performance Award terms, including, without limitation, the Award Target and the applicable Performance Goals, the Performance Levels for the first Performance Period, the nature of the Performance Award (</w:t>
      </w:r>
      <w:r>
        <w:rPr>
          <w:rFonts w:ascii="Arial" w:cs="Arial" w:eastAsia="Arial" w:hAnsi="Arial"/>
          <w:sz w:val="14"/>
          <w:szCs w:val="14"/>
          <w:i w:val="1"/>
          <w:iCs w:val="1"/>
          <w:color w:val="auto"/>
        </w:rPr>
        <w:t>e.g.</w:t>
      </w:r>
      <w:r>
        <w:rPr>
          <w:rFonts w:ascii="Arial" w:cs="Arial" w:eastAsia="Arial" w:hAnsi="Arial"/>
          <w:sz w:val="14"/>
          <w:szCs w:val="14"/>
          <w:color w:val="auto"/>
        </w:rPr>
        <w:t>, Performance Shares, Performance Units, or a combination thereof), and the Award Period. Thereafter, the Grantor shall establish the applicable Performance Goals for each of the subsequent Performance Periods in an Award Period prior to, or as soon as practicable after the beginning of, each such Performance Period. The terms of the Performance Award established by the Grantor pursuant to this Section 10.2 shall in each case be subject to adjustment as determined by the Grantor in its discretion as a result of changes in accounting principles and other significant extraordinary items or events.</w:t>
      </w:r>
    </w:p>
    <w:p>
      <w:pPr>
        <w:spacing w:after="0" w:line="81" w:lineRule="exact"/>
        <w:rPr>
          <w:sz w:val="20"/>
          <w:szCs w:val="20"/>
          <w:color w:val="auto"/>
        </w:rPr>
      </w:pPr>
    </w:p>
    <w:p>
      <w:pPr>
        <w:ind w:left="800" w:hanging="593"/>
        <w:spacing w:after="0" w:line="256" w:lineRule="auto"/>
        <w:tabs>
          <w:tab w:leader="none" w:pos="780" w:val="left"/>
        </w:tabs>
        <w:rPr>
          <w:sz w:val="20"/>
          <w:szCs w:val="20"/>
          <w:color w:val="auto"/>
        </w:rPr>
      </w:pPr>
      <w:r>
        <w:rPr>
          <w:rFonts w:ascii="Arial" w:cs="Arial" w:eastAsia="Arial" w:hAnsi="Arial"/>
          <w:sz w:val="14"/>
          <w:szCs w:val="14"/>
          <w:color w:val="auto"/>
        </w:rPr>
        <w:t>10.2.2</w:t>
      </w:r>
      <w:r>
        <w:rPr>
          <w:sz w:val="20"/>
          <w:szCs w:val="20"/>
          <w:color w:val="auto"/>
        </w:rPr>
        <w:tab/>
      </w:r>
      <w:r>
        <w:rPr>
          <w:rFonts w:ascii="Arial" w:cs="Arial" w:eastAsia="Arial" w:hAnsi="Arial"/>
          <w:sz w:val="14"/>
          <w:szCs w:val="14"/>
          <w:i w:val="1"/>
          <w:iCs w:val="1"/>
          <w:color w:val="auto"/>
        </w:rPr>
        <w:t xml:space="preserve">Issuance of Award Agreements for Performance Awards. </w:t>
      </w:r>
      <w:r>
        <w:rPr>
          <w:rFonts w:ascii="Arial" w:cs="Arial" w:eastAsia="Arial" w:hAnsi="Arial"/>
          <w:sz w:val="14"/>
          <w:szCs w:val="14"/>
          <w:color w:val="auto"/>
        </w:rPr>
        <w:t>An Award Agreement shall be provided to each Grantee to whom a</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Award is granted as promptly as practicable after such grant. After the Grantor establishes the Performance Goals and Performance Levels applicable to a Performance Period, the Company will notify the Grantee in writing of such Performance Goals and Performance Levels.</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10.3    </w:t>
        <w:tab/>
        <w:t>DETERMINATION OF PERFORMANCE GOAL ACHIEVEMENT AND SETTLEMENT OF PERFORMANCE AWARDS</w:t>
      </w:r>
    </w:p>
    <w:p>
      <w:pPr>
        <w:spacing w:after="0" w:line="15"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As soon as administratively feasible after the end of each Performance Period, the Grantor shall determine whether the Performance Goals have been achieved for such Performance Period, and the level of such achievement. Upon such determination, the Grantee will have credited to his or her account a number of Performance Shares and/or Performance Units for such Performance Period based on the Grantor’s determination of Performance Goal achievement and Performance Levels as set forth in the Grantee’s Award Agreement. Any Performance Shares and/or Performance Units credited in accordance with this Section 10.3 shall remain subject to restrictions until the end of the Award Period, unless the lapse of such restrictions is accelerated as set forth in the Award Agreement or in Article XIII. At the end of the Award Period, any Performance Units credited to the Grantee’s account will be settled in shares of Common Stock, cash or a combination thereof, as determined by the Grantor and as set forth in the Award Agreement.</w:t>
      </w:r>
    </w:p>
    <w:p>
      <w:pPr>
        <w:spacing w:after="0" w:line="189"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10.4    </w:t>
        <w:tab/>
        <w:t>CONTINUED ELIGIBILITY FOR AND FORFEITURE OF PERFORMANCE AWARDS</w:t>
      </w:r>
    </w:p>
    <w:p>
      <w:pPr>
        <w:spacing w:after="0" w:line="15"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Except as provided in Article XIII, an Award Agreement or an agreement with the Company or a Subsidiary providing for severance benefits, each Grantee who receives a Performance Award must remain continuously employed by, or in the service of (as applicable), the Company or any Subsidiary from the date he or she receives such Performance Award until the last day of the Award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95250</wp:posOffset>
            </wp:positionV>
            <wp:extent cx="6995160" cy="171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102870</wp:posOffset>
            </wp:positionV>
            <wp:extent cx="4431665" cy="11176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4431665"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A-14</w:t>
        <w:tab/>
        <w:t>PROXY STATEMENT - 2026</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TERMS APPLICABLE TO ALL AWARDS</w:t>
      </w:r>
    </w:p>
    <w:p>
      <w:pPr>
        <w:spacing w:after="0" w:line="203"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11.1    </w:t>
        <w:tab/>
        <w:t>WITHHOLDING TAXES</w:t>
      </w:r>
    </w:p>
    <w:p>
      <w:pPr>
        <w:spacing w:after="0" w:line="1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Company and any Subsidiary shall be authorized to withhold from any Award granted or any payment due or transfer made under any Award or under the Plan the amount (in cash, shares of Common Stock, other securities, or other Awards) of withholding taxes due in respect of an Award, its exercise, or any payment or transfer under such Award or under the Plan and to take such other action as may be necessary in the opinion of the Company or a Subsidiary to satisfy statutory withholding obligations for the payment of such taxes. Without limiting the generality of the foregoing, the Committee may, in its sole discretion, permit or require a Grantee to satisfy, in whole or in part, the foregoing tax withholding by (i) the delivery of shares of Common Stock (which, except as otherwise determined by the Committee, are not subject to any pledge or other security interest and that meet such requirements, if any, as the Committee may determine are necessary in order to avoid an accounting earnings charge on account of the use of such shares to satisfy a tax withholding obligation) owned by the Grantee having a Fair Market Value equal to such withholding obligation, or (ii) having the Company withhold from the number of shares of Common Stock otherwise issuable or deliverable pursuant to the exercise or settlement of the Award (or, in the case of Restricted Stock, returning to the Company from the shares of Common Stock that would otherwise vest) a number of such shares with a Fair Market Value equal to such withholding obligation, but in no event exceeding the maximum statutory tax rates of the Grantee’s applicable jurisdiction (or such other rate as would not trigger a negative accounting impact), as determined by the Company in its sole discretion.</w:t>
      </w:r>
    </w:p>
    <w:p>
      <w:pPr>
        <w:spacing w:after="0" w:line="352"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11.2    </w:t>
        <w:tab/>
        <w:t>ADJUSTMENTS TO REFLECT CAPITAL CHANGES</w:t>
      </w:r>
    </w:p>
    <w:p>
      <w:pPr>
        <w:spacing w:after="0" w:line="15" w:lineRule="exact"/>
        <w:rPr>
          <w:sz w:val="20"/>
          <w:szCs w:val="20"/>
          <w:color w:val="auto"/>
        </w:rPr>
      </w:pPr>
    </w:p>
    <w:p>
      <w:pPr>
        <w:ind w:left="800" w:right="40" w:hanging="593"/>
        <w:spacing w:after="0" w:line="244" w:lineRule="auto"/>
        <w:tabs>
          <w:tab w:leader="none" w:pos="780" w:val="left"/>
        </w:tabs>
        <w:rPr>
          <w:sz w:val="20"/>
          <w:szCs w:val="20"/>
          <w:color w:val="auto"/>
        </w:rPr>
      </w:pPr>
      <w:r>
        <w:rPr>
          <w:rFonts w:ascii="Arial" w:cs="Arial" w:eastAsia="Arial" w:hAnsi="Arial"/>
          <w:sz w:val="14"/>
          <w:szCs w:val="14"/>
          <w:color w:val="auto"/>
        </w:rPr>
        <w:t>11.2.1</w:t>
      </w:r>
      <w:r>
        <w:rPr>
          <w:sz w:val="20"/>
          <w:szCs w:val="20"/>
          <w:color w:val="auto"/>
        </w:rPr>
        <w:tab/>
      </w:r>
      <w:r>
        <w:rPr>
          <w:rFonts w:ascii="Arial" w:cs="Arial" w:eastAsia="Arial" w:hAnsi="Arial"/>
          <w:sz w:val="14"/>
          <w:szCs w:val="14"/>
          <w:i w:val="1"/>
          <w:iCs w:val="1"/>
          <w:color w:val="auto"/>
        </w:rPr>
        <w:t xml:space="preserve">Recapitalization, etc. </w:t>
      </w:r>
      <w:r>
        <w:rPr>
          <w:rFonts w:ascii="Arial" w:cs="Arial" w:eastAsia="Arial" w:hAnsi="Arial"/>
          <w:sz w:val="14"/>
          <w:szCs w:val="14"/>
          <w:color w:val="auto"/>
        </w:rPr>
        <w:t>In the event that the Committee shall determine that any dividend or other distribution (whether in the form of</w:t>
      </w:r>
      <w:r>
        <w:rPr>
          <w:rFonts w:ascii="Arial" w:cs="Arial" w:eastAsia="Arial" w:hAnsi="Arial"/>
          <w:sz w:val="14"/>
          <w:szCs w:val="14"/>
          <w:i w:val="1"/>
          <w:iCs w:val="1"/>
          <w:color w:val="auto"/>
        </w:rPr>
        <w:t xml:space="preserve"> </w:t>
      </w:r>
      <w:r>
        <w:rPr>
          <w:rFonts w:ascii="Arial" w:cs="Arial" w:eastAsia="Arial" w:hAnsi="Arial"/>
          <w:sz w:val="14"/>
          <w:szCs w:val="14"/>
          <w:color w:val="auto"/>
        </w:rPr>
        <w:t>cash, shares of Common Stock or other securities), recapitalization, stock split, reverse stock split, reorganization, merger, consolidation, split-up, spin-off, combination, repurchase or exchange of shares of Common Stock, other securities of the Company, issuance of warrants or other rights to purchase shares of Common Stock or other securities of the Company, or other similar corporate transaction or event constitutes an equity restructuring transaction, as that term is defined in ASC Topic 718, Compensation-Stock Compensation, or otherwise affects the shares of Common Stock, then the Committee shall adjust the following in a manner that is determined by the Committee to be appropriate in order to prevent dilution or enlargement of the benefits or potential benefits intended to be made available under the Plan: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w:t>
      </w:r>
    </w:p>
    <w:p>
      <w:pPr>
        <w:spacing w:after="0" w:line="15" w:lineRule="exact"/>
        <w:rPr>
          <w:sz w:val="20"/>
          <w:szCs w:val="20"/>
          <w:color w:val="auto"/>
        </w:rPr>
      </w:pPr>
    </w:p>
    <w:p>
      <w:pPr>
        <w:ind w:left="800" w:hanging="593"/>
        <w:spacing w:after="0" w:line="264" w:lineRule="auto"/>
        <w:rPr>
          <w:sz w:val="20"/>
          <w:szCs w:val="20"/>
          <w:color w:val="auto"/>
        </w:rPr>
      </w:pPr>
      <w:r>
        <w:rPr>
          <w:rFonts w:ascii="Arial" w:cs="Arial" w:eastAsia="Arial" w:hAnsi="Arial"/>
          <w:sz w:val="14"/>
          <w:szCs w:val="14"/>
          <w:color w:val="auto"/>
        </w:rPr>
        <w:t>11.2.1.1 the number and type of shares of Common Stock or other securities which thereafter may be made the subject of Awards, including the aggregate limits specified in the Plan;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11.2.1.2 the number and type of shares of Common Stock or other securities subject to outstanding Awards;</w:t>
      </w:r>
    </w:p>
    <w:p>
      <w:pPr>
        <w:spacing w:after="0" w:line="109" w:lineRule="exact"/>
        <w:rPr>
          <w:sz w:val="20"/>
          <w:szCs w:val="20"/>
          <w:color w:val="auto"/>
        </w:rPr>
      </w:pPr>
    </w:p>
    <w:p>
      <w:pPr>
        <w:ind w:left="800" w:right="340" w:hanging="593"/>
        <w:spacing w:after="0" w:line="285" w:lineRule="auto"/>
        <w:rPr>
          <w:sz w:val="20"/>
          <w:szCs w:val="20"/>
          <w:color w:val="auto"/>
        </w:rPr>
      </w:pPr>
      <w:r>
        <w:rPr>
          <w:rFonts w:ascii="Arial" w:cs="Arial" w:eastAsia="Arial" w:hAnsi="Arial"/>
          <w:sz w:val="14"/>
          <w:szCs w:val="14"/>
          <w:color w:val="auto"/>
        </w:rPr>
        <w:t>11.2.1.3 the grant, purchase, SAR Base Amount or Option Price with respect to any Award, or, if deemed appropriate, make provision for a cash payment to the holder of an outstanding Award; and</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11.2.1.4 other value determinations applicable to outstanding Awards.</w:t>
      </w:r>
    </w:p>
    <w:p>
      <w:pPr>
        <w:spacing w:after="0" w:line="109" w:lineRule="exact"/>
        <w:rPr>
          <w:sz w:val="20"/>
          <w:szCs w:val="20"/>
          <w:color w:val="auto"/>
        </w:rPr>
      </w:pPr>
    </w:p>
    <w:p>
      <w:pPr>
        <w:ind w:left="800" w:right="20" w:hanging="593"/>
        <w:spacing w:after="0" w:line="245" w:lineRule="auto"/>
        <w:tabs>
          <w:tab w:leader="none" w:pos="780" w:val="left"/>
        </w:tabs>
        <w:rPr>
          <w:sz w:val="20"/>
          <w:szCs w:val="20"/>
          <w:color w:val="auto"/>
        </w:rPr>
      </w:pPr>
      <w:r>
        <w:rPr>
          <w:rFonts w:ascii="Arial" w:cs="Arial" w:eastAsia="Arial" w:hAnsi="Arial"/>
          <w:sz w:val="14"/>
          <w:szCs w:val="14"/>
          <w:color w:val="auto"/>
        </w:rPr>
        <w:t>11.2.2</w:t>
      </w:r>
      <w:r>
        <w:rPr>
          <w:sz w:val="20"/>
          <w:szCs w:val="20"/>
          <w:color w:val="auto"/>
        </w:rPr>
        <w:tab/>
      </w:r>
      <w:r>
        <w:rPr>
          <w:rFonts w:ascii="Arial" w:cs="Arial" w:eastAsia="Arial" w:hAnsi="Arial"/>
          <w:sz w:val="14"/>
          <w:szCs w:val="14"/>
          <w:i w:val="1"/>
          <w:iCs w:val="1"/>
          <w:color w:val="auto"/>
        </w:rPr>
        <w:t xml:space="preserve">Sale or Reorganization. </w:t>
      </w:r>
      <w:r>
        <w:rPr>
          <w:rFonts w:ascii="Arial" w:cs="Arial" w:eastAsia="Arial" w:hAnsi="Arial"/>
          <w:sz w:val="14"/>
          <w:szCs w:val="14"/>
          <w:color w:val="auto"/>
        </w:rPr>
        <w:t>After any reorganization, merger or consolidation whether or not the Company is the surviving corporation and</w:t>
      </w:r>
      <w:r>
        <w:rPr>
          <w:rFonts w:ascii="Arial" w:cs="Arial" w:eastAsia="Arial" w:hAnsi="Arial"/>
          <w:sz w:val="14"/>
          <w:szCs w:val="14"/>
          <w:i w:val="1"/>
          <w:iCs w:val="1"/>
          <w:color w:val="auto"/>
        </w:rPr>
        <w:t xml:space="preserve"> </w:t>
      </w:r>
      <w:r>
        <w:rPr>
          <w:rFonts w:ascii="Arial" w:cs="Arial" w:eastAsia="Arial" w:hAnsi="Arial"/>
          <w:sz w:val="14"/>
          <w:szCs w:val="14"/>
          <w:color w:val="auto"/>
        </w:rPr>
        <w:t>unless there is a provision in the sale or reorganization agreement to the contrary, each Grantee shall, at no additional cost, be entitled upon any exercise of an Option or receipt of other Award to receive (subject to any required action by shareholders), in lieu of the number of shares of Common Stock receivable or exercisable pursuant to such Award, the number and class of shares of stock or other securities to which such Grantee would have been entitled pursuant to the terms of the reorganization, merger or consolidation if, at the time of such reorganization, merger or consolidation, such Grantee had been the holder of record of a number of shares of stock equal to the number of shares receivable or exercisable pursuant to such Award. Comparable rights shall accrue to each Grantee in the event of successive reorganizations, mergers or consolidations of the character described above. Subject to Section 14.1, in the event of a Change of Control, the Grantor may (i) cancel without consideration any outstanding Awards with an exercise price that is more than the Fair Market Value of Common Stock as of the Change of Control, and (ii) in lieu of the substituted shares referenced herein, elect to pay Grantee a cash payment equal to the difference between the exercise price for the Award and the Fair Market Value of the Company’s Common Stock as of the Change of Control.</w:t>
      </w:r>
    </w:p>
    <w:p>
      <w:pPr>
        <w:spacing w:after="0" w:line="80" w:lineRule="exact"/>
        <w:rPr>
          <w:sz w:val="20"/>
          <w:szCs w:val="20"/>
          <w:color w:val="auto"/>
        </w:rPr>
      </w:pPr>
    </w:p>
    <w:p>
      <w:pPr>
        <w:ind w:left="800" w:right="20" w:hanging="593"/>
        <w:spacing w:after="0" w:line="285" w:lineRule="auto"/>
        <w:tabs>
          <w:tab w:leader="none" w:pos="780" w:val="left"/>
        </w:tabs>
        <w:rPr>
          <w:sz w:val="20"/>
          <w:szCs w:val="20"/>
          <w:color w:val="auto"/>
        </w:rPr>
      </w:pPr>
      <w:r>
        <w:rPr>
          <w:rFonts w:ascii="Arial" w:cs="Arial" w:eastAsia="Arial" w:hAnsi="Arial"/>
          <w:sz w:val="14"/>
          <w:szCs w:val="14"/>
          <w:color w:val="auto"/>
        </w:rPr>
        <w:t>11.2.3</w:t>
      </w:r>
      <w:r>
        <w:rPr>
          <w:sz w:val="20"/>
          <w:szCs w:val="20"/>
          <w:color w:val="auto"/>
        </w:rPr>
        <w:tab/>
      </w:r>
      <w:r>
        <w:rPr>
          <w:rFonts w:ascii="Arial" w:cs="Arial" w:eastAsia="Arial" w:hAnsi="Arial"/>
          <w:sz w:val="14"/>
          <w:szCs w:val="14"/>
          <w:i w:val="1"/>
          <w:iCs w:val="1"/>
          <w:color w:val="auto"/>
        </w:rPr>
        <w:t xml:space="preserve">Equity Plans Acquired in Merger and Acquisition Transactions. </w:t>
      </w:r>
      <w:r>
        <w:rPr>
          <w:rFonts w:ascii="Arial" w:cs="Arial" w:eastAsia="Arial" w:hAnsi="Arial"/>
          <w:sz w:val="14"/>
          <w:szCs w:val="14"/>
          <w:color w:val="auto"/>
        </w:rPr>
        <w:t>After any reorganization, merger or consolidation in which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or a Subsidiary shall be a surviving corporation and where such acquired or merged trade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80010</wp:posOffset>
            </wp:positionV>
            <wp:extent cx="6995160" cy="171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4431665" cy="13716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4431665"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PROXY STATEMENT - 2026</w:t>
        <w:tab/>
        <w:t>A-15</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business maintains an equity compensation plan for its employees, directors and/or consultants (the “Target Plan”), the Committee may</w:t>
      </w:r>
    </w:p>
    <w:p>
      <w:pPr>
        <w:spacing w:after="0" w:line="15" w:lineRule="exact"/>
        <w:rPr>
          <w:sz w:val="20"/>
          <w:szCs w:val="20"/>
          <w:color w:val="auto"/>
        </w:rPr>
      </w:pPr>
    </w:p>
    <w:p>
      <w:pPr>
        <w:ind w:left="800" w:firstLine="7"/>
        <w:spacing w:after="0" w:line="246" w:lineRule="auto"/>
        <w:tabs>
          <w:tab w:leader="none" w:pos="968" w:val="left"/>
        </w:tabs>
        <w:numPr>
          <w:ilvl w:val="0"/>
          <w:numId w:val="95"/>
        </w:numPr>
        <w:rPr>
          <w:rFonts w:ascii="Arial" w:cs="Arial" w:eastAsia="Arial" w:hAnsi="Arial"/>
          <w:sz w:val="14"/>
          <w:szCs w:val="14"/>
          <w:color w:val="auto"/>
        </w:rPr>
      </w:pPr>
      <w:r>
        <w:rPr>
          <w:rFonts w:ascii="Arial" w:cs="Arial" w:eastAsia="Arial" w:hAnsi="Arial"/>
          <w:sz w:val="14"/>
          <w:szCs w:val="14"/>
          <w:color w:val="auto"/>
        </w:rPr>
        <w:t>add to the number of shares of Common Stock that may be issued under this Plan in accordance with Section 3.2 a proportionate number shares available for issuance under the Target Plan, and/or (ii) substitute or replace outstanding awards under the Target Plan with similar Awards issued under this Plan; provided that any such substitution or replacement is consummated in an equitable manner, as determined by the Committee in its discretion, including, without limitation, substitution options granted under the Target Plan with Options under this Plan in accordance with Section 424 of the Code. Any such adjustments may provide for the elimination of any fractional shares which might otherwise become subject to any Awards.</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11.3    </w:t>
        <w:tab/>
        <w:t>REGULATORY APPROVALS AND LISTING</w:t>
      </w:r>
    </w:p>
    <w:p>
      <w:pPr>
        <w:spacing w:after="0" w:line="15"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The Company shall not be required to issue any certificate or certificates for shares of Common Stock under the Plan prior to (i) obtaining any approval from any governmental agency which the Company shall, in its discretion, determine to be necessary or advisable, (ii) the admission of such shares to listing on any national securities exchange on which the Company’s Common Stock may be listed, and (iii) the completion of any registration or other qualification of such shares of Common Stock under any state or Federal law or ruling or regulations of any governmental body which the Company shall, in its discretion, determine to be necessary or advisable. All share certificates delivered pursuant to this Plan and all shares of Common Stock issued pursuant to book entry procedures are subject to any stop-transfer orders and other restrictions as the Committee deems necessary or advisable to comply with applicable law. The Committee may place legends on any share certificate or book entry to reference restrictions applicable to the shares of Common Stock.</w:t>
      </w:r>
    </w:p>
    <w:p>
      <w:pPr>
        <w:spacing w:after="0" w:line="202"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11.4    </w:t>
        <w:tab/>
        <w:t>RESTRICTIONS UPON RESALE OF STOCK</w:t>
      </w:r>
    </w:p>
    <w:p>
      <w:pPr>
        <w:spacing w:after="0" w:line="15"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If the shares of Common Stock that have been issued to a Holder pursuant to the terms of the Plan are not registered under the Securities Act, pursuant to an effective registration statement, such Holder, if the Committee shall deem it advisable, may be required to represent and agree in writing (i) that any such shares acquired by such Holder pursuant to the Plan will not be sold except pursuant to an effective registration statement under the Securities Act, or pursuant to an exemption from registration under the Securities Act and, (ii) that such Holder is acquiring such shares for his or her own account and not with a view to the distribution thereof.</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11.5    </w:t>
        <w:tab/>
        <w:t>REPORTING PERSON LIMITATION</w:t>
      </w:r>
    </w:p>
    <w:p>
      <w:pPr>
        <w:spacing w:after="0" w:line="15"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Notwithstanding any other provision of the Plan, to the extent required to qualify for the exemption provided by Rule 16b-3 and any successor provision, any Common Stock or other equity security offered under the Plan to a Reporting Person may not be sold for at least six (6) months after the earlier of acquisition of the security or the date of grant of the derivative security, if any, pursuant to which the Common Stock or other equity security was acquired.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ADMINISTRATION OF THE PLAN</w:t>
      </w:r>
    </w:p>
    <w:p>
      <w:pPr>
        <w:spacing w:after="0" w:line="217"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12.1    </w:t>
        <w:tab/>
        <w:t>COMMITTEE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Plan shall be administered by or under the direction of the Committee.</w:t>
      </w:r>
    </w:p>
    <w:p>
      <w:pPr>
        <w:spacing w:after="0" w:line="231"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12.2    </w:t>
        <w:tab/>
        <w:t>COMMITTEE ACTIONS</w:t>
      </w:r>
    </w:p>
    <w:p>
      <w:pPr>
        <w:spacing w:after="0" w:line="15"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Except for matters required by the terms of the Plan to be decided by the Board or the CEO, the Committee shall have full power and authority to interpret and construe the Plan, to prescribe, amend and rescind rules, regulations, policies and practices, to impose such conditions and restrictions on Awards as it deems appropriate and to make all other determinations necessary or desirable in connection with the administration of, or the performance of its responsibilities under, the Plan.</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12.3    </w:t>
        <w:tab/>
        <w:t>DESIGNATION OF BENEFICIARY</w:t>
      </w:r>
    </w:p>
    <w:p>
      <w:pPr>
        <w:spacing w:after="0" w:line="15"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Each Holder may file with the Company a written designation (in a form prescribed by the Committee) of one or more persons as the Beneficiary who shall be entitled to receive the Award, if any, payable under the Plan upon his or her death. A Holder may from time to time revoke or change his or her Beneficiary designation without the consent of any prior Beneficiary by filing a new designation with the Company. The last such designation received by the Company shall be controlling; provided, however, that no designation, or change or revocation thereof, shall be effective unless received by the Company prior to the Holder’s death, and in no event shall it be effective as of a date prior to such receipt. If no such Beneficiary designation is in effect at the time of a Holder’s death, or if no designated Beneficiary survives the Holder or if such designation conflicts with law, the Holder’s estate shall be entitled to receive the Award, if any, payable under the Plan upon his or her death. If the Committee is in doubt as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212725</wp:posOffset>
            </wp:positionV>
            <wp:extent cx="6995160" cy="171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102870</wp:posOffset>
            </wp:positionV>
            <wp:extent cx="4431665" cy="11176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4431665"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A-16</w:t>
        <w:tab/>
        <w:t>PROXY STATEMENT - 2026</w:t>
      </w:r>
    </w:p>
    <w:p>
      <w:pPr>
        <w:spacing w:after="0" w:line="9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of any person to receive such Award, the Company may retain such Award, without liability for any interest thereon, until the Committee determines the rights thereto, or the Company may pay such Award into any court of appropriate jurisdiction and such payment shall be a complete discharge of the liability of the Company therefore.</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12.4    </w:t>
        <w:tab/>
        <w:t>NO RIGHT TO AN AWARD OR TO CONTINUED EMPLOYMENT</w:t>
      </w:r>
    </w:p>
    <w:p>
      <w:pPr>
        <w:spacing w:after="0" w:line="15"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No Grantee or other person shall have any claim or right to be granted an Award under the Plan. Neither the action of the Company in establishing the Plan, nor any provisions hereof, nor any action taken by the Company, any Subsidiary, the Board, the Committee or the CEO pursuant to such provisions shall be construed as creating in any employee or class of employees any right with respect to continuation of employment by the Company or any of its Subsidiaries, and they shall not be deemed to interfere in any way with the Company’s or any Subsidiary’s right to employ, discipline, discharge, terminate, lay off or retire any Grantee, with or without cause, to discipline any employee, or to otherwise affect the Company’s or a Subsidiary’s right to make employment decisions with respect to any Grantee.</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12.5    </w:t>
        <w:tab/>
        <w:t>DISCRETION OF THE GRANTOR</w:t>
      </w:r>
    </w:p>
    <w:p>
      <w:pPr>
        <w:spacing w:after="0" w:line="15"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Whenever the terms of the Plan provide for or permit a decision to be made or an action to be taken by a Grantor, such decision may be made or such action taken in the sole and absolute discretion of such Grantor and shall be final, conclusive and binding on all persons for all purposes; provided, however, that the Board may review any decision or action of the Grantor and it may reverse or modify such Award, decision or act as it deems appropriate. The Grantor’s determinations under the Plan, including, without limitation the determination of any person to receive Awards and the amount of such Awards, need not be uniform.</w:t>
      </w:r>
    </w:p>
    <w:p>
      <w:pPr>
        <w:spacing w:after="0" w:line="197"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12.6    </w:t>
        <w:tab/>
        <w:t>INDEMNIFICATION AND EXCULPATION</w:t>
      </w:r>
    </w:p>
    <w:p>
      <w:pPr>
        <w:spacing w:after="0" w:line="15" w:lineRule="exact"/>
        <w:rPr>
          <w:sz w:val="20"/>
          <w:szCs w:val="20"/>
          <w:color w:val="auto"/>
        </w:rPr>
      </w:pPr>
    </w:p>
    <w:p>
      <w:pPr>
        <w:ind w:left="800" w:right="40" w:hanging="593"/>
        <w:spacing w:after="0" w:line="243" w:lineRule="auto"/>
        <w:tabs>
          <w:tab w:leader="none" w:pos="780" w:val="left"/>
        </w:tabs>
        <w:rPr>
          <w:sz w:val="20"/>
          <w:szCs w:val="20"/>
          <w:color w:val="auto"/>
        </w:rPr>
      </w:pPr>
      <w:r>
        <w:rPr>
          <w:rFonts w:ascii="Arial" w:cs="Arial" w:eastAsia="Arial" w:hAnsi="Arial"/>
          <w:sz w:val="14"/>
          <w:szCs w:val="14"/>
          <w:color w:val="auto"/>
        </w:rPr>
        <w:t>12.6.1</w:t>
      </w:r>
      <w:r>
        <w:rPr>
          <w:sz w:val="20"/>
          <w:szCs w:val="20"/>
          <w:color w:val="auto"/>
        </w:rPr>
        <w:tab/>
      </w:r>
      <w:r>
        <w:rPr>
          <w:rFonts w:ascii="Arial" w:cs="Arial" w:eastAsia="Arial" w:hAnsi="Arial"/>
          <w:sz w:val="14"/>
          <w:szCs w:val="14"/>
          <w:i w:val="1"/>
          <w:iCs w:val="1"/>
          <w:color w:val="auto"/>
        </w:rPr>
        <w:t xml:space="preserve">Indemnification. </w:t>
      </w:r>
      <w:r>
        <w:rPr>
          <w:rFonts w:ascii="Arial" w:cs="Arial" w:eastAsia="Arial" w:hAnsi="Arial"/>
          <w:sz w:val="14"/>
          <w:szCs w:val="14"/>
          <w:color w:val="auto"/>
        </w:rPr>
        <w:t>Each person who is or shall have been a member of the Board or the Committee and each director, officer or</w:t>
      </w:r>
      <w:r>
        <w:rPr>
          <w:rFonts w:ascii="Arial" w:cs="Arial" w:eastAsia="Arial" w:hAnsi="Arial"/>
          <w:sz w:val="14"/>
          <w:szCs w:val="14"/>
          <w:i w:val="1"/>
          <w:iCs w:val="1"/>
          <w:color w:val="auto"/>
        </w:rPr>
        <w:t xml:space="preserve"> </w:t>
      </w:r>
      <w:r>
        <w:rPr>
          <w:rFonts w:ascii="Arial" w:cs="Arial" w:eastAsia="Arial" w:hAnsi="Arial"/>
          <w:sz w:val="14"/>
          <w:szCs w:val="14"/>
          <w:color w:val="auto"/>
        </w:rPr>
        <w:t>employee of the Company or any Subsidiary to whom any duty or power related to the administration or interpretation of the Plan may be delegated (each, an “Indemnified Person”), shall be indemnified and held harmless by the Company against and from any and all loss, cost, liability or expense that may be imposed upon or reasonably incurred by such person in connection with or resulting from any claim, action, suit or proceeding to which such person may be or become a party or in which such person may be or become involved by reason of any action taken or failure to act under the Plan and against and from any and all amounts paid by such person in settlement thereof (with the Company’s written approval) or paid by such person in satisfaction of a judgment in any such action, suit or proceeding, except a judgment in favor of the Company based upon a finding of such person’s bad faith; subject, however, to the condition that upon the institution of any claim, action, suit or proceeding against such person, he or she shall in writing give the Company an opportunity, at its own expense, to handle and defend the same before he or she undertakes to handle and defend it on his or her own behalf. The foregoing right of indemnification shall not be exclusive of, and shall be in addition to, any other right to which such person may be entitled under the Company’s charter or bylaws, as a matter of law or otherwise, or any power that the Company may have to indemnify such person or hold such person harmless.</w:t>
      </w:r>
    </w:p>
    <w:p>
      <w:pPr>
        <w:spacing w:after="0" w:line="81" w:lineRule="exact"/>
        <w:rPr>
          <w:sz w:val="20"/>
          <w:szCs w:val="20"/>
          <w:color w:val="auto"/>
        </w:rPr>
      </w:pPr>
    </w:p>
    <w:p>
      <w:pPr>
        <w:ind w:left="800" w:right="160" w:hanging="593"/>
        <w:spacing w:after="0" w:line="249" w:lineRule="auto"/>
        <w:tabs>
          <w:tab w:leader="none" w:pos="780" w:val="left"/>
        </w:tabs>
        <w:rPr>
          <w:sz w:val="20"/>
          <w:szCs w:val="20"/>
          <w:color w:val="auto"/>
        </w:rPr>
      </w:pPr>
      <w:r>
        <w:rPr>
          <w:rFonts w:ascii="Arial" w:cs="Arial" w:eastAsia="Arial" w:hAnsi="Arial"/>
          <w:sz w:val="14"/>
          <w:szCs w:val="14"/>
          <w:color w:val="auto"/>
        </w:rPr>
        <w:t>12.6.2</w:t>
      </w:r>
      <w:r>
        <w:rPr>
          <w:sz w:val="20"/>
          <w:szCs w:val="20"/>
          <w:color w:val="auto"/>
        </w:rPr>
        <w:tab/>
      </w:r>
      <w:r>
        <w:rPr>
          <w:rFonts w:ascii="Arial" w:cs="Arial" w:eastAsia="Arial" w:hAnsi="Arial"/>
          <w:sz w:val="14"/>
          <w:szCs w:val="14"/>
          <w:i w:val="1"/>
          <w:iCs w:val="1"/>
          <w:color w:val="auto"/>
        </w:rPr>
        <w:t xml:space="preserve">Exculpation. </w:t>
      </w:r>
      <w:r>
        <w:rPr>
          <w:rFonts w:ascii="Arial" w:cs="Arial" w:eastAsia="Arial" w:hAnsi="Arial"/>
          <w:sz w:val="14"/>
          <w:szCs w:val="14"/>
          <w:color w:val="auto"/>
        </w:rPr>
        <w:t>No Indemnified Person shall be personally liable by reason of any contract or other instrument executed by such person</w:t>
      </w:r>
      <w:r>
        <w:rPr>
          <w:rFonts w:ascii="Arial" w:cs="Arial" w:eastAsia="Arial" w:hAnsi="Arial"/>
          <w:sz w:val="14"/>
          <w:szCs w:val="14"/>
          <w:i w:val="1"/>
          <w:iCs w:val="1"/>
          <w:color w:val="auto"/>
        </w:rPr>
        <w:t xml:space="preserve"> </w:t>
      </w:r>
      <w:r>
        <w:rPr>
          <w:rFonts w:ascii="Arial" w:cs="Arial" w:eastAsia="Arial" w:hAnsi="Arial"/>
          <w:sz w:val="14"/>
          <w:szCs w:val="14"/>
          <w:color w:val="auto"/>
        </w:rPr>
        <w:t>or on such person’s behalf in his or her capacity as an Indemnified Person hereunder, nor for any mistake of judgment made in good faith, unless otherwise provided by law. Each Indemnified Person shall be fully justified in relying or acting upon in good faith any information furnished in connection with the administration of the Plan by any appropriate person or persons other than himself or herself. In no event shall any Indemnified Person be liable for any determination made or other action taken or any omission to act in reliance upon such report or information, for any action (including the furnishing of information) taken or any failure to act, if in good faith.</w:t>
      </w:r>
    </w:p>
    <w:p>
      <w:pPr>
        <w:spacing w:after="0" w:line="348"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 xml:space="preserve">SECTION 12.7    </w:t>
        <w:tab/>
        <w:t>UNFUNDED PLAN</w:t>
      </w:r>
    </w:p>
    <w:p>
      <w:pPr>
        <w:spacing w:after="0" w:line="15"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Plan is intended to constitute an unfunded, long-term incentive compensation plan for certain selected Employees and Directors. No special or separate fund shall be established and no segregation of assets shall be made to assure payment of such amounts. The Company may, but shall not be obligated to, acquire shares of its Common Stock from time to time in anticipation of its obligations under the Plan, but no Grantee shall have any right in or against any shares of Common Stock so acquired. All such shares shall constitute general assets of the Company and may be disposed of by the Company at such time and for such purposes as it may deem appropriate. No obligation or liability of the Company to any Grantee with respect to any right to receive a distribution or payment under the Plan shall be deemed to be secured by any pledge or other encumbrance on any property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106680</wp:posOffset>
            </wp:positionV>
            <wp:extent cx="6995160" cy="171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4431665" cy="13716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4431665"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PROXY STATEMENT - 2026</w:t>
        <w:tab/>
        <w:t>A-17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12.8       INALIENABILITY OF RIGHTS AND INTERESTS</w:t>
      </w:r>
    </w:p>
    <w:p>
      <w:pPr>
        <w:spacing w:after="0" w:line="1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rights and interests of a Holder under the Plan are personal to the Holder and to any person or persons who may become entitled to distribution or payments under the Plan by reason of death of the Holder, and the rights and interests of the Holder or any such person (including, without limitation, any Award distributable or payable under the Plan) shall not be subject in any manner to alienation, sale, transfer, assignment, pledge, encumbrance or charge, and any such attempted action shall be void and no such benefit or interest shall be in any manner liable for or subject to debts, contracts, liabilities, engagements or torts of any Holder. If any Holder shall attempt to alienate, sell, transfer, assign, pledge, encumber or charge any of his rights or interests under the Plan, (including without limitation, any Award payable under the Plan) then the Committee may hold or apply such benefit or any part thereof to or for the benefit of such Holder in such manner and in such proportions as the Committee may consider proper. Notwithstanding the foregoing, the Holder, subject to the approval of the Company may elect to irrevocably transfer some or all of an Award to a family member. For this purpose, a family member shall refer to one or more of the Holder’s spouse, children or grandchildren, or to a trust established solely for the benefit of, or to a partnership whose partners are, the Holder’s spouse, children and grandchildren; provided, however, that:</w:t>
      </w:r>
    </w:p>
    <w:p>
      <w:pPr>
        <w:spacing w:after="0" w:line="246" w:lineRule="exact"/>
        <w:rPr>
          <w:sz w:val="20"/>
          <w:szCs w:val="20"/>
          <w:color w:val="auto"/>
        </w:rPr>
      </w:pPr>
    </w:p>
    <w:p>
      <w:pPr>
        <w:ind w:left="560" w:hanging="347"/>
        <w:spacing w:after="0"/>
        <w:tabs>
          <w:tab w:leader="none" w:pos="5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Award, once transferred, may not again be transferred except by will or by the laws of descent and distribution;</w:t>
      </w:r>
    </w:p>
    <w:p>
      <w:pPr>
        <w:spacing w:after="0" w:line="109" w:lineRule="exact"/>
        <w:rPr>
          <w:rFonts w:ascii="Arial" w:cs="Arial" w:eastAsia="Arial" w:hAnsi="Arial"/>
          <w:sz w:val="14"/>
          <w:szCs w:val="14"/>
          <w:color w:val="auto"/>
        </w:rPr>
      </w:pPr>
    </w:p>
    <w:p>
      <w:pPr>
        <w:ind w:left="560" w:right="440" w:hanging="347"/>
        <w:spacing w:after="0" w:line="285" w:lineRule="auto"/>
        <w:tabs>
          <w:tab w:leader="none" w:pos="5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Award, once transferred, shall remain subject to the same terms and conditions of the Award in effect before the transfer and the transferee of the Award (the “Transferee”) must comply with all other provisions of the Award; and</w:t>
      </w:r>
    </w:p>
    <w:p>
      <w:pPr>
        <w:spacing w:after="0" w:line="49" w:lineRule="exact"/>
        <w:rPr>
          <w:rFonts w:ascii="Arial" w:cs="Arial" w:eastAsia="Arial" w:hAnsi="Arial"/>
          <w:sz w:val="14"/>
          <w:szCs w:val="14"/>
          <w:color w:val="auto"/>
        </w:rPr>
      </w:pPr>
    </w:p>
    <w:p>
      <w:pPr>
        <w:ind w:left="560" w:right="420" w:hanging="347"/>
        <w:spacing w:after="0" w:line="256" w:lineRule="auto"/>
        <w:tabs>
          <w:tab w:leader="none" w:pos="5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Holder receives no consideration for such transfer. No transferred Award shall be exercisable following a transfer, as provided for herein, unless the Committee receives written notice from the Holder in a form and manner satisfactory to the Committee, in its sole discretion, to the effect that a transfer of the Award has occurred and the notice identifies the Award transferred, the identity of the Transferee and his or her relationship to the Holder.</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12.9      AWARDS NOT INCLUDABLE FOR BENEFIT PURPOSES</w:t>
      </w:r>
    </w:p>
    <w:p>
      <w:pPr>
        <w:spacing w:after="0" w:line="15"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Except as otherwise set forth in any applicable 401(k) plan, payments received by a Grantee pursuant to the provisions of the Plan shall not be included in the determination of benefits under any pension, group insurance or other benefit plan applicable to the Grantee which is maintained by the Company or any of its Subsidiaries, except as may be determined by the Committee.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12.10       NO ISSUANCE OF FRACTIONAL SHARES</w:t>
      </w:r>
    </w:p>
    <w:p>
      <w:pPr>
        <w:spacing w:after="0" w:line="15"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The Company shall not be required to deliver any fractional share of Common Stock but, as determined by the Committee, may pay a cash amount to the Holder in lieu thereof, except as otherwise provided in the Plan, equal to the Fair Market Value (determined as of an appropriate date determined by the Committee) of such fractional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12.11       MODIFICATION FOR INTERNATIONAL GRANTEES</w:t>
      </w:r>
    </w:p>
    <w:p>
      <w:pPr>
        <w:spacing w:after="0" w:line="15"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Notwithstanding any provision to the contrary, the Committee may incorporate such provisions, or make such modifications or amendments in Award Agreements of Grantees who reside or are employed outside of the United States of America, or who are citizens of a country other than the United States of America, as the Committee deems necessary or appropriate to accomplish the purposes of the Plan with respect to such Grantee in light of differences in applicable law, tax policies or customs, and to ascertain compliance with all applicable laws.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12.12       LEAVES OF ABSENCE</w:t>
      </w:r>
    </w:p>
    <w:p>
      <w:pPr>
        <w:spacing w:after="0" w:line="15"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The Committee shall be entitled to make such rules, regulations and determinations as it deems appropriate under the Plan in respect of any leave of absence taken by the recipient of any Award. Without limiting the generality of the foregoing, the Grantor shall be entitled to determine (i) whether or not any such leave of absence shall constitute a termination of employment for purposes of the Plan and any Award Agreement, and (ii) the impact, if any, of any such leave of absence on Awards under the Plan theretofore made to any recipient who takes such leave of absence. Notwithstanding the foregoing, with respect to Awards that are “deferred compensation” under Section 409A of the Code, to the extent necessary to avoid incurring adverse tax consequences under Section 409A of the Code, any leave of absence taken by the recipient shall constitute a termination of employment within the meaning of the Plan when the recipient has a “separation from service” as defined in Section 409A of the Code and the regulations thereunder.</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12.13       COMMUNICATIONS</w:t>
      </w:r>
    </w:p>
    <w:p>
      <w:pPr>
        <w:spacing w:after="0" w:line="15" w:lineRule="exact"/>
        <w:rPr>
          <w:sz w:val="20"/>
          <w:szCs w:val="20"/>
          <w:color w:val="auto"/>
        </w:rPr>
      </w:pPr>
    </w:p>
    <w:p>
      <w:pPr>
        <w:jc w:val="both"/>
        <w:ind w:left="800" w:right="60" w:hanging="593"/>
        <w:spacing w:after="0" w:line="249" w:lineRule="auto"/>
        <w:rPr>
          <w:sz w:val="20"/>
          <w:szCs w:val="20"/>
          <w:color w:val="auto"/>
        </w:rPr>
      </w:pPr>
      <w:r>
        <w:rPr>
          <w:rFonts w:ascii="Arial" w:cs="Arial" w:eastAsia="Arial" w:hAnsi="Arial"/>
          <w:sz w:val="14"/>
          <w:szCs w:val="14"/>
          <w:color w:val="auto"/>
        </w:rPr>
        <w:t xml:space="preserve">12.13.1 </w:t>
      </w:r>
      <w:r>
        <w:rPr>
          <w:rFonts w:ascii="Arial" w:cs="Arial" w:eastAsia="Arial" w:hAnsi="Arial"/>
          <w:sz w:val="14"/>
          <w:szCs w:val="14"/>
          <w:i w:val="1"/>
          <w:iCs w:val="1"/>
          <w:color w:val="auto"/>
        </w:rPr>
        <w:t>Communications by the Grantor.</w:t>
      </w:r>
      <w:r>
        <w:rPr>
          <w:rFonts w:ascii="Arial" w:cs="Arial" w:eastAsia="Arial" w:hAnsi="Arial"/>
          <w:sz w:val="14"/>
          <w:szCs w:val="14"/>
          <w:color w:val="auto"/>
        </w:rPr>
        <w:t xml:space="preserve"> All notices, statements, reports and other communications made, delivered or transmitted to a Holder or other person under the Plan shall be deemed to have been duly given, made or transmitted, when sent electronically to a Company or Subsidiary e-mail address, when delivered to, or when mailed by first-class mail, postage prepaid and addressed to, such Holder or other person at his or her address last appearing on the records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95885</wp:posOffset>
            </wp:positionV>
            <wp:extent cx="6995160" cy="171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102870</wp:posOffset>
            </wp:positionV>
            <wp:extent cx="4431665" cy="11176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4431665"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A-18</w:t>
        <w:tab/>
        <w:t>PROXY STATEMENT - 2026</w:t>
      </w:r>
    </w:p>
    <w:p>
      <w:pPr>
        <w:spacing w:after="0" w:line="96" w:lineRule="exact"/>
        <w:rPr>
          <w:sz w:val="20"/>
          <w:szCs w:val="20"/>
          <w:color w:val="auto"/>
        </w:rPr>
      </w:pPr>
    </w:p>
    <w:p>
      <w:pPr>
        <w:ind w:left="800" w:right="60" w:hanging="593"/>
        <w:spacing w:after="0" w:line="250" w:lineRule="auto"/>
        <w:rPr>
          <w:sz w:val="20"/>
          <w:szCs w:val="20"/>
          <w:color w:val="auto"/>
        </w:rPr>
      </w:pPr>
      <w:r>
        <w:rPr>
          <w:rFonts w:ascii="Arial" w:cs="Arial" w:eastAsia="Arial" w:hAnsi="Arial"/>
          <w:sz w:val="14"/>
          <w:szCs w:val="14"/>
          <w:color w:val="auto"/>
        </w:rPr>
        <w:t xml:space="preserve">12.13.2 </w:t>
      </w:r>
      <w:r>
        <w:rPr>
          <w:rFonts w:ascii="Arial" w:cs="Arial" w:eastAsia="Arial" w:hAnsi="Arial"/>
          <w:sz w:val="14"/>
          <w:szCs w:val="14"/>
          <w:i w:val="1"/>
          <w:iCs w:val="1"/>
          <w:color w:val="auto"/>
        </w:rPr>
        <w:t>Communications by the Directors, Consultants, Employees, and Others.</w:t>
      </w:r>
      <w:r>
        <w:rPr>
          <w:rFonts w:ascii="Arial" w:cs="Arial" w:eastAsia="Arial" w:hAnsi="Arial"/>
          <w:sz w:val="14"/>
          <w:szCs w:val="14"/>
          <w:color w:val="auto"/>
        </w:rPr>
        <w:t xml:space="preserve"> All elections, designations, requests, notices, instructions and other communications made, delivered or transmitted by the Company, a Subsidiary, Grantee, Beneficiary or other person to the Committee required or permitted under the Plan shall be transmitted by any means authorized by the Committee or shall be mailed by first-class mail or delivered to the Company’s principal office to the attention of the Company’s Secretary or such other location as may be specified by the Committee, and shall be deemed to have been given and delivered only upon actual receipt thereof by the Committee at such location.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12.14       PARTIES IN INTEREST</w:t>
      </w:r>
    </w:p>
    <w:p>
      <w:pPr>
        <w:spacing w:after="0" w:line="15"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provisions of the Plan and the terms and conditions of any Award shall, in accordance with their terms, be binding upon, and inure to the benefit of, all successors of each Grantee, including, without limitation, such Grantee’s estate and the executors, administrators, or trustees thereof, heirs and legatees, and any receiver, trustee in bankruptcy or representative of creditors of such Grantee. The obligations of the Company under the Plan shall be binding upon the Company and its successors and assigns.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12.15       SEVERABILITY</w:t>
      </w:r>
    </w:p>
    <w:p>
      <w:pPr>
        <w:spacing w:after="0" w:line="15"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Whenever possible, each provision in the Plan and every Award at any time granted under the Plan shall be interpreted in such manner as to be effective and valid under applicable law, but if any provision of the Plan or any Award at any time granted under the Plan shall be held to be prohibited by or invalid under applicable law, then (i) such provision shall be deemed amended to accomplish the objectives of the provision as originally written to the fullest extent permitted by law, and (ii) all other provisions of the Plan and every other Award at any time granted under the Plan shall remain in full force and effect.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12.16       COMPLIANCE WITH LAWS</w:t>
      </w:r>
    </w:p>
    <w:p>
      <w:pPr>
        <w:spacing w:after="0" w:line="15"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The Plan and the grant of Awards shall be subject to all applicable Federal and state laws, rules and regulations and to such approvals by any government or regulatory agency as may be required. It is intended that the Plan be applied and administered in compliance with Rule 16b-3. If any provision of the Plan would be in violation of Rule 16b-3 if applied as written, such provision shall not have effect as written and shall be given effect so as to comply with Rule 16b-3, as determined by the Committee. The Board is authorized to amend the Plan and to make any such modifications to Award Agreements to comply with Rule 16b-3, and to make any such other amendments or modifications as it deems necessary or appropriate to better accomplish the purposes of the Plan in light of any amendments made to Rule 16b-3.</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12.17       NO STRICT CONSTRUCTION</w:t>
      </w:r>
    </w:p>
    <w:p>
      <w:pPr>
        <w:spacing w:after="0" w:line="15" w:lineRule="exact"/>
        <w:rPr>
          <w:sz w:val="20"/>
          <w:szCs w:val="20"/>
          <w:color w:val="auto"/>
        </w:rPr>
      </w:pPr>
    </w:p>
    <w:p>
      <w:pPr>
        <w:jc w:val="both"/>
        <w:ind w:right="120"/>
        <w:spacing w:after="0" w:line="252" w:lineRule="auto"/>
        <w:rPr>
          <w:sz w:val="20"/>
          <w:szCs w:val="20"/>
          <w:color w:val="auto"/>
        </w:rPr>
      </w:pPr>
      <w:r>
        <w:rPr>
          <w:rFonts w:ascii="Arial" w:cs="Arial" w:eastAsia="Arial" w:hAnsi="Arial"/>
          <w:sz w:val="14"/>
          <w:szCs w:val="14"/>
          <w:color w:val="auto"/>
        </w:rPr>
        <w:t>No rule of strict construction shall be implied against the Company, the Board, the Committee, the CEO or any other person in the interpretation of any of the terms of the Plan, any Award Agreement, any Award granted under the Plan or any rule or procedure established by the Committee or the Board.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12.18       MODIFICATION</w:t>
      </w:r>
    </w:p>
    <w:p>
      <w:pPr>
        <w:spacing w:after="0" w:line="15"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This document contains all of the provisions of the Plan and no provisions may be waived, modified or otherwise altered except in a writing adopted by the Committee or, with respect to Director Awards, the Board.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12.19       GOVERNING LAW</w:t>
      </w:r>
    </w:p>
    <w:p>
      <w:pPr>
        <w:spacing w:after="0" w:line="15"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All questions pertaining to validity, construction and administration of the Plan and the rights of all persons hereunder shall be determined with reference to, and the provisions of the Plan shall be governed by and shall be construed in conformity with, the internal laws of the Commonwealth of Pennsylvania without regard to any of its conflict of laws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12.20       CLAWBACK POLICY</w:t>
      </w:r>
    </w:p>
    <w:p>
      <w:pPr>
        <w:spacing w:after="0" w:line="15"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Notwithstanding anything to the contrary herein, all outstanding Awards constitute “Incentive Compensation” as defined in the Company’s Clawback Policy and pursuant to which the Committee may cancel any Award to the extent that the terms of the Clawback Policy so provide.</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ARTICLE XIII</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CHANGE OF CONTROL</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13.1       IMPACT OF CHANGE OF CONTROL</w:t>
      </w:r>
    </w:p>
    <w:p>
      <w:pPr>
        <w:spacing w:after="0" w:line="15"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Subject to Section 11.2.2, in the event of a Change of Control, upon a Grantee’s termination of employment by the Grantee’s employer without Cause, or by the Grantee for Good Reason, in either case, within two (2) years following the Change of Control (or on the date of the Change of Control), then (a) Options (with an exercise price that is less than the Fair Market Value of the Company’s Common Stock at the time of the Change in Control) and SARs shall vest and become fully exercisable, (b) restrictions on Restricted Stock Awards and Restricted Stock Unit Awards shall lapse and such Awards shall become fully vested, (c) any Performance Awards with vesting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105410</wp:posOffset>
            </wp:positionV>
            <wp:extent cx="6995160" cy="171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4431665" cy="13716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4431665" cy="137160"/>
                    </a:xfrm>
                    <a:prstGeom prst="rect">
                      <a:avLst/>
                    </a:prstGeom>
                    <a:noFill/>
                  </pic:spPr>
                </pic:pic>
              </a:graphicData>
            </a:graphic>
          </wp:anchor>
        </w:drawing>
      </w:r>
    </w:p>
    <w:p>
      <w:pPr>
        <w:spacing w:after="0" w:line="146" w:lineRule="exact"/>
        <w:rPr>
          <w:sz w:val="20"/>
          <w:szCs w:val="20"/>
          <w:color w:val="auto"/>
        </w:rPr>
      </w:pPr>
    </w:p>
    <w:p>
      <w:pPr>
        <w:ind w:left="7140"/>
        <w:spacing w:after="0"/>
        <w:tabs>
          <w:tab w:leader="none" w:pos="9080" w:val="left"/>
        </w:tabs>
        <w:rPr>
          <w:sz w:val="20"/>
          <w:szCs w:val="20"/>
          <w:color w:val="auto"/>
        </w:rPr>
      </w:pPr>
      <w:r>
        <w:rPr>
          <w:rFonts w:ascii="Arial" w:cs="Arial" w:eastAsia="Arial" w:hAnsi="Arial"/>
          <w:sz w:val="14"/>
          <w:szCs w:val="14"/>
          <w:color w:val="auto"/>
        </w:rPr>
        <w:t>PROXY STATEMENT - 2026</w:t>
        <w:tab/>
        <w:t>A-19</w:t>
      </w:r>
    </w:p>
    <w:p>
      <w:pPr>
        <w:spacing w:after="0" w:line="136" w:lineRule="exact"/>
        <w:rPr>
          <w:sz w:val="20"/>
          <w:szCs w:val="20"/>
          <w:color w:val="auto"/>
        </w:rPr>
      </w:pPr>
    </w:p>
    <w:p>
      <w:pPr>
        <w:ind w:right="220"/>
        <w:spacing w:after="0" w:line="256" w:lineRule="auto"/>
        <w:rPr>
          <w:sz w:val="20"/>
          <w:szCs w:val="20"/>
          <w:color w:val="auto"/>
        </w:rPr>
      </w:pPr>
      <w:r>
        <w:rPr>
          <w:rFonts w:ascii="Arial" w:cs="Arial" w:eastAsia="Arial" w:hAnsi="Arial"/>
          <w:sz w:val="14"/>
          <w:szCs w:val="14"/>
          <w:color w:val="auto"/>
        </w:rPr>
        <w:t>provisions tied to achievement of Performance Goals shall be considered to be vested (and, as applicable, shall be earned and paid) at Target Performance, (d) any Awards payable in cash shall be paid within thirty (30) days after such termination of employment to all Grantees who have been granted such an Award, and (e) such other additional benefits, changes or adjustments as the Committee deems appropriate and fair shall apply, subject in each case to any terms and conditions contained in the Award Agreement evidencing such Award.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13.2      ASSUMPTION UPON CHANGE OF CONTROL</w:t>
      </w:r>
    </w:p>
    <w:p>
      <w:pPr>
        <w:spacing w:after="0" w:line="1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Notwithstanding the foregoing, if in the event of a Change of Control, the successor company does not agree to assume or substitute for an Award, or the Awards will otherwise not remain outstanding after the Change of Control, then, in lieu of such outstanding assumed or substituted Award, the holder shall be entitled to the benefits set forth in the first sentence of Section 13.1 as of the date of the Change of Control, to the same extent as if the holder’s employment or service as a Director or Consultant had been terminated by the Company without Cause as of the date of the Change of Control. For the purposes of this Section 13.2, an Award shall be considered assumed or substituted for if following the Change of Control the award confers the right to purchase or receive, for each share subject to the Award immediately prior to the Change of Control, the consideration (whether stock, cash or other securities or property) received in the transaction constituting a Change of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of Control is not solely common stock of the successor company, the Committee may, with the consent of the successor company, provide that the consideration to be received upon the exercise or vesting of any Award, for each share subject thereto, will be solely common stock of the successor company substantially equal in fair market value to the per share consideration received by holders of Shares in the transaction constituting a Change of Control. The determination of such substantial equality of value or consideration shall be made by the Committee before the Change of Control in its sole discretion and its determination shall be conclusive and binding. Any assumption or substitution of the Incentive Stock Option will be made in a manner that will not be considered a “modification” under the provisions of Section 424(h)(3) of the Code.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AND TERMINATION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14.1      AMENDMENT; NO REPRICING</w:t>
      </w:r>
    </w:p>
    <w:p>
      <w:pPr>
        <w:spacing w:after="0" w:line="15"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The Board or the Committee with respect to the Plan, and the Grantor with respect to any Award Agreement, reserve the right at any time to modify, alter or amend, in whole or in part, any or all of the provisions of the Plan or any Award Agreement to any extent and in any manner that it or he, as the case may be, may deem advisable, and no consent or approval by the shareholders of the Company, by any Grantee or Beneficiary, or by any other person, committee or entity of any kind shall be required to make any modification, alteration or amendment; provided, however, that the Board shall not, without the requisite affirmative approval of the shareholders of the Company, make any modification, alteration or amendment that requires shareholders’ approval under any applicable law, the Code or stock exchange requirements. No modification, alteration or amendment of the Plan or any Award Agreement may, without the consent of the Grantee (or the Grantee’s Beneficiaries in case of the Grantee’s death) to whom any Award shall theretofore have been granted under the Plan, adversely affect any material right of such Grantee under such Award, except in accordance with the provisions of the Plan and/or any Award Agreement applicable to any such Award. Subject to the provisions of this</w:t>
      </w:r>
    </w:p>
    <w:p>
      <w:pPr>
        <w:spacing w:after="0" w:line="3"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Section 14.1, any modification, alteration or amendment of any provisions of the Plan may be made retroactively. Except as otherwise provided in Section 11.2 hereof, neither the Committee nor the Board shall (i) reduce the SAR Base Amount or Option Price, as applicable, of Stock Options or SARs previously awarded to any Grantee, (ii) cancel, surrender, replace or otherwise exchange any outstanding Stock Option or SAR where the Fair Market Value of the Common Stock underlying such Stock Option or SAR is less than its Option Price for a new Stock Option or SAR, another Award, cash, shares of Common Stock or other securities or (iii) take any other action that is considered a “repricing” for purposes of the shareholder approval rules of the applicable securities exchange or inter-dealer quotation system on which the shares of Common Stock are listed or quoted, without the requisite prior affirmative approval of the shareholders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14.2       SUSPENSION OR TERMINATION</w:t>
      </w:r>
    </w:p>
    <w:p>
      <w:pPr>
        <w:spacing w:after="0" w:line="15"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The Board reserves the right at any time to suspend or terminate, in whole or in part, any or all of the provisions of the Plan for any reason and without the consent of or approval by the shareholders of the Company, any Holder or any other person, committee or entity of any kind; provided, however, that no such suspension or termination shall adversely affect any material right or obligation with respect to any Award theretofore made except as herein otherwise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95885</wp:posOffset>
            </wp:positionV>
            <wp:extent cx="6995160" cy="171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102870</wp:posOffset>
            </wp:positionV>
            <wp:extent cx="4431665" cy="11176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4431665" cy="111760"/>
                    </a:xfrm>
                    <a:prstGeom prst="rect">
                      <a:avLst/>
                    </a:prstGeom>
                    <a:noFill/>
                  </pic:spPr>
                </pic:pic>
              </a:graphicData>
            </a:graphic>
          </wp:anchor>
        </w:drawing>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A-20</w:t>
        <w:tab/>
        <w:t>PROXY STATEMENT - 2026</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409A</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Company intends that payments and benefits under this Plan and any Award Agreement issued hereunder comply with, or be exempt from, Section 409A of the Code and, accordingly, to the maximum extent permitted, this Plan and any Award Agreement shall be interpreted to be in compliance therewith. A termination of employment or service shall not be deemed to have occurred for purposes of any provision of this Plan or any Award Agreement providing for the payment of any amounts or benefits upon or following a termination of employment or service that are considered “nonqualified deferred compensation” under Section 409A unless such termination is also a “separation from service” within the meaning of Section 409A. If a Grantee is determined to be a “specified employee” within the meaning of that term under Section 409A(a)(2)(B) (as determined in accordance with the uniform policy adopted by the Committee with respect to all of the arrangements subject to Section 409A maintained by the Company and its Subsidiaries), then with regard to any payment that is considered non-qualified deferred compensation under Section 409A payable on account of a “separation from service,” such payment shall be made or provided no earlier than the first day of the seventh month following such Grantee’s “separation from service,” (or upon the Grantee’s death, if earlier). Each payment of an Award under the Plan shall be treated as a separate payment for purposes of Section 409A. In no event shall the Company or any of its directors, members, managers, officers or employees, or the Grantor, be responsible for any tax, penalty, interest or liability that arises as a result of a violation of Section 409A.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EFFECTIVE DATE AND TERM OF THE PLAN</w:t>
      </w:r>
    </w:p>
    <w:p>
      <w:pPr>
        <w:spacing w:after="0" w:line="1"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The Plan became effective on the Effective Date. No Award shall be granted under the Plan after the date specified in Section 4.1.4. The Plan will continue in effect for existing Awards as long as any such Awards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89535</wp:posOffset>
            </wp:positionV>
            <wp:extent cx="6995160" cy="171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414520" cy="13716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14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PROXY STATEMENT - 2026</w:t>
        <w:tab/>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7372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5966460" cy="737235"/>
                    </a:xfrm>
                    <a:prstGeom prst="rect">
                      <a:avLst/>
                    </a:prstGeom>
                    <a:noFill/>
                  </pic:spPr>
                </pic:pic>
              </a:graphicData>
            </a:graphic>
          </wp:anchor>
        </w:drawing>
      </w:r>
    </w:p>
    <w:p>
      <w:pPr>
        <w:spacing w:after="0" w:line="311" w:lineRule="exact"/>
        <w:rPr>
          <w:sz w:val="20"/>
          <w:szCs w:val="20"/>
          <w:color w:val="auto"/>
        </w:rPr>
      </w:pPr>
    </w:p>
    <w:p>
      <w:pPr>
        <w:ind w:left="340" w:right="820"/>
        <w:spacing w:after="0" w:line="298" w:lineRule="auto"/>
        <w:rPr>
          <w:sz w:val="20"/>
          <w:szCs w:val="20"/>
          <w:color w:val="auto"/>
        </w:rPr>
      </w:pPr>
      <w:r>
        <w:rPr>
          <w:rFonts w:ascii="Arial" w:cs="Arial" w:eastAsia="Arial" w:hAnsi="Arial"/>
          <w:sz w:val="32"/>
          <w:szCs w:val="32"/>
          <w:b w:val="1"/>
          <w:bCs w:val="1"/>
          <w:color w:val="FFFFFF"/>
        </w:rPr>
        <w:t>APPENDIX B: RECONCILIATION OF GAAP TO NON-GAAP FINANCIAL MEASURES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9439A"/>
        </w:rPr>
        <w:t>Appendix B: 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The following table includes a reconciliation of net loss, which is determined in accordance with GAAP, to Adjusted EBITDA and Adjusted EBITDAR for the purposes of compensation for the year ended December 31, 2025. The Company believes Adjusted EBITDAR is the financial performance measure most closely linked to the calculation of compensation actually paid.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5140" w:type="dxa"/>
            <w:vAlign w:val="bottom"/>
            <w:tcBorders>
              <w:top w:val="single" w:sz="8" w:color="69439A"/>
              <w:bottom w:val="single" w:sz="8" w:color="010035"/>
            </w:tcBorders>
            <w:shd w:val="clear" w:color="auto" w:fill="010035"/>
          </w:tcPr>
          <w:p>
            <w:pPr>
              <w:ind w:left="80"/>
              <w:spacing w:after="0"/>
              <w:rPr>
                <w:sz w:val="20"/>
                <w:szCs w:val="20"/>
                <w:color w:val="auto"/>
              </w:rPr>
            </w:pPr>
            <w:r>
              <w:rPr>
                <w:rFonts w:ascii="Arial" w:cs="Arial" w:eastAsia="Arial" w:hAnsi="Arial"/>
                <w:sz w:val="14"/>
                <w:szCs w:val="14"/>
                <w:b w:val="1"/>
                <w:bCs w:val="1"/>
                <w:color w:val="FFFFFF"/>
              </w:rPr>
              <w:t>(DOLLARS IN MILLIONS)</w:t>
            </w:r>
          </w:p>
        </w:tc>
        <w:tc>
          <w:tcPr>
            <w:tcW w:w="4260" w:type="dxa"/>
            <w:vAlign w:val="bottom"/>
            <w:tcBorders>
              <w:top w:val="single" w:sz="8" w:color="69439A"/>
              <w:bottom w:val="single" w:sz="8" w:color="010035"/>
            </w:tcBorders>
            <w:shd w:val="clear" w:color="auto" w:fill="010035"/>
          </w:tcPr>
          <w:p>
            <w:pPr>
              <w:ind w:left="1160"/>
              <w:spacing w:after="0"/>
              <w:rPr>
                <w:sz w:val="20"/>
                <w:szCs w:val="20"/>
                <w:color w:val="auto"/>
              </w:rPr>
            </w:pPr>
            <w:r>
              <w:rPr>
                <w:rFonts w:ascii="Arial" w:cs="Arial" w:eastAsia="Arial" w:hAnsi="Arial"/>
                <w:sz w:val="14"/>
                <w:szCs w:val="14"/>
                <w:b w:val="1"/>
                <w:bCs w:val="1"/>
                <w:color w:val="FFFFFF"/>
              </w:rPr>
              <w:t>FOR THE YEAR ENDED DECEMBER 31, 2025</w:t>
            </w:r>
          </w:p>
        </w:tc>
      </w:tr>
      <w:tr>
        <w:trPr>
          <w:trHeight w:val="254"/>
        </w:trPr>
        <w:tc>
          <w:tcPr>
            <w:tcW w:w="5140" w:type="dxa"/>
            <w:vAlign w:val="bottom"/>
          </w:tcPr>
          <w:p>
            <w:pPr>
              <w:ind w:left="80"/>
              <w:spacing w:after="0"/>
              <w:rPr>
                <w:sz w:val="20"/>
                <w:szCs w:val="20"/>
                <w:color w:val="auto"/>
              </w:rPr>
            </w:pPr>
            <w:r>
              <w:rPr>
                <w:rFonts w:ascii="Arial" w:cs="Arial" w:eastAsia="Arial" w:hAnsi="Arial"/>
                <w:sz w:val="14"/>
                <w:szCs w:val="14"/>
                <w:b w:val="1"/>
                <w:bCs w:val="1"/>
                <w:color w:val="010035"/>
              </w:rPr>
              <w:t>Net loss</w:t>
            </w:r>
          </w:p>
        </w:tc>
        <w:tc>
          <w:tcPr>
            <w:tcW w:w="4260" w:type="dxa"/>
            <w:vAlign w:val="bottom"/>
          </w:tcPr>
          <w:p>
            <w:pPr>
              <w:jc w:val="center"/>
              <w:ind w:left="968"/>
              <w:spacing w:after="0"/>
              <w:rPr>
                <w:sz w:val="20"/>
                <w:szCs w:val="20"/>
                <w:color w:val="auto"/>
              </w:rPr>
            </w:pPr>
            <w:r>
              <w:rPr>
                <w:rFonts w:ascii="Arial" w:cs="Arial" w:eastAsia="Arial" w:hAnsi="Arial"/>
                <w:sz w:val="14"/>
                <w:szCs w:val="14"/>
                <w:b w:val="1"/>
                <w:bCs w:val="1"/>
                <w:color w:val="010035"/>
              </w:rPr>
              <w:t>$(845.3)</w:t>
            </w:r>
          </w:p>
        </w:tc>
      </w:tr>
      <w:tr>
        <w:trPr>
          <w:trHeight w:val="56"/>
        </w:trPr>
        <w:tc>
          <w:tcPr>
            <w:tcW w:w="5140" w:type="dxa"/>
            <w:vAlign w:val="bottom"/>
          </w:tcPr>
          <w:p>
            <w:pPr>
              <w:spacing w:after="0"/>
              <w:rPr>
                <w:sz w:val="4"/>
                <w:szCs w:val="4"/>
                <w:color w:val="auto"/>
              </w:rPr>
            </w:pPr>
          </w:p>
        </w:tc>
        <w:tc>
          <w:tcPr>
            <w:tcW w:w="4260" w:type="dxa"/>
            <w:vAlign w:val="bottom"/>
          </w:tcPr>
          <w:p>
            <w:pPr>
              <w:spacing w:after="0"/>
              <w:rPr>
                <w:sz w:val="4"/>
                <w:szCs w:val="4"/>
                <w:color w:val="auto"/>
              </w:rPr>
            </w:pPr>
          </w:p>
        </w:tc>
      </w:tr>
      <w:tr>
        <w:trPr>
          <w:trHeight w:val="24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Income tax expense</w:t>
            </w:r>
          </w:p>
        </w:tc>
        <w:tc>
          <w:tcPr>
            <w:tcW w:w="4260" w:type="dxa"/>
            <w:vAlign w:val="bottom"/>
            <w:shd w:val="clear" w:color="auto" w:fill="DED8EC"/>
          </w:tcPr>
          <w:p>
            <w:pPr>
              <w:jc w:val="center"/>
              <w:ind w:left="948"/>
              <w:spacing w:after="0"/>
              <w:rPr>
                <w:sz w:val="20"/>
                <w:szCs w:val="20"/>
                <w:color w:val="auto"/>
              </w:rPr>
            </w:pPr>
            <w:r>
              <w:rPr>
                <w:rFonts w:ascii="Arial" w:cs="Arial" w:eastAsia="Arial" w:hAnsi="Arial"/>
                <w:sz w:val="14"/>
                <w:szCs w:val="14"/>
                <w:color w:val="010035"/>
              </w:rPr>
              <w:t>24.6</w:t>
            </w:r>
          </w:p>
        </w:tc>
      </w:tr>
      <w:tr>
        <w:trPr>
          <w:trHeight w:val="62"/>
        </w:trPr>
        <w:tc>
          <w:tcPr>
            <w:tcW w:w="5140" w:type="dxa"/>
            <w:vAlign w:val="bottom"/>
            <w:shd w:val="clear" w:color="auto" w:fill="DED8EC"/>
          </w:tcPr>
          <w:p>
            <w:pPr>
              <w:spacing w:after="0"/>
              <w:rPr>
                <w:sz w:val="5"/>
                <w:szCs w:val="5"/>
                <w:color w:val="auto"/>
              </w:rPr>
            </w:pPr>
          </w:p>
        </w:tc>
        <w:tc>
          <w:tcPr>
            <w:tcW w:w="4260" w:type="dxa"/>
            <w:vAlign w:val="bottom"/>
            <w:shd w:val="clear" w:color="auto" w:fill="DED8EC"/>
          </w:tcPr>
          <w:p>
            <w:pPr>
              <w:spacing w:after="0"/>
              <w:rPr>
                <w:sz w:val="5"/>
                <w:szCs w:val="5"/>
                <w:color w:val="auto"/>
              </w:rPr>
            </w:pPr>
          </w:p>
        </w:tc>
      </w:tr>
      <w:tr>
        <w:trPr>
          <w:trHeight w:val="248"/>
        </w:trPr>
        <w:tc>
          <w:tcPr>
            <w:tcW w:w="5140" w:type="dxa"/>
            <w:vAlign w:val="bottom"/>
          </w:tcPr>
          <w:p>
            <w:pPr>
              <w:ind w:left="80"/>
              <w:spacing w:after="0"/>
              <w:rPr>
                <w:sz w:val="20"/>
                <w:szCs w:val="20"/>
                <w:color w:val="auto"/>
              </w:rPr>
            </w:pPr>
            <w:r>
              <w:rPr>
                <w:rFonts w:ascii="Arial" w:cs="Arial" w:eastAsia="Arial" w:hAnsi="Arial"/>
                <w:sz w:val="14"/>
                <w:szCs w:val="14"/>
                <w:color w:val="010035"/>
              </w:rPr>
              <w:t>Interest expense, net</w:t>
            </w:r>
          </w:p>
        </w:tc>
        <w:tc>
          <w:tcPr>
            <w:tcW w:w="4260" w:type="dxa"/>
            <w:vAlign w:val="bottom"/>
          </w:tcPr>
          <w:p>
            <w:pPr>
              <w:jc w:val="center"/>
              <w:ind w:left="948"/>
              <w:spacing w:after="0"/>
              <w:rPr>
                <w:sz w:val="20"/>
                <w:szCs w:val="20"/>
                <w:color w:val="auto"/>
              </w:rPr>
            </w:pPr>
            <w:r>
              <w:rPr>
                <w:rFonts w:ascii="Arial" w:cs="Arial" w:eastAsia="Arial" w:hAnsi="Arial"/>
                <w:sz w:val="14"/>
                <w:szCs w:val="14"/>
                <w:color w:val="010035"/>
              </w:rPr>
              <w:t>405.8</w:t>
            </w:r>
          </w:p>
        </w:tc>
      </w:tr>
      <w:tr>
        <w:trPr>
          <w:trHeight w:val="62"/>
        </w:trPr>
        <w:tc>
          <w:tcPr>
            <w:tcW w:w="51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4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Interest income</w:t>
            </w:r>
          </w:p>
        </w:tc>
        <w:tc>
          <w:tcPr>
            <w:tcW w:w="4260" w:type="dxa"/>
            <w:vAlign w:val="bottom"/>
            <w:shd w:val="clear" w:color="auto" w:fill="DED8EC"/>
          </w:tcPr>
          <w:p>
            <w:pPr>
              <w:jc w:val="center"/>
              <w:ind w:left="968"/>
              <w:spacing w:after="0"/>
              <w:rPr>
                <w:sz w:val="20"/>
                <w:szCs w:val="20"/>
                <w:color w:val="auto"/>
              </w:rPr>
            </w:pPr>
            <w:r>
              <w:rPr>
                <w:rFonts w:ascii="Arial" w:cs="Arial" w:eastAsia="Arial" w:hAnsi="Arial"/>
                <w:sz w:val="14"/>
                <w:szCs w:val="14"/>
                <w:color w:val="010035"/>
              </w:rPr>
              <w:t>(9.7)</w:t>
            </w:r>
          </w:p>
        </w:tc>
      </w:tr>
      <w:tr>
        <w:trPr>
          <w:trHeight w:val="62"/>
        </w:trPr>
        <w:tc>
          <w:tcPr>
            <w:tcW w:w="5140" w:type="dxa"/>
            <w:vAlign w:val="bottom"/>
            <w:shd w:val="clear" w:color="auto" w:fill="DED8EC"/>
          </w:tcPr>
          <w:p>
            <w:pPr>
              <w:spacing w:after="0"/>
              <w:rPr>
                <w:sz w:val="5"/>
                <w:szCs w:val="5"/>
                <w:color w:val="auto"/>
              </w:rPr>
            </w:pPr>
          </w:p>
        </w:tc>
        <w:tc>
          <w:tcPr>
            <w:tcW w:w="4260" w:type="dxa"/>
            <w:vAlign w:val="bottom"/>
            <w:shd w:val="clear" w:color="auto" w:fill="DED8EC"/>
          </w:tcPr>
          <w:p>
            <w:pPr>
              <w:spacing w:after="0"/>
              <w:rPr>
                <w:sz w:val="5"/>
                <w:szCs w:val="5"/>
                <w:color w:val="auto"/>
              </w:rPr>
            </w:pPr>
          </w:p>
        </w:tc>
      </w:tr>
      <w:tr>
        <w:trPr>
          <w:trHeight w:val="248"/>
        </w:trPr>
        <w:tc>
          <w:tcPr>
            <w:tcW w:w="5140" w:type="dxa"/>
            <w:vAlign w:val="bottom"/>
          </w:tcPr>
          <w:p>
            <w:pPr>
              <w:ind w:left="80"/>
              <w:spacing w:after="0"/>
              <w:rPr>
                <w:sz w:val="20"/>
                <w:szCs w:val="20"/>
                <w:color w:val="auto"/>
              </w:rPr>
            </w:pPr>
            <w:r>
              <w:rPr>
                <w:rFonts w:ascii="Arial" w:cs="Arial" w:eastAsia="Arial" w:hAnsi="Arial"/>
                <w:sz w:val="14"/>
                <w:szCs w:val="14"/>
                <w:color w:val="010035"/>
              </w:rPr>
              <w:t>Income from unconsolidated affiliates</w:t>
            </w:r>
          </w:p>
        </w:tc>
        <w:tc>
          <w:tcPr>
            <w:tcW w:w="4260" w:type="dxa"/>
            <w:vAlign w:val="bottom"/>
          </w:tcPr>
          <w:p>
            <w:pPr>
              <w:jc w:val="center"/>
              <w:ind w:left="948"/>
              <w:spacing w:after="0"/>
              <w:rPr>
                <w:sz w:val="20"/>
                <w:szCs w:val="20"/>
                <w:color w:val="auto"/>
              </w:rPr>
            </w:pPr>
            <w:r>
              <w:rPr>
                <w:rFonts w:ascii="Arial" w:cs="Arial" w:eastAsia="Arial" w:hAnsi="Arial"/>
                <w:sz w:val="14"/>
                <w:szCs w:val="14"/>
                <w:color w:val="010035"/>
                <w:w w:val="98"/>
              </w:rPr>
              <w:t>(37.7)</w:t>
            </w:r>
          </w:p>
        </w:tc>
      </w:tr>
      <w:tr>
        <w:trPr>
          <w:trHeight w:val="62"/>
        </w:trPr>
        <w:tc>
          <w:tcPr>
            <w:tcW w:w="51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4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Gain on REIT transactions, net</w:t>
            </w:r>
          </w:p>
        </w:tc>
        <w:tc>
          <w:tcPr>
            <w:tcW w:w="4260" w:type="dxa"/>
            <w:vAlign w:val="bottom"/>
            <w:shd w:val="clear" w:color="auto" w:fill="DED8EC"/>
          </w:tcPr>
          <w:p>
            <w:pPr>
              <w:jc w:val="center"/>
              <w:ind w:left="968"/>
              <w:spacing w:after="0"/>
              <w:rPr>
                <w:sz w:val="20"/>
                <w:szCs w:val="20"/>
                <w:color w:val="auto"/>
              </w:rPr>
            </w:pPr>
            <w:r>
              <w:rPr>
                <w:rFonts w:ascii="Arial" w:cs="Arial" w:eastAsia="Arial" w:hAnsi="Arial"/>
                <w:sz w:val="14"/>
                <w:szCs w:val="14"/>
                <w:color w:val="010035"/>
              </w:rPr>
              <w:t>(3.3)</w:t>
            </w:r>
          </w:p>
        </w:tc>
      </w:tr>
      <w:tr>
        <w:trPr>
          <w:trHeight w:val="62"/>
        </w:trPr>
        <w:tc>
          <w:tcPr>
            <w:tcW w:w="5140" w:type="dxa"/>
            <w:vAlign w:val="bottom"/>
            <w:shd w:val="clear" w:color="auto" w:fill="DED8EC"/>
          </w:tcPr>
          <w:p>
            <w:pPr>
              <w:spacing w:after="0"/>
              <w:rPr>
                <w:sz w:val="5"/>
                <w:szCs w:val="5"/>
                <w:color w:val="auto"/>
              </w:rPr>
            </w:pPr>
          </w:p>
        </w:tc>
        <w:tc>
          <w:tcPr>
            <w:tcW w:w="4260" w:type="dxa"/>
            <w:vAlign w:val="bottom"/>
            <w:shd w:val="clear" w:color="auto" w:fill="DED8EC"/>
          </w:tcPr>
          <w:p>
            <w:pPr>
              <w:spacing w:after="0"/>
              <w:rPr>
                <w:sz w:val="5"/>
                <w:szCs w:val="5"/>
                <w:color w:val="auto"/>
              </w:rPr>
            </w:pPr>
          </w:p>
        </w:tc>
      </w:tr>
      <w:tr>
        <w:trPr>
          <w:trHeight w:val="248"/>
        </w:trPr>
        <w:tc>
          <w:tcPr>
            <w:tcW w:w="5140" w:type="dxa"/>
            <w:vAlign w:val="bottom"/>
          </w:tcPr>
          <w:p>
            <w:pPr>
              <w:ind w:left="80"/>
              <w:spacing w:after="0"/>
              <w:rPr>
                <w:sz w:val="20"/>
                <w:szCs w:val="20"/>
                <w:color w:val="auto"/>
              </w:rPr>
            </w:pPr>
            <w:r>
              <w:rPr>
                <w:rFonts w:ascii="Arial" w:cs="Arial" w:eastAsia="Arial" w:hAnsi="Arial"/>
                <w:sz w:val="14"/>
                <w:szCs w:val="14"/>
                <w:color w:val="010035"/>
              </w:rPr>
              <w:t>Gain on financing arrangement</w:t>
            </w:r>
          </w:p>
        </w:tc>
        <w:tc>
          <w:tcPr>
            <w:tcW w:w="4260" w:type="dxa"/>
            <w:vAlign w:val="bottom"/>
          </w:tcPr>
          <w:p>
            <w:pPr>
              <w:jc w:val="center"/>
              <w:ind w:left="968"/>
              <w:spacing w:after="0"/>
              <w:rPr>
                <w:sz w:val="20"/>
                <w:szCs w:val="20"/>
                <w:color w:val="auto"/>
              </w:rPr>
            </w:pPr>
            <w:r>
              <w:rPr>
                <w:rFonts w:ascii="Arial" w:cs="Arial" w:eastAsia="Arial" w:hAnsi="Arial"/>
                <w:sz w:val="14"/>
                <w:szCs w:val="14"/>
                <w:color w:val="010035"/>
              </w:rPr>
              <w:t>(215.1)</w:t>
            </w:r>
          </w:p>
        </w:tc>
      </w:tr>
      <w:tr>
        <w:trPr>
          <w:trHeight w:val="62"/>
        </w:trPr>
        <w:tc>
          <w:tcPr>
            <w:tcW w:w="51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4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Loss on early extinguishment of debt</w:t>
            </w:r>
          </w:p>
        </w:tc>
        <w:tc>
          <w:tcPr>
            <w:tcW w:w="4260" w:type="dxa"/>
            <w:vAlign w:val="bottom"/>
            <w:shd w:val="clear" w:color="auto" w:fill="DED8EC"/>
          </w:tcPr>
          <w:p>
            <w:pPr>
              <w:jc w:val="center"/>
              <w:ind w:left="948"/>
              <w:spacing w:after="0"/>
              <w:rPr>
                <w:sz w:val="20"/>
                <w:szCs w:val="20"/>
                <w:color w:val="auto"/>
              </w:rPr>
            </w:pPr>
            <w:r>
              <w:rPr>
                <w:rFonts w:ascii="Arial" w:cs="Arial" w:eastAsia="Arial" w:hAnsi="Arial"/>
                <w:sz w:val="14"/>
                <w:szCs w:val="14"/>
                <w:color w:val="010035"/>
              </w:rPr>
              <w:t>11.8</w:t>
            </w:r>
          </w:p>
        </w:tc>
      </w:tr>
      <w:tr>
        <w:trPr>
          <w:trHeight w:val="62"/>
        </w:trPr>
        <w:tc>
          <w:tcPr>
            <w:tcW w:w="5140" w:type="dxa"/>
            <w:vAlign w:val="bottom"/>
            <w:shd w:val="clear" w:color="auto" w:fill="DED8EC"/>
          </w:tcPr>
          <w:p>
            <w:pPr>
              <w:spacing w:after="0"/>
              <w:rPr>
                <w:sz w:val="5"/>
                <w:szCs w:val="5"/>
                <w:color w:val="auto"/>
              </w:rPr>
            </w:pPr>
          </w:p>
        </w:tc>
        <w:tc>
          <w:tcPr>
            <w:tcW w:w="4260" w:type="dxa"/>
            <w:vAlign w:val="bottom"/>
            <w:shd w:val="clear" w:color="auto" w:fill="DED8EC"/>
          </w:tcPr>
          <w:p>
            <w:pPr>
              <w:spacing w:after="0"/>
              <w:rPr>
                <w:sz w:val="5"/>
                <w:szCs w:val="5"/>
                <w:color w:val="auto"/>
              </w:rPr>
            </w:pPr>
          </w:p>
        </w:tc>
      </w:tr>
      <w:tr>
        <w:trPr>
          <w:trHeight w:val="248"/>
        </w:trPr>
        <w:tc>
          <w:tcPr>
            <w:tcW w:w="5140" w:type="dxa"/>
            <w:vAlign w:val="bottom"/>
          </w:tcPr>
          <w:p>
            <w:pPr>
              <w:ind w:left="80"/>
              <w:spacing w:after="0"/>
              <w:rPr>
                <w:sz w:val="20"/>
                <w:szCs w:val="20"/>
                <w:color w:val="auto"/>
              </w:rPr>
            </w:pPr>
            <w:r>
              <w:rPr>
                <w:rFonts w:ascii="Arial" w:cs="Arial" w:eastAsia="Arial" w:hAnsi="Arial"/>
                <w:sz w:val="14"/>
                <w:szCs w:val="14"/>
                <w:color w:val="010035"/>
              </w:rPr>
              <w:t>Other income</w:t>
            </w:r>
          </w:p>
        </w:tc>
        <w:tc>
          <w:tcPr>
            <w:tcW w:w="4260" w:type="dxa"/>
            <w:vAlign w:val="bottom"/>
          </w:tcPr>
          <w:p>
            <w:pPr>
              <w:jc w:val="center"/>
              <w:ind w:left="968"/>
              <w:spacing w:after="0"/>
              <w:rPr>
                <w:sz w:val="20"/>
                <w:szCs w:val="20"/>
                <w:color w:val="auto"/>
              </w:rPr>
            </w:pPr>
            <w:r>
              <w:rPr>
                <w:rFonts w:ascii="Arial" w:cs="Arial" w:eastAsia="Arial" w:hAnsi="Arial"/>
                <w:sz w:val="14"/>
                <w:szCs w:val="14"/>
                <w:color w:val="010035"/>
              </w:rPr>
              <w:t>(4.7)</w:t>
            </w:r>
          </w:p>
        </w:tc>
      </w:tr>
      <w:tr>
        <w:trPr>
          <w:trHeight w:val="62"/>
        </w:trPr>
        <w:tc>
          <w:tcPr>
            <w:tcW w:w="51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4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Operating loss</w:t>
            </w:r>
          </w:p>
        </w:tc>
        <w:tc>
          <w:tcPr>
            <w:tcW w:w="4260" w:type="dxa"/>
            <w:vAlign w:val="bottom"/>
            <w:shd w:val="clear" w:color="auto" w:fill="DED8EC"/>
          </w:tcPr>
          <w:p>
            <w:pPr>
              <w:jc w:val="center"/>
              <w:ind w:left="968"/>
              <w:spacing w:after="0"/>
              <w:rPr>
                <w:sz w:val="20"/>
                <w:szCs w:val="20"/>
                <w:color w:val="auto"/>
              </w:rPr>
            </w:pPr>
            <w:r>
              <w:rPr>
                <w:rFonts w:ascii="Arial" w:cs="Arial" w:eastAsia="Arial" w:hAnsi="Arial"/>
                <w:sz w:val="14"/>
                <w:szCs w:val="14"/>
                <w:color w:val="010035"/>
              </w:rPr>
              <w:t>(673.6)</w:t>
            </w:r>
          </w:p>
        </w:tc>
      </w:tr>
      <w:tr>
        <w:trPr>
          <w:trHeight w:val="62"/>
        </w:trPr>
        <w:tc>
          <w:tcPr>
            <w:tcW w:w="5140" w:type="dxa"/>
            <w:vAlign w:val="bottom"/>
            <w:shd w:val="clear" w:color="auto" w:fill="DED8EC"/>
          </w:tcPr>
          <w:p>
            <w:pPr>
              <w:spacing w:after="0"/>
              <w:rPr>
                <w:sz w:val="5"/>
                <w:szCs w:val="5"/>
                <w:color w:val="auto"/>
              </w:rPr>
            </w:pPr>
          </w:p>
        </w:tc>
        <w:tc>
          <w:tcPr>
            <w:tcW w:w="4260" w:type="dxa"/>
            <w:vAlign w:val="bottom"/>
            <w:shd w:val="clear" w:color="auto" w:fill="DED8EC"/>
          </w:tcPr>
          <w:p>
            <w:pPr>
              <w:spacing w:after="0"/>
              <w:rPr>
                <w:sz w:val="5"/>
                <w:szCs w:val="5"/>
                <w:color w:val="auto"/>
              </w:rPr>
            </w:pPr>
          </w:p>
        </w:tc>
      </w:tr>
      <w:tr>
        <w:trPr>
          <w:trHeight w:val="248"/>
        </w:trPr>
        <w:tc>
          <w:tcPr>
            <w:tcW w:w="5140" w:type="dxa"/>
            <w:vAlign w:val="bottom"/>
          </w:tcPr>
          <w:p>
            <w:pPr>
              <w:ind w:left="80"/>
              <w:spacing w:after="0"/>
              <w:rPr>
                <w:sz w:val="20"/>
                <w:szCs w:val="20"/>
                <w:color w:val="auto"/>
              </w:rPr>
            </w:pPr>
            <w:r>
              <w:rPr>
                <w:rFonts w:ascii="Arial" w:cs="Arial" w:eastAsia="Arial" w:hAnsi="Arial"/>
                <w:sz w:val="14"/>
                <w:szCs w:val="14"/>
                <w:color w:val="010035"/>
              </w:rPr>
              <w:t>Stock-based compensation</w:t>
            </w:r>
          </w:p>
        </w:tc>
        <w:tc>
          <w:tcPr>
            <w:tcW w:w="4260" w:type="dxa"/>
            <w:vAlign w:val="bottom"/>
          </w:tcPr>
          <w:p>
            <w:pPr>
              <w:jc w:val="center"/>
              <w:ind w:left="948"/>
              <w:spacing w:after="0"/>
              <w:rPr>
                <w:sz w:val="20"/>
                <w:szCs w:val="20"/>
                <w:color w:val="auto"/>
              </w:rPr>
            </w:pPr>
            <w:r>
              <w:rPr>
                <w:rFonts w:ascii="Arial" w:cs="Arial" w:eastAsia="Arial" w:hAnsi="Arial"/>
                <w:sz w:val="14"/>
                <w:szCs w:val="14"/>
                <w:color w:val="010035"/>
              </w:rPr>
              <w:t>60.9</w:t>
            </w:r>
          </w:p>
        </w:tc>
      </w:tr>
      <w:tr>
        <w:trPr>
          <w:trHeight w:val="62"/>
        </w:trPr>
        <w:tc>
          <w:tcPr>
            <w:tcW w:w="51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4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Cash-settled stock-based award variance</w:t>
            </w:r>
          </w:p>
        </w:tc>
        <w:tc>
          <w:tcPr>
            <w:tcW w:w="4260" w:type="dxa"/>
            <w:vAlign w:val="bottom"/>
            <w:shd w:val="clear" w:color="auto" w:fill="DED8EC"/>
          </w:tcPr>
          <w:p>
            <w:pPr>
              <w:jc w:val="center"/>
              <w:ind w:left="948"/>
              <w:spacing w:after="0"/>
              <w:rPr>
                <w:sz w:val="20"/>
                <w:szCs w:val="20"/>
                <w:color w:val="auto"/>
              </w:rPr>
            </w:pPr>
            <w:r>
              <w:rPr>
                <w:rFonts w:ascii="Arial" w:cs="Arial" w:eastAsia="Arial" w:hAnsi="Arial"/>
                <w:sz w:val="14"/>
                <w:szCs w:val="14"/>
                <w:color w:val="010035"/>
                <w:w w:val="98"/>
              </w:rPr>
              <w:t>(12.9)</w:t>
            </w:r>
          </w:p>
        </w:tc>
      </w:tr>
      <w:tr>
        <w:trPr>
          <w:trHeight w:val="62"/>
        </w:trPr>
        <w:tc>
          <w:tcPr>
            <w:tcW w:w="5140" w:type="dxa"/>
            <w:vAlign w:val="bottom"/>
            <w:shd w:val="clear" w:color="auto" w:fill="DED8EC"/>
          </w:tcPr>
          <w:p>
            <w:pPr>
              <w:spacing w:after="0"/>
              <w:rPr>
                <w:sz w:val="5"/>
                <w:szCs w:val="5"/>
                <w:color w:val="auto"/>
              </w:rPr>
            </w:pPr>
          </w:p>
        </w:tc>
        <w:tc>
          <w:tcPr>
            <w:tcW w:w="4260" w:type="dxa"/>
            <w:vAlign w:val="bottom"/>
            <w:shd w:val="clear" w:color="auto" w:fill="DED8EC"/>
          </w:tcPr>
          <w:p>
            <w:pPr>
              <w:spacing w:after="0"/>
              <w:rPr>
                <w:sz w:val="5"/>
                <w:szCs w:val="5"/>
                <w:color w:val="auto"/>
              </w:rPr>
            </w:pPr>
          </w:p>
        </w:tc>
      </w:tr>
      <w:tr>
        <w:trPr>
          <w:trHeight w:val="248"/>
        </w:trPr>
        <w:tc>
          <w:tcPr>
            <w:tcW w:w="5140" w:type="dxa"/>
            <w:vAlign w:val="bottom"/>
          </w:tcPr>
          <w:p>
            <w:pPr>
              <w:ind w:left="80"/>
              <w:spacing w:after="0"/>
              <w:rPr>
                <w:sz w:val="20"/>
                <w:szCs w:val="20"/>
                <w:color w:val="auto"/>
              </w:rPr>
            </w:pPr>
            <w:r>
              <w:rPr>
                <w:rFonts w:ascii="Arial" w:cs="Arial" w:eastAsia="Arial" w:hAnsi="Arial"/>
                <w:sz w:val="14"/>
                <w:szCs w:val="14"/>
                <w:color w:val="010035"/>
              </w:rPr>
              <w:t>Loss on disposal of assets</w:t>
            </w:r>
          </w:p>
        </w:tc>
        <w:tc>
          <w:tcPr>
            <w:tcW w:w="4260" w:type="dxa"/>
            <w:vAlign w:val="bottom"/>
          </w:tcPr>
          <w:p>
            <w:pPr>
              <w:jc w:val="center"/>
              <w:ind w:left="948"/>
              <w:spacing w:after="0"/>
              <w:rPr>
                <w:sz w:val="20"/>
                <w:szCs w:val="20"/>
                <w:color w:val="auto"/>
              </w:rPr>
            </w:pPr>
            <w:r>
              <w:rPr>
                <w:rFonts w:ascii="Arial" w:cs="Arial" w:eastAsia="Arial" w:hAnsi="Arial"/>
                <w:sz w:val="14"/>
                <w:szCs w:val="14"/>
                <w:color w:val="010035"/>
              </w:rPr>
              <w:t>0.4</w:t>
            </w:r>
          </w:p>
        </w:tc>
      </w:tr>
      <w:tr>
        <w:trPr>
          <w:trHeight w:val="62"/>
        </w:trPr>
        <w:tc>
          <w:tcPr>
            <w:tcW w:w="51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4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Pre-opening expenses</w:t>
            </w:r>
          </w:p>
        </w:tc>
        <w:tc>
          <w:tcPr>
            <w:tcW w:w="4260" w:type="dxa"/>
            <w:vAlign w:val="bottom"/>
            <w:shd w:val="clear" w:color="auto" w:fill="DED8EC"/>
          </w:tcPr>
          <w:p>
            <w:pPr>
              <w:jc w:val="center"/>
              <w:ind w:left="948"/>
              <w:spacing w:after="0"/>
              <w:rPr>
                <w:sz w:val="20"/>
                <w:szCs w:val="20"/>
                <w:color w:val="auto"/>
              </w:rPr>
            </w:pPr>
            <w:r>
              <w:rPr>
                <w:rFonts w:ascii="Arial" w:cs="Arial" w:eastAsia="Arial" w:hAnsi="Arial"/>
                <w:sz w:val="14"/>
                <w:szCs w:val="14"/>
                <w:color w:val="010035"/>
              </w:rPr>
              <w:t>17.3</w:t>
            </w:r>
          </w:p>
        </w:tc>
      </w:tr>
      <w:tr>
        <w:trPr>
          <w:trHeight w:val="62"/>
        </w:trPr>
        <w:tc>
          <w:tcPr>
            <w:tcW w:w="5140" w:type="dxa"/>
            <w:vAlign w:val="bottom"/>
            <w:shd w:val="clear" w:color="auto" w:fill="DED8EC"/>
          </w:tcPr>
          <w:p>
            <w:pPr>
              <w:spacing w:after="0"/>
              <w:rPr>
                <w:sz w:val="5"/>
                <w:szCs w:val="5"/>
                <w:color w:val="auto"/>
              </w:rPr>
            </w:pPr>
          </w:p>
        </w:tc>
        <w:tc>
          <w:tcPr>
            <w:tcW w:w="4260" w:type="dxa"/>
            <w:vAlign w:val="bottom"/>
            <w:shd w:val="clear" w:color="auto" w:fill="DED8EC"/>
          </w:tcPr>
          <w:p>
            <w:pPr>
              <w:spacing w:after="0"/>
              <w:rPr>
                <w:sz w:val="5"/>
                <w:szCs w:val="5"/>
                <w:color w:val="auto"/>
              </w:rPr>
            </w:pPr>
          </w:p>
        </w:tc>
      </w:tr>
      <w:tr>
        <w:trPr>
          <w:trHeight w:val="248"/>
        </w:trPr>
        <w:tc>
          <w:tcPr>
            <w:tcW w:w="5140" w:type="dxa"/>
            <w:vAlign w:val="bottom"/>
          </w:tcPr>
          <w:p>
            <w:pPr>
              <w:ind w:left="80"/>
              <w:spacing w:after="0"/>
              <w:rPr>
                <w:sz w:val="20"/>
                <w:szCs w:val="20"/>
                <w:color w:val="auto"/>
              </w:rPr>
            </w:pPr>
            <w:r>
              <w:rPr>
                <w:rFonts w:ascii="Arial" w:cs="Arial" w:eastAsia="Arial" w:hAnsi="Arial"/>
                <w:sz w:val="14"/>
                <w:szCs w:val="14"/>
                <w:color w:val="010035"/>
              </w:rPr>
              <w:t>Depreciation and amortization</w:t>
            </w:r>
          </w:p>
        </w:tc>
        <w:tc>
          <w:tcPr>
            <w:tcW w:w="4260" w:type="dxa"/>
            <w:vAlign w:val="bottom"/>
          </w:tcPr>
          <w:p>
            <w:pPr>
              <w:jc w:val="center"/>
              <w:ind w:left="948"/>
              <w:spacing w:after="0"/>
              <w:rPr>
                <w:sz w:val="20"/>
                <w:szCs w:val="20"/>
                <w:color w:val="auto"/>
              </w:rPr>
            </w:pPr>
            <w:r>
              <w:rPr>
                <w:rFonts w:ascii="Arial" w:cs="Arial" w:eastAsia="Arial" w:hAnsi="Arial"/>
                <w:sz w:val="14"/>
                <w:szCs w:val="14"/>
                <w:color w:val="010035"/>
              </w:rPr>
              <w:t>446.9</w:t>
            </w:r>
          </w:p>
        </w:tc>
      </w:tr>
      <w:tr>
        <w:trPr>
          <w:trHeight w:val="62"/>
        </w:trPr>
        <w:tc>
          <w:tcPr>
            <w:tcW w:w="51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4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Impairment losses</w:t>
            </w:r>
          </w:p>
        </w:tc>
        <w:tc>
          <w:tcPr>
            <w:tcW w:w="4260" w:type="dxa"/>
            <w:vAlign w:val="bottom"/>
            <w:shd w:val="clear" w:color="auto" w:fill="DED8EC"/>
          </w:tcPr>
          <w:p>
            <w:pPr>
              <w:jc w:val="center"/>
              <w:ind w:left="948"/>
              <w:spacing w:after="0"/>
              <w:rPr>
                <w:sz w:val="20"/>
                <w:szCs w:val="20"/>
                <w:color w:val="auto"/>
              </w:rPr>
            </w:pPr>
            <w:r>
              <w:rPr>
                <w:rFonts w:ascii="Arial" w:cs="Arial" w:eastAsia="Arial" w:hAnsi="Arial"/>
                <w:sz w:val="14"/>
                <w:szCs w:val="14"/>
                <w:color w:val="010035"/>
              </w:rPr>
              <w:t>945.3</w:t>
            </w:r>
          </w:p>
        </w:tc>
      </w:tr>
      <w:tr>
        <w:trPr>
          <w:trHeight w:val="62"/>
        </w:trPr>
        <w:tc>
          <w:tcPr>
            <w:tcW w:w="5140" w:type="dxa"/>
            <w:vAlign w:val="bottom"/>
            <w:shd w:val="clear" w:color="auto" w:fill="DED8EC"/>
          </w:tcPr>
          <w:p>
            <w:pPr>
              <w:spacing w:after="0"/>
              <w:rPr>
                <w:sz w:val="5"/>
                <w:szCs w:val="5"/>
                <w:color w:val="auto"/>
              </w:rPr>
            </w:pPr>
          </w:p>
        </w:tc>
        <w:tc>
          <w:tcPr>
            <w:tcW w:w="4260" w:type="dxa"/>
            <w:vAlign w:val="bottom"/>
            <w:shd w:val="clear" w:color="auto" w:fill="DED8EC"/>
          </w:tcPr>
          <w:p>
            <w:pPr>
              <w:spacing w:after="0"/>
              <w:rPr>
                <w:sz w:val="5"/>
                <w:szCs w:val="5"/>
                <w:color w:val="auto"/>
              </w:rPr>
            </w:pPr>
          </w:p>
        </w:tc>
      </w:tr>
      <w:tr>
        <w:trPr>
          <w:trHeight w:val="248"/>
        </w:trPr>
        <w:tc>
          <w:tcPr>
            <w:tcW w:w="5140" w:type="dxa"/>
            <w:vAlign w:val="bottom"/>
          </w:tcPr>
          <w:p>
            <w:pPr>
              <w:ind w:left="80"/>
              <w:spacing w:after="0"/>
              <w:rPr>
                <w:sz w:val="20"/>
                <w:szCs w:val="20"/>
                <w:color w:val="auto"/>
              </w:rPr>
            </w:pPr>
            <w:r>
              <w:rPr>
                <w:rFonts w:ascii="Arial" w:cs="Arial" w:eastAsia="Arial" w:hAnsi="Arial"/>
                <w:sz w:val="14"/>
                <w:szCs w:val="14"/>
                <w:color w:val="010035"/>
              </w:rPr>
              <w:t>Income from unconsolidated affiliates</w:t>
            </w:r>
          </w:p>
        </w:tc>
        <w:tc>
          <w:tcPr>
            <w:tcW w:w="4260" w:type="dxa"/>
            <w:vAlign w:val="bottom"/>
          </w:tcPr>
          <w:p>
            <w:pPr>
              <w:jc w:val="center"/>
              <w:ind w:left="948"/>
              <w:spacing w:after="0"/>
              <w:rPr>
                <w:sz w:val="20"/>
                <w:szCs w:val="20"/>
                <w:color w:val="auto"/>
              </w:rPr>
            </w:pPr>
            <w:r>
              <w:rPr>
                <w:rFonts w:ascii="Arial" w:cs="Arial" w:eastAsia="Arial" w:hAnsi="Arial"/>
                <w:sz w:val="14"/>
                <w:szCs w:val="14"/>
                <w:color w:val="010035"/>
              </w:rPr>
              <w:t>37.7</w:t>
            </w:r>
          </w:p>
        </w:tc>
      </w:tr>
      <w:tr>
        <w:trPr>
          <w:trHeight w:val="62"/>
        </w:trPr>
        <w:tc>
          <w:tcPr>
            <w:tcW w:w="51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4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color w:val="010035"/>
              </w:rPr>
              <w:t>Non-operating items of equity method investments</w:t>
            </w:r>
          </w:p>
        </w:tc>
        <w:tc>
          <w:tcPr>
            <w:tcW w:w="4260" w:type="dxa"/>
            <w:vAlign w:val="bottom"/>
            <w:shd w:val="clear" w:color="auto" w:fill="DED8EC"/>
          </w:tcPr>
          <w:p>
            <w:pPr>
              <w:jc w:val="center"/>
              <w:ind w:left="948"/>
              <w:spacing w:after="0"/>
              <w:rPr>
                <w:sz w:val="20"/>
                <w:szCs w:val="20"/>
                <w:color w:val="auto"/>
              </w:rPr>
            </w:pPr>
            <w:r>
              <w:rPr>
                <w:rFonts w:ascii="Arial" w:cs="Arial" w:eastAsia="Arial" w:hAnsi="Arial"/>
                <w:sz w:val="14"/>
                <w:szCs w:val="14"/>
                <w:color w:val="010035"/>
              </w:rPr>
              <w:t>4.5</w:t>
            </w:r>
          </w:p>
        </w:tc>
      </w:tr>
      <w:tr>
        <w:trPr>
          <w:trHeight w:val="62"/>
        </w:trPr>
        <w:tc>
          <w:tcPr>
            <w:tcW w:w="5140" w:type="dxa"/>
            <w:vAlign w:val="bottom"/>
            <w:shd w:val="clear" w:color="auto" w:fill="DED8EC"/>
          </w:tcPr>
          <w:p>
            <w:pPr>
              <w:spacing w:after="0"/>
              <w:rPr>
                <w:sz w:val="5"/>
                <w:szCs w:val="5"/>
                <w:color w:val="auto"/>
              </w:rPr>
            </w:pPr>
          </w:p>
        </w:tc>
        <w:tc>
          <w:tcPr>
            <w:tcW w:w="4260" w:type="dxa"/>
            <w:vAlign w:val="bottom"/>
            <w:shd w:val="clear" w:color="auto" w:fill="DED8EC"/>
          </w:tcPr>
          <w:p>
            <w:pPr>
              <w:spacing w:after="0"/>
              <w:rPr>
                <w:sz w:val="5"/>
                <w:szCs w:val="5"/>
                <w:color w:val="auto"/>
              </w:rPr>
            </w:pPr>
          </w:p>
        </w:tc>
      </w:tr>
      <w:tr>
        <w:trPr>
          <w:trHeight w:val="248"/>
        </w:trPr>
        <w:tc>
          <w:tcPr>
            <w:tcW w:w="5140" w:type="dxa"/>
            <w:vAlign w:val="bottom"/>
          </w:tcPr>
          <w:p>
            <w:pPr>
              <w:ind w:left="80"/>
              <w:spacing w:after="0"/>
              <w:rPr>
                <w:sz w:val="20"/>
                <w:szCs w:val="20"/>
                <w:color w:val="auto"/>
              </w:rPr>
            </w:pPr>
            <w:r>
              <w:rPr>
                <w:rFonts w:ascii="Arial" w:cs="Arial" w:eastAsia="Arial" w:hAnsi="Arial"/>
                <w:sz w:val="14"/>
                <w:szCs w:val="14"/>
                <w:color w:val="010035"/>
              </w:rPr>
              <w:t>Other expenses</w:t>
            </w:r>
          </w:p>
        </w:tc>
        <w:tc>
          <w:tcPr>
            <w:tcW w:w="4260" w:type="dxa"/>
            <w:vAlign w:val="bottom"/>
          </w:tcPr>
          <w:p>
            <w:pPr>
              <w:jc w:val="center"/>
              <w:ind w:left="948"/>
              <w:spacing w:after="0"/>
              <w:rPr>
                <w:sz w:val="20"/>
                <w:szCs w:val="20"/>
                <w:color w:val="auto"/>
              </w:rPr>
            </w:pPr>
            <w:r>
              <w:rPr>
                <w:rFonts w:ascii="Arial" w:cs="Arial" w:eastAsia="Arial" w:hAnsi="Arial"/>
                <w:sz w:val="14"/>
                <w:szCs w:val="14"/>
                <w:color w:val="010035"/>
              </w:rPr>
              <w:t>3.6</w:t>
            </w:r>
          </w:p>
        </w:tc>
      </w:tr>
      <w:tr>
        <w:trPr>
          <w:trHeight w:val="62"/>
        </w:trPr>
        <w:tc>
          <w:tcPr>
            <w:tcW w:w="51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338"/>
        </w:trPr>
        <w:tc>
          <w:tcPr>
            <w:tcW w:w="5140" w:type="dxa"/>
            <w:vAlign w:val="bottom"/>
            <w:shd w:val="clear" w:color="auto" w:fill="DED8EC"/>
          </w:tcPr>
          <w:p>
            <w:pPr>
              <w:ind w:left="80"/>
              <w:spacing w:after="0"/>
              <w:rPr>
                <w:sz w:val="20"/>
                <w:szCs w:val="20"/>
                <w:color w:val="auto"/>
              </w:rPr>
            </w:pPr>
            <w:r>
              <w:rPr>
                <w:rFonts w:ascii="Arial" w:cs="Arial" w:eastAsia="Arial" w:hAnsi="Arial"/>
                <w:sz w:val="14"/>
                <w:szCs w:val="14"/>
                <w:b w:val="1"/>
                <w:bCs w:val="1"/>
                <w:color w:val="010035"/>
              </w:rPr>
              <w:t>Adjusted EBITDA</w:t>
            </w:r>
            <w:r>
              <w:rPr>
                <w:rFonts w:ascii="Arial" w:cs="Arial" w:eastAsia="Arial" w:hAnsi="Arial"/>
                <w:sz w:val="23"/>
                <w:szCs w:val="23"/>
                <w:b w:val="1"/>
                <w:bCs w:val="1"/>
                <w:color w:val="010035"/>
                <w:vertAlign w:val="superscript"/>
              </w:rPr>
              <w:t>(1)</w:t>
            </w:r>
          </w:p>
        </w:tc>
        <w:tc>
          <w:tcPr>
            <w:tcW w:w="4260" w:type="dxa"/>
            <w:vAlign w:val="bottom"/>
            <w:shd w:val="clear" w:color="auto" w:fill="DED8EC"/>
          </w:tcPr>
          <w:p>
            <w:pPr>
              <w:jc w:val="center"/>
              <w:ind w:left="948"/>
              <w:spacing w:after="0"/>
              <w:rPr>
                <w:sz w:val="20"/>
                <w:szCs w:val="20"/>
                <w:color w:val="auto"/>
              </w:rPr>
            </w:pPr>
            <w:r>
              <w:rPr>
                <w:rFonts w:ascii="Arial" w:cs="Arial" w:eastAsia="Arial" w:hAnsi="Arial"/>
                <w:sz w:val="14"/>
                <w:szCs w:val="14"/>
                <w:b w:val="1"/>
                <w:bCs w:val="1"/>
                <w:color w:val="010035"/>
              </w:rPr>
              <w:t>830.1</w:t>
            </w:r>
          </w:p>
        </w:tc>
      </w:tr>
      <w:tr>
        <w:trPr>
          <w:trHeight w:val="255"/>
        </w:trPr>
        <w:tc>
          <w:tcPr>
            <w:tcW w:w="5140" w:type="dxa"/>
            <w:vAlign w:val="bottom"/>
          </w:tcPr>
          <w:p>
            <w:pPr>
              <w:ind w:left="80"/>
              <w:spacing w:after="0"/>
              <w:rPr>
                <w:sz w:val="20"/>
                <w:szCs w:val="20"/>
                <w:color w:val="auto"/>
              </w:rPr>
            </w:pPr>
            <w:r>
              <w:rPr>
                <w:rFonts w:ascii="Arial" w:cs="Arial" w:eastAsia="Arial" w:hAnsi="Arial"/>
                <w:sz w:val="14"/>
                <w:szCs w:val="14"/>
                <w:b w:val="1"/>
                <w:bCs w:val="1"/>
                <w:color w:val="010035"/>
              </w:rPr>
              <w:t>Rent expense associated with triple net operating leases</w:t>
            </w:r>
          </w:p>
        </w:tc>
        <w:tc>
          <w:tcPr>
            <w:tcW w:w="4260" w:type="dxa"/>
            <w:vAlign w:val="bottom"/>
          </w:tcPr>
          <w:p>
            <w:pPr>
              <w:jc w:val="center"/>
              <w:ind w:left="948"/>
              <w:spacing w:after="0"/>
              <w:rPr>
                <w:sz w:val="20"/>
                <w:szCs w:val="20"/>
                <w:color w:val="auto"/>
              </w:rPr>
            </w:pPr>
            <w:r>
              <w:rPr>
                <w:rFonts w:ascii="Arial" w:cs="Arial" w:eastAsia="Arial" w:hAnsi="Arial"/>
                <w:sz w:val="14"/>
                <w:szCs w:val="14"/>
                <w:color w:val="010035"/>
              </w:rPr>
              <w:t>631.7</w:t>
            </w:r>
          </w:p>
        </w:tc>
      </w:tr>
      <w:tr>
        <w:trPr>
          <w:trHeight w:val="56"/>
        </w:trPr>
        <w:tc>
          <w:tcPr>
            <w:tcW w:w="5140" w:type="dxa"/>
            <w:vAlign w:val="bottom"/>
          </w:tcPr>
          <w:p>
            <w:pPr>
              <w:spacing w:after="0"/>
              <w:rPr>
                <w:sz w:val="4"/>
                <w:szCs w:val="4"/>
                <w:color w:val="auto"/>
              </w:rPr>
            </w:pPr>
          </w:p>
        </w:tc>
        <w:tc>
          <w:tcPr>
            <w:tcW w:w="4260" w:type="dxa"/>
            <w:vAlign w:val="bottom"/>
          </w:tcPr>
          <w:p>
            <w:pPr>
              <w:spacing w:after="0"/>
              <w:rPr>
                <w:sz w:val="4"/>
                <w:szCs w:val="4"/>
                <w:color w:val="auto"/>
              </w:rPr>
            </w:pPr>
          </w:p>
        </w:tc>
      </w:tr>
      <w:tr>
        <w:trPr>
          <w:trHeight w:val="290"/>
        </w:trPr>
        <w:tc>
          <w:tcPr>
            <w:tcW w:w="5140" w:type="dxa"/>
            <w:vAlign w:val="bottom"/>
            <w:tcBorders>
              <w:bottom w:val="single" w:sz="8" w:color="DED8EC"/>
            </w:tcBorders>
            <w:shd w:val="clear" w:color="auto" w:fill="DED8EC"/>
          </w:tcPr>
          <w:p>
            <w:pPr>
              <w:ind w:left="80"/>
              <w:spacing w:after="0" w:line="256" w:lineRule="exact"/>
              <w:rPr>
                <w:sz w:val="20"/>
                <w:szCs w:val="20"/>
                <w:color w:val="auto"/>
              </w:rPr>
            </w:pPr>
            <w:r>
              <w:rPr>
                <w:rFonts w:ascii="Arial" w:cs="Arial" w:eastAsia="Arial" w:hAnsi="Arial"/>
                <w:sz w:val="14"/>
                <w:szCs w:val="14"/>
                <w:b w:val="1"/>
                <w:bCs w:val="1"/>
                <w:color w:val="010035"/>
              </w:rPr>
              <w:t>Adjusted EBITDAR</w:t>
            </w:r>
            <w:r>
              <w:rPr>
                <w:rFonts w:ascii="Arial" w:cs="Arial" w:eastAsia="Arial" w:hAnsi="Arial"/>
                <w:sz w:val="23"/>
                <w:szCs w:val="23"/>
                <w:b w:val="1"/>
                <w:bCs w:val="1"/>
                <w:color w:val="010035"/>
                <w:vertAlign w:val="superscript"/>
              </w:rPr>
              <w:t>(2)</w:t>
            </w:r>
          </w:p>
        </w:tc>
        <w:tc>
          <w:tcPr>
            <w:tcW w:w="4260" w:type="dxa"/>
            <w:vAlign w:val="bottom"/>
            <w:tcBorders>
              <w:bottom w:val="single" w:sz="8" w:color="DED8EC"/>
            </w:tcBorders>
            <w:shd w:val="clear" w:color="auto" w:fill="DED8EC"/>
          </w:tcPr>
          <w:p>
            <w:pPr>
              <w:jc w:val="center"/>
              <w:ind w:left="948"/>
              <w:spacing w:after="0"/>
              <w:rPr>
                <w:sz w:val="20"/>
                <w:szCs w:val="20"/>
                <w:color w:val="auto"/>
              </w:rPr>
            </w:pPr>
            <w:r>
              <w:rPr>
                <w:rFonts w:ascii="Arial" w:cs="Arial" w:eastAsia="Arial" w:hAnsi="Arial"/>
                <w:sz w:val="14"/>
                <w:szCs w:val="14"/>
                <w:b w:val="1"/>
                <w:bCs w:val="1"/>
                <w:color w:val="010035"/>
              </w:rPr>
              <w:t>$1,461.8</w:t>
            </w:r>
          </w:p>
        </w:tc>
      </w:tr>
      <w:tr>
        <w:trPr>
          <w:trHeight w:val="20"/>
        </w:trPr>
        <w:tc>
          <w:tcPr>
            <w:tcW w:w="5140" w:type="dxa"/>
            <w:vAlign w:val="bottom"/>
            <w:shd w:val="clear" w:color="auto" w:fill="010035"/>
          </w:tcPr>
          <w:p>
            <w:pPr>
              <w:spacing w:after="0" w:line="20" w:lineRule="exact"/>
              <w:rPr>
                <w:sz w:val="1"/>
                <w:szCs w:val="1"/>
                <w:color w:val="auto"/>
              </w:rPr>
            </w:pPr>
          </w:p>
        </w:tc>
        <w:tc>
          <w:tcPr>
            <w:tcW w:w="4260" w:type="dxa"/>
            <w:vAlign w:val="bottom"/>
            <w:shd w:val="clear" w:color="auto" w:fill="010035"/>
          </w:tcPr>
          <w:p>
            <w:pPr>
              <w:spacing w:after="0" w:line="20" w:lineRule="exact"/>
              <w:rPr>
                <w:sz w:val="1"/>
                <w:szCs w:val="1"/>
                <w:color w:val="auto"/>
              </w:rPr>
            </w:pPr>
          </w:p>
        </w:tc>
      </w:tr>
    </w:tbl>
    <w:p>
      <w:pPr>
        <w:spacing w:after="0" w:line="108" w:lineRule="exact"/>
        <w:rPr>
          <w:sz w:val="20"/>
          <w:szCs w:val="20"/>
          <w:color w:val="auto"/>
        </w:rPr>
      </w:pPr>
    </w:p>
    <w:p>
      <w:pPr>
        <w:ind w:left="180" w:right="20" w:hanging="174"/>
        <w:spacing w:after="0" w:line="236" w:lineRule="auto"/>
        <w:tabs>
          <w:tab w:leader="none" w:pos="180" w:val="left"/>
        </w:tabs>
        <w:numPr>
          <w:ilvl w:val="0"/>
          <w:numId w:val="9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We define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Adjusted EBITDA is inclusive of income or loss from unconsolidated affiliates, with our share of non-operating items (such as interest expense, net, and depreciation and amortization) added back for our Kansas Entertainment, LLC joint venture. Adjusted EBITDA is inclusive of rent expense associated with our triple net operating leases with our REIT landlords. Although Adjusted EBITDA includes rent expense associated with our triple net operating leases, we believe Adjusted EBITDA is useful as a supplemental measure in evaluating the performance of our consolidated results of operations.</w:t>
      </w:r>
    </w:p>
    <w:p>
      <w:pPr>
        <w:spacing w:after="0" w:line="9" w:lineRule="exact"/>
        <w:rPr>
          <w:rFonts w:ascii="Times New Roman" w:cs="Times New Roman" w:eastAsia="Times New Roman" w:hAnsi="Times New Roman"/>
          <w:sz w:val="11"/>
          <w:szCs w:val="11"/>
          <w:color w:val="010035"/>
        </w:rPr>
      </w:pPr>
    </w:p>
    <w:p>
      <w:pPr>
        <w:ind w:left="180" w:right="100" w:hanging="174"/>
        <w:spacing w:after="0" w:line="256" w:lineRule="auto"/>
        <w:tabs>
          <w:tab w:leader="none" w:pos="180" w:val="left"/>
        </w:tabs>
        <w:numPr>
          <w:ilvl w:val="0"/>
          <w:numId w:val="97"/>
        </w:numPr>
        <w:rPr>
          <w:rFonts w:ascii="Times New Roman" w:cs="Times New Roman" w:eastAsia="Times New Roman" w:hAnsi="Times New Roman"/>
          <w:sz w:val="11"/>
          <w:szCs w:val="11"/>
          <w:color w:val="010035"/>
        </w:rPr>
      </w:pPr>
      <w:r>
        <w:rPr>
          <w:rFonts w:ascii="Times New Roman" w:cs="Times New Roman" w:eastAsia="Times New Roman" w:hAnsi="Times New Roman"/>
          <w:sz w:val="11"/>
          <w:szCs w:val="11"/>
          <w:color w:val="010035"/>
        </w:rPr>
        <w:t>We define Adjusted EBITDAR as Adjusted EBITDA (as defined above) plus rent expense associated with triple net operating leases (which is a normal, recurring cash operating expense necessary to operate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102870</wp:posOffset>
            </wp:positionV>
            <wp:extent cx="6995160" cy="171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42545</wp:posOffset>
            </wp:positionV>
            <wp:extent cx="6995160" cy="906081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995160" cy="906081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118110</wp:posOffset>
            </wp:positionV>
            <wp:extent cx="6995160" cy="171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274320</wp:posOffset>
            </wp:positionV>
            <wp:extent cx="6292215" cy="814387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118110</wp:posOffset>
            </wp:positionV>
            <wp:extent cx="6995160" cy="171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274320</wp:posOffset>
            </wp:positionV>
            <wp:extent cx="6292215" cy="814387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lvl w:ilvl="1">
      <w:lvlJc w:val="left"/>
      <w:lvlText w:val="☐"/>
      <w:numFmt w:val="bullet"/>
      <w:start w:val="1"/>
    </w:lvl>
  </w:abstractNum>
  <w:abstractNum w:abstractNumId="1">
    <w:nsid w:val="579478FE"/>
    <w:multiLevelType w:val="hybridMultilevel"/>
    <w:lvl w:ilvl="0">
      <w:lvlJc w:val="left"/>
      <w:lvlText w:val="☒"/>
      <w:numFmt w:val="bullet"/>
      <w:start w:val="1"/>
    </w:lvl>
    <w:lvl w:ilvl="1">
      <w:lvlJc w:val="left"/>
      <w:lvlText w:val="☐"/>
      <w:numFmt w:val="bullet"/>
      <w:start w:val="1"/>
    </w:lvl>
  </w:abstractNum>
  <w:abstractNum w:abstractNumId="2">
    <w:nsid w:val="749ABB43"/>
    <w:multiLevelType w:val="hybridMultilevel"/>
    <w:lvl w:ilvl="0">
      <w:lvlJc w:val="left"/>
      <w:lvlText w:val="1"/>
      <w:numFmt w:val="bullet"/>
      <w:start w:val="1"/>
    </w:lvl>
  </w:abstractNum>
  <w:abstractNum w:abstractNumId="3">
    <w:nsid w:val="3DC240FB"/>
    <w:multiLevelType w:val="hybridMultilevel"/>
    <w:lvl w:ilvl="0">
      <w:lvlJc w:val="left"/>
      <w:lvlText w:val=" "/>
      <w:numFmt w:val="bullet"/>
      <w:start w:val="1"/>
    </w:lvl>
  </w:abstractNum>
  <w:abstractNum w:abstractNumId="4">
    <w:nsid w:val="1BA026FA"/>
    <w:multiLevelType w:val="hybridMultilevel"/>
    <w:lvl w:ilvl="0">
      <w:lvlJc w:val="left"/>
      <w:lvlText w:val=" "/>
      <w:numFmt w:val="bullet"/>
      <w:start w:val="1"/>
    </w:lvl>
  </w:abstractNum>
  <w:abstractNum w:abstractNumId="5">
    <w:nsid w:val="79A1DEAA"/>
    <w:multiLevelType w:val="hybridMultilevel"/>
    <w:lvl w:ilvl="0">
      <w:lvlJc w:val="left"/>
      <w:lvlText w:val=" "/>
      <w:numFmt w:val="bullet"/>
      <w:start w:val="1"/>
    </w:lvl>
  </w:abstractNum>
  <w:abstractNum w:abstractNumId="6">
    <w:nsid w:val="75C6C33A"/>
    <w:multiLevelType w:val="hybridMultilevel"/>
    <w:lvl w:ilvl="0">
      <w:lvlJc w:val="left"/>
      <w:lvlText w:val=" "/>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2"/>
      <w:numFmt w:val="bullet"/>
      <w:start w:val="1"/>
    </w:lvl>
  </w:abstractNum>
  <w:abstractNum w:abstractNumId="9">
    <w:nsid w:val="520EEDD1"/>
    <w:multiLevelType w:val="hybridMultilevel"/>
    <w:lvl w:ilvl="0">
      <w:lvlJc w:val="left"/>
      <w:lvlText w:val="(%1)"/>
      <w:numFmt w:val="decimal"/>
      <w:start w:val="1"/>
    </w:lvl>
  </w:abstractNum>
  <w:abstractNum w:abstractNumId="10">
    <w:nsid w:val="374A3FE6"/>
    <w:multiLevelType w:val="hybridMultilevel"/>
    <w:lvl w:ilvl="0">
      <w:lvlJc w:val="left"/>
      <w:lvlText w:val="(%1)"/>
      <w:numFmt w:val="decimal"/>
      <w:start w:val="4"/>
    </w:lvl>
  </w:abstractNum>
  <w:abstractNum w:abstractNumId="11">
    <w:nsid w:val="4F4EF005"/>
    <w:multiLevelType w:val="hybridMultilevel"/>
    <w:lvl w:ilvl="0">
      <w:lvlJc w:val="left"/>
      <w:lvlText w:val="4"/>
      <w:numFmt w:val="bullet"/>
      <w:start w:val="1"/>
    </w:lvl>
  </w:abstractNum>
  <w:abstractNum w:abstractNumId="12">
    <w:nsid w:val="23F9C13C"/>
    <w:multiLevelType w:val="hybridMultilevel"/>
    <w:lvl w:ilvl="0">
      <w:lvlJc w:val="left"/>
      <w:lvlText w:val="6"/>
      <w:numFmt w:val="bullet"/>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8"/>
      <w:numFmt w:val="bullet"/>
      <w:start w:val="1"/>
    </w:lvl>
  </w:abstractNum>
  <w:abstractNum w:abstractNumId="15">
    <w:nsid w:val="39386575"/>
    <w:multiLevelType w:val="hybridMultilevel"/>
    <w:lvl w:ilvl="0">
      <w:lvlJc w:val="left"/>
      <w:lvlText w:val=" "/>
      <w:numFmt w:val="bullet"/>
      <w:start w:val="1"/>
    </w:lvl>
  </w:abstractNum>
  <w:abstractNum w:abstractNumId="16">
    <w:nsid w:val="1CF10FD8"/>
    <w:multiLevelType w:val="hybridMultilevel"/>
    <w:lvl w:ilvl="0">
      <w:lvlJc w:val="left"/>
      <w:lvlText w:val=" "/>
      <w:numFmt w:val="bullet"/>
      <w:start w:val="1"/>
    </w:lvl>
  </w:abstractNum>
  <w:abstractNum w:abstractNumId="17">
    <w:nsid w:val="180115BE"/>
    <w:multiLevelType w:val="hybridMultilevel"/>
    <w:lvl w:ilvl="0">
      <w:lvlJc w:val="left"/>
      <w:lvlText w:val=" "/>
      <w:numFmt w:val="bullet"/>
      <w:start w:val="1"/>
    </w:lvl>
  </w:abstractNum>
  <w:abstractNum w:abstractNumId="18">
    <w:nsid w:val="235BA861"/>
    <w:multiLevelType w:val="hybridMultilevel"/>
    <w:lvl w:ilvl="0">
      <w:lvlJc w:val="left"/>
      <w:lvlText w:val=" "/>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
      <w:numFmt w:val="bullet"/>
      <w:start w:val="1"/>
    </w:lvl>
  </w:abstractNum>
  <w:abstractNum w:abstractNumId="31">
    <w:nsid w:val="5FF87E05"/>
    <w:multiLevelType w:val="hybridMultilevel"/>
    <w:lvl w:ilvl="0">
      <w:lvlJc w:val="left"/>
      <w:lvlText w:val=" "/>
      <w:numFmt w:val="bullet"/>
      <w:start w:val="1"/>
    </w:lvl>
  </w:abstractNum>
  <w:abstractNum w:abstractNumId="32">
    <w:nsid w:val="2F305DEF"/>
    <w:multiLevelType w:val="hybridMultilevel"/>
    <w:lvl w:ilvl="0">
      <w:lvlJc w:val="left"/>
      <w:lvlText w:val=" "/>
      <w:numFmt w:val="bullet"/>
      <w:start w:val="1"/>
    </w:lvl>
  </w:abstractNum>
  <w:abstractNum w:abstractNumId="33">
    <w:nsid w:val="25A70BF7"/>
    <w:multiLevelType w:val="hybridMultilevel"/>
    <w:lvl w:ilvl="0">
      <w:lvlJc w:val="left"/>
      <w:lvlText w:val=" "/>
      <w:numFmt w:val="bullet"/>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upperLetter"/>
      <w:start w:val="1"/>
    </w:lvl>
  </w:abstractNum>
  <w:abstractNum w:abstractNumId="38">
    <w:nsid w:val="5DB70AE5"/>
    <w:multiLevelType w:val="hybridMultilevel"/>
    <w:lvl w:ilvl="0">
      <w:lvlJc w:val="left"/>
      <w:lvlText w:val="%1:"/>
      <w:numFmt w:val="upperLetter"/>
      <w:start w:val="1"/>
    </w:lvl>
  </w:abstractNum>
  <w:abstractNum w:abstractNumId="39">
    <w:nsid w:val="100F8FCA"/>
    <w:multiLevelType w:val="hybridMultilevel"/>
    <w:lvl w:ilvl="0">
      <w:lvlJc w:val="left"/>
      <w:lvlText w:val="%1:"/>
      <w:numFmt w:val="upperLetter"/>
      <w:start w:val="1"/>
    </w:lvl>
  </w:abstractNum>
  <w:abstractNum w:abstractNumId="40">
    <w:nsid w:val="6590700B"/>
    <w:multiLevelType w:val="hybridMultilevel"/>
    <w:lvl w:ilvl="0">
      <w:lvlJc w:val="left"/>
      <w:lvlText w:val="%1:"/>
      <w:numFmt w:val="upperLetter"/>
      <w:start w:val="1"/>
    </w:lvl>
  </w:abstractNum>
  <w:abstractNum w:abstractNumId="41">
    <w:nsid w:val="15014ACB"/>
    <w:multiLevelType w:val="hybridMultilevel"/>
    <w:lvl w:ilvl="0">
      <w:lvlJc w:val="left"/>
      <w:lvlText w:val="(%1)"/>
      <w:numFmt w:val="decimal"/>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
      <w:numFmt w:val="bullet"/>
      <w:start w:val="1"/>
    </w:lvl>
  </w:abstractNum>
  <w:abstractNum w:abstractNumId="44">
    <w:nsid w:val="799D0247"/>
    <w:multiLevelType w:val="hybridMultilevel"/>
    <w:lvl w:ilvl="0">
      <w:lvlJc w:val="left"/>
      <w:lvlText w:val=" "/>
      <w:numFmt w:val="bullet"/>
      <w:start w:val="1"/>
    </w:lvl>
  </w:abstractNum>
  <w:abstractNum w:abstractNumId="45">
    <w:nsid w:val="6B94764"/>
    <w:multiLevelType w:val="hybridMultilevel"/>
    <w:lvl w:ilvl="0">
      <w:lvlJc w:val="left"/>
      <w:lvlText w:val=" "/>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
      <w:numFmt w:val="bullet"/>
      <w:start w:val="1"/>
    </w:lvl>
  </w:abstractNum>
  <w:abstractNum w:abstractNumId="49">
    <w:nsid w:val="661E3F1E"/>
    <w:multiLevelType w:val="hybridMultilevel"/>
    <w:lvl w:ilvl="0">
      <w:lvlJc w:val="left"/>
      <w:lvlText w:val=" "/>
      <w:numFmt w:val="bullet"/>
      <w:start w:val="1"/>
    </w:lvl>
  </w:abstractNum>
  <w:abstractNum w:abstractNumId="50">
    <w:nsid w:val="5DC79EA8"/>
    <w:multiLevelType w:val="hybridMultilevel"/>
    <w:lvl w:ilvl="0">
      <w:lvlJc w:val="left"/>
      <w:lvlText w:val=" "/>
      <w:numFmt w:val="bullet"/>
      <w:start w:val="1"/>
    </w:lvl>
  </w:abstractNum>
  <w:abstractNum w:abstractNumId="51">
    <w:nsid w:val="540A471C"/>
    <w:multiLevelType w:val="hybridMultilevel"/>
    <w:lvl w:ilvl="0">
      <w:lvlJc w:val="left"/>
      <w:lvlText w:val=" "/>
      <w:numFmt w:val="bullet"/>
      <w:start w:val="1"/>
    </w:lvl>
  </w:abstractNum>
  <w:abstractNum w:abstractNumId="52">
    <w:nsid w:val="7BD3EE7B"/>
    <w:multiLevelType w:val="hybridMultilevel"/>
    <w:lvl w:ilvl="0">
      <w:lvlJc w:val="left"/>
      <w:lvlText w:val=" "/>
      <w:numFmt w:val="bullet"/>
      <w:start w:val="1"/>
    </w:lvl>
  </w:abstractNum>
  <w:abstractNum w:abstractNumId="53">
    <w:nsid w:val="51D9C564"/>
    <w:multiLevelType w:val="hybridMultilevel"/>
    <w:lvl w:ilvl="0">
      <w:lvlJc w:val="left"/>
      <w:lvlText w:val=" "/>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
      <w:numFmt w:val="bullet"/>
      <w:start w:val="1"/>
    </w:lvl>
    <w:lvl w:ilvl="1">
      <w:lvlJc w:val="left"/>
      <w:lvlText w:val=" "/>
      <w:numFmt w:val="bullet"/>
      <w:start w:val="1"/>
    </w:lvl>
  </w:abstractNum>
  <w:abstractNum w:abstractNumId="58">
    <w:nsid w:val="A0382C5"/>
    <w:multiLevelType w:val="hybridMultilevel"/>
    <w:lvl w:ilvl="0">
      <w:lvlJc w:val="left"/>
      <w:lvlText w:val="(%1)"/>
      <w:numFmt w:val="lowerLetter"/>
      <w:start w:val="1"/>
    </w:lvl>
  </w:abstractNum>
  <w:abstractNum w:abstractNumId="59">
    <w:nsid w:val="8F2B15E"/>
    <w:multiLevelType w:val="hybridMultilevel"/>
    <w:lvl w:ilvl="0">
      <w:lvlJc w:val="left"/>
      <w:lvlText w:val=" "/>
      <w:numFmt w:val="bullet"/>
      <w:start w:val="1"/>
    </w:lvl>
  </w:abstractNum>
  <w:abstractNum w:abstractNumId="60">
    <w:nsid w:val="1A32234B"/>
    <w:multiLevelType w:val="hybridMultilevel"/>
    <w:lvl w:ilvl="0">
      <w:lvlJc w:val="left"/>
      <w:lvlText w:val="(%1)"/>
      <w:numFmt w:val="lowerLetter"/>
      <w:start w:val="2"/>
    </w:lvl>
  </w:abstractNum>
  <w:abstractNum w:abstractNumId="61">
    <w:nsid w:val="3B0FD379"/>
    <w:multiLevelType w:val="hybridMultilevel"/>
    <w:lvl w:ilvl="0">
      <w:lvlJc w:val="left"/>
      <w:lvlText w:val="(%1)"/>
      <w:numFmt w:val="lowerLetter"/>
      <w:start w:val="1"/>
    </w:lvl>
  </w:abstractNum>
  <w:abstractNum w:abstractNumId="62">
    <w:nsid w:val="68EB2F63"/>
    <w:multiLevelType w:val="hybridMultilevel"/>
    <w:lvl w:ilvl="0">
      <w:lvlJc w:val="left"/>
      <w:lvlText w:val="(%1)"/>
      <w:numFmt w:val="lowerLetter"/>
      <w:start w:val="1"/>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1"/>
    </w:lvl>
  </w:abstractNum>
  <w:abstractNum w:abstractNumId="65">
    <w:nsid w:val="6A5EE64"/>
    <w:multiLevelType w:val="hybridMultilevel"/>
    <w:lvl w:ilvl="0">
      <w:lvlJc w:val="left"/>
      <w:lvlText w:val="(%1)"/>
      <w:numFmt w:val="lowerLetter"/>
      <w:start w:val="1"/>
    </w:lvl>
  </w:abstractNum>
  <w:abstractNum w:abstractNumId="66">
    <w:nsid w:val="14330624"/>
    <w:multiLevelType w:val="hybridMultilevel"/>
    <w:lvl w:ilvl="0">
      <w:lvlJc w:val="left"/>
      <w:lvlText w:val="(%1)"/>
      <w:numFmt w:val="lowerLetter"/>
      <w:start w:val="1"/>
    </w:lvl>
  </w:abstractNum>
  <w:abstractNum w:abstractNumId="67">
    <w:nsid w:val="7FFFCA11"/>
    <w:multiLevelType w:val="hybridMultilevel"/>
    <w:lvl w:ilvl="0">
      <w:lvlJc w:val="left"/>
      <w:lvlText w:val="1"/>
      <w:numFmt w:val="bullet"/>
      <w:start w:val="1"/>
    </w:lvl>
  </w:abstractNum>
  <w:abstractNum w:abstractNumId="68">
    <w:nsid w:val="1A27709E"/>
    <w:multiLevelType w:val="hybridMultilevel"/>
    <w:lvl w:ilvl="0">
      <w:lvlJc w:val="left"/>
      <w:lvlText w:val="2"/>
      <w:numFmt w:val="bullet"/>
      <w:start w:val="1"/>
    </w:lvl>
  </w:abstractNum>
  <w:abstractNum w:abstractNumId="69">
    <w:nsid w:val="71EA1109"/>
    <w:multiLevelType w:val="hybridMultilevel"/>
    <w:lvl w:ilvl="0">
      <w:lvlJc w:val="left"/>
      <w:lvlText w:val="3"/>
      <w:numFmt w:val="bullet"/>
      <w:start w:val="1"/>
    </w:lvl>
  </w:abstractNum>
  <w:abstractNum w:abstractNumId="70">
    <w:nsid w:val="100F59DC"/>
    <w:multiLevelType w:val="hybridMultilevel"/>
    <w:lvl w:ilvl="0">
      <w:lvlJc w:val="left"/>
      <w:lvlText w:val="4"/>
      <w:numFmt w:val="bullet"/>
      <w:start w:val="1"/>
    </w:lvl>
  </w:abstractNum>
  <w:abstractNum w:abstractNumId="71">
    <w:nsid w:val="7FB7E0AA"/>
    <w:multiLevelType w:val="hybridMultilevel"/>
    <w:lvl w:ilvl="0">
      <w:lvlJc w:val="left"/>
      <w:lvlText w:val="5"/>
      <w:numFmt w:val="bullet"/>
      <w:start w:val="1"/>
    </w:lvl>
  </w:abstractNum>
  <w:abstractNum w:abstractNumId="72">
    <w:nsid w:val="6EB5BD4"/>
    <w:multiLevelType w:val="hybridMultilevel"/>
    <w:lvl w:ilvl="0">
      <w:lvlJc w:val="left"/>
      <w:lvlText w:val="6"/>
      <w:numFmt w:val="bullet"/>
      <w:start w:val="1"/>
    </w:lvl>
  </w:abstractNum>
  <w:abstractNum w:abstractNumId="73">
    <w:nsid w:val="6F6DD9AC"/>
    <w:multiLevelType w:val="hybridMultilevel"/>
    <w:lvl w:ilvl="0">
      <w:lvlJc w:val="left"/>
      <w:lvlText w:val="7"/>
      <w:numFmt w:val="bullet"/>
      <w:start w:val="1"/>
    </w:lvl>
  </w:abstractNum>
  <w:abstractNum w:abstractNumId="74">
    <w:nsid w:val="94211F2"/>
    <w:multiLevelType w:val="hybridMultilevel"/>
    <w:lvl w:ilvl="0">
      <w:lvlJc w:val="left"/>
      <w:lvlText w:val="8"/>
      <w:numFmt w:val="bullet"/>
      <w:start w:val="1"/>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lvl w:ilvl="1">
      <w:lvlJc w:val="left"/>
      <w:lvlText w:val="%2."/>
      <w:numFmt w:val="lowerRoman"/>
      <w:start w:val="1"/>
    </w:lvl>
  </w:abstractNum>
  <w:abstractNum w:abstractNumId="84">
    <w:nsid w:val="46B7D447"/>
    <w:multiLevelType w:val="hybridMultilevel"/>
    <w:lvl w:ilvl="0">
      <w:lvlJc w:val="left"/>
      <w:lvlText w:val="%1."/>
      <w:numFmt w:val="lowerRoman"/>
      <w:start w:val="3"/>
    </w:lvl>
    <w:lvl w:ilvl="1">
      <w:lvlJc w:val="left"/>
      <w:lvlText w:val="•"/>
      <w:numFmt w:val="bullet"/>
      <w:start w:val="1"/>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lowerRoman"/>
      <w:start w:val="7"/>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lowerLetter"/>
      <w:start w:val="1"/>
    </w:lvl>
    <w:lvl w:ilvl="1">
      <w:lvlJc w:val="left"/>
      <w:lvlText w:val="(%2)"/>
      <w:numFmt w:val="lowerRoman"/>
      <w:start w:val="1"/>
    </w:lvl>
  </w:abstractNum>
  <w:abstractNum w:abstractNumId="94">
    <w:nsid w:val="7055A5F5"/>
    <w:multiLevelType w:val="hybridMultilevel"/>
    <w:lvl w:ilvl="0">
      <w:lvlJc w:val="left"/>
      <w:lvlText w:val="(%1)"/>
      <w:numFmt w:val="lowerRoman"/>
      <w:start w:val="1"/>
    </w:lvl>
  </w:abstractNum>
  <w:abstractNum w:abstractNumId="95">
    <w:nsid w:val="5FB8370B"/>
    <w:multiLevelType w:val="hybridMultilevel"/>
    <w:lvl w:ilvl="0">
      <w:lvlJc w:val="left"/>
      <w:lvlText w:val="(%1)"/>
      <w:numFmt w:val="lowerRoman"/>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jpe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jpe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jpe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jpe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jpe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jpe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jpe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jpeg"/><Relationship Id="rId925" Type="http://schemas.openxmlformats.org/officeDocument/2006/relationships/image" Target="media/image918.jpeg"/><Relationship Id="rId926" Type="http://schemas.openxmlformats.org/officeDocument/2006/relationships/image" Target="media/image919.jpeg"/><Relationship Id="rId927" Type="http://schemas.openxmlformats.org/officeDocument/2006/relationships/image" Target="media/image920.jpeg"/><Relationship Id="rId928" Type="http://schemas.openxmlformats.org/officeDocument/2006/relationships/image" Target="media/image921.jpe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jpeg"/><Relationship Id="rId1008" Type="http://schemas.openxmlformats.org/officeDocument/2006/relationships/image" Target="media/image1001.png"/><Relationship Id="rId1009" Type="http://schemas.openxmlformats.org/officeDocument/2006/relationships/image" Target="media/image1002.jpeg"/><Relationship Id="rId1010" Type="http://schemas.openxmlformats.org/officeDocument/2006/relationships/image" Target="media/image1003.png"/><Relationship Id="rId1011" Type="http://schemas.openxmlformats.org/officeDocument/2006/relationships/image" Target="media/image10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2026-04-27T07:07:09Z</dcterms:created>
  <dcterms:modified xsi:type="dcterms:W3CDTF">2026-04-27T07:07:09Z</dcterms:modified>
</cp:coreProperties>
</file>