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Penn National Gaming,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550"/>
              <w:spacing w:after="0"/>
              <w:rPr>
                <w:sz w:val="20"/>
                <w:szCs w:val="20"/>
                <w:color w:val="auto"/>
              </w:rPr>
            </w:pPr>
            <w:r>
              <w:rPr>
                <w:rFonts w:ascii="Arial" w:cs="Arial" w:eastAsia="Arial" w:hAnsi="Arial"/>
                <w:sz w:val="18"/>
                <w:szCs w:val="18"/>
                <w:b w:val="1"/>
                <w:bCs w:val="1"/>
                <w:color w:val="auto"/>
                <w:w w:val="88"/>
              </w:rPr>
              <w:t>Pennsylvania</w:t>
            </w:r>
          </w:p>
        </w:tc>
        <w:tc>
          <w:tcPr>
            <w:tcW w:w="3380" w:type="dxa"/>
            <w:vAlign w:val="bottom"/>
          </w:tcPr>
          <w:p>
            <w:pPr>
              <w:jc w:val="right"/>
              <w:ind w:right="1290"/>
              <w:spacing w:after="0"/>
              <w:rPr>
                <w:sz w:val="20"/>
                <w:szCs w:val="20"/>
                <w:color w:val="auto"/>
              </w:rPr>
            </w:pPr>
            <w:r>
              <w:rPr>
                <w:rFonts w:ascii="Arial" w:cs="Arial" w:eastAsia="Arial" w:hAnsi="Arial"/>
                <w:sz w:val="18"/>
                <w:szCs w:val="18"/>
                <w:b w:val="1"/>
                <w:bCs w:val="1"/>
                <w:color w:val="auto"/>
              </w:rPr>
              <w:t>0-24206</w:t>
            </w:r>
          </w:p>
        </w:tc>
        <w:tc>
          <w:tcPr>
            <w:tcW w:w="2040" w:type="dxa"/>
            <w:vAlign w:val="bottom"/>
          </w:tcPr>
          <w:p>
            <w:pPr>
              <w:jc w:val="right"/>
              <w:ind w:right="150"/>
              <w:spacing w:after="0"/>
              <w:rPr>
                <w:sz w:val="20"/>
                <w:szCs w:val="20"/>
                <w:color w:val="auto"/>
              </w:rPr>
            </w:pPr>
            <w:r>
              <w:rPr>
                <w:rFonts w:ascii="Arial" w:cs="Arial" w:eastAsia="Arial" w:hAnsi="Arial"/>
                <w:sz w:val="18"/>
                <w:szCs w:val="18"/>
                <w:b w:val="1"/>
                <w:bCs w:val="1"/>
                <w:color w:val="auto"/>
              </w:rPr>
              <w:t>23-2234473</w:t>
            </w:r>
          </w:p>
        </w:tc>
      </w:tr>
      <w:tr>
        <w:trPr>
          <w:trHeight w:val="256"/>
        </w:trPr>
        <w:tc>
          <w:tcPr>
            <w:tcW w:w="2660" w:type="dxa"/>
            <w:vAlign w:val="bottom"/>
          </w:tcPr>
          <w:p>
            <w:pPr>
              <w:spacing w:after="0"/>
              <w:rPr>
                <w:sz w:val="20"/>
                <w:szCs w:val="20"/>
                <w:color w:val="auto"/>
              </w:rPr>
            </w:pPr>
            <w:r>
              <w:rPr>
                <w:rFonts w:ascii="Arial" w:cs="Arial" w:eastAsia="Arial" w:hAnsi="Arial"/>
                <w:sz w:val="18"/>
                <w:szCs w:val="18"/>
                <w:color w:val="auto"/>
              </w:rPr>
              <w:t>(State or Other Jurisdiction</w:t>
            </w:r>
          </w:p>
        </w:tc>
        <w:tc>
          <w:tcPr>
            <w:tcW w:w="338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2040" w:type="dxa"/>
            <w:vAlign w:val="bottom"/>
          </w:tcPr>
          <w:p>
            <w:pPr>
              <w:ind w:left="720"/>
              <w:spacing w:after="0"/>
              <w:rPr>
                <w:sz w:val="20"/>
                <w:szCs w:val="20"/>
                <w:color w:val="auto"/>
              </w:rPr>
            </w:pPr>
            <w:r>
              <w:rPr>
                <w:rFonts w:ascii="Arial" w:cs="Arial" w:eastAsia="Arial" w:hAnsi="Arial"/>
                <w:sz w:val="18"/>
                <w:szCs w:val="18"/>
                <w:color w:val="auto"/>
                <w:w w:val="98"/>
              </w:rPr>
              <w:t>(I.R.S. Employer</w:t>
            </w:r>
          </w:p>
        </w:tc>
      </w:tr>
      <w:tr>
        <w:trPr>
          <w:trHeight w:val="230"/>
        </w:trPr>
        <w:tc>
          <w:tcPr>
            <w:tcW w:w="2660" w:type="dxa"/>
            <w:vAlign w:val="bottom"/>
          </w:tcPr>
          <w:p>
            <w:pPr>
              <w:jc w:val="center"/>
              <w:ind w:right="570"/>
              <w:spacing w:after="0"/>
              <w:rPr>
                <w:sz w:val="20"/>
                <w:szCs w:val="20"/>
                <w:color w:val="auto"/>
              </w:rPr>
            </w:pPr>
            <w:r>
              <w:rPr>
                <w:rFonts w:ascii="Arial" w:cs="Arial" w:eastAsia="Arial" w:hAnsi="Arial"/>
                <w:sz w:val="18"/>
                <w:szCs w:val="18"/>
                <w:color w:val="auto"/>
                <w:w w:val="94"/>
              </w:rPr>
              <w:t>of Incorporation)</w:t>
            </w:r>
          </w:p>
        </w:tc>
        <w:tc>
          <w:tcPr>
            <w:tcW w:w="3380" w:type="dxa"/>
            <w:vAlign w:val="bottom"/>
          </w:tcPr>
          <w:p>
            <w:pPr>
              <w:spacing w:after="0"/>
              <w:rPr>
                <w:sz w:val="20"/>
                <w:szCs w:val="20"/>
                <w:color w:val="auto"/>
              </w:rPr>
            </w:pPr>
          </w:p>
        </w:tc>
        <w:tc>
          <w:tcPr>
            <w:tcW w:w="2040" w:type="dxa"/>
            <w:vAlign w:val="bottom"/>
          </w:tcPr>
          <w:p>
            <w:pPr>
              <w:jc w:val="center"/>
              <w:ind w:left="61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825 Berkshire Blvd., Suite 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Wyomissing, PA 19610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610-373-2400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 xml:space="preserve">Check the appropriate box below if the Form 8-K filing is intended to simultaneously satisfy the filing obligation of the registrant under any of the following provisions (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980" w:hanging="567"/>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71" w:lineRule="exact"/>
        <w:rPr>
          <w:rFonts w:ascii="MS PGothic" w:cs="MS PGothic" w:eastAsia="MS PGothic" w:hAnsi="MS PGothic"/>
          <w:sz w:val="18"/>
          <w:szCs w:val="18"/>
          <w:color w:val="auto"/>
        </w:rPr>
      </w:pPr>
    </w:p>
    <w:p>
      <w:pPr>
        <w:ind w:left="980" w:hanging="567"/>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980" w:hanging="567"/>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171" w:lineRule="exact"/>
        <w:rPr>
          <w:rFonts w:ascii="MS PGothic" w:cs="MS PGothic" w:eastAsia="MS PGothic" w:hAnsi="MS PGothic"/>
          <w:sz w:val="18"/>
          <w:szCs w:val="18"/>
          <w:color w:val="auto"/>
        </w:rPr>
      </w:pPr>
    </w:p>
    <w:p>
      <w:pPr>
        <w:ind w:right="2280" w:firstLine="413"/>
        <w:spacing w:after="0" w:line="509" w:lineRule="auto"/>
        <w:tabs>
          <w:tab w:leader="none" w:pos="9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237"/>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PENN</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This is an amendment to Item 5.02 of the Form 8-K that was filed by Penn National Gaming, Inc. (the “Company”) on November 24, 2020 (the “Original Filing”), which reported that on November 23, 2020 the Company’s Board of Directors (the “Board”) elected Marla Kaplowitz as a director of the Company, subject to customary regulatory approvals. At the time of the Original Filing, the Board had not made a determination regarding any committee assignments for Ms. Kaplowitz. On December 7, 2020, the Board appointed Ms. Kaplowitz to the Compensation Committee and Compliance Committee of the Board, subject to customary regulatory approvals. Except as set forth herein, no other information in the Original Filing is amended.</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PENN NATIONAL GAMING,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2020</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Elliot D. Hoops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Elliot D. Hoops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and Deputy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2020-12-09T15:18:20Z</dcterms:created>
  <dcterms:modified xsi:type="dcterms:W3CDTF">2020-12-09T15:18:20Z</dcterms:modified>
</cp:coreProperties>
</file>