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November 5, 2025</w:t>
      </w:r>
    </w:p>
    <w:p>
      <w:pPr>
        <w:spacing w:after="0" w:line="2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r>
        <w:rPr>
          <w:rFonts w:ascii="Times New Roman" w:cs="Times New Roman" w:eastAsia="Times New Roman" w:hAnsi="Times New Roman"/>
          <w:sz w:val="21"/>
          <w:szCs w:val="21"/>
          <w:b w:val="1"/>
          <w:bCs w:val="1"/>
          <w:color w:val="auto"/>
        </w:rPr>
        <w:t>__________________</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PENN Entertainment,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2"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46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0-24206</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23-2234473</w:t>
            </w:r>
          </w:p>
        </w:tc>
      </w:tr>
      <w:tr>
        <w:trPr>
          <w:trHeight w:val="168"/>
        </w:trPr>
        <w:tc>
          <w:tcPr>
            <w:tcW w:w="2460" w:type="dxa"/>
            <w:vAlign w:val="bottom"/>
          </w:tcPr>
          <w:p>
            <w:pPr>
              <w:jc w:val="center"/>
              <w:ind w:right="43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(Commission File</w:t>
            </w:r>
          </w:p>
        </w:tc>
        <w:tc>
          <w:tcPr>
            <w:tcW w:w="25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 Identification</w:t>
            </w:r>
          </w:p>
        </w:tc>
      </w:tr>
      <w:tr>
        <w:trPr>
          <w:trHeight w:val="210"/>
        </w:trPr>
        <w:tc>
          <w:tcPr>
            <w:tcW w:w="246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Incorporation)</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No.)</w:t>
            </w:r>
          </w:p>
        </w:tc>
      </w:tr>
      <w:tr>
        <w:trPr>
          <w:trHeight w:val="516"/>
        </w:trPr>
        <w:tc>
          <w:tcPr>
            <w:tcW w:w="246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tc>
        <w:tc>
          <w:tcPr>
            <w:tcW w:w="2520" w:type="dxa"/>
            <w:vAlign w:val="bottom"/>
          </w:tcPr>
          <w:p>
            <w:pPr>
              <w:spacing w:after="0"/>
              <w:rPr>
                <w:sz w:val="24"/>
                <w:szCs w:val="24"/>
                <w:color w:val="auto"/>
              </w:rPr>
            </w:pPr>
          </w:p>
        </w:tc>
      </w:tr>
      <w:tr>
        <w:trPr>
          <w:trHeight w:val="191"/>
        </w:trPr>
        <w:tc>
          <w:tcPr>
            <w:tcW w:w="246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Wyomissing, PA 19610</w:t>
            </w:r>
          </w:p>
        </w:tc>
        <w:tc>
          <w:tcPr>
            <w:tcW w:w="2520" w:type="dxa"/>
            <w:vAlign w:val="bottom"/>
          </w:tcPr>
          <w:p>
            <w:pPr>
              <w:spacing w:after="0"/>
              <w:rPr>
                <w:sz w:val="16"/>
                <w:szCs w:val="16"/>
                <w:color w:val="auto"/>
              </w:rPr>
            </w:pPr>
          </w:p>
        </w:tc>
      </w:tr>
      <w:tr>
        <w:trPr>
          <w:trHeight w:val="210"/>
        </w:trPr>
        <w:tc>
          <w:tcPr>
            <w:tcW w:w="246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2520" w:type="dxa"/>
            <w:vAlign w:val="bottom"/>
          </w:tcPr>
          <w:p>
            <w:pPr>
              <w:spacing w:after="0"/>
              <w:rPr>
                <w:sz w:val="18"/>
                <w:szCs w:val="18"/>
                <w:color w:val="auto"/>
              </w:rPr>
            </w:pPr>
          </w:p>
        </w:tc>
      </w:tr>
    </w:tbl>
    <w:p>
      <w:pPr>
        <w:spacing w:after="0" w:line="2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610-373-2400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67" w:lineRule="exact"/>
        <w:rPr>
          <w:rFonts w:ascii="MS PGothic" w:cs="MS PGothic" w:eastAsia="MS PGothic" w:hAnsi="MS PGothic"/>
          <w:sz w:val="16"/>
          <w:szCs w:val="16"/>
          <w:color w:val="auto"/>
        </w:rPr>
      </w:pPr>
    </w:p>
    <w:p>
      <w:pPr>
        <w:jc w:val="right"/>
        <w:ind w:left="3760" w:right="3700" w:hanging="3712"/>
        <w:spacing w:after="0" w:line="449"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29"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7"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50"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The information set forth in Item 8.01 of this Current Report on Form 8-K with respect to the Investment Agreement Amendment (as defined below) is incorporated into this Item 1.01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On November 6, 2025, PENN Entertainment, Inc. (the “Company”) issued a press release announcing the results of operations and financial condition for the three months ended September 30, 2025. A copy of this press release is being furnished as Exhibit 99.1 to this Current Report on Form 8-K.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On November 6, 2025, the Company and ESPN, Inc. (“ESPN”) issued a press release announcing that the Company and ESPN have mutually agreed upon the early termination of their sportsbook agreement (the “Sportsbook Agreement”), effective December 1, 2025 (the “Termination Date”). A copy of this press release is being furnished as Exhibit 99.2 to this Current Report on Form 8-K.</w:t>
      </w:r>
    </w:p>
    <w:p>
      <w:pPr>
        <w:spacing w:after="0" w:line="144"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The information in this Item 7.01 of this Current Report on Form 8-K, including Exhibit 99.2 hereto, is being furnished to the U.S. Securities and Exchange Commission (“SEC”) and shall not be deemed “filed” for purposes of Section 18 of the Securities Exchange Act of 1934, as amended (the “Exchange Act”), or otherwise subject to the liabilities of that section. This information shall not be incorporated by reference in any filing under the Securities Act of 1933, as amended, or the Exchange Act, except as shall be expressly set forth by specific reference to such filing.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Termination of the Sportsbook Agreement</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6"/>
          <w:szCs w:val="16"/>
          <w:color w:val="auto"/>
        </w:rPr>
        <w:t>On November 5, 2025, the Company, ESPN and ESPN Enterprises, Inc. entered into an agreement (the “Termination Agreement”) to terminate the Sportsbook Agreement, effective on the Termination Date. The Termination Agreement provides that upon the Termination Date, (i) the Company will cease using all ESPN trademarks, including “ESPN BET”, and re-brand its sportsbook from “ESPN BET” to “theScore Bet” (or another brand as determined in the Company’s sole discretion), (ii) all integrations, and any other exclusivities, and any planned traditional media purchases provided under the Sportsbook Agreement will cease and (iii) all functionality to link ESPN accounts to ESPN BET accounts will be removed. The Termination Agreement provides that if the Company has not received all necessary regulatory approvals for the rebranding of its sportsbook prior to the Termination Date, then the Company shall have the right to continue using “ESPN BET Sportsbook” as the name of its sportsbook until two (2) business days following the date that the Company has received all necessary regulatory approvals for the rebranding (but in any event no later than December 15, 2025 unless the parties have agreed to an extension).</w:t>
      </w:r>
    </w:p>
    <w:p>
      <w:pPr>
        <w:spacing w:after="0" w:line="14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6"/>
          <w:szCs w:val="16"/>
          <w:color w:val="auto"/>
        </w:rPr>
        <w:t>The Termination Agreement provides that the Company will pay ESPN a total of $38.1 million in the fourth quarter of 2025 in respect of all remaining fees owed through the Termination Date. In addition, the Company has agreed to pay ESPN a total of $5 million following the Termination Date for traditional media to support theScore Bet and/or Hollywood iCasino offerings. The Termination Agreement provides that these payments will settle all outstanding payment obligations from the Company to ESPN under the Sportsbook Agreement.</w:t>
      </w:r>
    </w:p>
    <w:p>
      <w:pPr>
        <w:spacing w:after="0" w:line="134"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ESPN has agreed that for a period of fifteen (15) months following the Termination Date it will not (i) license the “ESPN BET” brand to another sportsbook for the purposes of re-branding such sportsbook as “ESPN BET” within the United States or (ii) itself operate a sportsbook within the United States named “ESPN BET”.</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Termination Agreement provides that the Company and ESPN will continue to own their respective end user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to the Investment Agreement</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6"/>
          <w:szCs w:val="16"/>
          <w:color w:val="auto"/>
        </w:rPr>
        <w:t>On November 5, 2025, in connection with entry into the Termination Agreement, the Company and ESPN entered into an Amendment No. 1 to Investment Agreement (the “Investment Agreement Amendment”) to amend certain terms of the Investment Agreement, dated as of August 8, 2023, by and between the Company and ESPN (the “Investment Agreement”). Pursuant to the Investment Agreement Amendment, on November 5, 2025, each Initial Warrant (as defined in the Investment Agreement) was deemed vested through and including February 8, 2026, such that (i) the Tranche A Warrant (as defined in the Investment Agreement) represents the right to purchase 3,177,610 shares of the Company common stock, par value $0.01 per share (“Shares”), with an exercise price of $26.08, (ii) the Tranche B Warrant (as defined in the Investment Agreement) represents the right to purchase 3,200,930 Shares with an exercise price of $29.99 and (iii) the Tranche C Warrant (as defined in the Investment Agreement) represents the right to purchase 1,578,670 Shares with an exercise price of $32.60.</w:t>
      </w:r>
    </w:p>
    <w:p>
      <w:pPr>
        <w:spacing w:after="0" w:line="155" w:lineRule="exact"/>
        <w:rPr>
          <w:sz w:val="20"/>
          <w:szCs w:val="20"/>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6"/>
          <w:szCs w:val="16"/>
          <w:color w:val="auto"/>
        </w:rPr>
        <w:t>The Investment Agreement Amendment provides that effective as of November 5, 2025, the unvested portion of each Initial Warrant was immediately and automatically forfeited and canceled for no consideration without any further action required by the Company or ESPN and the Company will have no obligation to issue any Bonus Warrant (as defined in the Investment Agreement).</w:t>
      </w:r>
    </w:p>
    <w:p>
      <w:pPr>
        <w:spacing w:after="0" w:line="13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The Investment Agreement Amendment also provides that the definition of “Fall-Away of Purchaser Board Rights” will be amended to mean December 1, 2025 and that the Purchaser Board Observer (as defined in the Investment Agreement) will immediately resign from the board of directors of the Company (the “Board”) on December 1, 2025 in accordance with the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 w:name="page3"/>
    <w:bookmarkEnd w:id="2"/>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summary of the Investment Agreement Amendment in this Current Report on Form 8-K is qualified by reference to the full text of the Investment Agreement Amendment, which is included as Exhibit 4.1 to this Current Report on Form 8-K, and which is incorporated herein by reference.</w:t>
      </w:r>
    </w:p>
    <w:p>
      <w:pPr>
        <w:spacing w:after="0" w:line="13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color w:val="auto"/>
        </w:rPr>
        <w:t>The Investment Agreement Amendment has been attached as an exhibit to this Current Report on Form 8-K in order to provide investors and security holders with information regarding its terms. It is not intended to provide any other information about the Company, ESPN or their respective subsidiaries and affiliates or to modify or supplement any factual disclosures about the Company in its public reports filed with the SEC. The covenants contained in the Investment Agreement Amendment were made only for purposes of such agreement and as of specific dates, are solely for the benefit of the parties to the Investment Agreement Amendment, may be subject to limitations agreed upon by the parties. Investors should not rely on the covenants or any description thereof as characterizations of the actual state of facts or condition of the Company, ESPN or any of their respective subsidiaries or affiliates. Moreover, information concerning the subject matter of the covenants may change after the date of the Investment Agreement Amendment, which subsequent information may or may not be fully reflected in public disclosures by the Company, ESPN or their subsidiaries or affiliates.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18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color w:val="auto"/>
        </w:rPr>
        <w:t>On October 30, 2025, the Board approved a new $750 million share repurchase program, subject to the finalization of and entry into the Termination Agreement and the Investment Agreement Amendment. The new three-year authorization commences on January 1, 2026 and expires on December 31, 2028 and will take effect after the Company’s existing $750 million share repurchase program expires on December 31, 2025. Repurchases by the Company will be subject to available liquidity, general market and economic conditions, alternate uses for the capital and other factors. Share repurchases may be made from time to time through a 10b5-1 trading plan, open market transactions, block trades or in private transactions in accordance with applicable securities laws and regulations and other legal requirements. There is no minimum number of shares that the Company is required to repurchase and the repurchase program may be suspended or discontinued at any time without prior notice.</w:t>
      </w:r>
    </w:p>
    <w:p>
      <w:pPr>
        <w:spacing w:after="0" w:line="154"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Rule 10b5-1 allows a company to purchase its shares at times when it otherwise might be prevented from doing so under insider trading laws or because of self-imposed trading blackout periods. Under a 10b5-1 plan, the Company’s third party broker, subject to the rules and regulations of the SEC, will have authority to repurchase the Company’s common stock in the open market or through privately negotiated transactions in accordance with the terms of such 10b5-1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w:t>
      </w:r>
    </w:p>
    <w:p>
      <w:pPr>
        <w:spacing w:after="0" w:line="19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amount and timing of the Company’s potential share repurchases and the Company’s available liquidity, general market and economic conditions.</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6"/>
          <w:szCs w:val="16"/>
          <w:color w:val="auto"/>
        </w:rPr>
        <w:t>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uncertainties and other factors, including the possibility that the Company’s repurchase programs may be suspended or discontinued; economic factors and market conditions and their impact on the Company’s ability to finance and effect share repurchases; and those factors described in the Company’s filings with the SEC, including the Company’s current reports on Form 8-K, quarterly reports on Form 10-Q and its annual report on Form 10-K for the year ended December 31, 2024. Forward-looking statements speak only as of the date they are made and, except for the Company’s ongoing obligations under the U.S. federal securities laws, the Company undertakes no obligation to publicly update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(d) Exhibits.</w:t>
            </w:r>
          </w:p>
        </w:tc>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02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8"/>
                <w:szCs w:val="18"/>
                <w:color w:val="auto"/>
              </w:rPr>
            </w:pPr>
          </w:p>
        </w:tc>
        <w:tc>
          <w:tcPr>
            <w:tcW w:w="102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60" w:type="dxa"/>
            <w:vAlign w:val="bottom"/>
            <w:tcBorders>
              <w:top w:val="single" w:sz="8" w:color="auto"/>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Amendment No. 1 to Investment Agreement, dated as of November 5, 2025, by and between PENN Entertainment, Inc. and ESPN, Inc.</w:t>
            </w:r>
          </w:p>
        </w:tc>
        <w:tc>
          <w:tcPr>
            <w:tcW w:w="0" w:type="dxa"/>
            <w:vAlign w:val="bottom"/>
          </w:tcPr>
          <w:p>
            <w:pPr>
              <w:spacing w:after="0"/>
              <w:rPr>
                <w:sz w:val="1"/>
                <w:szCs w:val="1"/>
                <w:color w:val="auto"/>
              </w:rPr>
            </w:pPr>
          </w:p>
        </w:tc>
      </w:tr>
      <w:tr>
        <w:trPr>
          <w:trHeight w:val="196"/>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Press release dated November 6, 2025 of PENN Entertainment, Inc. (furnished under Item 2.02)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Press release dated November 6, 2025 of PENN Entertainment, Inc. and ESPN, Inc. (furnished under Item 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960" w:hanging="396"/>
        <w:spacing w:after="0"/>
        <w:tabs>
          <w:tab w:leader="none" w:pos="9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20"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20"/>
        <w:spacing w:after="0"/>
        <w:tabs>
          <w:tab w:leader="none" w:pos="720" w:val="left"/>
          <w:tab w:leader="none" w:pos="48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6"/>
          <w:szCs w:val="16"/>
          <w:color w:val="auto"/>
        </w:rPr>
        <w:t>PENN Entertainment, Inc.</w:t>
      </w:r>
    </w:p>
    <w:p>
      <w:pPr>
        <w:spacing w:after="0" w:line="302" w:lineRule="exact"/>
        <w:rPr>
          <w:sz w:val="20"/>
          <w:szCs w:val="20"/>
          <w:color w:val="auto"/>
        </w:rPr>
      </w:pPr>
    </w:p>
    <w:tbl>
      <w:tblPr>
        <w:tblLayout w:type="fixed"/>
        <w:tblInd w:w="4880" w:type="dxa"/>
        <w:tblCellMar>
          <w:top w:w="0" w:type="dxa"/>
          <w:left w:w="0" w:type="dxa"/>
          <w:bottom w:w="0" w:type="dxa"/>
          <w:right w:w="0" w:type="dxa"/>
        </w:tblCellMar>
      </w:tblPr>
      <w:tr>
        <w:trPr>
          <w:trHeight w:val="21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Rogers</w:t>
            </w:r>
          </w:p>
        </w:tc>
      </w:tr>
      <w:tr>
        <w:trPr>
          <w:trHeight w:val="207"/>
        </w:trPr>
        <w:tc>
          <w:tcPr>
            <w:tcW w:w="86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Rogers</w:t>
            </w:r>
          </w:p>
        </w:tc>
      </w:tr>
      <w:tr>
        <w:trPr>
          <w:trHeight w:val="229"/>
        </w:trPr>
        <w:tc>
          <w:tcPr>
            <w:tcW w:w="8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Strategy and Legal Officer and Secretary</w:t>
            </w:r>
          </w:p>
        </w:tc>
      </w:tr>
    </w:tbl>
    <w:p>
      <w:pPr>
        <w:sectPr>
          <w:pgSz w:w="11900" w:h="16838" w:orient="portrait"/>
          <w:cols w:equalWidth="0" w:num="1">
            <w:col w:w="11240"/>
          </w:cols>
          <w:pgMar w:left="320" w:top="89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4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INVESTMENT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1</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 INVESTMENT AGREEMENT, dated as of August 8, 2023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between PENN Entertainment, Inc.,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ESPN, Inc., a Delaware corporation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is made as of November 5, 2025.</w:t>
      </w:r>
    </w:p>
    <w:p>
      <w:pPr>
        <w:spacing w:after="0" w:line="15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concurrently with entry into this Amendment, the Parties are entering into a termination agreement with respect to the Commercial Agreement (the “</w:t>
      </w:r>
      <w:r>
        <w:rPr>
          <w:rFonts w:ascii="Times New Roman" w:cs="Times New Roman" w:eastAsia="Times New Roman" w:hAnsi="Times New Roman"/>
          <w:sz w:val="20"/>
          <w:szCs w:val="20"/>
          <w:u w:val="single" w:color="auto"/>
          <w:color w:val="auto"/>
        </w:rPr>
        <w:t>Termination Agreement</w:t>
      </w:r>
      <w:r>
        <w:rPr>
          <w:rFonts w:ascii="Times New Roman" w:cs="Times New Roman" w:eastAsia="Times New Roman" w:hAnsi="Times New Roman"/>
          <w:sz w:val="20"/>
          <w:szCs w:val="20"/>
          <w:color w:val="auto"/>
        </w:rPr>
        <w:t>”); and</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in connection with entry into the Termination Agreement and the transactions contemplated thereby, the Parties wish to enter into this Amendment in accordance with Section 6.02 of the Agreement.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agreements contained in this Amendment and the Agreement, and for other good and valuable consideration, the receipt and sufficiency of which are acknowledged, on the terms and subject to the conditions of this Amendment, the Parties agree as follows:</w:t>
      </w:r>
    </w:p>
    <w:p>
      <w:pPr>
        <w:spacing w:after="0" w:line="15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but not defined herein shall have the meanings given to them in the Agreement.</w:t>
      </w:r>
    </w:p>
    <w:p>
      <w:pPr>
        <w:spacing w:after="0" w:line="20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the Agreement or any Warrant:</w:t>
      </w:r>
    </w:p>
    <w:p>
      <w:pPr>
        <w:spacing w:after="0" w:line="215" w:lineRule="exact"/>
        <w:rPr>
          <w:rFonts w:ascii="Times New Roman" w:cs="Times New Roman" w:eastAsia="Times New Roman" w:hAnsi="Times New Roman"/>
          <w:sz w:val="20"/>
          <w:szCs w:val="20"/>
          <w:color w:val="auto"/>
        </w:rPr>
      </w:pPr>
    </w:p>
    <w:p>
      <w:pPr>
        <w:ind w:left="1300" w:hanging="324"/>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November 5,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each Initial Warrant shall be deemed vested through and including February 8, 2026, such that on and following the Effective Date, the Initial Warrants will represent the right to purchase the following number of shares of Common Stock:</w:t>
      </w:r>
    </w:p>
    <w:p>
      <w:pPr>
        <w:spacing w:after="0" w:line="184" w:lineRule="exact"/>
        <w:rPr>
          <w:sz w:val="20"/>
          <w:szCs w:val="20"/>
          <w:color w:val="auto"/>
        </w:rPr>
      </w:pPr>
    </w:p>
    <w:tbl>
      <w:tblPr>
        <w:tblLayout w:type="fixed"/>
        <w:tblInd w:w="3110" w:type="dxa"/>
        <w:tblCellMar>
          <w:top w:w="0" w:type="dxa"/>
          <w:left w:w="0" w:type="dxa"/>
          <w:bottom w:w="0" w:type="dxa"/>
          <w:right w:w="0" w:type="dxa"/>
        </w:tblCellMar>
      </w:tblPr>
      <w:tr>
        <w:trPr>
          <w:trHeight w:val="207"/>
        </w:trPr>
        <w:tc>
          <w:tcPr>
            <w:tcW w:w="1940" w:type="dxa"/>
            <w:vAlign w:val="bottom"/>
            <w:tcBorders>
              <w:top w:val="single" w:sz="8" w:color="auto"/>
              <w:left w:val="single" w:sz="8" w:color="auto"/>
              <w:right w:val="single" w:sz="8" w:color="auto"/>
            </w:tcBorders>
            <w:vMerge w:val="restart"/>
            <w:shd w:val="clear" w:color="auto" w:fill="D9D9D9"/>
          </w:tcPr>
          <w:p>
            <w:pPr>
              <w:ind w:left="380"/>
              <w:spacing w:after="0"/>
              <w:rPr>
                <w:sz w:val="20"/>
                <w:szCs w:val="20"/>
                <w:color w:val="auto"/>
              </w:rPr>
            </w:pPr>
            <w:r>
              <w:rPr>
                <w:rFonts w:ascii="Times New Roman" w:cs="Times New Roman" w:eastAsia="Times New Roman" w:hAnsi="Times New Roman"/>
                <w:sz w:val="20"/>
                <w:szCs w:val="20"/>
                <w:color w:val="auto"/>
              </w:rPr>
              <w:t>Initial Warrant</w:t>
            </w:r>
          </w:p>
        </w:tc>
        <w:tc>
          <w:tcPr>
            <w:tcW w:w="3140" w:type="dxa"/>
            <w:vAlign w:val="bottom"/>
            <w:tcBorders>
              <w:top w:val="single" w:sz="8" w:color="auto"/>
              <w:right w:val="single" w:sz="8" w:color="auto"/>
            </w:tcBorders>
            <w:shd w:val="clear" w:color="auto" w:fill="D9D9D9"/>
          </w:tcPr>
          <w:p>
            <w:pPr>
              <w:jc w:val="right"/>
              <w:ind w:right="241"/>
              <w:spacing w:after="0" w:line="207" w:lineRule="exact"/>
              <w:rPr>
                <w:sz w:val="20"/>
                <w:szCs w:val="20"/>
                <w:color w:val="auto"/>
              </w:rPr>
            </w:pPr>
            <w:r>
              <w:rPr>
                <w:rFonts w:ascii="Times New Roman" w:cs="Times New Roman" w:eastAsia="Times New Roman" w:hAnsi="Times New Roman"/>
                <w:sz w:val="20"/>
                <w:szCs w:val="20"/>
                <w:color w:val="auto"/>
              </w:rPr>
              <w:t>Vested Warrant Shares as of the</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3140" w:type="dxa"/>
            <w:vAlign w:val="bottom"/>
            <w:tcBorders>
              <w:right w:val="single" w:sz="8" w:color="auto"/>
            </w:tcBorders>
            <w:vMerge w:val="restart"/>
            <w:shd w:val="clear" w:color="auto" w:fill="D9D9D9"/>
          </w:tcPr>
          <w:p>
            <w:pPr>
              <w:jc w:val="right"/>
              <w:ind w:right="921"/>
              <w:spacing w:after="0"/>
              <w:rPr>
                <w:sz w:val="20"/>
                <w:szCs w:val="20"/>
                <w:color w:val="auto"/>
              </w:rPr>
            </w:pPr>
            <w:r>
              <w:rPr>
                <w:rFonts w:ascii="Times New Roman" w:cs="Times New Roman" w:eastAsia="Times New Roman" w:hAnsi="Times New Roman"/>
                <w:sz w:val="20"/>
                <w:szCs w:val="20"/>
                <w:color w:val="auto"/>
              </w:rPr>
              <w:t>Effective Date</w:t>
            </w:r>
          </w:p>
        </w:tc>
        <w:tc>
          <w:tcPr>
            <w:tcW w:w="0" w:type="dxa"/>
            <w:vAlign w:val="bottom"/>
          </w:tcPr>
          <w:p>
            <w:pPr>
              <w:spacing w:after="0"/>
              <w:rPr>
                <w:sz w:val="1"/>
                <w:szCs w:val="1"/>
                <w:color w:val="auto"/>
              </w:rPr>
            </w:pPr>
          </w:p>
        </w:tc>
      </w:tr>
      <w:tr>
        <w:trPr>
          <w:trHeight w:val="102"/>
        </w:trPr>
        <w:tc>
          <w:tcPr>
            <w:tcW w:w="19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140" w:type="dxa"/>
            <w:vAlign w:val="bottom"/>
            <w:tcBorders>
              <w:bottom w:val="single" w:sz="8" w:color="auto"/>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A</w:t>
            </w:r>
          </w:p>
        </w:tc>
        <w:tc>
          <w:tcPr>
            <w:tcW w:w="31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3,177,610</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B</w:t>
            </w:r>
          </w:p>
        </w:tc>
        <w:tc>
          <w:tcPr>
            <w:tcW w:w="31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3,200,930</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Tranche C</w:t>
            </w:r>
          </w:p>
        </w:tc>
        <w:tc>
          <w:tcPr>
            <w:tcW w:w="31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1,578,670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left="1300" w:hanging="320"/>
        <w:spacing w:after="0" w:line="268"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Effective Date, (i) the unvested portion of each Initial Warrant shall be immediately and automatically forfeited and canceled for no consideration without any further action required by any Party and (ii) the Company shall have no obligation to issue any Bonus Warrant.</w:t>
      </w:r>
    </w:p>
    <w:p>
      <w:pPr>
        <w:spacing w:after="0" w:line="14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Fall-Away of Purchaser Board Rights is hereby amended and restated to read in its entirety as follows:</w:t>
      </w:r>
    </w:p>
    <w:p>
      <w:pPr>
        <w:spacing w:after="0" w:line="20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Fall-Away of Purchaser Board Rights</w:t>
      </w:r>
      <w:r>
        <w:rPr>
          <w:rFonts w:ascii="Times New Roman" w:cs="Times New Roman" w:eastAsia="Times New Roman" w:hAnsi="Times New Roman"/>
          <w:sz w:val="20"/>
          <w:szCs w:val="20"/>
          <w:color w:val="auto"/>
        </w:rPr>
        <w:t>” means December 1, 2025.</w:t>
      </w:r>
    </w:p>
    <w:p>
      <w:pPr>
        <w:spacing w:after="0" w:line="202" w:lineRule="exact"/>
        <w:rPr>
          <w:sz w:val="20"/>
          <w:szCs w:val="20"/>
          <w:color w:val="auto"/>
        </w:rPr>
      </w:pPr>
    </w:p>
    <w:p>
      <w:pPr>
        <w:ind w:left="1300" w:hanging="320"/>
        <w:spacing w:after="0" w:line="283"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5.09(c) of the Agreement, on December 1, 2025, the Purchaser Board Observer shall immediately resign from the Board.</w:t>
      </w:r>
    </w:p>
    <w:p>
      <w:pPr>
        <w:sectPr>
          <w:pgSz w:w="11900" w:h="16838" w:orient="portrait"/>
          <w:cols w:equalWidth="0" w:num="1">
            <w:col w:w="11240"/>
          </w:cols>
          <w:pgMar w:left="320" w:top="360" w:right="339" w:bottom="1440" w:gutter="0" w:footer="0" w:header="0"/>
        </w:sectPr>
      </w:pPr>
    </w:p>
    <w:bookmarkStart w:id="5" w:name="page6"/>
    <w:bookmarkEnd w:id="5"/>
    <w:p>
      <w:pPr>
        <w:ind w:left="1300" w:hanging="320"/>
        <w:spacing w:after="0" w:line="283"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Zachary S. Podolsky and ZSPodolsky@wlrk.com in the Agreement and the Initial Warrants shall be replaced with Daniel A. Neff and DANeff@wlrk.com.</w:t>
      </w:r>
    </w:p>
    <w:p>
      <w:pPr>
        <w:spacing w:after="0" w:line="13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foregoing amendments, the Parties acknowledge and agree that the Agreement remains in full force and effect, unamended, and, upon the execution of this Amendment, this Amendment shall be deemed to form a part of the Agreement.</w:t>
      </w:r>
    </w:p>
    <w:p>
      <w:pPr>
        <w:spacing w:after="0" w:line="15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Sections 6.02 through 6.13 of the Agreement are incorporated by reference into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Amendment to the Agreement as of the date first written above.</w:t>
      </w:r>
    </w:p>
    <w:p>
      <w:pPr>
        <w:sectPr>
          <w:pgSz w:w="11900" w:h="16838" w:orient="portrait"/>
          <w:cols w:equalWidth="0" w:num="1">
            <w:col w:w="10040"/>
          </w:cols>
          <w:pgMar w:left="520" w:top="14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PENN ENTERTAINMENT, INC.</w:t>
      </w: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Christopher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-10795</wp:posOffset>
            </wp:positionV>
            <wp:extent cx="1381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Christopher Rogers</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Executive Vice President, Chief</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Strategy and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ESPN, INC.</w:t>
      </w: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Michael T.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-10795</wp:posOffset>
            </wp:positionV>
            <wp:extent cx="1442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Michael T. Morrison</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Vice President, Sports Betting &amp;</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Fantasy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Investment Agreement</w:t>
      </w:r>
      <w:r>
        <w:rPr>
          <w:rFonts w:ascii="Times New Roman" w:cs="Times New Roman" w:eastAsia="Times New Roman" w:hAnsi="Times New Roman"/>
          <w:sz w:val="17"/>
          <w:szCs w:val="17"/>
          <w:color w:val="auto"/>
        </w:rPr>
        <w:t>]</w:t>
      </w:r>
    </w:p>
    <w:p>
      <w:pPr>
        <w:sectPr>
          <w:pgSz w:w="11900" w:h="16838" w:orient="portrait"/>
          <w:cols w:equalWidth="0" w:num="1">
            <w:col w:w="10040"/>
          </w:cols>
          <w:pgMar w:left="520" w:top="1413" w:right="1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634365</wp:posOffset>
            </wp:positionV>
            <wp:extent cx="3429000" cy="1560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298" w:lineRule="auto"/>
        <w:rPr>
          <w:sz w:val="20"/>
          <w:szCs w:val="20"/>
          <w:color w:val="auto"/>
        </w:rPr>
      </w:pPr>
      <w:r>
        <w:rPr>
          <w:rFonts w:ascii="Arial" w:cs="Arial" w:eastAsia="Arial" w:hAnsi="Arial"/>
          <w:sz w:val="22"/>
          <w:szCs w:val="22"/>
          <w:b w:val="1"/>
          <w:bCs w:val="1"/>
          <w:color w:val="auto"/>
        </w:rPr>
        <w:t>PENN Entertainment, Inc. Reports Third Quarter Results and Announces Realignment of Digital Focus Following Termination of ESPN Alliance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WYOMISSING, PA (November 6, 2025) - PENN Entertainment, Inc. (“PENN” or the “Company”) (Nasdaq: PENN) today reported financial results for the three and nine months ended September 30, 2025, and announced a realignment of its digital focus following the mutual decision for an early termination (the “Termination Agreement”) of its U.S. online sports betting (“OSB”) agreement with ESPN, Inc. (“ESPN”).</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Pursuant to the agreed termination, the Company’s OSB marketing exclusivity with ESPN will end on December 1, 2025. Other key terms of the Termination Agreement are as follows:</w:t>
      </w:r>
    </w:p>
    <w:p>
      <w:pPr>
        <w:spacing w:after="0" w:line="11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Cash payments to ESPN terminate at the end of the fourth quarter in 2025;</w:t>
      </w:r>
    </w:p>
    <w:p>
      <w:pPr>
        <w:spacing w:after="0" w:line="17" w:lineRule="exact"/>
        <w:rPr>
          <w:rFonts w:ascii="Arial" w:cs="Arial" w:eastAsia="Arial" w:hAnsi="Arial"/>
          <w:sz w:val="20"/>
          <w:szCs w:val="20"/>
          <w:color w:val="auto"/>
        </w:rPr>
      </w:pPr>
    </w:p>
    <w:p>
      <w:pPr>
        <w:ind w:left="640" w:hanging="308"/>
        <w:spacing w:after="0" w:line="202"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ESPN will retain vested warrants to purchase 7,957,210 shares with a weighted strike price of $28.95</w:t>
      </w:r>
      <w:r>
        <w:rPr>
          <w:rFonts w:ascii="Arial" w:cs="Arial" w:eastAsia="Arial" w:hAnsi="Arial"/>
          <w:sz w:val="25"/>
          <w:szCs w:val="25"/>
          <w:b w:val="1"/>
          <w:bCs w:val="1"/>
          <w:color w:val="auto"/>
          <w:vertAlign w:val="superscript"/>
        </w:rPr>
        <w:t>1</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unvested warrants and performance warrants will be forfeited by ESPN; and</w:t>
      </w:r>
    </w:p>
    <w:p>
      <w:pPr>
        <w:ind w:left="660" w:hanging="328"/>
        <w:spacing w:after="0" w:line="26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PENN to rebrand OSB offering in the U.S. to theScore Bet, with a target date of December 1, 2025, subject to regulatory approvals.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stated in the joint release issued this morning by PENN and ESPN, Jay Snowden, Chief Executive Officer and President, said: “When we first announced our partnership with ESPN, both sides made it clear that we expected to compete for a podium position in the space. Although we made significant progress in improving our product offering and building a cohesive ecosystem with ESPN, we have mutually and amicably agreed to wind down our collaboration.”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Snowden added, “PENN’s unique omnichannel strategy is anchored in a diverse portfolio of market-leading regional casinos and a complementary digital business. We are realigning our digital focus to leverage the strength of our U.S. iCasino and Canadian operations, while continuing to use OSB to drive both the acquisition of customers with significant lifetime value and unique cross-sell opportunities across PENN’s retail and digital assets.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20"/>
          <w:szCs w:val="20"/>
          <w:b w:val="1"/>
          <w:bCs w:val="1"/>
          <w:color w:val="auto"/>
        </w:rPr>
        <w:t>Realignment of Digital Focus: Leverage Strength in U.S. iCasino and Canadian Operations with Emphasis on Omnichannel Benefits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“PENN’s iCasino forward approach has clear long-term alignment to our core business, which will focus on cross-sell opportunities across our ecosystem and enhanced connectivity to our 33 million member PENN Play™ loyalty program. Our OSB offerings will continue to provide top of funnel acquisition and cross-sell opportunities for our Hollywood-branded iCasino, which will remain integrated into our OSB product in states where legal, in addition to serving as a standalone iCasino app. We will operate with a more efficient cost structure, including replacing fixed media spending with performance based and regionally targeted marketing that complement our casino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3" w:lineRule="exact"/>
        <w:rPr>
          <w:sz w:val="20"/>
          <w:szCs w:val="20"/>
          <w:color w:val="auto"/>
        </w:rPr>
      </w:pPr>
    </w:p>
    <w:p>
      <w:pPr>
        <w:ind w:right="20" w:firstLine="8"/>
        <w:spacing w:after="0" w:line="198" w:lineRule="auto"/>
        <w:tabs>
          <w:tab w:leader="none" w:pos="105"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The warrants are subject to net settlement in stock or cash at PENN’s option. At an assumed exercise price of $28.95, the vested warrants would represent potential dilution of 319,952 shares.</w:t>
      </w:r>
    </w:p>
    <w:p>
      <w:pPr>
        <w:sectPr>
          <w:pgSz w:w="11900" w:h="16838" w:orient="portrait"/>
          <w:cols w:equalWidth="0" w:num="1">
            <w:col w:w="11240"/>
          </w:cols>
          <w:pgMar w:left="320" w:top="121" w:right="33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20"/>
          <w:szCs w:val="20"/>
          <w:color w:val="auto"/>
        </w:rPr>
        <w:t>The realignment will free up resources to strategically invest in the North American markets with strong return potential which we expect will drive enhanced unit economics and profitability.”</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OSB Strategy Highlights:</w:t>
      </w:r>
    </w:p>
    <w:p>
      <w:pPr>
        <w:spacing w:after="0" w:line="189" w:lineRule="exact"/>
        <w:rPr>
          <w:sz w:val="20"/>
          <w:szCs w:val="20"/>
          <w:color w:val="auto"/>
        </w:rPr>
      </w:pPr>
    </w:p>
    <w:p>
      <w:pPr>
        <w:ind w:left="660" w:hanging="328"/>
        <w:spacing w:after="0" w:line="25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theScore Bet, which is delivering strong results in Ontario, will be the Company’s unified OSB brand across the U.S. and Canada, and will be deeply integrated into our digital sports media app, theScore;</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theScore has approximately 4 million monthly active users (“MAUs”) across North America; and</w:t>
      </w:r>
    </w:p>
    <w:p>
      <w:pPr>
        <w:spacing w:after="0" w:line="13"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PENN retains a database of 2.9 million digital users acquired during the ESPN relationship, including 300 thousand acquired this football season.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Retail Property Level Highlights</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p>
    <w:p>
      <w:pPr>
        <w:spacing w:after="0" w:line="13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Revenues of $1.4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Segment Adjusted EBITDAR of $465.8 million; and</w:t>
      </w: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Segment Adjusted EBITDAR margins of 32.8%.</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Mr. Snowden continued: “Demand was generally stable in our core business across gaming and non-gaming amenities during the quarter, particularly at our properties not impacted by new supply or increased competitor promotional activity. Our third-quarter performance was driven by strong results at our properties in our West segment, as well as in Ohio, St. Louis, and Illinois. We also saw increases in theoretical revenue across all rated worth segments of our retail portfolio, along with overall growth in visitation and spend per visit. The fourth quarter is off to a solid start and we are encouraged by early trends at our new Hollywood Casino in Joliet, which is driving both gaming and non-gaming volumes and database growth through its best-in-market offering. As previously disclosed, the second hotel tower at M Resort Spa Casino Las Vegas is scheduled to open on December 1, subject to regulatory approvals, and we are pleased to announce the upcoming openings of the new Hollywood Casino in Aurora and new hotel tower at Hollywood Columbus late in the second quarter of 2026.</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Interactive Segment Highlights:</w:t>
      </w:r>
    </w:p>
    <w:p>
      <w:pPr>
        <w:spacing w:after="0" w:line="191"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Revenues of $297.7 million (including tax gross up of $139.5 million); and</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Adjusted EBITDA loss of $76.6 million.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“Gaming revenues and Adjusted EBITDA in the quarter came in below expectations due to customer-friendly hold across our digital operations and lower than anticipated OSB volumes. Meanwhile, our North America iCasino business achieved its highest quarterly gaming revenue to date, an improvement of nearly 40% year-over-year, driven by record cross-sell from OSB of 62% and growth from our standalone Hollywood and theScore Bet iCasino apps. The momentum in our iCasino business continues to benefit from growing average MAUs, which experienced the third consecutive quarter of year-over-year and quarter-over-quarter increases,” concluded Mr.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9"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Property level consists of retail operating segments which are composed of our Northeast, South, West, and Midwest reportable segments.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3"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Share Repurchase Authorization Update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During the three months ended September 30, 2025, the Company repurchased 7,965,282 shares of its common stock in open market transactions for $154.1 million at an average price of $19.34 per share. During the nine months ended September 30, 2025, the Company repurchased 15,214,631 shares of its common stock in open market transactions for $269.4 million at an average price of $17.70 per share.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Through November 5, 2025, PENN has repurchased $354.4 million of shares in connection with its previously stated goal to repurchase at least $350 million of shares this year.</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As of November 5, 2025, the remaining availability under our December 2022 Authorization was $395.4 million.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October 30, 2025, the Company’s Board of Directors authorized a new $750 million share repurchase program, which begins on January 1, 2026, and expires on December 31, 2028. This program is incremental to the December 2022 authorization, which expires on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Financial Position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Total liquidity as of September 30, 2025 was $1.1 billion inclusive of $660.1 million in Cash and cash equivalents. Traditional net debt as of the end of the quarter was $2.2 billion. On November 3, 2025, PENN received $150 million in funding from Gaming and Leisure Properties, Inc. at a 7.79% capitalization rate in connection with the second hotel tower construction at the M Resort Las Vegas.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Summary of Third Quarter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three months ended</w:t>
            </w: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81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240" w:type="dxa"/>
            <w:vAlign w:val="bottom"/>
          </w:tcPr>
          <w:p>
            <w:pPr>
              <w:spacing w:after="0"/>
              <w:rPr>
                <w:sz w:val="15"/>
                <w:szCs w:val="15"/>
                <w:color w:val="auto"/>
              </w:rPr>
            </w:pPr>
          </w:p>
        </w:tc>
        <w:tc>
          <w:tcPr>
            <w:tcW w:w="12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r>
      <w:tr>
        <w:trPr>
          <w:trHeight w:val="229"/>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(865.1)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57"/>
        </w:trPr>
        <w:tc>
          <w:tcPr>
            <w:tcW w:w="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57"/>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payments to our REIT Landlords under Triple Net Leases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56"/>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more information, definitions, and reconciliations see the “Non-GAAP Financial Measures” section below.</w:t>
      </w:r>
    </w:p>
    <w:p>
      <w:pPr>
        <w:spacing w:after="0" w:line="59" w:lineRule="exact"/>
        <w:rPr>
          <w:rFonts w:ascii="Arial" w:cs="Arial" w:eastAsia="Arial" w:hAnsi="Arial"/>
          <w:sz w:val="16"/>
          <w:szCs w:val="16"/>
          <w:color w:val="auto"/>
        </w:rPr>
      </w:pPr>
    </w:p>
    <w:p>
      <w:pPr>
        <w:jc w:val="both"/>
        <w:ind w:left="660" w:hanging="328"/>
        <w:spacing w:after="0" w:line="26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the operating lease components contained within our triple net master lease dated November 1, 2013 with Gaming and Leisure Properties, Inc. (Nasdaq: GLPI) (“GLPI”), that was amended and restated effective January 1, 2023 (referred to as the AR PENN Master Lease); our triple net master lease entered in conjunction with and coterminous to the AR PENN Master Lease (referred to as the 2023 Master Lease); as well as our individual triple net leases with VICI Properties Inc. (NYSE: VICI) (“VICI”) for the real estate assets used in the operations of Margaritaville Resort Casino (referred to as the Margaritaville Lease) and Hollywood Casino at Greektown (referred to as the Greektown Lease) and referred to collectively as our “triple net operating leases.” The expense related to operating lease components contained within our triple net operating leases are recorded as “General and administrative” within the unaudited Consolidated Statements of Operations.</w:t>
      </w:r>
    </w:p>
    <w:p>
      <w:pPr>
        <w:spacing w:after="0" w:line="11"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total cash payments made to GLPI and VICI (referred to collectively as our “REIT Landlords”) under our triple net operating leases (as defined above), the Pinnacle Master Lease, and the Morgantown Lease and collectively referred to as our “Triple Net Leases.”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EPS</w:t>
      </w:r>
    </w:p>
    <w:p>
      <w:pPr>
        <w:spacing w:after="0" w:line="191"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The following table reconciles diluted loss per share (“EPS”) to Adjusted EPS (approximate EPS impact shown, per share; positive adjustments represent charges to income):</w:t>
      </w:r>
    </w:p>
    <w:p>
      <w:pPr>
        <w:spacing w:after="0" w:line="143" w:lineRule="exact"/>
        <w:rPr>
          <w:sz w:val="20"/>
          <w:szCs w:val="20"/>
          <w:color w:val="auto"/>
        </w:rPr>
      </w:pPr>
    </w:p>
    <w:p>
      <w:pPr>
        <w:jc w:val="center"/>
        <w:ind w:left="8100"/>
        <w:spacing w:after="0"/>
        <w:rPr>
          <w:sz w:val="20"/>
          <w:szCs w:val="20"/>
          <w:color w:val="auto"/>
        </w:rPr>
      </w:pPr>
      <w:r>
        <w:rPr>
          <w:rFonts w:ascii="Arial" w:cs="Arial" w:eastAsia="Arial" w:hAnsi="Arial"/>
          <w:sz w:val="18"/>
          <w:szCs w:val="18"/>
          <w:b w:val="1"/>
          <w:bCs w:val="1"/>
          <w:color w:val="auto"/>
        </w:rPr>
        <w:t>For the three months ended</w:t>
      </w:r>
    </w:p>
    <w:p>
      <w:pPr>
        <w:jc w:val="center"/>
        <w:ind w:left="810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per share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8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Impairment loss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Transaction related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Pre-opening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Legal matters inclusive of litigation settlements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Gain on REIT transaction, net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related to debt and equity investments</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8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Income tax impact on adjustments </w:t>
            </w:r>
            <w:r>
              <w:rPr>
                <w:rFonts w:ascii="Arial" w:cs="Arial" w:eastAsia="Arial" w:hAnsi="Arial"/>
                <w:sz w:val="23"/>
                <w:szCs w:val="23"/>
                <w:color w:val="auto"/>
                <w:vertAlign w:val="superscript"/>
              </w:rPr>
              <w:t>(2)</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hanging="328"/>
        <w:spacing w:after="0" w:line="301" w:lineRule="auto"/>
        <w:tabs>
          <w:tab w:leader="none" w:pos="6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impairment loss related to the PENN Interactive reporting unit does not generate a tax benefit because goodwill impairment is a non-deductible permanent item under Canadian tax law.</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income tax impact reflects current and deferred tax effects based on the nature of each adjustment and the applicable tax jurisdiction.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aggregates its operations into five reportable segments: Northeast, South, West, Midwest, and Interactive.</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For the three months ended</w:t>
            </w:r>
          </w:p>
        </w:tc>
        <w:tc>
          <w:tcPr>
            <w:tcW w:w="260" w:type="dxa"/>
            <w:vAlign w:val="bottom"/>
          </w:tcPr>
          <w:p>
            <w:pPr>
              <w:spacing w:after="0"/>
              <w:rPr>
                <w:sz w:val="17"/>
                <w:szCs w:val="17"/>
                <w:color w:val="auto"/>
              </w:rPr>
            </w:pPr>
          </w:p>
        </w:tc>
        <w:tc>
          <w:tcPr>
            <w:tcW w:w="28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4880" w:type="dxa"/>
            <w:vAlign w:val="bottom"/>
            <w:gridSpan w:val="3"/>
          </w:tcPr>
          <w:p>
            <w:pPr>
              <w:ind w:left="20"/>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2,065.8</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684.9</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(7)</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8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Segment Adjusted EBITDAR </w:t>
            </w:r>
            <w:r>
              <w:rPr>
                <w:rFonts w:ascii="Arial" w:cs="Arial" w:eastAsia="Arial" w:hAnsi="Arial"/>
                <w:sz w:val="23"/>
                <w:szCs w:val="23"/>
                <w:b w:val="1"/>
                <w:bCs w:val="1"/>
                <w:color w:val="auto"/>
                <w:vertAlign w:val="superscript"/>
              </w:rPr>
              <w:t>(8)</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606.6</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Rent expense associated with triple net operating leases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320"/>
              <w:spacing w:after="0" w:line="223" w:lineRule="exact"/>
              <w:rPr>
                <w:sz w:val="20"/>
                <w:szCs w:val="20"/>
                <w:color w:val="auto"/>
              </w:rPr>
            </w:pPr>
            <w:r>
              <w:rPr>
                <w:rFonts w:ascii="Arial" w:cs="Arial" w:eastAsia="Arial" w:hAnsi="Arial"/>
                <w:sz w:val="18"/>
                <w:szCs w:val="18"/>
                <w:b w:val="1"/>
                <w:bCs w:val="1"/>
                <w:color w:val="auto"/>
              </w:rPr>
              <w:t xml:space="preserve">Consolidated Adjusted EBITDA </w:t>
            </w:r>
            <w:r>
              <w:rPr>
                <w:rFonts w:ascii="Arial" w:cs="Arial" w:eastAsia="Arial" w:hAnsi="Arial"/>
                <w:sz w:val="23"/>
                <w:szCs w:val="23"/>
                <w:b w:val="1"/>
                <w:bCs w:val="1"/>
                <w:color w:val="auto"/>
                <w:vertAlign w:val="superscript"/>
              </w:rPr>
              <w:t>(9)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660" w:hanging="328"/>
        <w:spacing w:after="0" w:line="269"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Northeast segment consists of the following properties: Ameristar East Chicago, Hollywood Casino at Greektown, Hollywood Casino Bangor, Hollywood Casino at Charles Town Races, Hollywood Casino Columbus, Hollywood Casino Lawrenceburg, Hollywood Casino Morgantown, Hollywood Casino at PENN National Race Course, Hollywood Casino Perryville, Hollywood Casino Toledo, Hollywood Casino York, Hollywood Gaming at Dayton Raceway, Hollywood Gaming at Mahoning Valley Race Course, Marquee by PENN, Hollywood Casino at The Meadows, and Plainridge Park Casino.</w:t>
      </w:r>
    </w:p>
    <w:p>
      <w:pPr>
        <w:spacing w:after="0" w:line="20"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South segment consists of the following properties: 1</w:t>
      </w:r>
      <w:r>
        <w:rPr>
          <w:rFonts w:ascii="Arial" w:cs="Arial" w:eastAsia="Arial" w:hAnsi="Arial"/>
          <w:sz w:val="9"/>
          <w:szCs w:val="9"/>
          <w:color w:val="auto"/>
        </w:rPr>
        <w:t>st</w:t>
      </w:r>
      <w:r>
        <w:rPr>
          <w:rFonts w:ascii="Arial" w:cs="Arial" w:eastAsia="Arial" w:hAnsi="Arial"/>
          <w:sz w:val="14"/>
          <w:szCs w:val="14"/>
          <w:color w:val="auto"/>
        </w:rPr>
        <w:t xml:space="preserve"> Jackpot Casino, Ameristar Vicksburg, Boomtown Biloxi, Boomtown Bossier City, Boomtown New Orleans, Hollywood Casino Gulf Coast, Hollywood Casino Tunica, L’Auberge Baton Rouge, L’Auberge Lake Charles, and Margaritaville Resort Casino.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West segment consists of the following properties: Ameristar Black Hawk, Cactus Petes and Horseshu, M Resort Spa Casino, and Zia Park Casino.</w:t>
      </w:r>
    </w:p>
    <w:p>
      <w:pPr>
        <w:spacing w:after="0" w:line="68" w:lineRule="exact"/>
        <w:rPr>
          <w:rFonts w:ascii="Arial" w:cs="Arial" w:eastAsia="Arial" w:hAnsi="Arial"/>
          <w:sz w:val="14"/>
          <w:szCs w:val="14"/>
          <w:color w:val="auto"/>
        </w:rPr>
      </w:pPr>
    </w:p>
    <w:p>
      <w:pPr>
        <w:jc w:val="both"/>
        <w:ind w:left="660" w:hanging="328"/>
        <w:spacing w:after="0" w:line="273"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Midwest segment consists of the following properties: Ameristar Council Bluffs, Argosy Casino Alton, Argosy Casino Riverside, Hollywood Casino Aurora, Hollywood Casino Joliet, our 50% investment in Kansas Entertainment, LLC, which owns Hollywood Casino at Kansas Speedway, Hollywood Casino St. Louis, Prairie State Gaming, and River City Casino.</w:t>
      </w:r>
    </w:p>
    <w:p>
      <w:pPr>
        <w:spacing w:after="0" w:line="17" w:lineRule="exact"/>
        <w:rPr>
          <w:rFonts w:ascii="Arial" w:cs="Arial" w:eastAsia="Arial" w:hAnsi="Arial"/>
          <w:sz w:val="14"/>
          <w:szCs w:val="14"/>
          <w:color w:val="auto"/>
        </w:rPr>
      </w:pPr>
    </w:p>
    <w:p>
      <w:pPr>
        <w:jc w:val="both"/>
        <w:ind w:left="660" w:hanging="328"/>
        <w:spacing w:after="0" w:line="28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Interactive segment includes all of our online sports betting, online casino/iCasino and social gaming operations, management of retail sports betting, and media. Interactive revenues are inclusive of a tax gross-up of $139.5 million and $104.1 million for the three months ended September 30, 2025 and 2024, respectively, and $405.6 million and $302.8 million for the nine months ended September 30, 2025 and 2024, respectively.</w:t>
      </w:r>
    </w:p>
    <w:p>
      <w:pPr>
        <w:spacing w:after="0" w:line="1" w:lineRule="exact"/>
        <w:rPr>
          <w:rFonts w:ascii="Arial" w:cs="Arial" w:eastAsia="Arial" w:hAnsi="Arial"/>
          <w:sz w:val="14"/>
          <w:szCs w:val="14"/>
          <w:color w:val="auto"/>
        </w:rPr>
      </w:pPr>
    </w:p>
    <w:p>
      <w:pPr>
        <w:jc w:val="both"/>
        <w:ind w:left="660" w:hanging="328"/>
        <w:spacing w:after="0" w:line="265"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Other category, included in the tables to reconcile the segment information to the consolidated information, consists of the Company’s stand-alone racing operations, namely Sanford-Orlando Kennel Club, Sam Houston and Valley Race Park, the Company’s joint venture interests in Freehold Raceway (which ceased operations on December 28, 2024) and our management contract for Retama Park Racetrack. The Other category also includes corporate overhead, which consist of certain expenses, such as: payroll, professional fees, travel expenses, and other general and administrative expenses that do not directly relate to or have not otherwise been allocated. Corporate overhead was $34.0 million and $29.1 million for the three months ended September 30, 2025 and 2024, respectively, and $108.7 million and $78.5 million for the nine months ended September 30, 2025 and 2024, respectively. Corporate overhead for the three and nine months ended September 30, 2025, include $3.9 million and $21.0 million, respectively, of legal and advisory costs related to activist activity in connection with our 2025 annual meeting of shareholders.</w:t>
      </w:r>
    </w:p>
    <w:p>
      <w:pPr>
        <w:spacing w:after="0" w:line="200"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retail sportsbooks, which are operated by PENN Interactive.</w:t>
      </w:r>
    </w:p>
    <w:p>
      <w:pPr>
        <w:spacing w:after="0" w:line="68"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definition of Segment Adjusted EBITDAR within the “Reportable Segment Measures” section below.</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definition of Consolidated Adjusted EBITDA within the “Non-GAAP Financial Measures” section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Net Loss to Consolidated Adjusted EBITDA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6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For the nine months ended</w:t>
            </w:r>
          </w:p>
        </w:tc>
      </w:tr>
      <w:tr>
        <w:trPr>
          <w:trHeight w:val="243"/>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1"/>
                <w:szCs w:val="21"/>
                <w:color w:val="auto"/>
              </w:rPr>
            </w:pPr>
          </w:p>
        </w:tc>
        <w:tc>
          <w:tcPr>
            <w:tcW w:w="26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5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Gain on REIT transaction, net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financing arrangement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(656.1)</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Cash-settled stock-based awards variance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Pre-opening expenses</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326.5</w:t>
            </w: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Impairment losses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(4)</w:t>
            </w:r>
          </w:p>
        </w:tc>
        <w:tc>
          <w:tcPr>
            <w:tcW w:w="1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Consolidated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507.0</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Relates to lease modification events associated with our development projects.</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impairment charges of $15.0 million in the Midwest segment and $825.0 million in the Interactive segment.</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primarily of depreciation expense associated with our Kansas Entertainment joint venture.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3,991.2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3,878.6</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r>
      <w:tr>
        <w:trPr>
          <w:trHeight w:val="223"/>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4,909.1</w:t>
            </w:r>
          </w:p>
        </w:tc>
      </w:tr>
      <w:tr>
        <w:trPr>
          <w:trHeight w:val="210"/>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2,576.7</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1,170.1</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4,788.5</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REIT transaction,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Gain on financing arrangement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other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PENN Entertainment,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Diluted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0" w:type="dxa"/>
            <w:vAlign w:val="bottom"/>
            <w:shd w:val="clear" w:color="auto" w:fill="CCEEFF"/>
          </w:tcPr>
          <w:p>
            <w:pPr>
              <w:spacing w:after="0"/>
              <w:rPr>
                <w:sz w:val="23"/>
                <w:szCs w:val="23"/>
                <w:color w:val="auto"/>
              </w:rPr>
            </w:pPr>
          </w:p>
        </w:tc>
        <w:tc>
          <w:tcPr>
            <w:tcW w:w="35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outstanding—basic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Selected Financial Information and GAAP to Non-GAAP Reconciliations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December 31, 2024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 unaudited)</w:t>
            </w:r>
          </w:p>
        </w:tc>
        <w:tc>
          <w:tcPr>
            <w:tcW w:w="160" w:type="dxa"/>
            <w:vAlign w:val="bottom"/>
          </w:tcPr>
          <w:p>
            <w:pPr>
              <w:spacing w:after="0"/>
              <w:rPr>
                <w:sz w:val="16"/>
                <w:szCs w:val="16"/>
                <w:color w:val="auto"/>
              </w:rPr>
            </w:pPr>
          </w:p>
        </w:tc>
        <w:tc>
          <w:tcPr>
            <w:tcW w:w="1500" w:type="dxa"/>
            <w:vAlign w:val="bottom"/>
          </w:tcPr>
          <w:p>
            <w:pPr>
              <w:jc w:val="right"/>
              <w:ind w:right="550"/>
              <w:spacing w:after="0" w:line="195"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Traditional net debt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Revolving Credit Facility due 2027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Term Loan A Facility due 2027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Term Loan B Facility due 2029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5.625% Notes due 2027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4.125% Notes due 2029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2.75% Convertible Notes due 2026</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traditional debt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Financing obligation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discounts and debt issuance costs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rent payments to REIT landlords </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9,883.7</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Lease-adjusted net leverage ratio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7.1x</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 xml:space="preserve">Traditional net leverage </w:t>
            </w:r>
            <w:r>
              <w:rPr>
                <w:rFonts w:ascii="Arial" w:cs="Arial" w:eastAsia="Arial" w:hAnsi="Arial"/>
                <w:sz w:val="23"/>
                <w:szCs w:val="23"/>
                <w:color w:val="auto"/>
                <w:vertAlign w:val="superscript"/>
              </w:rPr>
              <w:t>(1)</w:t>
            </w:r>
          </w:p>
        </w:tc>
        <w:tc>
          <w:tcPr>
            <w:tcW w:w="160" w:type="dxa"/>
            <w:vAlign w:val="bottom"/>
          </w:tcPr>
          <w:p>
            <w:pPr>
              <w:spacing w:after="0"/>
              <w:rPr>
                <w:sz w:val="24"/>
                <w:szCs w:val="24"/>
                <w:color w:val="auto"/>
              </w:rPr>
            </w:pPr>
          </w:p>
        </w:tc>
        <w:tc>
          <w:tcPr>
            <w:tcW w:w="1600" w:type="dxa"/>
            <w:vAlign w:val="bottom"/>
            <w:gridSpan w:val="2"/>
          </w:tcPr>
          <w:p>
            <w:pPr>
              <w:ind w:left="1140"/>
              <w:spacing w:after="0"/>
              <w:rPr>
                <w:sz w:val="20"/>
                <w:szCs w:val="20"/>
                <w:color w:val="auto"/>
              </w:rPr>
            </w:pPr>
            <w:r>
              <w:rPr>
                <w:rFonts w:ascii="Arial" w:cs="Arial" w:eastAsia="Arial" w:hAnsi="Arial"/>
                <w:sz w:val="18"/>
                <w:szCs w:val="18"/>
                <w:color w:val="auto"/>
              </w:rPr>
              <w:t>5.1x</w:t>
            </w: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5.5x</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660" w:hanging="328"/>
        <w:spacing w:after="0" w:line="290"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“Non-GAAP Financial Measures” section below for more information as well as the definitions of Traditional net debt, Lease-adjusted net leverage ratio, and Traditional net leverage.</w:t>
      </w:r>
    </w:p>
    <w:p>
      <w:pPr>
        <w:ind w:left="660" w:hanging="328"/>
        <w:spacing w:after="0" w:line="286"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Represented cash proceeds received and non-cash interest on certain claims of which the principal repayment was contingent and classified as a financing obligation under Accounting Standards Codification Topic 470, “Debt” in the prior year.</w:t>
      </w:r>
    </w:p>
    <w:p>
      <w:pPr>
        <w:spacing w:after="0" w:line="7"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 equals 8 times the total cash rent payments to REIT landlords for the trailing twelve months.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Balance is presented on a trailing twelve months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1"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Cash Flow Data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certain cash expenditures incurred by the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to our REIT Landlords under Triple Net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payments (refunds) related to income taxes,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on traditional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39"/>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261.7</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Measures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Non-GAAP Financial Measures used in this press release include Consolidated Adjusted EBITDA, Adjusted EPS, Traditional net debt, Traditional net leverage ratio, and Lease-adjusted net leverage ratio. These non-GAAP financial measures should not be considered a substitute for, nor superior to, financial results and measures determined or calculated in accordance with GAAP.</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1" w:right="339" w:bottom="1440" w:gutter="0" w:footer="0" w:header="0"/>
        </w:sectPr>
      </w:pPr>
    </w:p>
    <w:bookmarkStart w:id="16" w:name="page17"/>
    <w:bookmarkEnd w:id="16"/>
    <w:p>
      <w:pPr>
        <w:jc w:val="both"/>
        <w:spacing w:after="0" w:line="252" w:lineRule="auto"/>
        <w:rPr>
          <w:sz w:val="20"/>
          <w:szCs w:val="20"/>
          <w:color w:val="auto"/>
        </w:rPr>
      </w:pPr>
      <w:r>
        <w:rPr>
          <w:rFonts w:ascii="Arial" w:cs="Arial" w:eastAsia="Arial" w:hAnsi="Arial"/>
          <w:sz w:val="20"/>
          <w:szCs w:val="20"/>
          <w:color w:val="auto"/>
        </w:rPr>
        <w:t>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Adjusted Consolidated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Adjusted EPS is diluted earnings or loss per share adjusted to exclude gains/losses on the disposal of a business, non-cash gains/losses associated with REIT transactions, impairment losses, pre-opening expenses, debt extinguishment charges, gains/losses on the disposal of assets, foreign currency gains/losses, transaction related expenses, business interruption insurance proceeds, net gains/losses related to equity investments, and other.</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Adjusted EPS is a non-GAAP measure and is presented solely as a supplemental disclosure to reported GAAP measures because management believes this measure is useful in providing period-to-period comparisons of the results of the Company’s operations to assist investors in reviewing the Company’s operating performance over time. Management believes it is useful to exclude certain items when comparing current performance to prior periods because these items can vary significantly depending on specific underlying transactions or events. Further, management believes certain excluded items may not relate specifically to current operating trends or be indicative of future results. Adjusted EPS should not be construed as an alternative to GAAP earnings per share as an indicator of the Company’s performance.</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calculate Traditional net debt as Total traditional debt, which is the principal amount of debt outstanding (excludes the financing obligation associated with cash proceeds received and non-cash interest on certain claims of which the principal repayment is contingent) less Cash and cash equivalents. Management believes that Traditional net debt is an important measure to monitor leverage and evaluate the balance sheet. With respect to Traditional net debt, Cash and cash equivalents are subtracted from the GAAP measure because they could be used to reduce the Company’s debt obligations. A limitation associated with using Traditional net debt is that it subtracts Cash and cash equivalents and therefore may imply that there is less Company debt than the most comparable GAAP measure indicates. Management believes that investors may find it useful to monitor leverage and evaluate the balance sheet.</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Company’s Traditional net leverage ratio is defined as Traditional net debt (as defined above) divided by (i) Consolidated Adjusted EBITDA (as defined above) for the trailing twelve months plus (ii) rent expense associated with triple net operating leases for the trailing twelve months less (iii) cash rent payments to REIT landlords for the trailing twelve months. Management believes this measure is useful as a supplemental measure and provides an indication of the results generated by the Company in relation to its level of indebtedness with the cash generated from Company operations.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Lease-adjusted net leverage ratio’s numerator is calculated as cash rent payments to REIT landlords for the trailing twelve months capitalized at 8 times plus Traditional net debt (as defined above). The Company’s Lease-adjusted net leverage ratio’s denominator is Consolidated Adjusted EBITDA (as defined above) for the trailing twelve months plus rent expense associated with triple net operating leases for the trailing twelve months. Management believes this measure is useful as a supplemental measure and provides an indication of the results generated by the Company in relation to its level of indebtedness (including leases) with the cash generated from Company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3" w:right="339" w:bottom="1440" w:gutter="0" w:footer="0" w:header="0"/>
        </w:sectPr>
      </w:pPr>
    </w:p>
    <w:bookmarkStart w:id="17" w:name="page18"/>
    <w:bookmarkEnd w:id="17"/>
    <w:p>
      <w:pPr>
        <w:jc w:val="both"/>
        <w:ind w:right="20"/>
        <w:spacing w:after="0" w:line="269" w:lineRule="auto"/>
        <w:rPr>
          <w:sz w:val="20"/>
          <w:szCs w:val="20"/>
          <w:color w:val="auto"/>
        </w:rPr>
      </w:pPr>
      <w:r>
        <w:rPr>
          <w:rFonts w:ascii="Arial" w:cs="Arial" w:eastAsia="Arial" w:hAnsi="Arial"/>
          <w:sz w:val="20"/>
          <w:szCs w:val="20"/>
          <w:color w:val="auto"/>
        </w:rPr>
        <w:t>Each of these non-GAAP financial measures is not calculated in the same manner by all companies and, accordingly, may not be an appropriate measure of comparing performance among different companies. See the tables above, which present reconciliations of these measures to the GAAP equivalent financial measures.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Presentation, Conference Call, Webcast and Replay Details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PENN is hosting a conference call and simultaneous webcast at 9:00 a.m. E.T. today, both of which are open to the general public. During the call, management will review a presentation regarding the quarter and recent developments that can be accessed at </w:t>
      </w:r>
      <w:r>
        <w:rPr>
          <w:rFonts w:ascii="Arial" w:cs="Arial" w:eastAsia="Arial" w:hAnsi="Arial"/>
          <w:sz w:val="20"/>
          <w:szCs w:val="20"/>
          <w:i w:val="1"/>
          <w:iCs w:val="1"/>
          <w:color w:val="auto"/>
        </w:rPr>
        <w:t>http://investors.pennentertainment.com/events-and-presentations/presentations</w:t>
      </w:r>
      <w:r>
        <w:rPr>
          <w:rFonts w:ascii="Arial" w:cs="Arial" w:eastAsia="Arial" w:hAnsi="Arial"/>
          <w:sz w:val="20"/>
          <w:szCs w:val="20"/>
          <w:color w:val="auto"/>
        </w:rPr>
        <w:t>.</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conference call number is 203-518-9765 (conference ID: PENN); please call five minutes in advance to ensure that you are connected prior to the presentation. Interested parties may also access the live call at </w:t>
      </w:r>
      <w:r>
        <w:rPr>
          <w:rFonts w:ascii="Arial" w:cs="Arial" w:eastAsia="Arial" w:hAnsi="Arial"/>
          <w:sz w:val="20"/>
          <w:szCs w:val="20"/>
          <w:i w:val="1"/>
          <w:iCs w:val="1"/>
          <w:color w:val="auto"/>
        </w:rPr>
        <w:t>www.pennentertainment.com</w:t>
      </w:r>
      <w:r>
        <w:rPr>
          <w:rFonts w:ascii="Arial" w:cs="Arial" w:eastAsia="Arial" w:hAnsi="Arial"/>
          <w:sz w:val="20"/>
          <w:szCs w:val="20"/>
          <w:color w:val="auto"/>
        </w:rPr>
        <w:t xml:space="preserve">; allow 15 minutes to register, download, and install any necessary software. Questions and answers will be reserved for call-in analysts and investors. A replay of the call can be accessed for thirty days at </w:t>
      </w:r>
      <w:r>
        <w:rPr>
          <w:rFonts w:ascii="Arial" w:cs="Arial" w:eastAsia="Arial" w:hAnsi="Arial"/>
          <w:sz w:val="20"/>
          <w:szCs w:val="20"/>
          <w:i w:val="1"/>
          <w:iCs w:val="1"/>
          <w:color w:val="auto"/>
        </w:rPr>
        <w:t>http://www.pennentertainment.com</w:t>
      </w:r>
      <w:r>
        <w:rPr>
          <w:rFonts w:ascii="Arial" w:cs="Arial" w:eastAsia="Arial" w:hAnsi="Arial"/>
          <w:sz w:val="20"/>
          <w:szCs w:val="20"/>
          <w:color w:val="auto"/>
        </w:rPr>
        <w:t>.</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This press release, which includes financial information to be discussed by management during the conference call and disclosure and reconciliation of non-GAAP financial measures, is available on the Company’s web site, </w:t>
      </w:r>
      <w:r>
        <w:rPr>
          <w:rFonts w:ascii="Arial" w:cs="Arial" w:eastAsia="Arial" w:hAnsi="Arial"/>
          <w:sz w:val="20"/>
          <w:szCs w:val="20"/>
          <w:i w:val="1"/>
          <w:iCs w:val="1"/>
          <w:color w:val="auto"/>
        </w:rPr>
        <w:t xml:space="preserve">http://www.pennentertainment.com/corp/investors </w:t>
      </w:r>
      <w:r>
        <w:rPr>
          <w:rFonts w:ascii="Arial" w:cs="Arial" w:eastAsia="Arial" w:hAnsi="Arial"/>
          <w:sz w:val="20"/>
          <w:szCs w:val="20"/>
          <w:color w:val="auto"/>
        </w:rPr>
        <w:t>(select link for “Press Releases”).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PENN Entertainment, Inc.</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PENN Entertainment, Inc., together with its subsidiaries (“PENN,” or the “Company,” “we,” “our,” or “us”),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over 33 million members a unique set of rewards and experiences.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scale and timing of the Company’s product and technology investments; the Company’s expectations regarding results and customer growth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theScore Bet and Hollywood iCasino, and the further development of theScore Bet on our proprietary player account management system and risk and trading platforms; the Company’s expectations regarding the rebranding of our U.S. OSB product to theScore Bet and the future success of theScore Bet, Hollywood iCasino and its other digital offerings;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63" w:right="339" w:bottom="1440" w:gutter="0" w:footer="0" w:header="0"/>
        </w:sectPr>
      </w:pPr>
    </w:p>
    <w:bookmarkStart w:id="18" w:name="page19"/>
    <w:bookmarkEnd w:id="18"/>
    <w:p>
      <w:pPr>
        <w:jc w:val="both"/>
        <w:spacing w:after="0" w:line="252" w:lineRule="auto"/>
        <w:rPr>
          <w:sz w:val="20"/>
          <w:szCs w:val="20"/>
          <w:color w:val="auto"/>
        </w:rPr>
      </w:pPr>
      <w:r>
        <w:rPr>
          <w:rFonts w:ascii="Arial" w:cs="Arial" w:eastAsia="Arial" w:hAnsi="Arial"/>
          <w:sz w:val="20"/>
          <w:szCs w:val="20"/>
          <w:color w:val="auto"/>
        </w:rPr>
        <w:t>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iCasino forward strategy and the rebranding of our U.S. online sports betting product to theScore Bet; our ability to attract and retain user adoption of theScore Bet and Hollywood iCasino apps in a rapidly evolving and highly competitive market; the impact of the termination of the Sportsbook Agreement;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the impact of activist shareholders; adverse outcomes of litigation involving the Company, including litigation brought by activist shareholders; our ability to maintain our gaming licenses and concessions and comply with applicable gaming law, changes in current laws, regulations, rules or other industry standards, and additional factors described in the Company’s Annual Report on Form 10-K for the year ended December 31, 2024,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Nieves</w:t>
      </w:r>
    </w:p>
    <w:p>
      <w:pPr>
        <w:spacing w:after="0"/>
        <w:rPr>
          <w:sz w:val="20"/>
          <w:szCs w:val="20"/>
          <w:color w:val="auto"/>
        </w:rPr>
      </w:pPr>
      <w:r>
        <w:rPr>
          <w:rFonts w:ascii="Arial" w:cs="Arial" w:eastAsia="Arial" w:hAnsi="Arial"/>
          <w:sz w:val="20"/>
          <w:szCs w:val="20"/>
          <w:color w:val="auto"/>
        </w:rPr>
        <w:t>SVP, Finance &amp; Treasurer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PENN Entertainment,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610-373-2400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Joseph N. Jaffoni</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JCIR</w:t>
      </w:r>
    </w:p>
    <w:p>
      <w:pPr>
        <w:spacing w:after="0"/>
        <w:rPr>
          <w:sz w:val="20"/>
          <w:szCs w:val="20"/>
          <w:color w:val="auto"/>
        </w:rPr>
      </w:pPr>
      <w:r>
        <w:rPr>
          <w:rFonts w:ascii="Arial" w:cs="Arial" w:eastAsia="Arial" w:hAnsi="Arial"/>
          <w:sz w:val="20"/>
          <w:szCs w:val="20"/>
          <w:color w:val="auto"/>
        </w:rPr>
        <w:t>212-835-8500 or penn@jcir.com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63"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454660</wp:posOffset>
            </wp:positionV>
            <wp:extent cx="3429000" cy="1560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 Entertainment and ESPN Mutually Agree to Early Termination of U.S. Online Sports Betting Agreement</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WYOMISSING, Pa. and BRISTOL, Conn., Nov. 6, 2025 -- PENN Entertainment, Inc. (Nasdaq: PENN) (“PENN”) and ESPN, Inc. (“ESPN”) today announced that they have mutually agreed upon the early termination of their exclusive U.S. online sports betting (“OSB”) agreement, effective December 1, 2025.</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the terms of the original commercial agreement, announced in August 2023, ESPN agreed to provide PENN with media, marketing services and the exclusive right to the ESPN BET trademark for OSB in the U.S. in exchange for $150 million per year in cash payments to ESPN and warrants to purchase common stock of PENN. The agreement had an initial term of 10 years, with the right for either party to terminate the agreement after the third year if specific market share performance thresholds were not met.</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“When we first announced our partnership with ESPN, both sides made it clear that we expected to compete for a podium position in the space,” said Jay Snowden, CEO and President of PENN Entertainment. “Although we made significant progress in improving our product offering and building a cohesive ecosystem with ESPN, we have mutually and amicably agreed to wind down our collaboration. We plan to realign our digital focus on our growing iCasino business, while continuing to capitalize on our omnichannel advantage as the nation’s leading regional retail casino operator.”</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Snowden continued, “Looking ahead, we plan to rebrand our OSB offering in the U.S. to theScore Bet</w:t>
      </w:r>
      <w:r>
        <w:rPr>
          <w:rFonts w:ascii="Arial" w:cs="Arial" w:eastAsia="Arial" w:hAnsi="Arial"/>
          <w:sz w:val="25"/>
          <w:szCs w:val="25"/>
          <w:color w:val="auto"/>
          <w:vertAlign w:val="superscript"/>
        </w:rPr>
        <w:t>®</w:t>
      </w:r>
      <w:r>
        <w:rPr>
          <w:rFonts w:ascii="Arial" w:cs="Arial" w:eastAsia="Arial" w:hAnsi="Arial"/>
          <w:sz w:val="20"/>
          <w:szCs w:val="20"/>
          <w:color w:val="auto"/>
        </w:rPr>
        <w:t>, with a target date of December 1, 2025 to coincide with the expected launch of sports betting in Missouri, subject to regulatory approvals. We currently operate theScore Bet brand in Ontario, and our OSB product across both the U.S. and Canada will now leverage connectivity with the theScore media app, which has approximately 4 million monthly active users across North America. Our OSB offerings will continue to provide a top of funnel cross-sell opportunity for our Hollywood-branded iCasino, which will remain integrated into our OSB product offering in states where legal, in addition to serving as a standalone iCasino app.”</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Jimmy Pitaro, Chairman of ESPN, said, “Together, ESPN and PENN created a truly unique offering with unparalleled integrations across our various media assets. ESPN drove over 2.9 million new users into the PENN ecosystem, with a strong uptick in first time bettors this fall. We appreciate the collaboration we had with PENN and are now pursuing other media and marketing opportunities within this space.”</w:t>
      </w:r>
    </w:p>
    <w:p>
      <w:pPr>
        <w:spacing w:after="0" w:line="14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All outstanding payments to ESPN will cease in the fourth quarter of 2025. Leading up to and following the termination date, ESPN will work with PENN to facilitate a transition from ESPN BET to theScore Bet</w:t>
      </w:r>
      <w:r>
        <w:rPr>
          <w:rFonts w:ascii="Arial" w:cs="Arial" w:eastAsia="Arial" w:hAnsi="Arial"/>
          <w:sz w:val="25"/>
          <w:szCs w:val="25"/>
          <w:color w:val="auto"/>
          <w:vertAlign w:val="superscript"/>
        </w:rPr>
        <w:t>®</w:t>
      </w:r>
      <w:r>
        <w:rPr>
          <w:rFonts w:ascii="Arial" w:cs="Arial" w:eastAsia="Arial" w:hAnsi="Arial"/>
          <w:sz w:val="20"/>
          <w:szCs w:val="20"/>
          <w:color w:val="auto"/>
        </w:rPr>
        <w:t>. PENN will continue to be an ESPN advertising client.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About PENN Entertainment</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PENN Entertainment, Inc., together with its subsidiaries (“PENN,” or the “Company”),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over 33 million members a unique set of rewards and experiences.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ESPN</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ESPN, the world’s leading multiplatform sports entertainment brand, features eight U.S. television networks, the leading sports app, direct-to-consumer ESPN+, leading social and digital platforms, ESPN.com, ESPN Audio, endeavors on every continent around the world, and more. ESPN is 80 percent owned by ABC, Inc. (an indirect subsidiary of The Walt Disney Company) and 20 percent by Hearst.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timing of PENN's rebranding of its U.S. OSB product. These statements are based upon management's current expectations, assumptions and estimates and are not guarantees of timing, future results, or performance.</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Therefore, you should not rely on any of these forward-looking statements as predictions of future events. Actual results may differ materially from those contemplated in these statements due to a variety of risks, uncertainties and other factors, including those factors described in PENN Entertainment’s filings with the Securities and Exchange Commission (the “SEC”), including PENN Entertainment's current reports on Form 8-K, quarterly reports on Form 10-Q and its annual report on Form 10-K for the year ended December 31, 2024. Forward-looking statements speak only as of the date they are made and, except for PENN Entertainment’s ongoing obligations under the U.S. federal securities laws, PENN Entertainment undertakes no obligation to publicly update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Eric Schippers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Public Affairs</w:t>
      </w:r>
    </w:p>
    <w:p>
      <w:pPr>
        <w:spacing w:after="0"/>
        <w:rPr>
          <w:sz w:val="20"/>
          <w:szCs w:val="20"/>
          <w:color w:val="auto"/>
        </w:rPr>
      </w:pPr>
      <w:r>
        <w:rPr>
          <w:rFonts w:ascii="Arial" w:cs="Arial" w:eastAsia="Arial" w:hAnsi="Arial"/>
          <w:sz w:val="20"/>
          <w:szCs w:val="20"/>
          <w:color w:val="auto"/>
        </w:rPr>
        <w:t>PENN Entertainment</w:t>
      </w:r>
    </w:p>
    <w:p>
      <w:pPr>
        <w:spacing w:after="0"/>
        <w:rPr>
          <w:sz w:val="20"/>
          <w:szCs w:val="20"/>
          <w:color w:val="auto"/>
        </w:rPr>
      </w:pPr>
      <w:r>
        <w:rPr>
          <w:rFonts w:ascii="Arial" w:cs="Arial" w:eastAsia="Arial" w:hAnsi="Arial"/>
          <w:sz w:val="20"/>
          <w:szCs w:val="20"/>
          <w:color w:val="auto"/>
        </w:rPr>
        <w:t>610/373-2400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Joseph N. Jaffoni</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JCIR</w:t>
      </w:r>
    </w:p>
    <w:p>
      <w:pPr>
        <w:spacing w:after="0"/>
        <w:rPr>
          <w:sz w:val="20"/>
          <w:szCs w:val="20"/>
          <w:color w:val="auto"/>
        </w:rPr>
      </w:pPr>
      <w:r>
        <w:rPr>
          <w:rFonts w:ascii="Arial" w:cs="Arial" w:eastAsia="Arial" w:hAnsi="Arial"/>
          <w:sz w:val="20"/>
          <w:szCs w:val="20"/>
          <w:color w:val="auto"/>
        </w:rPr>
        <w:t>212-835-8500 or penn@jcir.com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John R. Manzo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Associate Director of Communications</w:t>
      </w:r>
    </w:p>
    <w:p>
      <w:pPr>
        <w:spacing w:after="0"/>
        <w:rPr>
          <w:sz w:val="20"/>
          <w:szCs w:val="20"/>
          <w:color w:val="auto"/>
        </w:rPr>
      </w:pPr>
      <w:r>
        <w:rPr>
          <w:rFonts w:ascii="Arial" w:cs="Arial" w:eastAsia="Arial" w:hAnsi="Arial"/>
          <w:sz w:val="20"/>
          <w:szCs w:val="20"/>
          <w:color w:val="auto"/>
        </w:rPr>
        <w:t>ESPN</w:t>
      </w:r>
    </w:p>
    <w:p>
      <w:pPr>
        <w:spacing w:after="0"/>
        <w:rPr>
          <w:sz w:val="20"/>
          <w:szCs w:val="20"/>
          <w:color w:val="auto"/>
        </w:rPr>
      </w:pPr>
      <w:r>
        <w:rPr>
          <w:rFonts w:ascii="Arial" w:cs="Arial" w:eastAsia="Arial" w:hAnsi="Arial"/>
          <w:sz w:val="20"/>
          <w:szCs w:val="20"/>
          <w:color w:val="auto"/>
        </w:rPr>
        <w:t>John.manzo@espn.com</w:t>
      </w:r>
    </w:p>
    <w:sectPr>
      <w:pgSz w:w="11900" w:h="16838" w:orient="portrait"/>
      <w:cols w:equalWidth="0" w:num="1">
        <w:col w:w="11240"/>
      </w:cols>
      <w:pgMar w:left="320" w:top="10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4"/>
    </w:lvl>
  </w:abstractNum>
  <w:abstractNum w:abstractNumId="5">
    <w:nsid w:val="66EF438D"/>
    <w:multiLevelType w:val="hybridMultilevel"/>
    <w:lvl w:ilvl="0">
      <w:lvlJc w:val="left"/>
      <w:lvlText w:val="%1"/>
      <w:numFmt w:val="decimal"/>
      <w:start w:val="1"/>
    </w:lvl>
    <w:lvl w:ilvl="1">
      <w:lvlJc w:val="left"/>
      <w:lvlText w:val="%2."/>
      <w:numFmt w:val="lowerLetter"/>
      <w:start w:val="5"/>
    </w:lvl>
  </w:abstractNum>
  <w:abstractNum w:abstractNumId="6">
    <w:nsid w:val="140E0F76"/>
    <w:multiLevelType w:val="hybridMultilevel"/>
    <w:lvl w:ilvl="0">
      <w:lvlJc w:val="left"/>
      <w:lvlText w:val="%1."/>
      <w:numFmt w:val="decimal"/>
      <w:start w:val="3"/>
    </w:lvl>
    <w:lvl w:ilvl="1">
      <w:lvlJc w:val="left"/>
      <w:lvlText w:val="%2"/>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2025-11-06T06:17:10Z</dcterms:created>
  <dcterms:modified xsi:type="dcterms:W3CDTF">2025-11-06T06:17:10Z</dcterms:modified>
</cp:coreProperties>
</file>